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0AFF62">
      <w:pPr>
        <w:shd w:val="clear"/>
        <w:wordWrap w:val="0"/>
        <w:spacing w:line="360" w:lineRule="auto"/>
        <w:jc w:val="center"/>
        <w:rPr>
          <w:rFonts w:hint="eastAsia" w:ascii="宋体" w:hAnsi="宋体" w:eastAsia="宋体" w:cs="宋体"/>
          <w:color w:val="auto"/>
          <w:sz w:val="52"/>
          <w:szCs w:val="52"/>
          <w:highlight w:val="none"/>
          <w:lang w:eastAsia="zh-CN"/>
        </w:rPr>
      </w:pPr>
      <w:r>
        <w:rPr>
          <w:rFonts w:hint="eastAsia" w:ascii="宋体" w:hAnsi="宋体" w:eastAsia="宋体" w:cs="宋体"/>
          <w:color w:val="auto"/>
          <w:sz w:val="52"/>
          <w:szCs w:val="52"/>
          <w:highlight w:val="none"/>
          <w:lang w:eastAsia="zh-CN"/>
        </w:rPr>
        <w:drawing>
          <wp:anchor distT="0" distB="0" distL="114300" distR="114300" simplePos="0" relativeHeight="251660288" behindDoc="0" locked="0" layoutInCell="1" allowOverlap="1">
            <wp:simplePos x="0" y="0"/>
            <wp:positionH relativeFrom="column">
              <wp:posOffset>-708025</wp:posOffset>
            </wp:positionH>
            <wp:positionV relativeFrom="paragraph">
              <wp:posOffset>-908050</wp:posOffset>
            </wp:positionV>
            <wp:extent cx="7645400" cy="10810875"/>
            <wp:effectExtent l="0" t="0" r="12700" b="9525"/>
            <wp:wrapNone/>
            <wp:docPr id="8" name="图片 8" descr="4.12定稿--南宁市市管5个免费公园综合管养服务（绿化养护分项）采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12定稿--南宁市市管5个免费公园综合管养服务（绿化养护分项）采购"/>
                    <pic:cNvPicPr>
                      <a:picLocks noChangeAspect="1"/>
                    </pic:cNvPicPr>
                  </pic:nvPicPr>
                  <pic:blipFill>
                    <a:blip r:embed="rId17"/>
                    <a:stretch>
                      <a:fillRect/>
                    </a:stretch>
                  </pic:blipFill>
                  <pic:spPr>
                    <a:xfrm>
                      <a:off x="0" y="0"/>
                      <a:ext cx="7645400" cy="10810875"/>
                    </a:xfrm>
                    <a:prstGeom prst="rect">
                      <a:avLst/>
                    </a:prstGeom>
                  </pic:spPr>
                </pic:pic>
              </a:graphicData>
            </a:graphic>
          </wp:anchor>
        </w:drawing>
      </w:r>
    </w:p>
    <w:p w14:paraId="4870B121">
      <w:pPr>
        <w:pStyle w:val="14"/>
        <w:shd w:val="clear"/>
        <w:rPr>
          <w:rFonts w:hint="eastAsia"/>
          <w:color w:val="auto"/>
          <w:highlight w:val="none"/>
        </w:rPr>
      </w:pPr>
    </w:p>
    <w:p w14:paraId="5DA6A0B6">
      <w:pPr>
        <w:shd w:val="clear"/>
        <w:wordWrap w:val="0"/>
        <w:spacing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29BA1152">
      <w:pPr>
        <w:shd w:val="clear"/>
        <w:wordWrap w:val="0"/>
        <w:spacing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公开招标文件（服务类）</w:t>
      </w:r>
    </w:p>
    <w:p w14:paraId="21C8829C">
      <w:pPr>
        <w:shd w:val="clear"/>
        <w:wordWrap w:val="0"/>
        <w:spacing w:line="360" w:lineRule="auto"/>
        <w:jc w:val="center"/>
        <w:rPr>
          <w:rFonts w:hint="eastAsia" w:ascii="宋体" w:hAnsi="宋体" w:eastAsia="宋体" w:cs="宋体"/>
          <w:b/>
          <w:color w:val="auto"/>
          <w:sz w:val="48"/>
          <w:szCs w:val="48"/>
          <w:highlight w:val="none"/>
        </w:rPr>
      </w:pPr>
    </w:p>
    <w:p w14:paraId="6D69B71A">
      <w:pPr>
        <w:shd w:val="clear"/>
        <w:wordWrap w:val="0"/>
        <w:spacing w:line="360" w:lineRule="auto"/>
        <w:jc w:val="center"/>
        <w:rPr>
          <w:rFonts w:hint="eastAsia" w:ascii="宋体" w:hAnsi="宋体" w:eastAsia="宋体" w:cs="宋体"/>
          <w:b/>
          <w:color w:val="auto"/>
          <w:sz w:val="48"/>
          <w:szCs w:val="48"/>
          <w:highlight w:val="none"/>
        </w:rPr>
      </w:pPr>
    </w:p>
    <w:p w14:paraId="110A28EA">
      <w:pPr>
        <w:shd w:val="clear"/>
        <w:wordWrap w:val="0"/>
        <w:snapToGrid w:val="0"/>
        <w:spacing w:line="360" w:lineRule="auto"/>
        <w:jc w:val="center"/>
        <w:rPr>
          <w:rFonts w:hint="eastAsia" w:ascii="宋体" w:hAnsi="宋体" w:eastAsia="宋体" w:cs="宋体"/>
          <w:color w:val="auto"/>
          <w:sz w:val="72"/>
          <w:szCs w:val="72"/>
          <w:highlight w:val="none"/>
        </w:rPr>
      </w:pPr>
      <w:r>
        <w:rPr>
          <w:rFonts w:hint="eastAsia" w:ascii="宋体" w:hAnsi="宋体" w:eastAsia="宋体" w:cs="宋体"/>
          <w:color w:val="auto"/>
          <w:sz w:val="72"/>
          <w:szCs w:val="72"/>
          <w:highlight w:val="none"/>
        </w:rPr>
        <w:t>招 标 文 件</w:t>
      </w:r>
    </w:p>
    <w:p w14:paraId="2BDB2BB7">
      <w:pPr>
        <w:shd w:val="clear"/>
        <w:wordWrap w:val="0"/>
        <w:snapToGrid w:val="0"/>
        <w:spacing w:line="360" w:lineRule="auto"/>
        <w:jc w:val="center"/>
        <w:rPr>
          <w:rFonts w:hint="eastAsia" w:ascii="宋体" w:hAnsi="宋体" w:eastAsia="宋体" w:cs="宋体"/>
          <w:color w:val="auto"/>
          <w:sz w:val="30"/>
          <w:szCs w:val="72"/>
          <w:highlight w:val="none"/>
        </w:rPr>
      </w:pPr>
      <w:r>
        <w:rPr>
          <w:rFonts w:hint="eastAsia" w:ascii="宋体" w:hAnsi="宋体" w:eastAsia="宋体" w:cs="宋体"/>
          <w:color w:val="auto"/>
          <w:sz w:val="30"/>
          <w:szCs w:val="72"/>
          <w:highlight w:val="none"/>
        </w:rPr>
        <w:t>（全流程电子化评标）</w:t>
      </w:r>
    </w:p>
    <w:p w14:paraId="6621A0B1">
      <w:pPr>
        <w:keepNext w:val="0"/>
        <w:keepLines w:val="0"/>
        <w:pageBreakBefore w:val="0"/>
        <w:widowControl w:val="0"/>
        <w:shd w:val="clear"/>
        <w:kinsoku/>
        <w:overflowPunct/>
        <w:topLinePunct w:val="0"/>
        <w:autoSpaceDE/>
        <w:autoSpaceDN/>
        <w:bidi w:val="0"/>
        <w:adjustRightInd/>
        <w:spacing w:line="800" w:lineRule="exact"/>
        <w:ind w:firstLine="1506" w:firstLineChars="500"/>
        <w:textAlignment w:val="auto"/>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项目名称：</w:t>
      </w:r>
      <w:r>
        <w:rPr>
          <w:rFonts w:hint="eastAsia" w:ascii="宋体" w:hAnsi="宋体" w:cs="宋体"/>
          <w:b/>
          <w:bCs/>
          <w:color w:val="auto"/>
          <w:sz w:val="30"/>
          <w:szCs w:val="30"/>
          <w:highlight w:val="none"/>
          <w:lang w:eastAsia="zh-CN"/>
        </w:rPr>
        <w:t>南宁市市管5个免费公园综合管养服务（绿化养护分项）采购</w:t>
      </w:r>
      <w:r>
        <w:rPr>
          <w:rFonts w:hint="eastAsia" w:ascii="宋体" w:hAnsi="宋体" w:eastAsia="宋体" w:cs="宋体"/>
          <w:b/>
          <w:bCs/>
          <w:color w:val="auto"/>
          <w:sz w:val="30"/>
          <w:szCs w:val="30"/>
          <w:highlight w:val="none"/>
        </w:rPr>
        <w:t xml:space="preserve"> </w:t>
      </w:r>
    </w:p>
    <w:p w14:paraId="5643CB70">
      <w:pPr>
        <w:pStyle w:val="13"/>
        <w:keepNext w:val="0"/>
        <w:keepLines w:val="0"/>
        <w:pageBreakBefore w:val="0"/>
        <w:widowControl w:val="0"/>
        <w:shd w:val="clear"/>
        <w:kinsoku/>
        <w:overflowPunct/>
        <w:topLinePunct w:val="0"/>
        <w:autoSpaceDE/>
        <w:autoSpaceDN/>
        <w:bidi w:val="0"/>
        <w:adjustRightInd/>
        <w:snapToGrid w:val="0"/>
        <w:spacing w:line="800" w:lineRule="exact"/>
        <w:ind w:firstLine="1506" w:firstLineChars="500"/>
        <w:textAlignment w:val="auto"/>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项目编号：</w:t>
      </w:r>
      <w:r>
        <w:rPr>
          <w:rFonts w:hint="eastAsia" w:hAnsi="宋体" w:cs="宋体"/>
          <w:b/>
          <w:bCs/>
          <w:color w:val="auto"/>
          <w:sz w:val="30"/>
          <w:szCs w:val="30"/>
          <w:highlight w:val="none"/>
          <w:lang w:eastAsia="zh-CN"/>
        </w:rPr>
        <w:t>NNZC2026-G3-990161-GXYZ</w:t>
      </w:r>
    </w:p>
    <w:p w14:paraId="47BE3193">
      <w:pPr>
        <w:pStyle w:val="13"/>
        <w:keepNext w:val="0"/>
        <w:keepLines w:val="0"/>
        <w:pageBreakBefore w:val="0"/>
        <w:widowControl w:val="0"/>
        <w:shd w:val="clear"/>
        <w:kinsoku/>
        <w:overflowPunct/>
        <w:topLinePunct w:val="0"/>
        <w:autoSpaceDE/>
        <w:autoSpaceDN/>
        <w:bidi w:val="0"/>
        <w:adjustRightInd/>
        <w:snapToGrid w:val="0"/>
        <w:spacing w:line="800" w:lineRule="exact"/>
        <w:ind w:firstLine="1506" w:firstLineChars="500"/>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项目所属区划：</w:t>
      </w:r>
      <w:r>
        <w:rPr>
          <w:rFonts w:hint="eastAsia" w:ascii="宋体" w:hAnsi="宋体" w:eastAsia="宋体" w:cs="宋体"/>
          <w:b/>
          <w:bCs/>
          <w:color w:val="auto"/>
          <w:sz w:val="30"/>
          <w:szCs w:val="30"/>
          <w:highlight w:val="none"/>
          <w:u w:val="single"/>
        </w:rPr>
        <w:t>南宁市</w:t>
      </w:r>
      <w:r>
        <w:rPr>
          <w:rFonts w:hint="eastAsia" w:ascii="宋体" w:hAnsi="宋体" w:eastAsia="宋体" w:cs="宋体"/>
          <w:b/>
          <w:bCs/>
          <w:color w:val="auto"/>
          <w:sz w:val="30"/>
          <w:szCs w:val="30"/>
          <w:highlight w:val="none"/>
          <w:u w:val="single"/>
          <w:lang w:val="en-US" w:eastAsia="zh-CN"/>
        </w:rPr>
        <w:t>市</w:t>
      </w:r>
      <w:r>
        <w:rPr>
          <w:rFonts w:hint="eastAsia" w:ascii="宋体" w:hAnsi="宋体" w:eastAsia="宋体" w:cs="宋体"/>
          <w:b/>
          <w:bCs/>
          <w:color w:val="auto"/>
          <w:sz w:val="30"/>
          <w:szCs w:val="30"/>
          <w:highlight w:val="none"/>
          <w:u w:val="single"/>
        </w:rPr>
        <w:t>本级</w:t>
      </w:r>
    </w:p>
    <w:p w14:paraId="7A48B4BE">
      <w:pPr>
        <w:pStyle w:val="13"/>
        <w:keepNext w:val="0"/>
        <w:keepLines w:val="0"/>
        <w:pageBreakBefore w:val="0"/>
        <w:widowControl w:val="0"/>
        <w:shd w:val="clear"/>
        <w:kinsoku/>
        <w:overflowPunct/>
        <w:topLinePunct w:val="0"/>
        <w:autoSpaceDE/>
        <w:autoSpaceDN/>
        <w:bidi w:val="0"/>
        <w:adjustRightInd/>
        <w:snapToGrid w:val="0"/>
        <w:spacing w:line="800" w:lineRule="exact"/>
        <w:ind w:firstLine="1205" w:firstLineChars="400"/>
        <w:textAlignment w:val="auto"/>
        <w:rPr>
          <w:rFonts w:hint="eastAsia" w:ascii="宋体" w:hAnsi="宋体" w:eastAsia="宋体" w:cs="宋体"/>
          <w:b/>
          <w:bCs/>
          <w:color w:val="auto"/>
          <w:sz w:val="30"/>
          <w:szCs w:val="30"/>
          <w:highlight w:val="none"/>
          <w:lang w:eastAsia="zh-CN"/>
        </w:rPr>
      </w:pPr>
    </w:p>
    <w:p w14:paraId="4E281152">
      <w:pPr>
        <w:pStyle w:val="13"/>
        <w:keepNext w:val="0"/>
        <w:keepLines w:val="0"/>
        <w:pageBreakBefore w:val="0"/>
        <w:widowControl w:val="0"/>
        <w:shd w:val="clear"/>
        <w:kinsoku/>
        <w:overflowPunct/>
        <w:topLinePunct w:val="0"/>
        <w:autoSpaceDE/>
        <w:autoSpaceDN/>
        <w:bidi w:val="0"/>
        <w:adjustRightInd/>
        <w:snapToGrid w:val="0"/>
        <w:spacing w:line="800" w:lineRule="exact"/>
        <w:ind w:firstLine="1506" w:firstLineChars="500"/>
        <w:textAlignment w:val="auto"/>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sz w:val="30"/>
          <w:szCs w:val="30"/>
          <w:highlight w:val="none"/>
        </w:rPr>
        <w:t>采 购 人：</w:t>
      </w:r>
      <w:r>
        <w:rPr>
          <w:rFonts w:hint="eastAsia" w:hAnsi="宋体" w:cs="宋体"/>
          <w:b/>
          <w:bCs/>
          <w:color w:val="auto"/>
          <w:w w:val="95"/>
          <w:sz w:val="30"/>
          <w:szCs w:val="30"/>
          <w:highlight w:val="none"/>
          <w:lang w:eastAsia="zh-CN"/>
        </w:rPr>
        <w:t>南宁市南湖公园</w:t>
      </w:r>
    </w:p>
    <w:p w14:paraId="09320714">
      <w:pPr>
        <w:keepNext w:val="0"/>
        <w:keepLines w:val="0"/>
        <w:pageBreakBefore w:val="0"/>
        <w:widowControl w:val="0"/>
        <w:shd w:val="clear"/>
        <w:kinsoku/>
        <w:overflowPunct/>
        <w:topLinePunct w:val="0"/>
        <w:autoSpaceDE/>
        <w:autoSpaceDN/>
        <w:bidi w:val="0"/>
        <w:adjustRightInd/>
        <w:snapToGrid w:val="0"/>
        <w:spacing w:line="800" w:lineRule="exact"/>
        <w:ind w:firstLine="1431" w:firstLineChars="500"/>
        <w:textAlignment w:val="auto"/>
        <w:rPr>
          <w:rFonts w:hint="eastAsia" w:ascii="宋体" w:hAnsi="宋体" w:eastAsia="宋体" w:cs="宋体"/>
          <w:b/>
          <w:bCs/>
          <w:color w:val="auto"/>
          <w:w w:val="95"/>
          <w:sz w:val="30"/>
          <w:szCs w:val="30"/>
          <w:highlight w:val="none"/>
          <w:lang w:val="en-US" w:eastAsia="zh-CN"/>
        </w:rPr>
      </w:pPr>
      <w:r>
        <w:rPr>
          <w:rFonts w:hint="eastAsia" w:ascii="宋体" w:hAnsi="宋体" w:eastAsia="宋体" w:cs="宋体"/>
          <w:b/>
          <w:bCs/>
          <w:color w:val="auto"/>
          <w:w w:val="95"/>
          <w:sz w:val="30"/>
          <w:szCs w:val="30"/>
          <w:highlight w:val="none"/>
        </w:rPr>
        <w:t>采购代理机构：</w:t>
      </w:r>
      <w:r>
        <w:rPr>
          <w:rFonts w:hint="eastAsia" w:ascii="宋体" w:hAnsi="宋体" w:eastAsia="宋体" w:cs="宋体"/>
          <w:b/>
          <w:bCs/>
          <w:color w:val="auto"/>
          <w:w w:val="95"/>
          <w:sz w:val="30"/>
          <w:szCs w:val="30"/>
          <w:highlight w:val="none"/>
          <w:lang w:val="en-US" w:eastAsia="zh-CN"/>
        </w:rPr>
        <w:t>广西邕政采购代理有限公司</w:t>
      </w:r>
    </w:p>
    <w:p w14:paraId="5CD8A913">
      <w:pPr>
        <w:keepNext w:val="0"/>
        <w:keepLines w:val="0"/>
        <w:pageBreakBefore w:val="0"/>
        <w:widowControl w:val="0"/>
        <w:shd w:val="clear"/>
        <w:kinsoku/>
        <w:wordWrap w:val="0"/>
        <w:overflowPunct/>
        <w:topLinePunct w:val="0"/>
        <w:autoSpaceDE/>
        <w:autoSpaceDN/>
        <w:bidi w:val="0"/>
        <w:adjustRightInd/>
        <w:snapToGrid w:val="0"/>
        <w:spacing w:line="800" w:lineRule="exact"/>
        <w:jc w:val="center"/>
        <w:textAlignment w:val="auto"/>
        <w:rPr>
          <w:rFonts w:hint="eastAsia" w:ascii="宋体" w:hAnsi="宋体" w:eastAsia="宋体" w:cs="宋体"/>
          <w:color w:val="auto"/>
          <w:sz w:val="30"/>
          <w:szCs w:val="72"/>
          <w:highlight w:val="none"/>
        </w:rPr>
      </w:pPr>
      <w:r>
        <w:rPr>
          <w:rFonts w:hint="eastAsia" w:ascii="宋体" w:hAnsi="宋体" w:eastAsia="宋体" w:cs="宋体"/>
          <w:b/>
          <w:bCs/>
          <w:color w:val="auto"/>
          <w:sz w:val="30"/>
          <w:szCs w:val="30"/>
          <w:highlight w:val="none"/>
        </w:rPr>
        <w:t>202</w:t>
      </w:r>
      <w:r>
        <w:rPr>
          <w:rFonts w:hint="eastAsia" w:ascii="宋体" w:hAnsi="宋体" w:eastAsia="宋体" w:cs="宋体"/>
          <w:b/>
          <w:bCs/>
          <w:color w:val="auto"/>
          <w:sz w:val="30"/>
          <w:szCs w:val="30"/>
          <w:highlight w:val="none"/>
          <w:lang w:val="en-US" w:eastAsia="zh-CN"/>
        </w:rPr>
        <w:t>6</w:t>
      </w:r>
      <w:r>
        <w:rPr>
          <w:rFonts w:hint="eastAsia" w:ascii="宋体" w:hAnsi="宋体" w:eastAsia="宋体" w:cs="宋体"/>
          <w:b/>
          <w:bCs/>
          <w:color w:val="auto"/>
          <w:sz w:val="30"/>
          <w:szCs w:val="30"/>
          <w:highlight w:val="none"/>
        </w:rPr>
        <w:t>年</w:t>
      </w:r>
      <w:r>
        <w:rPr>
          <w:rFonts w:hint="eastAsia" w:ascii="宋体" w:hAnsi="宋体" w:cs="宋体"/>
          <w:b/>
          <w:bCs/>
          <w:color w:val="auto"/>
          <w:sz w:val="30"/>
          <w:szCs w:val="30"/>
          <w:highlight w:val="none"/>
          <w:lang w:val="en-US" w:eastAsia="zh-CN"/>
        </w:rPr>
        <w:t>4</w:t>
      </w:r>
      <w:r>
        <w:rPr>
          <w:rFonts w:hint="eastAsia" w:ascii="宋体" w:hAnsi="宋体" w:eastAsia="宋体" w:cs="宋体"/>
          <w:b/>
          <w:bCs/>
          <w:color w:val="auto"/>
          <w:sz w:val="30"/>
          <w:szCs w:val="30"/>
          <w:highlight w:val="none"/>
        </w:rPr>
        <w:t>月</w:t>
      </w:r>
    </w:p>
    <w:p w14:paraId="76B37E9F">
      <w:pPr>
        <w:pStyle w:val="21"/>
        <w:shd w:val="clear"/>
        <w:rPr>
          <w:rFonts w:hint="eastAsia" w:ascii="宋体" w:hAnsi="宋体" w:eastAsia="宋体" w:cs="宋体"/>
          <w:color w:val="auto"/>
          <w:sz w:val="30"/>
          <w:szCs w:val="72"/>
          <w:highlight w:val="none"/>
        </w:rPr>
      </w:pPr>
    </w:p>
    <w:p w14:paraId="5B264772">
      <w:pPr>
        <w:pStyle w:val="13"/>
        <w:shd w:val="clear"/>
        <w:wordWrap w:val="0"/>
        <w:spacing w:line="360" w:lineRule="auto"/>
        <w:jc w:val="center"/>
        <w:rPr>
          <w:rFonts w:hint="eastAsia" w:ascii="宋体" w:hAnsi="宋体" w:eastAsia="宋体" w:cs="宋体"/>
          <w:b/>
          <w:color w:val="auto"/>
          <w:sz w:val="48"/>
          <w:szCs w:val="48"/>
          <w:highlight w:val="none"/>
        </w:rPr>
        <w:sectPr>
          <w:headerReference r:id="rId3" w:type="default"/>
          <w:pgSz w:w="11906" w:h="16838"/>
          <w:pgMar w:top="1440" w:right="1080" w:bottom="1440" w:left="1080" w:header="720" w:footer="720" w:gutter="0"/>
          <w:pgNumType w:start="1"/>
          <w:cols w:space="720" w:num="1"/>
          <w:docGrid w:type="lines" w:linePitch="331" w:charSpace="0"/>
        </w:sectPr>
      </w:pPr>
    </w:p>
    <w:p w14:paraId="453D233D">
      <w:pPr>
        <w:pStyle w:val="13"/>
        <w:shd w:val="clear"/>
        <w:wordWrap w:val="0"/>
        <w:spacing w:line="360" w:lineRule="auto"/>
        <w:jc w:val="center"/>
        <w:rPr>
          <w:rFonts w:hint="eastAsia" w:ascii="宋体" w:hAnsi="宋体" w:eastAsia="宋体" w:cs="宋体"/>
          <w:b/>
          <w:color w:val="auto"/>
          <w:sz w:val="48"/>
          <w:szCs w:val="48"/>
          <w:highlight w:val="none"/>
        </w:rPr>
      </w:pPr>
      <w:r>
        <w:rPr>
          <w:rFonts w:hint="eastAsia" w:ascii="宋体" w:hAnsi="宋体" w:eastAsia="宋体" w:cs="宋体"/>
          <w:b/>
          <w:color w:val="auto"/>
          <w:sz w:val="48"/>
          <w:szCs w:val="48"/>
          <w:highlight w:val="none"/>
        </w:rPr>
        <w:t>目     录</w:t>
      </w:r>
    </w:p>
    <w:p w14:paraId="1D6FB75E">
      <w:pPr>
        <w:pStyle w:val="16"/>
        <w:shd w:val="clear"/>
        <w:tabs>
          <w:tab w:val="right" w:leader="dot" w:pos="9746"/>
        </w:tabs>
        <w:spacing w:before="0" w:after="0" w:line="400" w:lineRule="exact"/>
        <w:rPr>
          <w:rFonts w:hint="eastAsia" w:ascii="宋体" w:hAnsi="宋体" w:eastAsia="宋体" w:cs="宋体"/>
          <w:color w:val="auto"/>
          <w:highlight w:val="none"/>
        </w:rPr>
      </w:pPr>
      <w:r>
        <w:rPr>
          <w:rFonts w:hint="eastAsia" w:ascii="宋体" w:hAnsi="宋体" w:eastAsia="宋体" w:cs="宋体"/>
          <w:b w:val="0"/>
          <w:bCs w:val="0"/>
          <w:caps w:val="0"/>
          <w:color w:val="auto"/>
          <w:sz w:val="32"/>
          <w:szCs w:val="32"/>
          <w:highlight w:val="none"/>
        </w:rPr>
        <w:fldChar w:fldCharType="begin"/>
      </w:r>
      <w:r>
        <w:rPr>
          <w:rFonts w:hint="eastAsia" w:ascii="宋体" w:hAnsi="宋体" w:eastAsia="宋体" w:cs="宋体"/>
          <w:b w:val="0"/>
          <w:bCs w:val="0"/>
          <w:caps w:val="0"/>
          <w:color w:val="auto"/>
          <w:sz w:val="32"/>
          <w:szCs w:val="32"/>
          <w:highlight w:val="none"/>
        </w:rPr>
        <w:instrText xml:space="preserve"> TOC \o "1-3" \h \z \u </w:instrText>
      </w:r>
      <w:r>
        <w:rPr>
          <w:rFonts w:hint="eastAsia" w:ascii="宋体" w:hAnsi="宋体" w:eastAsia="宋体" w:cs="宋体"/>
          <w:b w:val="0"/>
          <w:bCs w:val="0"/>
          <w:caps w:val="0"/>
          <w:color w:val="auto"/>
          <w:sz w:val="32"/>
          <w:szCs w:val="32"/>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"_Toc29110"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第一章  招标公告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_Toc29110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6EDD933">
      <w:pPr>
        <w:pStyle w:val="16"/>
        <w:shd w:val="clear"/>
        <w:tabs>
          <w:tab w:val="right" w:leader="dot" w:pos="9746"/>
        </w:tabs>
        <w:spacing w:before="0" w:after="0"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"_Toc26756"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第二章  采购需求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_Toc26756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2D1D07F">
      <w:pPr>
        <w:pStyle w:val="16"/>
        <w:shd w:val="clear"/>
        <w:tabs>
          <w:tab w:val="right" w:leader="dot" w:pos="9746"/>
        </w:tabs>
        <w:spacing w:before="0" w:after="0"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"_Toc12104"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第三章  投标人须知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_Toc12104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E305768">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"_Toc14498"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0"/>
          <w:highlight w:val="none"/>
        </w:rPr>
        <w:t>第一节 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_Toc14498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C5BA69D">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"_Toc9747"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第二节 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_Toc9747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B8489B6">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"_Toc6643"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一、总  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_Toc6643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A92D12B">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"_Toc16294"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二、招标文件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_Toc16294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C3767A2">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"_Toc26824"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三、投标文件的编制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_Toc26824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EEEEB84">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"_Toc1057"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四、开    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D5BD177">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"_Toc32134"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五、资格审查</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_Toc32134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6BA4D7E">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"_Toc16376"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六、评   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_Toc16376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23A9C17">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"_Toc31214"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七、中标和合同</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_Toc31214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B3F224A">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"_Toc24730" </w:instrText>
      </w:r>
      <w:r>
        <w:rPr>
          <w:rFonts w:hint="eastAsia" w:ascii="宋体" w:hAnsi="宋体" w:eastAsia="宋体" w:cs="宋体"/>
          <w:color w:val="auto"/>
          <w:highlight w:val="none"/>
        </w:rPr>
        <w:fldChar w:fldCharType="separate"/>
      </w:r>
      <w:r>
        <w:rPr>
          <w:rFonts w:hint="eastAsia" w:ascii="宋体" w:hAnsi="宋体" w:eastAsia="宋体" w:cs="宋体"/>
          <w:bCs/>
          <w:color w:val="auto"/>
          <w:szCs w:val="32"/>
          <w:highlight w:val="none"/>
        </w:rPr>
        <w:t>八、验收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_Toc24730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EF4399E">
      <w:pPr>
        <w:pStyle w:val="12"/>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"_Toc26013"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九、其他事项</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_Toc26013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11B1F89">
      <w:pPr>
        <w:pStyle w:val="16"/>
        <w:shd w:val="clear"/>
        <w:tabs>
          <w:tab w:val="right" w:leader="dot" w:pos="9746"/>
        </w:tabs>
        <w:spacing w:before="0" w:after="0"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"_Toc1905"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第四章  评标方法及评分标准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_Toc1905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28E3855">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"_Toc15245"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第一节 评标方法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_Toc15245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8072437">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"_Toc3552"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2"/>
          <w:highlight w:val="none"/>
        </w:rPr>
        <w:t>第二节 评标程序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9FA7901">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"_Toc22689"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0"/>
          <w:highlight w:val="none"/>
        </w:rPr>
        <w:t>第三节 评分标准</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_Toc22689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179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A4AF462">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"_Toc18980"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0"/>
          <w:highlight w:val="none"/>
        </w:rPr>
        <w:t>第四节 中标候选人推荐原则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_Toc18980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336F28D">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"_Toc31612" </w:instrText>
      </w:r>
      <w:r>
        <w:rPr>
          <w:rFonts w:hint="eastAsia" w:ascii="宋体" w:hAnsi="宋体" w:eastAsia="宋体" w:cs="宋体"/>
          <w:color w:val="auto"/>
          <w:highlight w:val="none"/>
        </w:rPr>
        <w:fldChar w:fldCharType="separate"/>
      </w:r>
      <w:r>
        <w:rPr>
          <w:rFonts w:hint="eastAsia" w:ascii="宋体" w:hAnsi="宋体" w:eastAsia="宋体" w:cs="宋体"/>
          <w:color w:val="auto"/>
          <w:szCs w:val="30"/>
          <w:highlight w:val="none"/>
        </w:rPr>
        <w:t>第五节 评标报告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_Toc31612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CDF02C8">
      <w:pPr>
        <w:pStyle w:val="16"/>
        <w:shd w:val="clear"/>
        <w:tabs>
          <w:tab w:val="right" w:leader="dot" w:pos="9746"/>
        </w:tabs>
        <w:spacing w:before="0" w:after="0"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"_Toc9281"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第五章 拟签订的合同文本</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_Toc9281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187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2A5A2CE">
      <w:pPr>
        <w:pStyle w:val="16"/>
        <w:shd w:val="clear"/>
        <w:tabs>
          <w:tab w:val="right" w:leader="dot" w:pos="9746"/>
        </w:tabs>
        <w:spacing w:before="0" w:after="0"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"_Toc18489"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第六章 投标文件格式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_Toc18489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5326E0C">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"_Toc17257"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第一节 投标文件外层包装封面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_Toc17257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939D1A6">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"_Toc5824"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第二节 资格证明文件格式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_Toc5824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DBCE038">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"_Toc8057"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第三节 商务文件格式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_Toc8057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DE345E3">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"_Toc18625"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第四节 技术文件格式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_Toc18625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222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0A5CA98">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"_Toc24450"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第五节 报价文件格式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_Toc24450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231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F0230B0">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"_Toc3237" </w:instrText>
      </w:r>
      <w:r>
        <w:rPr>
          <w:rFonts w:hint="eastAsia" w:ascii="宋体" w:hAnsi="宋体" w:eastAsia="宋体" w:cs="宋体"/>
          <w:color w:val="auto"/>
          <w:highlight w:val="none"/>
        </w:rPr>
        <w:fldChar w:fldCharType="separate"/>
      </w:r>
      <w:r>
        <w:rPr>
          <w:rFonts w:hint="eastAsia" w:ascii="宋体" w:hAnsi="宋体" w:eastAsia="宋体" w:cs="宋体"/>
          <w:color w:val="auto"/>
          <w:szCs w:val="28"/>
          <w:highlight w:val="none"/>
        </w:rPr>
        <w:t>第六节 其他文书、文件格式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_Toc3237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5745A34">
      <w:pPr>
        <w:pStyle w:val="16"/>
        <w:shd w:val="clear"/>
        <w:tabs>
          <w:tab w:val="right" w:leader="dot" w:pos="9746"/>
        </w:tabs>
        <w:spacing w:before="0" w:after="0"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"_Toc30072"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第七章 质疑、投诉证明材料格式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_Toc30072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308B646">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"_Toc23800"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highlight w:val="none"/>
        </w:rPr>
        <w:t>第一节 质疑函（格式）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_Toc23800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DBC850E">
      <w:pPr>
        <w:pStyle w:val="18"/>
        <w:shd w:val="clear"/>
        <w:tabs>
          <w:tab w:val="right" w:leader="dot" w:pos="9746"/>
        </w:tabs>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"_Toc18446" </w:instrText>
      </w:r>
      <w:r>
        <w:rPr>
          <w:rFonts w:hint="eastAsia" w:ascii="宋体" w:hAnsi="宋体" w:eastAsia="宋体" w:cs="宋体"/>
          <w:color w:val="auto"/>
          <w:highlight w:val="none"/>
        </w:rPr>
        <w:fldChar w:fldCharType="separate"/>
      </w:r>
      <w:r>
        <w:rPr>
          <w:rFonts w:hint="eastAsia" w:ascii="宋体" w:hAnsi="宋体" w:eastAsia="宋体" w:cs="宋体"/>
          <w:bCs w:val="0"/>
          <w:color w:val="auto"/>
          <w:highlight w:val="none"/>
        </w:rPr>
        <w:t>第二节 投诉书（格式）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_Toc18446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245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B2D1B18">
      <w:pPr>
        <w:pStyle w:val="13"/>
        <w:shd w:val="clear"/>
        <w:wordWrap w:val="0"/>
        <w:spacing w:line="360" w:lineRule="auto"/>
        <w:jc w:val="center"/>
        <w:rPr>
          <w:rFonts w:hint="eastAsia" w:ascii="宋体" w:hAnsi="宋体" w:eastAsia="宋体" w:cs="宋体"/>
          <w:color w:val="auto"/>
          <w:highlight w:val="none"/>
        </w:rPr>
        <w:sectPr>
          <w:footerReference r:id="rId4" w:type="default"/>
          <w:pgSz w:w="11906" w:h="16838"/>
          <w:pgMar w:top="1440" w:right="1080" w:bottom="1440" w:left="1080" w:header="720" w:footer="720" w:gutter="0"/>
          <w:pgNumType w:fmt="decimal" w:start="1"/>
          <w:cols w:space="720" w:num="1"/>
          <w:docGrid w:type="lines" w:linePitch="331" w:charSpace="0"/>
        </w:sectPr>
      </w:pPr>
      <w:r>
        <w:rPr>
          <w:rFonts w:hint="eastAsia" w:ascii="宋体" w:hAnsi="宋体" w:eastAsia="宋体" w:cs="宋体"/>
          <w:bCs/>
          <w:caps/>
          <w:color w:val="auto"/>
          <w:szCs w:val="32"/>
          <w:highlight w:val="none"/>
          <w:u w:val="single"/>
        </w:rPr>
        <w:fldChar w:fldCharType="end"/>
      </w:r>
      <w:bookmarkStart w:id="0" w:name="_Toc11954"/>
      <w:r>
        <w:rPr>
          <w:rFonts w:hint="eastAsia" w:ascii="宋体" w:hAnsi="宋体" w:eastAsia="宋体" w:cs="宋体"/>
          <w:color w:val="auto"/>
          <w:highlight w:val="none"/>
        </w:rPr>
        <w:tab/>
      </w:r>
      <w:bookmarkEnd w:id="0"/>
      <w:bookmarkStart w:id="1" w:name="_Toc532545041"/>
    </w:p>
    <w:bookmarkEnd w:id="1"/>
    <w:p w14:paraId="41677D63">
      <w:pPr>
        <w:pStyle w:val="13"/>
        <w:shd w:val="clear"/>
        <w:wordWrap w:val="0"/>
        <w:spacing w:line="360" w:lineRule="auto"/>
        <w:jc w:val="center"/>
        <w:outlineLvl w:val="0"/>
        <w:rPr>
          <w:rFonts w:hint="eastAsia" w:ascii="宋体" w:hAnsi="宋体" w:eastAsia="宋体" w:cs="宋体"/>
          <w:b/>
          <w:color w:val="auto"/>
          <w:sz w:val="36"/>
          <w:szCs w:val="36"/>
          <w:highlight w:val="none"/>
        </w:rPr>
      </w:pPr>
      <w:bookmarkStart w:id="2" w:name="_Toc29110"/>
      <w:bookmarkStart w:id="3" w:name="_Toc532545042"/>
      <w:r>
        <w:rPr>
          <w:rFonts w:hint="eastAsia" w:ascii="宋体" w:hAnsi="宋体" w:eastAsia="宋体" w:cs="宋体"/>
          <w:b/>
          <w:color w:val="auto"/>
          <w:sz w:val="36"/>
          <w:highlight w:val="none"/>
        </w:rPr>
        <w:t>第一章  招标公告</w:t>
      </w:r>
      <w:bookmarkEnd w:id="2"/>
    </w:p>
    <w:p w14:paraId="1FF7CA48">
      <w:pPr>
        <w:pStyle w:val="13"/>
        <w:shd w:val="clear"/>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公开招标公告</w:t>
      </w:r>
    </w:p>
    <w:p w14:paraId="334ED9C9">
      <w:pPr>
        <w:pBdr>
          <w:top w:val="single" w:color="auto" w:sz="4" w:space="1"/>
          <w:left w:val="single" w:color="auto" w:sz="4" w:space="4"/>
          <w:bottom w:val="single" w:color="auto" w:sz="4" w:space="1"/>
          <w:right w:val="single" w:color="auto" w:sz="4" w:space="4"/>
        </w:pBd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p w14:paraId="7E72DB78">
      <w:pPr>
        <w:pBdr>
          <w:top w:val="single" w:color="auto" w:sz="4" w:space="1"/>
          <w:left w:val="single" w:color="auto" w:sz="4" w:space="4"/>
          <w:bottom w:val="single" w:color="auto" w:sz="4" w:space="1"/>
          <w:right w:val="single" w:color="auto" w:sz="4" w:space="4"/>
        </w:pBdr>
        <w:shd w:val="clear"/>
        <w:wordWrap w:val="0"/>
        <w:spacing w:line="360" w:lineRule="auto"/>
        <w:ind w:firstLine="525" w:firstLineChars="250"/>
        <w:rPr>
          <w:rFonts w:hint="eastAsia" w:ascii="宋体" w:hAnsi="宋体" w:eastAsia="宋体" w:cs="宋体"/>
          <w:color w:val="auto"/>
          <w:sz w:val="21"/>
          <w:szCs w:val="21"/>
          <w:highlight w:val="none"/>
          <w:u w:val="single"/>
        </w:rPr>
      </w:pPr>
      <w:r>
        <w:rPr>
          <w:rFonts w:hint="eastAsia" w:ascii="宋体" w:hAnsi="宋体" w:cs="宋体"/>
          <w:color w:val="auto"/>
          <w:sz w:val="21"/>
          <w:szCs w:val="21"/>
          <w:highlight w:val="none"/>
          <w:u w:val="single"/>
          <w:lang w:eastAsia="zh-CN"/>
        </w:rPr>
        <w:t>南宁市市管5个免费公园综合管养服务（绿化养护分项）采购</w:t>
      </w:r>
      <w:r>
        <w:rPr>
          <w:rFonts w:hint="eastAsia" w:ascii="宋体" w:hAnsi="宋体" w:eastAsia="宋体" w:cs="宋体"/>
          <w:color w:val="auto"/>
          <w:sz w:val="21"/>
          <w:szCs w:val="21"/>
          <w:highlight w:val="none"/>
        </w:rPr>
        <w:t>招标项目的潜在投标人应在</w:t>
      </w:r>
      <w:r>
        <w:rPr>
          <w:rFonts w:hint="eastAsia" w:ascii="宋体" w:hAnsi="宋体" w:eastAsia="宋体" w:cs="宋体"/>
          <w:color w:val="auto"/>
          <w:sz w:val="21"/>
          <w:szCs w:val="21"/>
          <w:highlight w:val="none"/>
          <w:u w:val="single"/>
          <w:lang w:eastAsia="zh-CN"/>
        </w:rPr>
        <w:t>“广西政府采购云”平台（https://www.gcy.zfcg.gxzf.gov.cn/）</w:t>
      </w:r>
      <w:r>
        <w:rPr>
          <w:rFonts w:hint="eastAsia" w:ascii="宋体" w:hAnsi="宋体" w:eastAsia="宋体" w:cs="宋体"/>
          <w:color w:val="auto"/>
          <w:sz w:val="21"/>
          <w:szCs w:val="21"/>
          <w:highlight w:val="none"/>
        </w:rPr>
        <w:t>获取（下载）招标文件，并于</w:t>
      </w:r>
      <w:r>
        <w:rPr>
          <w:rFonts w:hint="eastAsia" w:ascii="宋体" w:hAnsi="宋体" w:eastAsia="宋体" w:cs="宋体"/>
          <w:color w:val="auto"/>
          <w:sz w:val="21"/>
          <w:szCs w:val="21"/>
          <w:highlight w:val="none"/>
          <w:u w:val="single"/>
          <w:lang w:bidi="ar"/>
        </w:rPr>
        <w:t>202</w:t>
      </w:r>
      <w:r>
        <w:rPr>
          <w:rFonts w:hint="eastAsia" w:ascii="宋体" w:hAnsi="宋体" w:eastAsia="宋体" w:cs="宋体"/>
          <w:color w:val="auto"/>
          <w:sz w:val="21"/>
          <w:szCs w:val="21"/>
          <w:highlight w:val="none"/>
          <w:u w:val="single"/>
          <w:lang w:val="en-US" w:eastAsia="zh-CN" w:bidi="ar"/>
        </w:rPr>
        <w:t>6</w:t>
      </w:r>
      <w:r>
        <w:rPr>
          <w:rFonts w:hint="eastAsia" w:ascii="宋体" w:hAnsi="宋体" w:eastAsia="宋体" w:cs="宋体"/>
          <w:color w:val="auto"/>
          <w:sz w:val="21"/>
          <w:szCs w:val="21"/>
          <w:highlight w:val="none"/>
          <w:u w:val="single"/>
          <w:lang w:bidi="ar"/>
        </w:rPr>
        <w:t>年</w:t>
      </w:r>
      <w:r>
        <w:rPr>
          <w:rFonts w:hint="eastAsia" w:ascii="宋体" w:hAnsi="宋体" w:cs="宋体"/>
          <w:color w:val="auto"/>
          <w:sz w:val="21"/>
          <w:szCs w:val="21"/>
          <w:highlight w:val="none"/>
          <w:u w:val="single"/>
          <w:lang w:val="en-US" w:eastAsia="zh-CN" w:bidi="ar"/>
        </w:rPr>
        <w:t>5</w:t>
      </w:r>
      <w:r>
        <w:rPr>
          <w:rFonts w:hint="eastAsia" w:ascii="宋体" w:hAnsi="宋体" w:eastAsia="宋体" w:cs="宋体"/>
          <w:color w:val="auto"/>
          <w:sz w:val="21"/>
          <w:szCs w:val="21"/>
          <w:highlight w:val="none"/>
          <w:u w:val="single"/>
          <w:lang w:bidi="ar"/>
        </w:rPr>
        <w:t>月</w:t>
      </w:r>
      <w:r>
        <w:rPr>
          <w:rFonts w:hint="eastAsia" w:ascii="宋体" w:hAnsi="宋体" w:cs="宋体"/>
          <w:color w:val="auto"/>
          <w:sz w:val="21"/>
          <w:szCs w:val="21"/>
          <w:highlight w:val="none"/>
          <w:u w:val="single"/>
          <w:lang w:val="en-US" w:eastAsia="zh-CN" w:bidi="ar"/>
        </w:rPr>
        <w:t>9</w:t>
      </w:r>
      <w:r>
        <w:rPr>
          <w:rFonts w:hint="eastAsia" w:ascii="宋体" w:hAnsi="宋体" w:eastAsia="宋体" w:cs="宋体"/>
          <w:color w:val="auto"/>
          <w:sz w:val="21"/>
          <w:szCs w:val="21"/>
          <w:highlight w:val="none"/>
          <w:u w:val="single"/>
          <w:lang w:bidi="ar"/>
        </w:rPr>
        <w:t>日</w:t>
      </w:r>
      <w:r>
        <w:rPr>
          <w:rFonts w:hint="eastAsia" w:ascii="宋体" w:hAnsi="宋体" w:cs="宋体"/>
          <w:color w:val="auto"/>
          <w:sz w:val="21"/>
          <w:szCs w:val="21"/>
          <w:highlight w:val="none"/>
          <w:u w:val="single"/>
          <w:lang w:val="en-US" w:eastAsia="zh-CN" w:bidi="ar"/>
        </w:rPr>
        <w:t>9</w:t>
      </w:r>
      <w:r>
        <w:rPr>
          <w:rFonts w:hint="eastAsia" w:ascii="宋体" w:hAnsi="宋体" w:eastAsia="宋体" w:cs="宋体"/>
          <w:color w:val="auto"/>
          <w:sz w:val="21"/>
          <w:szCs w:val="21"/>
          <w:highlight w:val="none"/>
          <w:u w:val="single"/>
          <w:lang w:bidi="ar"/>
        </w:rPr>
        <w:t>时</w:t>
      </w:r>
      <w:r>
        <w:rPr>
          <w:rFonts w:hint="eastAsia" w:ascii="宋体" w:hAnsi="宋体" w:cs="宋体"/>
          <w:color w:val="auto"/>
          <w:sz w:val="21"/>
          <w:szCs w:val="21"/>
          <w:highlight w:val="none"/>
          <w:u w:val="single"/>
          <w:lang w:val="en-US" w:eastAsia="zh-CN" w:bidi="ar"/>
        </w:rPr>
        <w:t>30</w:t>
      </w:r>
      <w:r>
        <w:rPr>
          <w:rFonts w:hint="eastAsia" w:ascii="宋体" w:hAnsi="宋体" w:eastAsia="宋体" w:cs="宋体"/>
          <w:color w:val="auto"/>
          <w:sz w:val="21"/>
          <w:szCs w:val="21"/>
          <w:highlight w:val="none"/>
          <w:u w:val="single"/>
          <w:lang w:bidi="ar"/>
        </w:rPr>
        <w:t>分</w:t>
      </w:r>
      <w:r>
        <w:rPr>
          <w:rFonts w:hint="eastAsia" w:ascii="宋体" w:hAnsi="宋体" w:cs="宋体"/>
          <w:color w:val="auto"/>
          <w:sz w:val="21"/>
          <w:szCs w:val="21"/>
          <w:highlight w:val="none"/>
          <w:u w:val="single"/>
          <w:lang w:val="en-US" w:eastAsia="zh-CN" w:bidi="ar"/>
        </w:rPr>
        <w:t>00</w:t>
      </w:r>
      <w:r>
        <w:rPr>
          <w:rFonts w:hint="eastAsia" w:ascii="宋体" w:hAnsi="宋体" w:eastAsia="宋体" w:cs="宋体"/>
          <w:color w:val="auto"/>
          <w:sz w:val="21"/>
          <w:szCs w:val="21"/>
          <w:highlight w:val="none"/>
          <w:u w:val="single"/>
          <w:lang w:bidi="ar"/>
        </w:rPr>
        <w:t>秒</w:t>
      </w:r>
      <w:r>
        <w:rPr>
          <w:rFonts w:hint="eastAsia" w:ascii="宋体" w:hAnsi="宋体" w:eastAsia="宋体" w:cs="宋体"/>
          <w:bCs/>
          <w:color w:val="auto"/>
          <w:sz w:val="21"/>
          <w:szCs w:val="21"/>
          <w:highlight w:val="none"/>
        </w:rPr>
        <w:t>（北京时间）前</w:t>
      </w:r>
      <w:r>
        <w:rPr>
          <w:rFonts w:hint="eastAsia" w:ascii="宋体" w:hAnsi="宋体" w:eastAsia="宋体" w:cs="宋体"/>
          <w:color w:val="auto"/>
          <w:sz w:val="21"/>
          <w:szCs w:val="21"/>
          <w:highlight w:val="none"/>
        </w:rPr>
        <w:t>递交（上传）投标文件。</w:t>
      </w:r>
    </w:p>
    <w:p w14:paraId="4881B3F8">
      <w:pPr>
        <w:shd w:val="clear"/>
        <w:wordWrap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一、项目基本情况</w:t>
      </w:r>
    </w:p>
    <w:p w14:paraId="4586E84B">
      <w:pPr>
        <w:shd w:val="clea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项目编号：</w:t>
      </w:r>
      <w:r>
        <w:rPr>
          <w:rFonts w:hint="eastAsia" w:ascii="宋体" w:hAnsi="宋体" w:cs="宋体"/>
          <w:color w:val="auto"/>
          <w:sz w:val="21"/>
          <w:szCs w:val="21"/>
          <w:highlight w:val="none"/>
          <w:lang w:eastAsia="zh-CN"/>
        </w:rPr>
        <w:t>NNZC2026-G3-990161-GXYZ</w:t>
      </w:r>
    </w:p>
    <w:p w14:paraId="7E79E7EF">
      <w:pPr>
        <w:shd w:val="clear"/>
        <w:wordWrap w:val="0"/>
        <w:spacing w:line="360" w:lineRule="auto"/>
        <w:ind w:firstLine="420" w:firstLineChars="200"/>
        <w:rPr>
          <w:rFonts w:hint="eastAsia" w:ascii="宋体" w:hAnsi="宋体" w:eastAsia="微软雅黑" w:cs="宋体"/>
          <w:color w:val="auto"/>
          <w:sz w:val="21"/>
          <w:szCs w:val="21"/>
          <w:highlight w:val="none"/>
          <w:lang w:eastAsia="zh-CN"/>
        </w:rPr>
      </w:pPr>
      <w:r>
        <w:rPr>
          <w:rFonts w:hint="eastAsia" w:ascii="宋体" w:hAnsi="宋体" w:eastAsia="宋体" w:cs="宋体"/>
          <w:color w:val="auto"/>
          <w:sz w:val="21"/>
          <w:szCs w:val="21"/>
          <w:highlight w:val="none"/>
        </w:rPr>
        <w:t>采购计划文号：NNZC[2026]</w:t>
      </w:r>
      <w:r>
        <w:rPr>
          <w:rFonts w:hint="eastAsia" w:ascii="宋体" w:hAnsi="宋体" w:cs="宋体"/>
          <w:color w:val="auto"/>
          <w:sz w:val="21"/>
          <w:szCs w:val="21"/>
          <w:highlight w:val="none"/>
          <w:lang w:eastAsia="zh-CN"/>
        </w:rPr>
        <w:t>1105号-001、NNZC[2026]1105号-002、</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"/plan/list/view?id=1000000000026030866&amp;_app_=zcy.procurement"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NNZC[2026]1146号-001</w:t>
      </w:r>
      <w:r>
        <w:rPr>
          <w:rFonts w:hint="eastAsia" w:ascii="宋体" w:hAnsi="宋体" w:cs="宋体"/>
          <w:color w:val="auto"/>
          <w:sz w:val="21"/>
          <w:szCs w:val="21"/>
          <w:highlight w:val="none"/>
          <w:lang w:eastAsia="zh-CN"/>
        </w:rPr>
        <w:fldChar w:fldCharType="end"/>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"/plan/list/view?id=1000000000026030865&amp;_app_=zcy.procurement"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NNZC[2026]1146号-002</w:t>
      </w:r>
      <w:r>
        <w:rPr>
          <w:rFonts w:hint="eastAsia" w:ascii="宋体" w:hAnsi="宋体" w:cs="宋体"/>
          <w:color w:val="auto"/>
          <w:sz w:val="21"/>
          <w:szCs w:val="21"/>
          <w:highlight w:val="none"/>
          <w:lang w:eastAsia="zh-CN"/>
        </w:rPr>
        <w:fldChar w:fldCharType="end"/>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"/plan/list/view?id=1000000000026030878&amp;_app_=zcy.procurement"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NNZC[2026]1151号-001</w:t>
      </w:r>
      <w:r>
        <w:rPr>
          <w:rFonts w:hint="eastAsia" w:ascii="宋体" w:hAnsi="宋体" w:cs="宋体"/>
          <w:color w:val="auto"/>
          <w:sz w:val="21"/>
          <w:szCs w:val="21"/>
          <w:highlight w:val="none"/>
          <w:lang w:eastAsia="zh-CN"/>
        </w:rPr>
        <w:fldChar w:fldCharType="end"/>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"/plan/list/view?id=1000000000026030877&amp;_app_=zcy.procurement"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NNZC[2026]1151号-002</w:t>
      </w:r>
      <w:r>
        <w:rPr>
          <w:rFonts w:hint="eastAsia" w:ascii="宋体" w:hAnsi="宋体" w:cs="宋体"/>
          <w:color w:val="auto"/>
          <w:sz w:val="21"/>
          <w:szCs w:val="21"/>
          <w:highlight w:val="none"/>
          <w:lang w:eastAsia="zh-CN"/>
        </w:rPr>
        <w:fldChar w:fldCharType="end"/>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"/plan/list/view?id=1000000000026030903&amp;_app_=zcy.procurement"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NNZC[2026]1154号-001</w:t>
      </w:r>
      <w:r>
        <w:rPr>
          <w:rFonts w:hint="eastAsia" w:ascii="宋体" w:hAnsi="宋体" w:cs="宋体"/>
          <w:color w:val="auto"/>
          <w:sz w:val="21"/>
          <w:szCs w:val="21"/>
          <w:highlight w:val="none"/>
          <w:lang w:eastAsia="zh-CN"/>
        </w:rPr>
        <w:fldChar w:fldCharType="end"/>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"/plan/list/view?id=1000000000026030902&amp;_app_=zcy.procurement"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NNZC[2026]1154号-002</w:t>
      </w:r>
      <w:r>
        <w:rPr>
          <w:rFonts w:hint="eastAsia" w:ascii="宋体" w:hAnsi="宋体" w:cs="宋体"/>
          <w:color w:val="auto"/>
          <w:sz w:val="21"/>
          <w:szCs w:val="21"/>
          <w:highlight w:val="none"/>
          <w:lang w:eastAsia="zh-CN"/>
        </w:rPr>
        <w:fldChar w:fldCharType="end"/>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"/plan/list/view?id=1000000000026030932&amp;_app_=zcy.procurement"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NNZC[2026]1156号-001</w:t>
      </w:r>
      <w:r>
        <w:rPr>
          <w:rFonts w:hint="eastAsia" w:ascii="宋体" w:hAnsi="宋体" w:cs="宋体"/>
          <w:color w:val="auto"/>
          <w:sz w:val="21"/>
          <w:szCs w:val="21"/>
          <w:highlight w:val="none"/>
          <w:lang w:eastAsia="zh-CN"/>
        </w:rPr>
        <w:fldChar w:fldCharType="end"/>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eastAsia="zh-CN"/>
        </w:rPr>
        <w:fldChar w:fldCharType="begin"/>
      </w:r>
      <w:r>
        <w:rPr>
          <w:rFonts w:hint="eastAsia" w:ascii="宋体" w:hAnsi="宋体" w:cs="宋体"/>
          <w:color w:val="auto"/>
          <w:sz w:val="21"/>
          <w:szCs w:val="21"/>
          <w:highlight w:val="none"/>
          <w:lang w:eastAsia="zh-CN"/>
        </w:rPr>
        <w:instrText xml:space="preserve"> HYPERLINK "https://pay.gcy.zfcg.gxzf.gov.cn/purchaseplan_front/" \l "/plan/list/view?id=1000000000026030931&amp;_app_=zcy.procurement" \t "https://www.gcy.zfcg.gxzf.gov.cn/project-center/_procurement_/purchasePlans/_blank" </w:instrText>
      </w:r>
      <w:r>
        <w:rPr>
          <w:rFonts w:hint="eastAsia" w:ascii="宋体" w:hAnsi="宋体" w:cs="宋体"/>
          <w:color w:val="auto"/>
          <w:sz w:val="21"/>
          <w:szCs w:val="21"/>
          <w:highlight w:val="none"/>
          <w:lang w:eastAsia="zh-CN"/>
        </w:rPr>
        <w:fldChar w:fldCharType="separate"/>
      </w:r>
      <w:r>
        <w:rPr>
          <w:rFonts w:hint="eastAsia" w:ascii="宋体" w:hAnsi="宋体" w:cs="宋体"/>
          <w:color w:val="auto"/>
          <w:sz w:val="21"/>
          <w:szCs w:val="21"/>
          <w:highlight w:val="none"/>
          <w:lang w:eastAsia="zh-CN"/>
        </w:rPr>
        <w:t>NNZC[2026]1156号-002</w:t>
      </w:r>
      <w:r>
        <w:rPr>
          <w:rFonts w:hint="eastAsia" w:ascii="宋体" w:hAnsi="宋体" w:cs="宋体"/>
          <w:color w:val="auto"/>
          <w:sz w:val="21"/>
          <w:szCs w:val="21"/>
          <w:highlight w:val="none"/>
          <w:lang w:eastAsia="zh-CN"/>
        </w:rPr>
        <w:fldChar w:fldCharType="end"/>
      </w:r>
    </w:p>
    <w:p w14:paraId="73CC3FCA">
      <w:pPr>
        <w:shd w:val="clea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项目名称：</w:t>
      </w:r>
      <w:r>
        <w:rPr>
          <w:rFonts w:hint="eastAsia" w:ascii="宋体" w:hAnsi="宋体" w:cs="宋体"/>
          <w:color w:val="auto"/>
          <w:sz w:val="21"/>
          <w:szCs w:val="21"/>
          <w:highlight w:val="none"/>
          <w:lang w:eastAsia="zh-CN"/>
        </w:rPr>
        <w:t>南宁市市管5个免费公园综合管养服务（绿化养护分项）采购</w:t>
      </w:r>
    </w:p>
    <w:p w14:paraId="13973DF9">
      <w:pPr>
        <w:shd w:val="clea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预算金额：</w:t>
      </w:r>
      <w:r>
        <w:rPr>
          <w:rFonts w:hint="eastAsia" w:ascii="宋体" w:hAnsi="宋体" w:eastAsia="宋体" w:cs="宋体"/>
          <w:color w:val="auto"/>
          <w:sz w:val="21"/>
          <w:szCs w:val="21"/>
          <w:highlight w:val="none"/>
          <w:lang w:eastAsia="zh-CN"/>
        </w:rPr>
        <w:t>人民币</w:t>
      </w:r>
      <w:r>
        <w:rPr>
          <w:rFonts w:hint="eastAsia" w:ascii="宋体" w:hAnsi="宋体" w:cs="宋体"/>
          <w:color w:val="auto"/>
          <w:sz w:val="21"/>
          <w:szCs w:val="21"/>
          <w:highlight w:val="none"/>
          <w:lang w:val="en-US" w:eastAsia="zh-CN"/>
        </w:rPr>
        <w:t>壹仟贰佰叁拾伍万壹仟零捌拾壹元整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12351081.00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其中南宁市南湖公园：人民币肆佰叁拾贰万元整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4320000.00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、南宁市人民公园：人民币贰佰贰拾伍万壹仟贰佰陆拾元整 </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2251260.00 ）、南宁市金花茶公园：人民币壹佰柒拾陆万捌仟肆佰元整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1768400.00 ）、南宁市石门公园：人民币壹佰捌拾柒万玖仟零贰拾壹元整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1879021.00）、南宁市花卉公园：人民币贰佰壹拾叁万贰仟肆佰元整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2132400.00</w:t>
      </w:r>
      <w:r>
        <w:rPr>
          <w:rFonts w:hint="eastAsia" w:ascii="宋体" w:hAnsi="宋体" w:cs="宋体"/>
          <w:color w:val="auto"/>
          <w:sz w:val="21"/>
          <w:szCs w:val="21"/>
          <w:highlight w:val="none"/>
          <w:lang w:eastAsia="zh-CN"/>
        </w:rPr>
        <w:t>）</w:t>
      </w:r>
    </w:p>
    <w:p w14:paraId="0328B72D">
      <w:pPr>
        <w:shd w:val="clear"/>
        <w:wordWrap w:val="0"/>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最高限价：</w:t>
      </w:r>
      <w:r>
        <w:rPr>
          <w:rFonts w:hint="eastAsia" w:ascii="宋体" w:hAnsi="宋体" w:eastAsia="宋体" w:cs="宋体"/>
          <w:color w:val="auto"/>
          <w:sz w:val="21"/>
          <w:szCs w:val="21"/>
          <w:highlight w:val="none"/>
          <w:lang w:eastAsia="zh-CN"/>
        </w:rPr>
        <w:t>人民币</w:t>
      </w:r>
      <w:r>
        <w:rPr>
          <w:rFonts w:hint="eastAsia" w:ascii="宋体" w:hAnsi="宋体" w:cs="宋体"/>
          <w:color w:val="auto"/>
          <w:sz w:val="21"/>
          <w:szCs w:val="21"/>
          <w:highlight w:val="none"/>
          <w:lang w:val="en-US" w:eastAsia="zh-CN"/>
        </w:rPr>
        <w:t>壹仟贰佰叁拾伍万壹仟零捌拾壹元整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12351081.00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其中南宁市南湖公园：人民币肆佰叁拾贰万元整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4320000.00</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 xml:space="preserve">、南宁市人民公园：人民币贰佰贰拾伍万壹仟贰佰陆拾元整 </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2251260.00 ）、南宁市金花茶公园：人民币壹佰柒拾陆万捌仟肆佰元整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1768400.00 ）、南宁市石门公园：人民币壹佰捌拾柒万玖仟零贰拾壹元整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1879021.00）、南宁市花卉公园：人民币贰佰壹拾叁万贰仟肆佰元整</w:t>
      </w:r>
      <w:r>
        <w:rPr>
          <w:rFonts w:hint="eastAsia" w:ascii="宋体" w:hAnsi="宋体" w:eastAsia="宋体" w:cs="宋体"/>
          <w:color w:val="auto"/>
          <w:sz w:val="21"/>
          <w:szCs w:val="21"/>
          <w:highlight w:val="none"/>
          <w:lang w:eastAsia="zh-CN"/>
        </w:rPr>
        <w:t>（¥</w:t>
      </w:r>
      <w:r>
        <w:rPr>
          <w:rFonts w:hint="eastAsia" w:ascii="宋体" w:hAnsi="宋体" w:cs="宋体"/>
          <w:color w:val="auto"/>
          <w:sz w:val="21"/>
          <w:szCs w:val="21"/>
          <w:highlight w:val="none"/>
          <w:lang w:val="en-US" w:eastAsia="zh-CN"/>
        </w:rPr>
        <w:t>2132400.00</w:t>
      </w:r>
      <w:r>
        <w:rPr>
          <w:rFonts w:hint="eastAsia" w:ascii="宋体" w:hAnsi="宋体" w:cs="宋体"/>
          <w:color w:val="auto"/>
          <w:sz w:val="21"/>
          <w:szCs w:val="21"/>
          <w:highlight w:val="none"/>
          <w:lang w:eastAsia="zh-CN"/>
        </w:rPr>
        <w:t>）</w:t>
      </w:r>
    </w:p>
    <w:p w14:paraId="28537DA6">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采购需求：</w:t>
      </w:r>
    </w:p>
    <w:tbl>
      <w:tblPr>
        <w:tblStyle w:val="22"/>
        <w:tblW w:w="1017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93"/>
        <w:gridCol w:w="1753"/>
        <w:gridCol w:w="783"/>
        <w:gridCol w:w="767"/>
        <w:gridCol w:w="6077"/>
      </w:tblGrid>
      <w:tr w14:paraId="56638F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102524B6">
            <w:pPr>
              <w:shd w:val="clear"/>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753" w:type="dxa"/>
            <w:tcBorders>
              <w:top w:val="single" w:color="auto" w:sz="4" w:space="0"/>
              <w:left w:val="single" w:color="auto" w:sz="4" w:space="0"/>
              <w:bottom w:val="single" w:color="auto" w:sz="4" w:space="0"/>
              <w:right w:val="single" w:color="auto" w:sz="4" w:space="0"/>
            </w:tcBorders>
            <w:noWrap w:val="0"/>
            <w:vAlign w:val="center"/>
          </w:tcPr>
          <w:p w14:paraId="3DD287A0">
            <w:pPr>
              <w:shd w:val="clear"/>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标的名称</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548C0ED8">
            <w:pPr>
              <w:shd w:val="clear"/>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767" w:type="dxa"/>
            <w:tcBorders>
              <w:top w:val="single" w:color="auto" w:sz="4" w:space="0"/>
              <w:left w:val="single" w:color="auto" w:sz="4" w:space="0"/>
              <w:bottom w:val="single" w:color="auto" w:sz="4" w:space="0"/>
              <w:right w:val="single" w:color="auto" w:sz="4" w:space="0"/>
            </w:tcBorders>
            <w:noWrap w:val="0"/>
            <w:vAlign w:val="center"/>
          </w:tcPr>
          <w:p w14:paraId="6FDCE5DE">
            <w:pPr>
              <w:shd w:val="clear"/>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6077" w:type="dxa"/>
            <w:tcBorders>
              <w:top w:val="single" w:color="auto" w:sz="4" w:space="0"/>
              <w:left w:val="single" w:color="auto" w:sz="4" w:space="0"/>
              <w:bottom w:val="single" w:color="auto" w:sz="4" w:space="0"/>
              <w:right w:val="single" w:color="auto" w:sz="4" w:space="0"/>
            </w:tcBorders>
            <w:noWrap w:val="0"/>
            <w:vAlign w:val="center"/>
          </w:tcPr>
          <w:p w14:paraId="3779F979">
            <w:pPr>
              <w:shd w:val="clear"/>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简要服务要求或者技术需求</w:t>
            </w:r>
          </w:p>
        </w:tc>
      </w:tr>
      <w:tr w14:paraId="406BFB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793" w:type="dxa"/>
            <w:tcBorders>
              <w:top w:val="single" w:color="auto" w:sz="4" w:space="0"/>
              <w:left w:val="single" w:color="auto" w:sz="4" w:space="0"/>
              <w:bottom w:val="single" w:color="auto" w:sz="4" w:space="0"/>
              <w:right w:val="single" w:color="auto" w:sz="4" w:space="0"/>
            </w:tcBorders>
            <w:noWrap w:val="0"/>
            <w:vAlign w:val="center"/>
          </w:tcPr>
          <w:p w14:paraId="550473C6">
            <w:pPr>
              <w:shd w:val="clear"/>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753" w:type="dxa"/>
            <w:tcBorders>
              <w:top w:val="single" w:color="auto" w:sz="4" w:space="0"/>
              <w:left w:val="single" w:color="auto" w:sz="4" w:space="0"/>
              <w:bottom w:val="single" w:color="auto" w:sz="4" w:space="0"/>
              <w:right w:val="single" w:color="auto" w:sz="4" w:space="0"/>
            </w:tcBorders>
            <w:noWrap w:val="0"/>
            <w:vAlign w:val="center"/>
          </w:tcPr>
          <w:p w14:paraId="37E0E023">
            <w:pPr>
              <w:shd w:val="clear"/>
              <w:wordWrap w:val="0"/>
              <w:snapToGrid w:val="0"/>
              <w:spacing w:line="360" w:lineRule="auto"/>
              <w:jc w:val="center"/>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南宁市市管5个免费公园综合管养服务（绿化养护分项）采购</w:t>
            </w:r>
            <w:r>
              <w:rPr>
                <w:rFonts w:hint="eastAsia" w:ascii="宋体" w:hAnsi="宋体" w:eastAsia="宋体" w:cs="宋体"/>
                <w:color w:val="auto"/>
                <w:sz w:val="21"/>
                <w:szCs w:val="21"/>
                <w:highlight w:val="none"/>
                <w:lang w:eastAsia="zh-CN"/>
              </w:rPr>
              <w:t xml:space="preserve"> </w:t>
            </w:r>
          </w:p>
        </w:tc>
        <w:tc>
          <w:tcPr>
            <w:tcW w:w="783" w:type="dxa"/>
            <w:tcBorders>
              <w:top w:val="single" w:color="auto" w:sz="4" w:space="0"/>
              <w:left w:val="single" w:color="auto" w:sz="4" w:space="0"/>
              <w:bottom w:val="single" w:color="auto" w:sz="4" w:space="0"/>
              <w:right w:val="single" w:color="auto" w:sz="4" w:space="0"/>
            </w:tcBorders>
            <w:noWrap w:val="0"/>
            <w:vAlign w:val="center"/>
          </w:tcPr>
          <w:p w14:paraId="222660EF">
            <w:pPr>
              <w:shd w:val="clear"/>
              <w:wordWrap w:val="0"/>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w:t>
            </w:r>
          </w:p>
        </w:tc>
        <w:tc>
          <w:tcPr>
            <w:tcW w:w="767" w:type="dxa"/>
            <w:tcBorders>
              <w:top w:val="single" w:color="auto" w:sz="4" w:space="0"/>
              <w:left w:val="single" w:color="auto" w:sz="4" w:space="0"/>
              <w:bottom w:val="single" w:color="auto" w:sz="4" w:space="0"/>
              <w:right w:val="single" w:color="auto" w:sz="4" w:space="0"/>
            </w:tcBorders>
            <w:noWrap w:val="0"/>
            <w:vAlign w:val="center"/>
          </w:tcPr>
          <w:p w14:paraId="43FC0C48">
            <w:pPr>
              <w:shd w:val="clear"/>
              <w:wordWrap w:val="0"/>
              <w:snapToGrid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6077" w:type="dxa"/>
            <w:tcBorders>
              <w:top w:val="single" w:color="auto" w:sz="4" w:space="0"/>
              <w:left w:val="single" w:color="auto" w:sz="4" w:space="0"/>
              <w:bottom w:val="single" w:color="auto" w:sz="4" w:space="0"/>
              <w:right w:val="single" w:color="auto" w:sz="4" w:space="0"/>
            </w:tcBorders>
            <w:noWrap w:val="0"/>
            <w:vAlign w:val="center"/>
          </w:tcPr>
          <w:p w14:paraId="15124242">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val="en-US" w:eastAsia="zh-CN"/>
              </w:rPr>
              <w:t>一、</w:t>
            </w:r>
            <w:r>
              <w:rPr>
                <w:rFonts w:hint="eastAsia" w:ascii="宋体" w:hAnsi="宋体" w:eastAsia="宋体" w:cs="宋体"/>
                <w:b/>
                <w:bCs/>
                <w:color w:val="auto"/>
                <w:sz w:val="21"/>
                <w:szCs w:val="21"/>
                <w:highlight w:val="none"/>
              </w:rPr>
              <w:t>服务范围及工作内容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详见附件</w:t>
            </w:r>
            <w:r>
              <w:rPr>
                <w:rFonts w:hint="eastAsia" w:ascii="宋体" w:hAnsi="宋体" w:eastAsia="宋体" w:cs="宋体"/>
                <w:color w:val="auto"/>
                <w:sz w:val="21"/>
                <w:szCs w:val="21"/>
                <w:highlight w:val="none"/>
                <w:lang w:eastAsia="zh-CN"/>
              </w:rPr>
              <w:t>）</w:t>
            </w:r>
          </w:p>
          <w:p w14:paraId="7CDC6E4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（一）南宁市南湖公园</w:t>
            </w:r>
          </w:p>
          <w:p w14:paraId="55C631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负责公园管辖范围内55.27万平方米的绿化养护服务工作，包括但不限于土水肥管理、修剪（含造型树整形修剪）、松土除杂、病虫害防治、植物防护、树木扶正、迁移砍伐、古树名木养护、苗木补种更新及土壤改良、水生植物养护、应急抢险工作、树木健康安全诊断、作业过程中产生的绿化垃圾及危险废弃物处置、自然掉落的大型枝叶（如棕榈科枝叶）清理、绿化灌溉系统的维护维修（包括但不限于泵房、取水设施、净水设施、给水设施等，其中共同使用部分按比例承担相应费用）、公园零星施工后绿化恢复、大王椰绑扎、蛇类有害生物的综合防控等。</w:t>
            </w:r>
          </w:p>
          <w:p w14:paraId="6B129C3D">
            <w:pPr>
              <w:shd w:val="clear"/>
              <w:wordWrap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……具体详见公开招标文件。</w:t>
            </w:r>
          </w:p>
        </w:tc>
      </w:tr>
    </w:tbl>
    <w:p w14:paraId="202F20FF">
      <w:pPr>
        <w:shd w:val="clear"/>
        <w:wordWrap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合同履行期限：详见公开招标文件。</w:t>
      </w:r>
    </w:p>
    <w:p w14:paraId="0325A2C1">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是否接受联合体投标：本项目不接受联合体。</w:t>
      </w:r>
    </w:p>
    <w:p w14:paraId="1E319B1A">
      <w:pPr>
        <w:shd w:val="clear"/>
        <w:wordWrap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二、投标人的资格要求：</w:t>
      </w:r>
    </w:p>
    <w:p w14:paraId="77463AB8">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14:paraId="3A3259D8">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2.落实政府采购政策需满足的资格要求：</w:t>
      </w:r>
    </w:p>
    <w:p w14:paraId="5F230DD2">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专门面向</w:t>
      </w:r>
      <w:r>
        <w:rPr>
          <w:rFonts w:hint="eastAsia" w:ascii="宋体" w:hAnsi="宋体" w:cs="宋体"/>
          <w:color w:val="auto"/>
          <w:sz w:val="21"/>
          <w:szCs w:val="21"/>
          <w:highlight w:val="none"/>
          <w:lang w:val="en-US" w:eastAsia="zh-CN"/>
        </w:rPr>
        <w:t>中小</w:t>
      </w:r>
      <w:r>
        <w:rPr>
          <w:rFonts w:hint="eastAsia" w:ascii="宋体" w:hAnsi="宋体" w:eastAsia="宋体" w:cs="宋体"/>
          <w:color w:val="auto"/>
          <w:sz w:val="21"/>
          <w:szCs w:val="21"/>
          <w:highlight w:val="none"/>
        </w:rPr>
        <w:t>企业采购的项目（供应商应为</w:t>
      </w:r>
      <w:r>
        <w:rPr>
          <w:rFonts w:hint="eastAsia" w:ascii="宋体" w:hAnsi="宋体" w:cs="宋体"/>
          <w:color w:val="auto"/>
          <w:sz w:val="21"/>
          <w:szCs w:val="21"/>
          <w:highlight w:val="none"/>
          <w:lang w:val="en-US" w:eastAsia="zh-CN"/>
        </w:rPr>
        <w:t>中小</w:t>
      </w:r>
      <w:r>
        <w:rPr>
          <w:rFonts w:hint="eastAsia" w:ascii="宋体" w:hAnsi="宋体" w:eastAsia="宋体" w:cs="宋体"/>
          <w:color w:val="auto"/>
          <w:sz w:val="21"/>
          <w:szCs w:val="21"/>
          <w:highlight w:val="none"/>
        </w:rPr>
        <w:t>企业、监狱企业、残疾人福利性单位)</w:t>
      </w:r>
    </w:p>
    <w:p w14:paraId="26611340">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非专门面向中小企业采购的项目</w:t>
      </w:r>
    </w:p>
    <w:p w14:paraId="498964E3">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3.本项目的特定资格要求：无。</w:t>
      </w:r>
    </w:p>
    <w:p w14:paraId="372D1C1C">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4.本项目的特定条件：无。</w:t>
      </w:r>
    </w:p>
    <w:p w14:paraId="6421332A">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EACD18F">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6.对在“信用中国”网站(www.creditchina.gov.cn) 、中国政府采购网(www.ccgp.gov.cn)被列入失信被执行人、</w:t>
      </w:r>
      <w:r>
        <w:rPr>
          <w:rFonts w:hint="eastAsia" w:ascii="宋体" w:hAnsi="宋体" w:eastAsia="宋体" w:cs="宋体"/>
          <w:color w:val="auto"/>
          <w:sz w:val="21"/>
          <w:szCs w:val="21"/>
          <w:highlight w:val="none"/>
          <w:lang w:eastAsia="zh-CN"/>
        </w:rPr>
        <w:t>重大税收违法失信主体</w:t>
      </w:r>
      <w:r>
        <w:rPr>
          <w:rFonts w:hint="eastAsia" w:ascii="宋体" w:hAnsi="宋体" w:eastAsia="宋体" w:cs="宋体"/>
          <w:color w:val="auto"/>
          <w:sz w:val="21"/>
          <w:szCs w:val="21"/>
          <w:highlight w:val="none"/>
        </w:rPr>
        <w:t>、政府采购严重违法失信行为记录名单及其他不符合《中华人民共和国政府采购法》第二十二条规定条件的供应商，不得参与政府采购活动。</w:t>
      </w:r>
    </w:p>
    <w:p w14:paraId="270F392A">
      <w:pPr>
        <w:shd w:val="clear"/>
        <w:wordWrap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三、获取招标文件</w:t>
      </w:r>
    </w:p>
    <w:p w14:paraId="5621DB3B">
      <w:pPr>
        <w:shd w:val="clear"/>
        <w:wordWrap w:val="0"/>
        <w:snapToGrid w:val="0"/>
        <w:spacing w:line="360" w:lineRule="auto"/>
        <w:ind w:firstLine="472" w:firstLineChars="2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时间：自公告发布之日起。</w:t>
      </w:r>
    </w:p>
    <w:p w14:paraId="2DB4A61A">
      <w:pPr>
        <w:shd w:val="clear"/>
        <w:wordWrap w:val="0"/>
        <w:spacing w:line="360" w:lineRule="auto"/>
        <w:ind w:firstLine="420" w:firstLineChars="200"/>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获取方式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网上下载。本项目不发放纸质文件，供应商可自行在</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w:t>
      </w:r>
      <w:r>
        <w:rPr>
          <w:rFonts w:hint="eastAsia" w:ascii="宋体" w:hAnsi="宋体" w:eastAsia="宋体" w:cs="宋体"/>
          <w:color w:val="auto"/>
          <w:kern w:val="0"/>
          <w:sz w:val="21"/>
          <w:szCs w:val="21"/>
          <w:highlight w:val="none"/>
        </w:rPr>
        <w:t>https://www.gcy.zfcg.gxzf.gov.cn/</w:t>
      </w:r>
      <w:r>
        <w:rPr>
          <w:rFonts w:hint="eastAsia" w:ascii="宋体" w:hAnsi="宋体" w:eastAsia="宋体" w:cs="宋体"/>
          <w:color w:val="auto"/>
          <w:sz w:val="21"/>
          <w:szCs w:val="21"/>
          <w:highlight w:val="none"/>
        </w:rPr>
        <w:t>）下载招标文件（操作路径：登录“</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”平台-项目采购-获取采购文件-找到本项目-点击“申请获取采购文件”），电子投标文件制作需要基于“</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”平台获取的招标文件编制。</w:t>
      </w:r>
    </w:p>
    <w:p w14:paraId="27BEBEE4">
      <w:pPr>
        <w:shd w:val="clear"/>
        <w:wordWrap w:val="0"/>
        <w:snapToGrid w:val="0"/>
        <w:spacing w:line="360" w:lineRule="auto"/>
        <w:ind w:firstLine="472" w:firstLineChars="2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售价：0元。</w:t>
      </w:r>
    </w:p>
    <w:p w14:paraId="1B25CD60">
      <w:pPr>
        <w:shd w:val="clear"/>
        <w:wordWrap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四、提交投标文件截止时间、开标时间和地点</w:t>
      </w:r>
    </w:p>
    <w:p w14:paraId="3B50EA94">
      <w:pPr>
        <w:shd w:val="clear"/>
        <w:wordWrap w:val="0"/>
        <w:spacing w:line="360" w:lineRule="auto"/>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val="en-US" w:eastAsia="zh-CN"/>
        </w:rPr>
        <w:t>.</w:t>
      </w:r>
      <w:r>
        <w:rPr>
          <w:rFonts w:hint="eastAsia" w:ascii="宋体" w:hAnsi="宋体" w:eastAsia="宋体" w:cs="宋体"/>
          <w:bCs/>
          <w:color w:val="auto"/>
          <w:sz w:val="21"/>
          <w:szCs w:val="21"/>
          <w:highlight w:val="none"/>
        </w:rPr>
        <w:t>提交投标文件截止时间和开标时间：</w:t>
      </w:r>
      <w:r>
        <w:rPr>
          <w:rFonts w:hint="eastAsia" w:ascii="宋体" w:hAnsi="宋体" w:eastAsia="宋体" w:cs="宋体"/>
          <w:color w:val="auto"/>
          <w:sz w:val="21"/>
          <w:szCs w:val="21"/>
          <w:highlight w:val="none"/>
          <w:u w:val="single"/>
          <w:lang w:eastAsia="zh-CN" w:bidi="ar"/>
        </w:rPr>
        <w:t>2026年5月9日9时30分00秒</w:t>
      </w:r>
      <w:r>
        <w:rPr>
          <w:rFonts w:hint="eastAsia" w:ascii="宋体" w:hAnsi="宋体" w:eastAsia="宋体" w:cs="宋体"/>
          <w:bCs/>
          <w:color w:val="auto"/>
          <w:sz w:val="21"/>
          <w:szCs w:val="21"/>
          <w:highlight w:val="none"/>
        </w:rPr>
        <w:t>（北京时间）</w:t>
      </w:r>
    </w:p>
    <w:p w14:paraId="6CDD9E37">
      <w:pPr>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投标和开标地点：</w:t>
      </w:r>
    </w:p>
    <w:p w14:paraId="630CF67D">
      <w:pPr>
        <w:widowControl/>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（1）投标文件提交方式：本项目为南宁市全流程电子化项目，通过“</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w:t>
      </w:r>
      <w:r>
        <w:rPr>
          <w:rFonts w:hint="eastAsia" w:ascii="宋体" w:hAnsi="宋体" w:eastAsia="宋体" w:cs="宋体"/>
          <w:color w:val="auto"/>
          <w:kern w:val="0"/>
          <w:sz w:val="21"/>
          <w:szCs w:val="21"/>
          <w:highlight w:val="none"/>
        </w:rPr>
        <w:t>https://www.gcy.zfcg.gxzf.gov.cn/</w:t>
      </w:r>
      <w:r>
        <w:rPr>
          <w:rFonts w:hint="eastAsia" w:ascii="宋体" w:hAnsi="宋体" w:eastAsia="宋体" w:cs="宋体"/>
          <w:color w:val="auto"/>
          <w:sz w:val="21"/>
          <w:szCs w:val="21"/>
          <w:highlight w:val="none"/>
        </w:rPr>
        <w:t>）实行在线电子投标，供应商应先安装“</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电子交易客户端”（请自行前往“</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”平台进行下载），并按照本项目招标文件和“</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”平台的要求编制、加密后在投标截止时间前通过网络上传至南宁市“</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w:t>
      </w:r>
      <w:r>
        <w:rPr>
          <w:rFonts w:hint="eastAsia" w:ascii="宋体" w:hAnsi="宋体" w:eastAsia="宋体" w:cs="宋体"/>
          <w:b/>
          <w:color w:val="auto"/>
          <w:sz w:val="21"/>
          <w:szCs w:val="21"/>
          <w:highlight w:val="none"/>
        </w:rPr>
        <w:t>供应商在“</w:t>
      </w:r>
      <w:r>
        <w:rPr>
          <w:rFonts w:hint="eastAsia" w:ascii="宋体" w:hAnsi="宋体" w:eastAsia="宋体" w:cs="宋体"/>
          <w:b/>
          <w:color w:val="auto"/>
          <w:sz w:val="21"/>
          <w:szCs w:val="21"/>
          <w:highlight w:val="none"/>
          <w:lang w:eastAsia="zh-CN"/>
        </w:rPr>
        <w:t>广西政府采购云</w:t>
      </w:r>
      <w:r>
        <w:rPr>
          <w:rFonts w:hint="eastAsia" w:ascii="宋体" w:hAnsi="宋体" w:eastAsia="宋体" w:cs="宋体"/>
          <w:b/>
          <w:color w:val="auto"/>
          <w:sz w:val="21"/>
          <w:szCs w:val="21"/>
          <w:highlight w:val="none"/>
        </w:rPr>
        <w:t>”平台提交电子版投标文件时，请填写参加远程开标活动经办人联系方式，</w:t>
      </w:r>
      <w:r>
        <w:rPr>
          <w:rFonts w:hint="eastAsia" w:ascii="宋体" w:hAnsi="宋体" w:eastAsia="宋体" w:cs="宋体"/>
          <w:color w:val="auto"/>
          <w:sz w:val="21"/>
          <w:szCs w:val="21"/>
          <w:highlight w:val="none"/>
        </w:rPr>
        <w:t>电子投标具体操作流程详见本公告附件 。</w:t>
      </w:r>
    </w:p>
    <w:p w14:paraId="2BEB0462">
      <w:pPr>
        <w:widowControl/>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（2）未进行网上注册并办理数字证书（CA认证）的供应商将无法参与本项目政府采购活动，潜在供应商应当在投标截止时</w:t>
      </w:r>
      <w:r>
        <w:rPr>
          <w:rFonts w:hint="eastAsia" w:ascii="宋体" w:hAnsi="宋体" w:cs="宋体"/>
          <w:color w:val="auto"/>
          <w:sz w:val="21"/>
          <w:szCs w:val="21"/>
          <w:highlight w:val="none"/>
          <w:lang w:eastAsia="zh-CN"/>
        </w:rPr>
        <w:t>间之</w:t>
      </w:r>
      <w:r>
        <w:rPr>
          <w:rFonts w:hint="eastAsia" w:ascii="宋体" w:hAnsi="宋体" w:eastAsia="宋体" w:cs="宋体"/>
          <w:color w:val="auto"/>
          <w:sz w:val="21"/>
          <w:szCs w:val="21"/>
          <w:highlight w:val="none"/>
        </w:rPr>
        <w:t>前，完成电子交易平台上的CA数字证书办理（申领流程见本公告附件2）及投标文件的提交。完成CA数字证书办理预计7日左右，投标人只需办理其中一家CA数字证书及签章，建议各投标人抓紧时间办理。</w:t>
      </w:r>
    </w:p>
    <w:p w14:paraId="5EF22ADA">
      <w:pPr>
        <w:widowControl/>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（3）为确保网上操作合法、有效和安全，请投标人确保在电子投标过程中能够对相关数据电文进行加密和使用电子签章，妥善保管CA数字证书并使用有效的CA数字证书参与整个招标活动。</w:t>
      </w:r>
    </w:p>
    <w:p w14:paraId="0EF66C3E">
      <w:pPr>
        <w:shd w:val="clear"/>
        <w:wordWrap w:val="0"/>
        <w:spacing w:line="360" w:lineRule="auto"/>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w:t>
      </w:r>
      <w:r>
        <w:rPr>
          <w:rFonts w:hint="eastAsia" w:ascii="宋体" w:hAnsi="宋体" w:cs="宋体"/>
          <w:bCs/>
          <w:color w:val="auto"/>
          <w:sz w:val="21"/>
          <w:szCs w:val="21"/>
          <w:highlight w:val="none"/>
          <w:u w:val="single"/>
          <w:lang w:eastAsia="zh-CN"/>
        </w:rPr>
        <w:t>传</w:t>
      </w:r>
      <w:r>
        <w:rPr>
          <w:rFonts w:hint="eastAsia" w:ascii="宋体" w:hAnsi="宋体" w:eastAsia="宋体" w:cs="宋体"/>
          <w:bCs/>
          <w:color w:val="auto"/>
          <w:sz w:val="21"/>
          <w:szCs w:val="21"/>
          <w:highlight w:val="none"/>
          <w:u w:val="single"/>
        </w:rPr>
        <w:t>的投标文件“</w:t>
      </w:r>
      <w:r>
        <w:rPr>
          <w:rFonts w:hint="eastAsia" w:ascii="宋体" w:hAnsi="宋体" w:eastAsia="宋体" w:cs="宋体"/>
          <w:bCs/>
          <w:color w:val="auto"/>
          <w:sz w:val="21"/>
          <w:szCs w:val="21"/>
          <w:highlight w:val="none"/>
          <w:u w:val="single"/>
          <w:lang w:eastAsia="zh-CN"/>
        </w:rPr>
        <w:t>广西政府采购云</w:t>
      </w:r>
      <w:r>
        <w:rPr>
          <w:rFonts w:hint="eastAsia" w:ascii="宋体" w:hAnsi="宋体" w:eastAsia="宋体" w:cs="宋体"/>
          <w:bCs/>
          <w:color w:val="auto"/>
          <w:sz w:val="21"/>
          <w:szCs w:val="21"/>
          <w:highlight w:val="none"/>
          <w:u w:val="single"/>
        </w:rPr>
        <w:t>”平台将予以拒收。</w:t>
      </w:r>
    </w:p>
    <w:p w14:paraId="3A2A73F8">
      <w:pPr>
        <w:widowControl/>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（4）开标地点：本次招标将于</w:t>
      </w:r>
      <w:r>
        <w:rPr>
          <w:rFonts w:hint="eastAsia" w:ascii="宋体" w:hAnsi="宋体" w:eastAsia="宋体" w:cs="宋体"/>
          <w:color w:val="auto"/>
          <w:sz w:val="21"/>
          <w:szCs w:val="21"/>
          <w:highlight w:val="none"/>
          <w:lang w:eastAsia="zh-CN"/>
        </w:rPr>
        <w:t>2026年5月9日9时30分00秒</w:t>
      </w:r>
      <w:r>
        <w:rPr>
          <w:rFonts w:hint="eastAsia" w:ascii="宋体" w:hAnsi="宋体" w:eastAsia="宋体" w:cs="宋体"/>
          <w:color w:val="auto"/>
          <w:sz w:val="21"/>
          <w:szCs w:val="21"/>
          <w:highlight w:val="none"/>
        </w:rPr>
        <w:t>在“</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”平台电子开标大厅开标。</w:t>
      </w:r>
    </w:p>
    <w:p w14:paraId="546A6051">
      <w:pPr>
        <w:shd w:val="clear"/>
        <w:wordWrap w:val="0"/>
        <w:snapToGrid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（5）CA证书在线解密：供应商投标时，需携带制作投标文件时用来加密的有效数字证书（CA认证）登录“</w:t>
      </w:r>
      <w:r>
        <w:rPr>
          <w:rFonts w:hint="eastAsia" w:ascii="宋体" w:hAnsi="宋体" w:eastAsia="宋体" w:cs="宋体"/>
          <w:color w:val="auto"/>
          <w:kern w:val="0"/>
          <w:sz w:val="21"/>
          <w:szCs w:val="21"/>
          <w:highlight w:val="none"/>
          <w:lang w:eastAsia="zh-CN"/>
        </w:rPr>
        <w:t>广西政府采购云</w:t>
      </w:r>
      <w:r>
        <w:rPr>
          <w:rFonts w:hint="eastAsia" w:ascii="宋体" w:hAnsi="宋体" w:eastAsia="宋体" w:cs="宋体"/>
          <w:color w:val="auto"/>
          <w:kern w:val="0"/>
          <w:sz w:val="21"/>
          <w:szCs w:val="21"/>
          <w:highlight w:val="none"/>
        </w:rPr>
        <w:t>”平台电子开标大厅现场按规定时间对加密的投标文件进行解密，未能按要求进行解密的，由此产生的后果由投标人自行承担。</w:t>
      </w:r>
    </w:p>
    <w:p w14:paraId="737FC9AD">
      <w:pPr>
        <w:shd w:val="clear"/>
        <w:wordWrap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五、公告期限</w:t>
      </w:r>
    </w:p>
    <w:p w14:paraId="0360CD7F">
      <w:pPr>
        <w:shd w:val="clear"/>
        <w:wordWrap w:val="0"/>
        <w:spacing w:line="360" w:lineRule="auto"/>
        <w:ind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自本公告发布之日起5个工作日。</w:t>
      </w:r>
    </w:p>
    <w:p w14:paraId="05888F72">
      <w:pPr>
        <w:shd w:val="clear"/>
        <w:wordWrap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六、其他补充事宜</w:t>
      </w:r>
    </w:p>
    <w:p w14:paraId="17338272">
      <w:pPr>
        <w:shd w:val="clear"/>
        <w:wordWrap w:val="0"/>
        <w:spacing w:line="360" w:lineRule="auto"/>
        <w:ind w:firstLine="315" w:firstLineChars="15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1.投标保证金：本项目不收取投标保证金</w:t>
      </w:r>
      <w:r>
        <w:rPr>
          <w:rFonts w:hint="eastAsia" w:ascii="宋体" w:hAnsi="宋体" w:eastAsia="宋体" w:cs="宋体"/>
          <w:color w:val="auto"/>
          <w:kern w:val="0"/>
          <w:sz w:val="21"/>
          <w:szCs w:val="21"/>
          <w:highlight w:val="none"/>
          <w:lang w:eastAsia="zh-CN"/>
        </w:rPr>
        <w:t>。</w:t>
      </w:r>
    </w:p>
    <w:p w14:paraId="46D24CB2">
      <w:pPr>
        <w:shd w:val="clear"/>
        <w:wordWrap w:val="0"/>
        <w:spacing w:line="360" w:lineRule="auto"/>
        <w:ind w:firstLine="315" w:firstLineChars="15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2.采购意向公开链接：南宁市南湖公园2026年2月至3月政府采购意向http://www.ccgp-guangxi.gov.cn/site/detail?parentId=66485&amp;articleId=fqD1pXtIIJhlir8+JxfYtA==</w:t>
      </w:r>
      <w:r>
        <w:rPr>
          <w:rFonts w:hint="eastAsia" w:ascii="宋体" w:hAnsi="宋体" w:cs="宋体"/>
          <w:color w:val="auto"/>
          <w:kern w:val="0"/>
          <w:sz w:val="21"/>
          <w:szCs w:val="21"/>
          <w:highlight w:val="none"/>
          <w:lang w:eastAsia="zh-CN"/>
        </w:rPr>
        <w:t>（02-04）</w:t>
      </w:r>
    </w:p>
    <w:p w14:paraId="014C949C">
      <w:pPr>
        <w:shd w:val="clear"/>
        <w:wordWrap w:val="0"/>
        <w:spacing w:line="360" w:lineRule="auto"/>
        <w:ind w:firstLine="315" w:firstLineChars="15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3.网上查询地址</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中国政府采购网（www.ccgp.gov.cn）、广西壮族自治区政府采购网（http://zfcg.gxzf.gov.cn/）、全国公共资源交易平台（广西·南宁）（http://ggzy.jgswj.gxzf.gov.cn/nnggzy/）</w:t>
      </w:r>
      <w:r>
        <w:rPr>
          <w:rFonts w:hint="eastAsia" w:ascii="宋体" w:hAnsi="宋体" w:eastAsia="宋体" w:cs="宋体"/>
          <w:color w:val="auto"/>
          <w:kern w:val="0"/>
          <w:sz w:val="21"/>
          <w:szCs w:val="21"/>
          <w:highlight w:val="none"/>
          <w:lang w:eastAsia="zh-CN"/>
        </w:rPr>
        <w:t>。</w:t>
      </w:r>
    </w:p>
    <w:p w14:paraId="3BDB1A0E">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4.本项目需要落实的政府采购政策：</w:t>
      </w:r>
    </w:p>
    <w:p w14:paraId="2956A3B1">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（1）政府采购促进</w:t>
      </w:r>
      <w:r>
        <w:rPr>
          <w:rFonts w:hint="eastAsia" w:ascii="宋体" w:hAnsi="宋体" w:eastAsia="宋体" w:cs="宋体"/>
          <w:color w:val="auto"/>
          <w:kern w:val="0"/>
          <w:sz w:val="21"/>
          <w:szCs w:val="21"/>
          <w:highlight w:val="none"/>
          <w:lang w:val="en-US" w:eastAsia="zh-CN"/>
        </w:rPr>
        <w:t>中小</w:t>
      </w:r>
      <w:r>
        <w:rPr>
          <w:rFonts w:hint="eastAsia" w:ascii="宋体" w:hAnsi="宋体" w:eastAsia="宋体" w:cs="宋体"/>
          <w:color w:val="auto"/>
          <w:kern w:val="0"/>
          <w:sz w:val="21"/>
          <w:szCs w:val="21"/>
          <w:highlight w:val="none"/>
        </w:rPr>
        <w:t>企业发展。</w:t>
      </w:r>
    </w:p>
    <w:p w14:paraId="7CE7F7EA">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（2）政府采购支持采用本国产品的政策。</w:t>
      </w:r>
    </w:p>
    <w:p w14:paraId="32DC3756">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（3）政府采购促进残疾人就业政策。</w:t>
      </w:r>
    </w:p>
    <w:p w14:paraId="5CAF16EE">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（4）政府采购支持监狱企业发展。</w:t>
      </w:r>
    </w:p>
    <w:p w14:paraId="48E4C4DF">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（5）扶持不发达地区和少数民族地区政策。</w:t>
      </w:r>
    </w:p>
    <w:p w14:paraId="62E674A1">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供应商认为采购文件使自己的权益受到损害的，可以自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58BAA24D">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6.若对项目采购电子交易系统操作有疑问，可登录</w:t>
      </w:r>
      <w:r>
        <w:rPr>
          <w:rFonts w:hint="eastAsia" w:ascii="宋体" w:hAnsi="宋体" w:eastAsia="宋体" w:cs="宋体"/>
          <w:color w:val="auto"/>
          <w:kern w:val="0"/>
          <w:sz w:val="21"/>
          <w:szCs w:val="21"/>
          <w:highlight w:val="none"/>
          <w:lang w:eastAsia="zh-CN"/>
        </w:rPr>
        <w:t>“广西政府采购云”平台（</w:t>
      </w:r>
      <w:r>
        <w:rPr>
          <w:rFonts w:hint="eastAsia" w:ascii="宋体" w:hAnsi="宋体" w:eastAsia="宋体" w:cs="宋体"/>
          <w:color w:val="auto"/>
          <w:kern w:val="0"/>
          <w:sz w:val="21"/>
          <w:szCs w:val="21"/>
          <w:highlight w:val="none"/>
        </w:rPr>
        <w:t>https://www.gcy.zfcg.gxzf.gov.cn/</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，点击右侧咨询小采，获取采小蜜智能服务管家帮助，或拨打</w:t>
      </w:r>
      <w:r>
        <w:rPr>
          <w:rFonts w:hint="eastAsia" w:ascii="宋体" w:hAnsi="宋体" w:eastAsia="宋体" w:cs="宋体"/>
          <w:color w:val="auto"/>
          <w:kern w:val="0"/>
          <w:sz w:val="21"/>
          <w:szCs w:val="21"/>
          <w:highlight w:val="none"/>
          <w:lang w:eastAsia="zh-CN"/>
        </w:rPr>
        <w:t>广西政府采购云</w:t>
      </w:r>
      <w:r>
        <w:rPr>
          <w:rFonts w:hint="eastAsia" w:ascii="宋体" w:hAnsi="宋体" w:eastAsia="宋体" w:cs="宋体"/>
          <w:color w:val="auto"/>
          <w:kern w:val="0"/>
          <w:sz w:val="21"/>
          <w:szCs w:val="21"/>
          <w:highlight w:val="none"/>
        </w:rPr>
        <w:t>服务热线95763获取热线服务帮助。</w:t>
      </w:r>
    </w:p>
    <w:p w14:paraId="250A3E6E">
      <w:pPr>
        <w:shd w:val="clear"/>
        <w:wordWrap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七、对本次招标提出询问，请按以下方式联系。</w:t>
      </w:r>
    </w:p>
    <w:p w14:paraId="615FB9EA">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1.采购人信息</w:t>
      </w:r>
    </w:p>
    <w:p w14:paraId="6932BC2B">
      <w:pPr>
        <w:shd w:val="clear"/>
        <w:wordWrap w:val="0"/>
        <w:spacing w:line="360" w:lineRule="auto"/>
        <w:ind w:firstLine="315" w:firstLineChars="15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名 称：</w:t>
      </w:r>
      <w:r>
        <w:rPr>
          <w:rFonts w:hint="eastAsia" w:ascii="宋体" w:hAnsi="宋体" w:cs="宋体"/>
          <w:color w:val="auto"/>
          <w:kern w:val="0"/>
          <w:sz w:val="21"/>
          <w:szCs w:val="21"/>
          <w:highlight w:val="none"/>
          <w:lang w:eastAsia="zh-CN"/>
        </w:rPr>
        <w:t>南宁市南湖公园</w:t>
      </w:r>
    </w:p>
    <w:p w14:paraId="0F54B1E7">
      <w:pPr>
        <w:shd w:val="clear"/>
        <w:wordWrap w:val="0"/>
        <w:spacing w:line="360" w:lineRule="auto"/>
        <w:ind w:firstLine="315" w:firstLineChars="15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地址：南宁市青秀区双拥路1号</w:t>
      </w:r>
    </w:p>
    <w:p w14:paraId="79D6E78E">
      <w:pPr>
        <w:shd w:val="clear"/>
        <w:wordWrap w:val="0"/>
        <w:spacing w:line="360" w:lineRule="auto"/>
        <w:ind w:firstLine="315" w:firstLineChars="15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项目联系人：</w:t>
      </w:r>
      <w:r>
        <w:rPr>
          <w:rFonts w:hint="eastAsia" w:ascii="宋体" w:hAnsi="宋体" w:cs="宋体"/>
          <w:color w:val="auto"/>
          <w:kern w:val="0"/>
          <w:sz w:val="21"/>
          <w:szCs w:val="21"/>
          <w:highlight w:val="none"/>
          <w:lang w:val="en-US" w:eastAsia="zh-CN"/>
        </w:rPr>
        <w:t>古丽贤、胡冬梅</w:t>
      </w:r>
    </w:p>
    <w:p w14:paraId="37A3FA28">
      <w:pPr>
        <w:shd w:val="clear"/>
        <w:wordWrap w:val="0"/>
        <w:spacing w:line="360" w:lineRule="auto"/>
        <w:ind w:firstLine="315" w:firstLineChars="150"/>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r>
        <w:rPr>
          <w:rFonts w:hint="eastAsia" w:ascii="宋体" w:hAnsi="宋体" w:cs="宋体"/>
          <w:color w:val="auto"/>
          <w:kern w:val="0"/>
          <w:sz w:val="21"/>
          <w:szCs w:val="21"/>
          <w:highlight w:val="none"/>
          <w:lang w:val="en-US" w:eastAsia="zh-CN"/>
        </w:rPr>
        <w:t>0771-5305344、5306249</w:t>
      </w:r>
    </w:p>
    <w:p w14:paraId="3094A0E2">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2.采购代理机构信息</w:t>
      </w:r>
    </w:p>
    <w:p w14:paraId="2398F151">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名 称：</w:t>
      </w:r>
      <w:bookmarkStart w:id="4" w:name="PO_3000001866_PM031_1"/>
      <w:r>
        <w:rPr>
          <w:rFonts w:hint="eastAsia" w:ascii="宋体" w:hAnsi="宋体" w:eastAsia="宋体" w:cs="宋体"/>
          <w:color w:val="auto"/>
          <w:kern w:val="0"/>
          <w:sz w:val="21"/>
          <w:szCs w:val="21"/>
          <w:highlight w:val="none"/>
        </w:rPr>
        <w:t>广西邕政采购代理有限公司</w:t>
      </w:r>
      <w:bookmarkEnd w:id="4"/>
    </w:p>
    <w:p w14:paraId="1BC5990E">
      <w:pPr>
        <w:shd w:val="clear"/>
        <w:wordWrap w:val="0"/>
        <w:spacing w:line="360" w:lineRule="auto"/>
        <w:ind w:firstLine="315" w:firstLineChars="15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地　址：</w:t>
      </w:r>
      <w:r>
        <w:rPr>
          <w:rFonts w:hint="eastAsia" w:ascii="宋体" w:hAnsi="宋体" w:eastAsia="宋体" w:cs="宋体"/>
          <w:color w:val="auto"/>
          <w:kern w:val="0"/>
          <w:sz w:val="21"/>
          <w:szCs w:val="21"/>
          <w:highlight w:val="none"/>
          <w:lang w:eastAsia="zh-CN"/>
        </w:rPr>
        <w:t>南宁市青秀区民族大道180号（威壮大厦）22层2210～2217室</w:t>
      </w:r>
    </w:p>
    <w:p w14:paraId="0C8E1920">
      <w:pPr>
        <w:shd w:val="clear"/>
        <w:wordWrap w:val="0"/>
        <w:spacing w:line="360" w:lineRule="auto"/>
        <w:ind w:firstLine="315" w:firstLineChars="15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联系电话：</w:t>
      </w:r>
      <w:bookmarkStart w:id="5" w:name="PO_3000001866_PM033"/>
      <w:r>
        <w:rPr>
          <w:rFonts w:hint="eastAsia" w:ascii="宋体" w:hAnsi="宋体" w:eastAsia="宋体" w:cs="宋体"/>
          <w:color w:val="auto"/>
          <w:kern w:val="0"/>
          <w:sz w:val="21"/>
          <w:szCs w:val="21"/>
          <w:highlight w:val="none"/>
        </w:rPr>
        <w:t>0771-</w:t>
      </w:r>
      <w:bookmarkEnd w:id="5"/>
      <w:r>
        <w:rPr>
          <w:rFonts w:hint="eastAsia" w:ascii="宋体" w:hAnsi="宋体" w:eastAsia="宋体" w:cs="宋体"/>
          <w:color w:val="auto"/>
          <w:kern w:val="0"/>
          <w:sz w:val="21"/>
          <w:szCs w:val="21"/>
          <w:highlight w:val="none"/>
          <w:lang w:val="en-US" w:eastAsia="zh-CN"/>
        </w:rPr>
        <w:t>2225338</w:t>
      </w:r>
    </w:p>
    <w:p w14:paraId="23683C34">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3.项目联系方式</w:t>
      </w:r>
    </w:p>
    <w:p w14:paraId="46B811CD">
      <w:pPr>
        <w:shd w:val="clear"/>
        <w:wordWrap w:val="0"/>
        <w:spacing w:line="360" w:lineRule="auto"/>
        <w:ind w:firstLine="315" w:firstLineChars="15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项目联系人：</w:t>
      </w:r>
      <w:r>
        <w:rPr>
          <w:rFonts w:hint="eastAsia" w:ascii="宋体" w:hAnsi="宋体" w:cs="宋体"/>
          <w:color w:val="auto"/>
          <w:kern w:val="0"/>
          <w:sz w:val="21"/>
          <w:szCs w:val="21"/>
          <w:highlight w:val="none"/>
          <w:lang w:val="en-US" w:eastAsia="zh-CN"/>
        </w:rPr>
        <w:t>梁熙、</w:t>
      </w:r>
      <w:r>
        <w:rPr>
          <w:rFonts w:hint="eastAsia" w:ascii="宋体" w:hAnsi="宋体" w:eastAsia="宋体" w:cs="宋体"/>
          <w:color w:val="auto"/>
          <w:kern w:val="0"/>
          <w:sz w:val="21"/>
          <w:szCs w:val="21"/>
          <w:highlight w:val="none"/>
          <w:lang w:val="en-US" w:eastAsia="zh-CN"/>
        </w:rPr>
        <w:t>黄秋梅、罗霞</w:t>
      </w:r>
    </w:p>
    <w:p w14:paraId="1E1C6D0A">
      <w:pPr>
        <w:shd w:val="clear"/>
        <w:wordWrap w:val="0"/>
        <w:spacing w:line="360" w:lineRule="auto"/>
        <w:ind w:firstLine="315" w:firstLineChars="15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    话：0771-</w:t>
      </w:r>
      <w:r>
        <w:rPr>
          <w:rFonts w:hint="eastAsia" w:ascii="宋体" w:hAnsi="宋体" w:eastAsia="宋体" w:cs="宋体"/>
          <w:color w:val="auto"/>
          <w:kern w:val="0"/>
          <w:sz w:val="21"/>
          <w:szCs w:val="21"/>
          <w:highlight w:val="none"/>
          <w:lang w:val="en-US" w:eastAsia="zh-CN"/>
        </w:rPr>
        <w:t>2225338</w:t>
      </w:r>
    </w:p>
    <w:p w14:paraId="7E7FB86C">
      <w:pPr>
        <w:shd w:val="clear"/>
        <w:spacing w:line="360" w:lineRule="auto"/>
        <w:jc w:val="left"/>
        <w:rPr>
          <w:rFonts w:hint="eastAsia" w:ascii="宋体" w:hAnsi="宋体" w:eastAsia="宋体" w:cs="宋体"/>
          <w:color w:val="auto"/>
          <w:sz w:val="21"/>
          <w:szCs w:val="21"/>
          <w:highlight w:val="none"/>
          <w:u w:val="single"/>
        </w:rPr>
      </w:pPr>
    </w:p>
    <w:p w14:paraId="2CAF7A9D">
      <w:pPr>
        <w:shd w:val="clear"/>
        <w:spacing w:line="360" w:lineRule="auto"/>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附件： 1.CA证书申请方式及操作指南下载地址（登</w:t>
      </w:r>
      <w:r>
        <w:rPr>
          <w:rFonts w:hint="eastAsia" w:ascii="宋体" w:hAnsi="宋体" w:cs="宋体"/>
          <w:color w:val="auto"/>
          <w:sz w:val="21"/>
          <w:szCs w:val="21"/>
          <w:highlight w:val="none"/>
          <w:u w:val="single"/>
          <w:lang w:val="en-US" w:eastAsia="zh-CN"/>
        </w:rPr>
        <w:t>录</w:t>
      </w:r>
      <w:r>
        <w:rPr>
          <w:rFonts w:hint="eastAsia" w:ascii="宋体" w:hAnsi="宋体" w:eastAsia="宋体" w:cs="宋体"/>
          <w:color w:val="auto"/>
          <w:sz w:val="21"/>
          <w:szCs w:val="21"/>
          <w:highlight w:val="none"/>
          <w:u w:val="single"/>
        </w:rPr>
        <w:t>http://nncz.nanning.gov.cn/（南宁市财政局官网）-业务专题-政府采购监督管理-资料下载-“广西政采云西部CA办理方式”或“南宁市政采云CA证书办理操作指南”）</w:t>
      </w:r>
    </w:p>
    <w:p w14:paraId="79AF4745">
      <w:pPr>
        <w:shd w:val="clear"/>
        <w:spacing w:line="360" w:lineRule="auto"/>
        <w:jc w:val="left"/>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2.电子投标文件制作与投送教程（在此网址下载：http://nncz.nanning.gov.cn/（南宁市财政局官网）-业务专题-政府采购监督管理-资料下载-南宁市政府采购项目全流程电子化交易操作指南）</w:t>
      </w:r>
    </w:p>
    <w:p w14:paraId="006D5D0B">
      <w:pPr>
        <w:shd w:val="clear"/>
        <w:wordWrap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广西邕政采购代理有限公司</w:t>
      </w:r>
    </w:p>
    <w:p w14:paraId="6FDE97F9">
      <w:pPr>
        <w:shd w:val="clear"/>
        <w:wordWrap w:val="0"/>
        <w:spacing w:line="360" w:lineRule="auto"/>
        <w:ind w:firstLine="210" w:firstLineChars="100"/>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u w:val="single"/>
          <w:lang w:val="en-US" w:eastAsia="zh-CN"/>
        </w:rPr>
        <w:t>13</w:t>
      </w:r>
      <w:r>
        <w:rPr>
          <w:rFonts w:hint="eastAsia" w:ascii="宋体" w:hAnsi="宋体" w:eastAsia="宋体" w:cs="宋体"/>
          <w:color w:val="auto"/>
          <w:sz w:val="21"/>
          <w:szCs w:val="21"/>
          <w:highlight w:val="none"/>
        </w:rPr>
        <w:t>日</w:t>
      </w:r>
    </w:p>
    <w:p w14:paraId="26BC083F">
      <w:pPr>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sz w:val="24"/>
          <w:highlight w:val="none"/>
        </w:rPr>
        <w:br w:type="page"/>
      </w:r>
    </w:p>
    <w:p w14:paraId="7A1A2BEF">
      <w:pPr>
        <w:pStyle w:val="13"/>
        <w:shd w:val="clear"/>
        <w:wordWrap w:val="0"/>
        <w:spacing w:line="360" w:lineRule="auto"/>
        <w:jc w:val="center"/>
        <w:outlineLvl w:val="0"/>
        <w:rPr>
          <w:rFonts w:hint="eastAsia" w:ascii="宋体" w:hAnsi="宋体" w:eastAsia="宋体" w:cs="宋体"/>
          <w:b/>
          <w:color w:val="auto"/>
          <w:szCs w:val="21"/>
          <w:highlight w:val="none"/>
        </w:rPr>
      </w:pPr>
      <w:bookmarkStart w:id="6" w:name="_Toc26756"/>
      <w:r>
        <w:rPr>
          <w:rFonts w:hint="eastAsia" w:ascii="宋体" w:hAnsi="宋体" w:eastAsia="宋体" w:cs="宋体"/>
          <w:b/>
          <w:color w:val="auto"/>
          <w:sz w:val="36"/>
          <w:highlight w:val="none"/>
        </w:rPr>
        <w:t xml:space="preserve">第二章  </w:t>
      </w:r>
      <w:bookmarkEnd w:id="3"/>
      <w:r>
        <w:rPr>
          <w:rFonts w:hint="eastAsia" w:ascii="宋体" w:hAnsi="宋体" w:eastAsia="宋体" w:cs="宋体"/>
          <w:b/>
          <w:color w:val="auto"/>
          <w:sz w:val="36"/>
          <w:highlight w:val="none"/>
        </w:rPr>
        <w:t>采购需求</w:t>
      </w:r>
      <w:bookmarkEnd w:id="6"/>
    </w:p>
    <w:p w14:paraId="59AAA908">
      <w:pPr>
        <w:shd w:val="clear"/>
        <w:wordWrap w:val="0"/>
        <w:adjustRightIn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说明：</w:t>
      </w:r>
    </w:p>
    <w:p w14:paraId="2268FC34">
      <w:pPr>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1.为落实政府采购政策需满足的要求：</w:t>
      </w:r>
    </w:p>
    <w:p w14:paraId="75CB4438">
      <w:pPr>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（1）本招标文件所称</w:t>
      </w:r>
      <w:r>
        <w:rPr>
          <w:rFonts w:hint="eastAsia" w:ascii="宋体" w:hAnsi="宋体" w:cs="宋体"/>
          <w:color w:val="auto"/>
          <w:sz w:val="21"/>
          <w:szCs w:val="21"/>
          <w:highlight w:val="none"/>
          <w:lang w:val="en-US" w:eastAsia="zh-CN"/>
        </w:rPr>
        <w:t>中小</w:t>
      </w:r>
      <w:r>
        <w:rPr>
          <w:rFonts w:hint="eastAsia" w:ascii="宋体" w:hAnsi="宋体" w:eastAsia="宋体" w:cs="宋体"/>
          <w:color w:val="auto"/>
          <w:sz w:val="21"/>
          <w:szCs w:val="21"/>
          <w:highlight w:val="none"/>
        </w:rPr>
        <w:t>企业必须符合《政府采购促进中小企业发展管理办法》（财库〔2020〕46号）的规定。</w:t>
      </w:r>
    </w:p>
    <w:p w14:paraId="321C43AE">
      <w:pPr>
        <w:shd w:val="clear"/>
        <w:wordWrap w:val="0"/>
        <w:spacing w:line="360" w:lineRule="auto"/>
        <w:ind w:firstLine="424" w:firstLineChars="202"/>
        <w:jc w:val="lef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投标人的投标货物必须使用政府强制采购的节能产品，投标人必须在投标文件中提供所投标产品的节能产品认证证书复印件（加盖投标人电子公章），否则投标文件作无效处理。如本项目包含的货物属于品目清单内非标注“★”的产品时，应优先采购，具体详见“第四章 评标方法和评标标准”。</w:t>
      </w:r>
    </w:p>
    <w:p w14:paraId="0536F601">
      <w:pPr>
        <w:shd w:val="clear"/>
        <w:wordWrap w:val="0"/>
        <w:spacing w:line="360" w:lineRule="auto"/>
        <w:ind w:firstLine="426" w:firstLineChars="202"/>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75BA094E">
      <w:pPr>
        <w:shd w:val="clear"/>
        <w:wordWrap w:val="0"/>
        <w:spacing w:line="360" w:lineRule="auto"/>
        <w:ind w:firstLine="424" w:firstLineChars="202"/>
        <w:jc w:val="left"/>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 w:val="21"/>
          <w:szCs w:val="21"/>
          <w:highlight w:val="none"/>
        </w:rPr>
        <w:t>“实质性要求”是指招标文件中已经指明不满足则投标无效的条款，或者不能负偏离的条款，或者采购需求中带“▲”的条款。</w:t>
      </w:r>
    </w:p>
    <w:p w14:paraId="484613AB">
      <w:pPr>
        <w:pStyle w:val="9"/>
        <w:shd w:val="clear" w:color="auto"/>
        <w:wordWrap w:val="0"/>
        <w:spacing w:line="336"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3.</w:t>
      </w:r>
      <w:bookmarkStart w:id="7" w:name="_Hlk54774389"/>
      <w:r>
        <w:rPr>
          <w:rFonts w:hint="eastAsia" w:ascii="宋体" w:hAnsi="宋体" w:eastAsia="宋体" w:cs="宋体"/>
          <w:color w:val="auto"/>
          <w:sz w:val="21"/>
          <w:szCs w:val="21"/>
          <w:highlight w:val="none"/>
        </w:rPr>
        <w:t>服务项目中伴随货物的，</w:t>
      </w:r>
      <w:bookmarkEnd w:id="7"/>
      <w:r>
        <w:rPr>
          <w:rFonts w:hint="eastAsia" w:ascii="宋体" w:hAnsi="宋体" w:eastAsia="宋体" w:cs="宋体"/>
          <w:color w:val="auto"/>
          <w:sz w:val="21"/>
          <w:szCs w:val="21"/>
          <w:highlight w:val="none"/>
        </w:rPr>
        <w:t>采购需求中出现的品牌、型号或者生产厂家仅起参考作用，不属于指定品牌、型号或者生产厂家的情形。</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可参照或者选用其他相当的品牌、型号或者生产厂家替代，但选用的</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产品参数性能必须满足实质性要求。</w:t>
      </w:r>
    </w:p>
    <w:p w14:paraId="0013299D">
      <w:pPr>
        <w:pStyle w:val="9"/>
        <w:shd w:val="clear" w:color="auto"/>
        <w:wordWrap w:val="0"/>
        <w:spacing w:line="336"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如投标人投标产品存在侵犯他人的知识产权或者专利成果行为的，应承担相应法律责任</w:t>
      </w:r>
      <w:bookmarkStart w:id="8" w:name="PO_TDCUS_ITEM_PB_REQ_TITLE_1"/>
      <w:r>
        <w:rPr>
          <w:rFonts w:hint="eastAsia" w:ascii="宋体" w:hAnsi="宋体" w:eastAsia="宋体" w:cs="宋体"/>
          <w:color w:val="auto"/>
          <w:sz w:val="21"/>
          <w:szCs w:val="21"/>
          <w:highlight w:val="none"/>
          <w:lang w:eastAsia="zh-CN"/>
        </w:rPr>
        <w:t>。</w:t>
      </w:r>
    </w:p>
    <w:p w14:paraId="16ED60A2">
      <w:pPr>
        <w:pStyle w:val="9"/>
        <w:shd w:val="clear" w:color="auto"/>
        <w:wordWrap w:val="0"/>
        <w:spacing w:line="336"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5.本采购需求中内容如与第五章“拟签订的合同文本”相关条款不一致的，以本表为准。</w:t>
      </w:r>
    </w:p>
    <w:tbl>
      <w:tblPr>
        <w:tblStyle w:val="22"/>
        <w:tblW w:w="10482" w:type="dxa"/>
        <w:tblInd w:w="-2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8"/>
        <w:gridCol w:w="315"/>
        <w:gridCol w:w="957"/>
        <w:gridCol w:w="562"/>
        <w:gridCol w:w="513"/>
        <w:gridCol w:w="5392"/>
        <w:gridCol w:w="1270"/>
        <w:gridCol w:w="1045"/>
      </w:tblGrid>
      <w:tr w14:paraId="06A439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10482" w:type="dxa"/>
            <w:gridSpan w:val="8"/>
            <w:tcBorders>
              <w:top w:val="single" w:color="auto" w:sz="4" w:space="0"/>
              <w:left w:val="single" w:color="auto" w:sz="4" w:space="0"/>
              <w:bottom w:val="nil"/>
              <w:right w:val="single" w:color="auto" w:sz="4" w:space="0"/>
            </w:tcBorders>
            <w:noWrap w:val="0"/>
            <w:vAlign w:val="center"/>
          </w:tcPr>
          <w:p w14:paraId="27898F5F">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服务需求一览表</w:t>
            </w:r>
          </w:p>
        </w:tc>
      </w:tr>
      <w:tr w14:paraId="40C880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7" w:hRule="atLeast"/>
        </w:trPr>
        <w:tc>
          <w:tcPr>
            <w:tcW w:w="428" w:type="dxa"/>
            <w:vMerge w:val="restart"/>
            <w:tcBorders>
              <w:top w:val="single" w:color="auto" w:sz="4" w:space="0"/>
              <w:left w:val="single" w:color="auto" w:sz="4" w:space="0"/>
              <w:bottom w:val="single" w:color="auto" w:sz="4" w:space="0"/>
              <w:right w:val="single" w:color="auto" w:sz="4" w:space="0"/>
            </w:tcBorders>
            <w:noWrap w:val="0"/>
            <w:vAlign w:val="top"/>
          </w:tcPr>
          <w:p w14:paraId="0CAAAB7E">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采购清单及服务参数</w:t>
            </w:r>
          </w:p>
        </w:tc>
        <w:tc>
          <w:tcPr>
            <w:tcW w:w="31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4CC6CCD">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序号</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C446F79">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标的名称</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48990665">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单位</w:t>
            </w:r>
          </w:p>
        </w:tc>
        <w:tc>
          <w:tcPr>
            <w:tcW w:w="513" w:type="dxa"/>
            <w:tcBorders>
              <w:top w:val="single" w:color="auto" w:sz="4" w:space="0"/>
              <w:left w:val="single" w:color="auto" w:sz="4" w:space="0"/>
              <w:bottom w:val="single" w:color="auto" w:sz="4" w:space="0"/>
              <w:right w:val="single" w:color="auto" w:sz="4" w:space="0"/>
            </w:tcBorders>
            <w:noWrap w:val="0"/>
            <w:vAlign w:val="center"/>
          </w:tcPr>
          <w:p w14:paraId="5DEC5BB8">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数量</w:t>
            </w:r>
          </w:p>
        </w:tc>
        <w:tc>
          <w:tcPr>
            <w:tcW w:w="5392" w:type="dxa"/>
            <w:tcBorders>
              <w:top w:val="single" w:color="auto" w:sz="4" w:space="0"/>
              <w:left w:val="single" w:color="auto" w:sz="4" w:space="0"/>
              <w:bottom w:val="single" w:color="auto" w:sz="4" w:space="0"/>
              <w:right w:val="single" w:color="auto" w:sz="4" w:space="0"/>
            </w:tcBorders>
            <w:noWrap w:val="0"/>
            <w:vAlign w:val="center"/>
          </w:tcPr>
          <w:p w14:paraId="5AE76BD2">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服务参数</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4446A888">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分项预算合计（元）</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1BDD6A74">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中小企业划分标准所属行业名称（行业名称及划分见本章附件2）</w:t>
            </w:r>
          </w:p>
        </w:tc>
      </w:tr>
      <w:tr w14:paraId="6CB0D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298" w:hRule="atLeast"/>
        </w:trPr>
        <w:tc>
          <w:tcPr>
            <w:tcW w:w="428" w:type="dxa"/>
            <w:vMerge w:val="continue"/>
            <w:tcBorders>
              <w:top w:val="single" w:color="auto" w:sz="4" w:space="0"/>
              <w:left w:val="single" w:color="auto" w:sz="4" w:space="0"/>
              <w:bottom w:val="single" w:color="auto" w:sz="4" w:space="0"/>
              <w:right w:val="single" w:color="auto" w:sz="4" w:space="0"/>
            </w:tcBorders>
            <w:noWrap w:val="0"/>
            <w:vAlign w:val="center"/>
          </w:tcPr>
          <w:p w14:paraId="631164D6">
            <w:pPr>
              <w:keepNext w:val="0"/>
              <w:keepLines w:val="0"/>
              <w:pageBreakBefore w:val="0"/>
              <w:widowControl/>
              <w:shd w:val="clear"/>
              <w:kinsoku/>
              <w:wordWrap/>
              <w:overflowPunct/>
              <w:topLinePunct w:val="0"/>
              <w:bidi w:val="0"/>
              <w:snapToGrid/>
              <w:spacing w:line="500" w:lineRule="exact"/>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tc>
        <w:tc>
          <w:tcPr>
            <w:tcW w:w="315" w:type="dxa"/>
            <w:tcBorders>
              <w:top w:val="single" w:color="auto" w:sz="4" w:space="0"/>
              <w:left w:val="single" w:color="auto" w:sz="4" w:space="0"/>
              <w:bottom w:val="single" w:color="auto" w:sz="4" w:space="0"/>
              <w:right w:val="single" w:color="auto" w:sz="4" w:space="0"/>
            </w:tcBorders>
            <w:noWrap w:val="0"/>
            <w:vAlign w:val="center"/>
          </w:tcPr>
          <w:p w14:paraId="0888FCBD">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6B06C1F4">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南宁市市管5个免费公园综合管养服务（绿化养护分项）采购</w:t>
            </w:r>
          </w:p>
        </w:tc>
        <w:tc>
          <w:tcPr>
            <w:tcW w:w="562" w:type="dxa"/>
            <w:tcBorders>
              <w:top w:val="single" w:color="auto" w:sz="4" w:space="0"/>
              <w:left w:val="single" w:color="auto" w:sz="4" w:space="0"/>
              <w:bottom w:val="single" w:color="auto" w:sz="4" w:space="0"/>
              <w:right w:val="single" w:color="auto" w:sz="4" w:space="0"/>
            </w:tcBorders>
            <w:noWrap w:val="0"/>
            <w:vAlign w:val="center"/>
          </w:tcPr>
          <w:p w14:paraId="1B02251B">
            <w:pPr>
              <w:pStyle w:val="39"/>
              <w:keepNext w:val="0"/>
              <w:keepLines w:val="0"/>
              <w:pageBreakBefore w:val="0"/>
              <w:shd w:val="clear"/>
              <w:kinsoku/>
              <w:wordWrap/>
              <w:overflowPunct/>
              <w:topLinePunct w:val="0"/>
              <w:bidi w:val="0"/>
              <w:snapToGrid/>
              <w:spacing w:before="0" w:beforeAutospacing="0" w:after="0" w:afterAutospacing="0" w:line="500" w:lineRule="exact"/>
              <w:ind w:firstLine="0" w:firstLineChars="0"/>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w:t>
            </w:r>
          </w:p>
        </w:tc>
        <w:tc>
          <w:tcPr>
            <w:tcW w:w="513" w:type="dxa"/>
            <w:tcBorders>
              <w:top w:val="single" w:color="auto" w:sz="4" w:space="0"/>
              <w:left w:val="single" w:color="auto" w:sz="4" w:space="0"/>
              <w:bottom w:val="single" w:color="auto" w:sz="4" w:space="0"/>
              <w:right w:val="single" w:color="auto" w:sz="4" w:space="0"/>
            </w:tcBorders>
            <w:noWrap w:val="0"/>
            <w:vAlign w:val="center"/>
          </w:tcPr>
          <w:p w14:paraId="25B319A3">
            <w:pPr>
              <w:keepNext w:val="0"/>
              <w:keepLines w:val="0"/>
              <w:pageBreakBefore w:val="0"/>
              <w:shd w:val="clear"/>
              <w:kinsoku/>
              <w:wordWrap/>
              <w:overflowPunct/>
              <w:topLinePunct w:val="0"/>
              <w:bidi w:val="0"/>
              <w:snapToGrid/>
              <w:spacing w:line="5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5392"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079C7CC3">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一、</w:t>
            </w:r>
            <w:r>
              <w:rPr>
                <w:rFonts w:hint="eastAsia" w:ascii="宋体" w:hAnsi="宋体" w:eastAsia="宋体" w:cs="宋体"/>
                <w:b/>
                <w:bCs/>
                <w:color w:val="000000" w:themeColor="text1"/>
                <w:sz w:val="21"/>
                <w:szCs w:val="21"/>
                <w:highlight w:val="none"/>
                <w14:textFill>
                  <w14:solidFill>
                    <w14:schemeClr w14:val="tx1"/>
                  </w14:solidFill>
                </w14:textFill>
              </w:rPr>
              <w:t>服务范围及工作内容</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详见附件</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5A156F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（一）南宁市南湖公园</w:t>
            </w:r>
          </w:p>
          <w:p w14:paraId="22CBF7C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负责公园管辖范围内55.27万平方米</w:t>
            </w:r>
            <w:r>
              <w:rPr>
                <w:rFonts w:hint="eastAsia" w:ascii="宋体" w:hAnsi="宋体" w:eastAsia="宋体" w:cs="宋体"/>
                <w:color w:val="000000" w:themeColor="text1"/>
                <w:sz w:val="21"/>
                <w:szCs w:val="21"/>
                <w:highlight w:val="none"/>
                <w14:textFill>
                  <w14:solidFill>
                    <w14:schemeClr w14:val="tx1"/>
                  </w14:solidFill>
                </w14:textFill>
              </w:rPr>
              <w:t>的绿化养护服务工作，</w:t>
            </w:r>
            <w:r>
              <w:rPr>
                <w:rFonts w:hint="eastAsia" w:ascii="宋体" w:hAnsi="宋体" w:eastAsia="宋体" w:cs="宋体"/>
                <w:color w:val="000000" w:themeColor="text1"/>
                <w:kern w:val="0"/>
                <w:sz w:val="21"/>
                <w:szCs w:val="21"/>
                <w:highlight w:val="none"/>
                <w14:textFill>
                  <w14:solidFill>
                    <w14:schemeClr w14:val="tx1"/>
                  </w14:solidFill>
                </w14:textFill>
              </w:rPr>
              <w:t>包括但不限于土水肥管理、修剪（含造型树整形修剪）、松土除杂、病虫害防治、植物防护、树木扶正、迁移砍伐、古树名木养护、苗木补种更新</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及土壤改良</w:t>
            </w:r>
            <w:r>
              <w:rPr>
                <w:rFonts w:hint="eastAsia" w:ascii="宋体" w:hAnsi="宋体" w:eastAsia="宋体" w:cs="宋体"/>
                <w:color w:val="000000" w:themeColor="text1"/>
                <w:kern w:val="0"/>
                <w:sz w:val="21"/>
                <w:szCs w:val="21"/>
                <w:highlight w:val="none"/>
                <w14:textFill>
                  <w14:solidFill>
                    <w14:schemeClr w14:val="tx1"/>
                  </w14:solidFill>
                </w14:textFill>
              </w:rPr>
              <w:t>、水生植物养护、应急抢险工作、树木健康安全诊断、作业过程中产生的绿化垃圾及危险废弃物处置、自然掉落的大型枝叶（如棕榈科枝叶）</w:t>
            </w:r>
            <w:r>
              <w:rPr>
                <w:rFonts w:hint="eastAsia" w:ascii="宋体" w:hAnsi="宋体" w:eastAsia="宋体" w:cs="宋体"/>
                <w:color w:val="000000" w:themeColor="text1"/>
                <w:kern w:val="0"/>
                <w:sz w:val="21"/>
                <w:szCs w:val="21"/>
                <w:highlight w:val="none"/>
                <w:lang w:eastAsia="zh-CN"/>
                <w14:textFill>
                  <w14:solidFill>
                    <w14:schemeClr w14:val="tx1"/>
                  </w14:solidFill>
                </w14:textFill>
              </w:rPr>
              <w:t>清理</w:t>
            </w:r>
            <w:r>
              <w:rPr>
                <w:rFonts w:hint="eastAsia" w:ascii="宋体" w:hAnsi="宋体" w:eastAsia="宋体" w:cs="宋体"/>
                <w:color w:val="000000" w:themeColor="text1"/>
                <w:kern w:val="0"/>
                <w:sz w:val="21"/>
                <w:szCs w:val="21"/>
                <w:highlight w:val="none"/>
                <w14:textFill>
                  <w14:solidFill>
                    <w14:schemeClr w14:val="tx1"/>
                  </w14:solidFill>
                </w14:textFill>
              </w:rPr>
              <w:t>、绿化灌溉系统的维护维修（包括但不限于泵房、取水设施、净水设施、给水设施等，其中共同使用部分按比例承担相应费用）、公园零星施工后绿化恢复、大王椰绑扎、蛇类有害生物的综合防控等。</w:t>
            </w:r>
          </w:p>
          <w:p w14:paraId="739C64F2">
            <w:pPr>
              <w:keepNext w:val="0"/>
              <w:keepLines w:val="0"/>
              <w:pageBreakBefore w:val="0"/>
              <w:widowControl w:val="0"/>
              <w:numPr>
                <w:ilvl w:val="0"/>
                <w:numId w:val="4"/>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南宁市人民公园</w:t>
            </w:r>
          </w:p>
          <w:p w14:paraId="6F6480A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负责</w:t>
            </w:r>
            <w:r>
              <w:rPr>
                <w:rFonts w:hint="eastAsia" w:ascii="宋体" w:hAnsi="宋体" w:eastAsia="宋体" w:cs="宋体"/>
                <w:color w:val="000000" w:themeColor="text1"/>
                <w:kern w:val="0"/>
                <w:sz w:val="21"/>
                <w:szCs w:val="21"/>
                <w:highlight w:val="none"/>
                <w14:textFill>
                  <w14:solidFill>
                    <w14:schemeClr w14:val="tx1"/>
                  </w14:solidFill>
                </w14:textFill>
              </w:rPr>
              <w:t>公园管辖范围内33.94万平方米绿地</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其中一级</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养护</w:t>
            </w:r>
            <w:r>
              <w:rPr>
                <w:rFonts w:hint="eastAsia" w:ascii="宋体" w:hAnsi="宋体" w:eastAsia="宋体" w:cs="宋体"/>
                <w:color w:val="000000" w:themeColor="text1"/>
                <w:kern w:val="0"/>
                <w:sz w:val="21"/>
                <w:szCs w:val="21"/>
                <w:highlight w:val="none"/>
                <w14:textFill>
                  <w14:solidFill>
                    <w14:schemeClr w14:val="tx1"/>
                  </w14:solidFill>
                </w14:textFill>
              </w:rPr>
              <w:t>面积约6.41万平方米，二级</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养护</w:t>
            </w:r>
            <w:r>
              <w:rPr>
                <w:rFonts w:hint="eastAsia" w:ascii="宋体" w:hAnsi="宋体" w:eastAsia="宋体" w:cs="宋体"/>
                <w:color w:val="000000" w:themeColor="text1"/>
                <w:kern w:val="0"/>
                <w:sz w:val="21"/>
                <w:szCs w:val="21"/>
                <w:highlight w:val="none"/>
                <w14:textFill>
                  <w14:solidFill>
                    <w14:schemeClr w14:val="tx1"/>
                  </w14:solidFill>
                </w14:textFill>
              </w:rPr>
              <w:t>面积约27.53万平方米</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的绿化养护服务工作</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包括绿地日常养护管理（区域内花坛花带的花卉种植及养护、立体绿化等）、黄土裸露补植、水土流失治理、大树健康安全诊断、大树复壮、大树古树名木保护、白蚁防治、局部绿地提升植物种植、绿化养护基础设施（含灌溉系统设备设施、接水管道管头、</w:t>
            </w:r>
            <w:r>
              <w:rPr>
                <w:rFonts w:hint="eastAsia" w:ascii="宋体" w:hAnsi="宋体" w:cs="宋体"/>
                <w:color w:val="000000" w:themeColor="text1"/>
                <w:kern w:val="0"/>
                <w:sz w:val="21"/>
                <w:szCs w:val="21"/>
                <w:highlight w:val="none"/>
                <w:lang w:val="en-US" w:eastAsia="zh-CN"/>
                <w14:textFill>
                  <w14:solidFill>
                    <w14:schemeClr w14:val="tx1"/>
                  </w14:solidFill>
                </w14:textFill>
              </w:rPr>
              <w:t>生产用房</w:t>
            </w:r>
            <w:r>
              <w:rPr>
                <w:rFonts w:hint="eastAsia" w:ascii="宋体" w:hAnsi="宋体" w:eastAsia="宋体" w:cs="宋体"/>
                <w:color w:val="000000" w:themeColor="text1"/>
                <w:kern w:val="0"/>
                <w:sz w:val="21"/>
                <w:szCs w:val="21"/>
                <w:highlight w:val="none"/>
                <w14:textFill>
                  <w14:solidFill>
                    <w14:schemeClr w14:val="tx1"/>
                  </w14:solidFill>
                </w14:textFill>
              </w:rPr>
              <w:t>等）的维护维修、绿化垃圾（含绿地内生活及绿化垃圾）清理及外运、绿地内安全生产管理等。</w:t>
            </w:r>
          </w:p>
          <w:p w14:paraId="34D95F22">
            <w:pPr>
              <w:keepNext w:val="0"/>
              <w:keepLines w:val="0"/>
              <w:pageBreakBefore w:val="0"/>
              <w:widowControl w:val="0"/>
              <w:numPr>
                <w:ilvl w:val="0"/>
                <w:numId w:val="4"/>
              </w:numPr>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南宁市金</w:t>
            </w:r>
            <w:r>
              <w:rPr>
                <w:rFonts w:hint="eastAsia" w:ascii="宋体" w:hAnsi="宋体" w:cs="宋体"/>
                <w:color w:val="000000" w:themeColor="text1"/>
                <w:sz w:val="21"/>
                <w:szCs w:val="21"/>
                <w:highlight w:val="none"/>
                <w:lang w:val="en-US" w:eastAsia="zh-CN"/>
                <w14:textFill>
                  <w14:solidFill>
                    <w14:schemeClr w14:val="tx1"/>
                  </w14:solidFill>
                </w14:textFill>
              </w:rPr>
              <w:t>花</w:t>
            </w:r>
            <w:r>
              <w:rPr>
                <w:rFonts w:hint="eastAsia" w:ascii="宋体" w:hAnsi="宋体" w:eastAsia="宋体" w:cs="宋体"/>
                <w:color w:val="000000" w:themeColor="text1"/>
                <w:sz w:val="21"/>
                <w:szCs w:val="21"/>
                <w:highlight w:val="none"/>
                <w:lang w:val="en-US" w:eastAsia="zh-CN"/>
                <w14:textFill>
                  <w14:solidFill>
                    <w14:schemeClr w14:val="tx1"/>
                  </w14:solidFill>
                </w14:textFill>
              </w:rPr>
              <w:t>茶公园</w:t>
            </w:r>
          </w:p>
          <w:p w14:paraId="08F40E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负责</w:t>
            </w:r>
            <w:r>
              <w:rPr>
                <w:rFonts w:hint="eastAsia" w:ascii="宋体" w:hAnsi="宋体" w:eastAsia="宋体" w:cs="宋体"/>
                <w:color w:val="000000" w:themeColor="text1"/>
                <w:kern w:val="0"/>
                <w:sz w:val="21"/>
                <w:szCs w:val="21"/>
                <w:highlight w:val="none"/>
                <w14:textFill>
                  <w14:solidFill>
                    <w14:schemeClr w14:val="tx1"/>
                  </w14:solidFill>
                </w14:textFill>
              </w:rPr>
              <w:t>公园管辖范围内14.6万平方米的绿地区域，其中一级公园绿地约14.29万平方米（主要位于金花茶公园园区、办公区域），养护茶花10705株（主要位于金花茶公园园区）；二级街道绿地约0.31万平方米（位于桃村路小游园区域）。除四季鲜花下地种植项目外的公园绿地日常养护管理、茶花养护、花坛换花、黄土裸露补植、植物补植、绿化作业保洁、茶花展的布展撤展、雾森的使用管理（不含维修）、绿化养护基础设施（含灌溉系统设备设施、粉碎房及设备、</w:t>
            </w:r>
            <w:r>
              <w:rPr>
                <w:rFonts w:hint="eastAsia" w:ascii="宋体" w:hAnsi="宋体" w:cs="宋体"/>
                <w:color w:val="000000" w:themeColor="text1"/>
                <w:kern w:val="0"/>
                <w:sz w:val="21"/>
                <w:szCs w:val="21"/>
                <w:highlight w:val="none"/>
                <w:lang w:val="en-US" w:eastAsia="zh-CN"/>
                <w14:textFill>
                  <w14:solidFill>
                    <w14:schemeClr w14:val="tx1"/>
                  </w14:solidFill>
                </w14:textFill>
              </w:rPr>
              <w:t>生产用房</w:t>
            </w:r>
            <w:r>
              <w:rPr>
                <w:rFonts w:hint="eastAsia" w:ascii="宋体" w:hAnsi="宋体" w:eastAsia="宋体" w:cs="宋体"/>
                <w:color w:val="000000" w:themeColor="text1"/>
                <w:kern w:val="0"/>
                <w:sz w:val="21"/>
                <w:szCs w:val="21"/>
                <w:highlight w:val="none"/>
                <w14:textFill>
                  <w14:solidFill>
                    <w14:schemeClr w14:val="tx1"/>
                  </w14:solidFill>
                </w14:textFill>
              </w:rPr>
              <w:t>等）的维护维修、粉碎树叶制造改良土壤基质、作业过程中产生的绿化垃圾及危险废弃物处置等。桃村路小游园区域内容包括绿化养护、植物补植、绿化作业保洁、设施简易维护修缮、作业过程中产生的绿化垃圾及危险废弃物处置。</w:t>
            </w:r>
          </w:p>
          <w:p w14:paraId="4EBFC771">
            <w:pPr>
              <w:keepNext w:val="0"/>
              <w:keepLines w:val="0"/>
              <w:pageBreakBefore w:val="0"/>
              <w:widowControl w:val="0"/>
              <w:numPr>
                <w:ilvl w:val="0"/>
                <w:numId w:val="4"/>
              </w:numPr>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南宁市石门公园</w:t>
            </w:r>
          </w:p>
          <w:p w14:paraId="04B7AF7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负责</w:t>
            </w:r>
            <w:r>
              <w:rPr>
                <w:rFonts w:hint="eastAsia" w:ascii="宋体" w:hAnsi="宋体" w:eastAsia="宋体" w:cs="宋体"/>
                <w:color w:val="000000" w:themeColor="text1"/>
                <w:kern w:val="0"/>
                <w:sz w:val="21"/>
                <w:szCs w:val="21"/>
                <w:highlight w:val="none"/>
                <w14:textFill>
                  <w14:solidFill>
                    <w14:schemeClr w14:val="tx1"/>
                  </w14:solidFill>
                </w14:textFill>
              </w:rPr>
              <w:t>公园管辖范围内绿地面积51.98万平方米，其中一级绿地面积22.75万平方米，二级绿地约19.21万平方米，林地或自然管理绿地面积10.02万平方米。绿地日常养护管理、黄土裸露补植、苗木补种更新</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及土壤改良</w:t>
            </w:r>
            <w:r>
              <w:rPr>
                <w:rFonts w:hint="eastAsia" w:ascii="宋体" w:hAnsi="宋体" w:eastAsia="宋体" w:cs="宋体"/>
                <w:color w:val="000000" w:themeColor="text1"/>
                <w:kern w:val="0"/>
                <w:sz w:val="21"/>
                <w:szCs w:val="21"/>
                <w:highlight w:val="none"/>
                <w14:textFill>
                  <w14:solidFill>
                    <w14:schemeClr w14:val="tx1"/>
                  </w14:solidFill>
                </w14:textFill>
              </w:rPr>
              <w:t>、植物补植、绿化养护基础设施(含灌溉系统设备设施、接水管道管头、</w:t>
            </w:r>
            <w:r>
              <w:rPr>
                <w:rFonts w:hint="eastAsia" w:ascii="宋体" w:hAnsi="宋体" w:cs="宋体"/>
                <w:color w:val="000000" w:themeColor="text1"/>
                <w:kern w:val="0"/>
                <w:sz w:val="21"/>
                <w:szCs w:val="21"/>
                <w:highlight w:val="none"/>
                <w:lang w:val="en-US" w:eastAsia="zh-CN"/>
                <w14:textFill>
                  <w14:solidFill>
                    <w14:schemeClr w14:val="tx1"/>
                  </w14:solidFill>
                </w14:textFill>
              </w:rPr>
              <w:t>生产用房</w:t>
            </w:r>
            <w:r>
              <w:rPr>
                <w:rFonts w:hint="eastAsia" w:ascii="宋体" w:hAnsi="宋体" w:eastAsia="宋体" w:cs="宋体"/>
                <w:color w:val="000000" w:themeColor="text1"/>
                <w:kern w:val="0"/>
                <w:sz w:val="21"/>
                <w:szCs w:val="21"/>
                <w:highlight w:val="none"/>
                <w14:textFill>
                  <w14:solidFill>
                    <w14:schemeClr w14:val="tx1"/>
                  </w14:solidFill>
                </w14:textFill>
              </w:rPr>
              <w:t>等)的维护维修、绿化垃圾清运等。</w:t>
            </w:r>
          </w:p>
          <w:p w14:paraId="534ABBF7">
            <w:pPr>
              <w:keepNext w:val="0"/>
              <w:keepLines w:val="0"/>
              <w:pageBreakBefore w:val="0"/>
              <w:widowControl w:val="0"/>
              <w:numPr>
                <w:ilvl w:val="0"/>
                <w:numId w:val="4"/>
              </w:numPr>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南宁市花卉公园</w:t>
            </w:r>
          </w:p>
          <w:p w14:paraId="1F0A5CF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负责</w:t>
            </w:r>
            <w:r>
              <w:rPr>
                <w:rFonts w:hint="eastAsia" w:ascii="宋体" w:hAnsi="宋体" w:eastAsia="宋体" w:cs="宋体"/>
                <w:color w:val="000000" w:themeColor="text1"/>
                <w:kern w:val="0"/>
                <w:sz w:val="21"/>
                <w:szCs w:val="21"/>
                <w:highlight w:val="none"/>
                <w14:textFill>
                  <w14:solidFill>
                    <w14:schemeClr w14:val="tx1"/>
                  </w14:solidFill>
                </w14:textFill>
              </w:rPr>
              <w:t>公园管辖范围内39.08万平方米的绿地区域，其中一级养护面积约15.84万平方米，二级养护面积约23.24万平方米。负责所有绿化植物日常养护管理、</w:t>
            </w:r>
            <w:r>
              <w:rPr>
                <w:rFonts w:hint="eastAsia" w:ascii="宋体" w:hAnsi="宋体" w:cs="宋体"/>
                <w:color w:val="000000" w:themeColor="text1"/>
                <w:kern w:val="0"/>
                <w:sz w:val="21"/>
                <w:szCs w:val="21"/>
                <w:highlight w:val="none"/>
                <w:lang w:val="en-US" w:eastAsia="zh-CN"/>
                <w14:textFill>
                  <w14:solidFill>
                    <w14:schemeClr w14:val="tx1"/>
                  </w14:solidFill>
                </w14:textFill>
              </w:rPr>
              <w:t>苗木补种更新及土壤改良</w:t>
            </w:r>
            <w:r>
              <w:rPr>
                <w:rFonts w:hint="eastAsia" w:ascii="宋体" w:hAnsi="宋体" w:eastAsia="宋体" w:cs="宋体"/>
                <w:color w:val="000000" w:themeColor="text1"/>
                <w:kern w:val="0"/>
                <w:sz w:val="21"/>
                <w:szCs w:val="21"/>
                <w:highlight w:val="none"/>
                <w14:textFill>
                  <w14:solidFill>
                    <w14:schemeClr w14:val="tx1"/>
                  </w14:solidFill>
                </w14:textFill>
              </w:rPr>
              <w:t>、黄土裸露整治、植物更换、白蚁防治、绿化垃圾清运、绿化养护基础设施（含灌溉系统设备设施、接水管道管头等）的设备设施、取水口、阀门等的维修维护，</w:t>
            </w:r>
            <w:r>
              <w:rPr>
                <w:rFonts w:hint="eastAsia" w:ascii="宋体" w:hAnsi="宋体" w:cs="宋体"/>
                <w:color w:val="000000" w:themeColor="text1"/>
                <w:kern w:val="0"/>
                <w:sz w:val="21"/>
                <w:szCs w:val="21"/>
                <w:highlight w:val="none"/>
                <w:lang w:val="en-US" w:eastAsia="zh-CN"/>
                <w14:textFill>
                  <w14:solidFill>
                    <w14:schemeClr w14:val="tx1"/>
                  </w14:solidFill>
                </w14:textFill>
              </w:rPr>
              <w:t>生产用房</w:t>
            </w:r>
            <w:r>
              <w:rPr>
                <w:rFonts w:hint="eastAsia" w:ascii="宋体" w:hAnsi="宋体" w:eastAsia="宋体" w:cs="宋体"/>
                <w:color w:val="000000" w:themeColor="text1"/>
                <w:kern w:val="0"/>
                <w:sz w:val="21"/>
                <w:szCs w:val="21"/>
                <w:highlight w:val="none"/>
                <w14:textFill>
                  <w14:solidFill>
                    <w14:schemeClr w14:val="tx1"/>
                  </w14:solidFill>
                </w14:textFill>
              </w:rPr>
              <w:t>日常维修维护等。</w:t>
            </w:r>
          </w:p>
          <w:p w14:paraId="5C76A7A6">
            <w:pPr>
              <w:pageBreakBefore w:val="0"/>
              <w:kinsoku/>
              <w:overflowPunct/>
              <w:topLinePunct w:val="0"/>
              <w:autoSpaceDE/>
              <w:autoSpaceDN/>
              <w:bidi w:val="0"/>
              <w:snapToGrid/>
              <w:spacing w:line="420" w:lineRule="exact"/>
              <w:ind w:firstLine="422" w:firstLineChars="20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备注：</w:t>
            </w:r>
            <w:r>
              <w:rPr>
                <w:rFonts w:hint="eastAsia" w:ascii="宋体" w:hAnsi="宋体" w:eastAsia="宋体" w:cs="宋体"/>
                <w:b/>
                <w:bCs/>
                <w:color w:val="000000" w:themeColor="text1"/>
                <w:kern w:val="0"/>
                <w:sz w:val="21"/>
                <w:szCs w:val="21"/>
                <w:highlight w:val="none"/>
                <w14:textFill>
                  <w14:solidFill>
                    <w14:schemeClr w14:val="tx1"/>
                  </w14:solidFill>
                </w14:textFill>
              </w:rPr>
              <w:t>除以上主要日常管理内容外，还包括其他配合园区重大活动、迎检工作以及常态化开展的节假日服务保障、疫情防控工作等服务保障内容。</w:t>
            </w:r>
          </w:p>
          <w:p w14:paraId="29BE1B0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22" w:firstLineChars="200"/>
              <w:textAlignment w:val="auto"/>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二、人员配置及要求</w:t>
            </w:r>
          </w:p>
          <w:p w14:paraId="62C3202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项目总负责人1人</w:t>
            </w:r>
            <w:r>
              <w:rPr>
                <w:rFonts w:hint="eastAsia" w:ascii="宋体" w:hAnsi="宋体" w:cs="宋体"/>
                <w:color w:val="000000" w:themeColor="text1"/>
                <w:sz w:val="21"/>
                <w:szCs w:val="21"/>
                <w:highlight w:val="none"/>
                <w:lang w:val="en-US" w:eastAsia="zh-CN"/>
                <w14:textFill>
                  <w14:solidFill>
                    <w14:schemeClr w14:val="tx1"/>
                  </w14:solidFill>
                </w14:textFill>
              </w:rPr>
              <w:t>，要求大专（含）以上学历</w:t>
            </w:r>
            <w:r>
              <w:rPr>
                <w:rFonts w:hint="eastAsia" w:ascii="宋体" w:hAnsi="宋体" w:eastAsia="宋体" w:cs="宋体"/>
                <w:color w:val="000000" w:themeColor="text1"/>
                <w:sz w:val="21"/>
                <w:szCs w:val="21"/>
                <w:highlight w:val="none"/>
                <w:lang w:val="en-US" w:eastAsia="zh-CN"/>
                <w14:textFill>
                  <w14:solidFill>
                    <w14:schemeClr w14:val="tx1"/>
                  </w14:solidFill>
                </w14:textFill>
              </w:rPr>
              <w:t>，具有园林</w:t>
            </w:r>
            <w:r>
              <w:rPr>
                <w:rFonts w:hint="eastAsia" w:ascii="宋体" w:hAnsi="宋体" w:cs="宋体"/>
                <w:color w:val="000000" w:themeColor="text1"/>
                <w:sz w:val="21"/>
                <w:szCs w:val="21"/>
                <w:highlight w:val="none"/>
                <w:lang w:val="en-US" w:eastAsia="zh-CN"/>
                <w14:textFill>
                  <w14:solidFill>
                    <w14:schemeClr w14:val="tx1"/>
                  </w14:solidFill>
                </w14:textFill>
              </w:rPr>
              <w:t>/园艺/植保/林学等</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相关专业，具有 </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en-US" w:eastAsia="zh-CN"/>
                <w14:textFill>
                  <w14:solidFill>
                    <w14:schemeClr w14:val="tx1"/>
                  </w14:solidFill>
                </w14:textFill>
              </w:rPr>
              <w:t>年</w:t>
            </w:r>
            <w:r>
              <w:rPr>
                <w:rFonts w:hint="eastAsia" w:ascii="宋体" w:hAnsi="宋体" w:cs="宋体"/>
                <w:color w:val="000000" w:themeColor="text1"/>
                <w:sz w:val="21"/>
                <w:szCs w:val="21"/>
                <w:highlight w:val="none"/>
                <w:lang w:val="en-US" w:eastAsia="zh-CN"/>
                <w14:textFill>
                  <w14:solidFill>
                    <w14:schemeClr w14:val="tx1"/>
                  </w14:solidFill>
                </w14:textFill>
              </w:rPr>
              <w:t>（含）以上</w:t>
            </w:r>
            <w:r>
              <w:rPr>
                <w:rFonts w:hint="eastAsia" w:ascii="宋体" w:hAnsi="宋体" w:eastAsia="宋体" w:cs="宋体"/>
                <w:color w:val="000000" w:themeColor="text1"/>
                <w:sz w:val="21"/>
                <w:szCs w:val="21"/>
                <w:highlight w:val="none"/>
                <w:lang w:val="en-US" w:eastAsia="zh-CN"/>
                <w14:textFill>
                  <w14:solidFill>
                    <w14:schemeClr w14:val="tx1"/>
                  </w14:solidFill>
                </w14:textFill>
              </w:rPr>
              <w:t>园林相关项目负责人工作经验；负责5 个公园的相关工作，每周在园时间不少于 6日，不得兼任其他项目</w:t>
            </w:r>
            <w:r>
              <w:rPr>
                <w:rFonts w:hint="eastAsia" w:ascii="宋体" w:hAnsi="宋体" w:cs="宋体"/>
                <w:color w:val="000000" w:themeColor="text1"/>
                <w:sz w:val="21"/>
                <w:szCs w:val="21"/>
                <w:highlight w:val="none"/>
                <w:lang w:val="en-US" w:eastAsia="zh-CN"/>
                <w14:textFill>
                  <w14:solidFill>
                    <w14:schemeClr w14:val="tx1"/>
                  </w14:solidFill>
                </w14:textFill>
              </w:rPr>
              <w:t>或本项目的其他岗位（安全员除外）。</w:t>
            </w:r>
          </w:p>
          <w:p w14:paraId="7077920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现场负责人5人，具体要求如下：</w:t>
            </w:r>
          </w:p>
          <w:p w14:paraId="1C02320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具有园林</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园艺</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植保</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林学等</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相关专业，不少于2年园林相关工作经验。每人驻点1个公园，不得兼任其他公园或其他项目或本公园的其他岗位（安全员除外），每周在岗6日，重要活动必须在岗。</w:t>
            </w:r>
          </w:p>
          <w:p w14:paraId="04DD64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（三）技术员7人，具体要求如下：</w:t>
            </w:r>
          </w:p>
          <w:p w14:paraId="6F526C0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1.植保员2人，植保</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园林</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园艺</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农学</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林学等与植物病虫害防治相关专业或农作物植保员、林业有害生物防治员、园林植保工等国家/行业认可职业等级证书，具有不少于2年园林相关工作经验。每周在园时间不少于6日，不得兼任其他项目或本项目的其他岗位（安全员除外）。</w:t>
            </w:r>
          </w:p>
          <w:p w14:paraId="3A518BB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2.驻点技术员5人，具有园林</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园艺</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植保</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林学等相关专业，具有不少于2年园林相关工作经验。每人驻点1个公园，不</w:t>
            </w:r>
            <w:r>
              <w:rPr>
                <w:rFonts w:hint="eastAsia" w:ascii="宋体" w:hAnsi="宋体" w:cs="宋体"/>
                <w:i w:val="0"/>
                <w:iCs w:val="0"/>
                <w:color w:val="000000" w:themeColor="text1"/>
                <w:kern w:val="0"/>
                <w:sz w:val="21"/>
                <w:szCs w:val="21"/>
                <w:highlight w:val="none"/>
                <w:u w:val="none"/>
                <w:lang w:val="en-US" w:eastAsia="zh-CN" w:bidi="ar"/>
                <w14:textFill>
                  <w14:solidFill>
                    <w14:schemeClr w14:val="tx1"/>
                  </w14:solidFill>
                </w14:textFill>
              </w:rPr>
              <w:t>得</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兼任其他公园或其他项目或本公园的其他岗位（安全员除外），每周在岗6日。</w:t>
            </w:r>
          </w:p>
          <w:p w14:paraId="4E7800F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（四）一线作业人员不少于205人，其中南宁市南湖公园不少于65人，南宁市人民公园不少于38人，南宁市金花茶公园不少于32人，南宁市石门公园不少于30人，南宁市花卉公园不少于40人，具体要求如下：</w:t>
            </w:r>
          </w:p>
          <w:p w14:paraId="71D273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年总用工量不低于56126工日（每个工日按8小时计），其中南宁市南湖公园不低于17810工日，南宁市人民公园不低于10368工日，南宁市金花茶公园不低于8768工日，南宁市石门公园不低于8220工日，南宁市花卉公园不低于10960工日。</w:t>
            </w:r>
          </w:p>
          <w:p w14:paraId="09D141F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1.南宁市南湖公园：工作日每日不少于45工日；周末每日不少于30工日；法定节假日每日不少于10工日。</w:t>
            </w:r>
          </w:p>
          <w:p w14:paraId="7C4D6C0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2.南宁市人民公园：工作日每日不少于30工日；周末每日不少于14工日；法定节假日每日不少于7工日。</w:t>
            </w:r>
          </w:p>
          <w:p w14:paraId="227D3CD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3.南宁市金花茶公园：工作日每日不少于25工日；周末每日不少于10工日；法定节假日每日不少于6工日。</w:t>
            </w:r>
          </w:p>
          <w:p w14:paraId="31D9F32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4.南宁市石门公园：周末每日不少于15工日，法定节假日每日不少于10工日。每年3-6月、9-10月工作日每日不少于30工日；每年7-8月工作日每日不少于25工日；每年11-2月工作日每日不少于18工日。</w:t>
            </w:r>
          </w:p>
          <w:p w14:paraId="28B28CC7">
            <w:pPr>
              <w:pStyle w:val="10"/>
              <w:keepNext w:val="0"/>
              <w:keepLines w:val="0"/>
              <w:pageBreakBefore w:val="0"/>
              <w:widowControl w:val="0"/>
              <w:numPr>
                <w:ilvl w:val="0"/>
                <w:numId w:val="0"/>
              </w:numPr>
              <w:kinsoku/>
              <w:wordWrap/>
              <w:overflowPunct/>
              <w:topLinePunct w:val="0"/>
              <w:autoSpaceDE/>
              <w:autoSpaceDN/>
              <w:bidi w:val="0"/>
              <w:adjustRightInd/>
              <w:snapToGrid/>
              <w:spacing w:after="0"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5.南宁市花卉公园：工作日每日不少于40工日；周末每日不少于20工日；法定节假日每日不少于8工日。</w:t>
            </w:r>
          </w:p>
          <w:p w14:paraId="28ABC4AD">
            <w:pPr>
              <w:pStyle w:val="10"/>
              <w:keepNext w:val="0"/>
              <w:keepLines w:val="0"/>
              <w:pageBreakBefore w:val="0"/>
              <w:widowControl w:val="0"/>
              <w:kinsoku/>
              <w:wordWrap/>
              <w:overflowPunct/>
              <w:topLinePunct w:val="0"/>
              <w:autoSpaceDE/>
              <w:autoSpaceDN/>
              <w:bidi w:val="0"/>
              <w:adjustRightInd/>
              <w:snapToGrid/>
              <w:spacing w:after="0"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（五）安全员10人，由投入本项目人员兼任，具有有效的安全生产管理人员安全培训合格证书，每个公园驻点2人。</w:t>
            </w:r>
          </w:p>
          <w:p w14:paraId="04F2E935">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备注：</w:t>
            </w:r>
          </w:p>
          <w:p w14:paraId="16E63A42">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t>①</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进场服务前，需为投入本项目的所有服务人员投保人身意外保险；进场服务后10个工作日内提交投保凭证复印件，加盖中标供应商公章后交服务需求单位存档。</w:t>
            </w:r>
          </w:p>
          <w:p w14:paraId="480276F0">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②在履行期间，项目总负责人和现场负责人不得中途减少人员数量；如人员变更需提前10个工作日向服务需求单位办理变更手续，自主变更每年不超过2人次（特殊情况除外），且替换人员不得低于中标供应商投标时响应的人员配置要求；若达不到服务需求单位要求的，服务需求单位有权要求更换。</w:t>
            </w:r>
          </w:p>
          <w:p w14:paraId="2E154146">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▲③投标时，投标人须提供项目总负责人及现场负责人开标前6个月内任意1个月的社保缴纳凭证复印件，加盖投标人公章（依法无需缴纳应作出书面说明并提供相关证明材料）。</w:t>
            </w:r>
          </w:p>
          <w:p w14:paraId="5FC7CF67">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④服务需求单位与中标供应商的服务人员不存在任何劳动、劳务、劳务派遣或雇佣关系，中标供应商应主动向服务人员披露该情况。</w:t>
            </w:r>
          </w:p>
          <w:p w14:paraId="56FE889E">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⑤特种岗位须符合安全生产作业要求并持有有效特种作业上岗证（如高空作业、电工作业、焊接作业等）。</w:t>
            </w:r>
          </w:p>
          <w:p w14:paraId="5F61801D">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⑥</w:t>
            </w:r>
            <w:r>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t>租赁的专项作业车辆所配备的驾驶员、工作人员等不计入工日总量。</w:t>
            </w:r>
            <w:bookmarkStart w:id="763" w:name="_GoBack"/>
            <w:bookmarkEnd w:id="763"/>
          </w:p>
          <w:p w14:paraId="4AAEEFD6">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t>⑦鼓励采用机械化、智能化方式替代人工养护作业。服务期内，如中标供应商提出相关替代或优化方案，经服务需求单位同意，可在确保养护效果不低于现有人工作业水平的前提下实施，并根据方案实施情况相应抵扣约定服务工日。</w:t>
            </w:r>
          </w:p>
          <w:p w14:paraId="47C78491">
            <w:pPr>
              <w:pageBreakBefore w:val="0"/>
              <w:kinsoku/>
              <w:overflowPunct/>
              <w:topLinePunct w:val="0"/>
              <w:autoSpaceDE/>
              <w:autoSpaceDN/>
              <w:bidi w:val="0"/>
              <w:snapToGrid/>
              <w:spacing w:line="420" w:lineRule="exact"/>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t xml:space="preserve">    ⑧投入本项目所有人员须</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无不良嗜好，具备与岗位匹配的工作能力、素养及责任意识。</w:t>
            </w:r>
          </w:p>
          <w:p w14:paraId="32D71B53">
            <w:pPr>
              <w:pStyle w:val="10"/>
              <w:keepNext w:val="0"/>
              <w:keepLines w:val="0"/>
              <w:pageBreakBefore w:val="0"/>
              <w:widowControl w:val="0"/>
              <w:kinsoku/>
              <w:wordWrap/>
              <w:overflowPunct/>
              <w:topLinePunct w:val="0"/>
              <w:autoSpaceDE/>
              <w:autoSpaceDN/>
              <w:bidi w:val="0"/>
              <w:adjustRightInd/>
              <w:snapToGrid/>
              <w:spacing w:after="0" w:line="420" w:lineRule="exact"/>
              <w:ind w:firstLine="422" w:firstLineChars="200"/>
              <w:textAlignment w:val="auto"/>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t>三、工作时间及纪律要求</w:t>
            </w:r>
          </w:p>
          <w:p w14:paraId="0C17AA8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（一）除已报备的突发事件、应急抢险作业外，原则上工作时段为：08:00-12:00，14:30-17:30，各公园可结合实际调整。</w:t>
            </w:r>
          </w:p>
          <w:p w14:paraId="748C10E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（二）项目总负责人、现场负责人、技术员因事无法到岗，需提前一天向</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进行报备，同意后方可离岗，且需补充其他同等级人员到岗，原则上一次最多请假1人/日，且不能连续超过3日，非工作日至少1人在岗。</w:t>
            </w:r>
          </w:p>
          <w:p w14:paraId="7086690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（三）中标供应商须加强对本项目工作人员的教育和管理，保证遵纪守法，使用礼貌用语，文明服务，如服务期间在服务范围内发生不文明、违法违纪等行为的，中标供应商将承担相关的管理和法律责任。</w:t>
            </w:r>
          </w:p>
          <w:p w14:paraId="1819E1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w:t>
            </w:r>
            <w:r>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t>四、物资配置要求</w:t>
            </w:r>
          </w:p>
          <w:p w14:paraId="6D91B32C">
            <w:pPr>
              <w:keepNext w:val="0"/>
              <w:keepLines w:val="0"/>
              <w:pageBreakBefore w:val="0"/>
              <w:numPr>
                <w:ilvl w:val="0"/>
                <w:numId w:val="0"/>
              </w:numPr>
              <w:kinsoku/>
              <w:overflowPunct/>
              <w:topLinePunct w:val="0"/>
              <w:autoSpaceDE/>
              <w:autoSpaceDN/>
              <w:bidi w:val="0"/>
              <w:snapToGrid/>
              <w:spacing w:line="420" w:lineRule="exact"/>
              <w:ind w:leftChars="0" w:firstLine="420" w:firstLineChars="200"/>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一</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机械、器具配置要求</w:t>
            </w:r>
          </w:p>
          <w:p w14:paraId="26DE5688">
            <w:pPr>
              <w:pageBreakBefore w:val="0"/>
              <w:kinsoku/>
              <w:overflowPunct/>
              <w:topLinePunct w:val="0"/>
              <w:autoSpaceDE/>
              <w:autoSpaceDN/>
              <w:bidi w:val="0"/>
              <w:snapToGrid/>
              <w:spacing w:line="420" w:lineRule="exact"/>
              <w:ind w:firstLine="420" w:firstLineChars="200"/>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1.洒水车：不少于2台，要求水箱容量4吨（含）以上，按需提供。</w:t>
            </w:r>
          </w:p>
          <w:p w14:paraId="56B4063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2.高空作业车：按需提供，年使用数量不少于</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319</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台班，其中南宁市南湖公园不少于156台班，南宁市人民公园不少于</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124</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台班，南宁市金花</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茶</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公园不少于25台班，南宁市石门公园不少于7台班，南宁市花卉公园不少于7台班。</w:t>
            </w:r>
          </w:p>
          <w:p w14:paraId="515700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3.打药车：按需提供，年使用数量不少于</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75</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台班，其中南宁市南湖公园不少于20台班，南宁市人民公园不少于</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20</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台班，南宁市金</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花</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茶公园不少于5台班，南宁市石门公园不少于25台班，南宁市花卉公园不少于5台班。</w:t>
            </w:r>
          </w:p>
          <w:p w14:paraId="156A531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4.微耕机：3台，其中1台驻点南宁市人民公园，其余2台根据其他公园的要求，按需提供。</w:t>
            </w:r>
          </w:p>
          <w:p w14:paraId="7556E2E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5.钻孔机：4台。孔径不小于15cm，根据各公园的要求，按需提供。</w:t>
            </w:r>
          </w:p>
          <w:p w14:paraId="6525285D">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6.电动喷雾器：23台。其中6台驻点南宁市南湖公园、6台驻点南宁市人民公园、3台驻点南宁市金花茶公园、3台驻点南宁市石门公园、</w:t>
            </w:r>
            <w:r>
              <w:rPr>
                <w:rStyle w:val="40"/>
                <w:rFonts w:hint="eastAsia" w:ascii="宋体" w:hAnsi="宋体" w:eastAsia="宋体" w:cs="宋体"/>
                <w:color w:val="000000" w:themeColor="text1"/>
                <w:sz w:val="21"/>
                <w:szCs w:val="21"/>
                <w:highlight w:val="none"/>
                <w14:textFill>
                  <w14:solidFill>
                    <w14:schemeClr w14:val="tx1"/>
                  </w14:solidFill>
                </w14:textFill>
              </w:rPr>
              <w:t>5台驻点南宁市花卉公园。</w:t>
            </w:r>
          </w:p>
          <w:p w14:paraId="08596BF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7</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打药机：13台，水箱容量不小于300升，非组装。其中6台驻点南宁市南湖公园、2台驻点南宁市人民公园、3台驻点南宁市金花茶公园、2台驻点南宁市花卉公园。</w:t>
            </w:r>
          </w:p>
          <w:p w14:paraId="2686A5B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8.油锯：20台。其中6台驻点南宁市南湖公园、4台驻点南宁市人民公园、3台驻点南宁市金花茶公园（至少有1台是电动油锯）、4台驻点南宁市石门公园、3台驻点南宁市花卉公园。</w:t>
            </w:r>
          </w:p>
          <w:p w14:paraId="3D1BF51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9.高空油锯：12台。其中4台驻点南宁市南湖公园、4台驻点南宁市人民公园、2台驻点南宁市金花茶、2台驻点南宁市花卉公园。</w:t>
            </w:r>
          </w:p>
          <w:p w14:paraId="2EE9E2B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10.草坪修剪机：</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16</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台。其中</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4</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台驻点南宁市南湖公园、</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2</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台驻点南宁市人民公园、</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2</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台驻点南宁市金花茶公园、</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3</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台驻点南宁市石门公园、5台驻点南宁市花卉公园。</w:t>
            </w:r>
          </w:p>
          <w:p w14:paraId="2E1FCDE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11.割灌机：</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27</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台。其中</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8</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台驻点南宁市南湖公园、4台驻点南宁市人民公园、</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1</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台驻点南宁市金花茶公园、</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11</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台驻点南宁市石门公园、3台驻点南宁市花卉公园。</w:t>
            </w:r>
          </w:p>
          <w:p w14:paraId="002EE9A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12.绿篱机：26台。其中13台驻点南宁市南湖公园、4台驻点南宁市人民公园、2台驻点南宁市金花茶公园、3台驻点南宁市石门公园、4台驻点南宁市花卉公园。</w:t>
            </w:r>
          </w:p>
          <w:p w14:paraId="526451F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13.高枝绿篱机：11台。其中4台驻点南宁市南湖公园、4台驻点南宁市人民公园、1台驻点南宁市花卉公园、1台驻点南宁市金花茶公园、</w:t>
            </w:r>
            <w:r>
              <w:rPr>
                <w:rStyle w:val="40"/>
                <w:rFonts w:hint="eastAsia" w:ascii="宋体" w:hAnsi="宋体" w:eastAsia="宋体" w:cs="宋体"/>
                <w:color w:val="000000" w:themeColor="text1"/>
                <w:sz w:val="21"/>
                <w:szCs w:val="21"/>
                <w:highlight w:val="none"/>
                <w14:textFill>
                  <w14:solidFill>
                    <w14:schemeClr w14:val="tx1"/>
                  </w14:solidFill>
                </w14:textFill>
              </w:rPr>
              <w:t>1台驻点南宁市石门公园。</w:t>
            </w:r>
          </w:p>
          <w:p w14:paraId="3B2BB5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14.抽水机：6台。其中4台驻点南宁市南湖公园、2台驻点南宁市人民公园。</w:t>
            </w:r>
          </w:p>
          <w:p w14:paraId="5CD66E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15.电动三轮车：29台，</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货厢容量不小于700升。</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其中15台驻点南宁市南湖公园、6台驻点南宁市人民公园、3 台驻点南宁市金花茶公园、2台驻点南宁市石门公园、3台驻点南宁市花卉公园。</w:t>
            </w:r>
          </w:p>
          <w:p w14:paraId="7E96530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16.高空</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枝剪：28把，其中13把驻点南宁市南湖公园、8把驻点南宁市人民公园、3把驻点南宁市金花茶公园、4把驻点南宁市花卉公园。</w:t>
            </w:r>
          </w:p>
          <w:p w14:paraId="47D219E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17.吹吸两用机：4台。其中2台驻点南宁市人民公园、2台驻点南宁市花卉公园。</w:t>
            </w:r>
          </w:p>
          <w:p w14:paraId="3E1EF1F5">
            <w:pPr>
              <w:pStyle w:val="6"/>
              <w:pageBreakBefore w:val="0"/>
              <w:widowControl w:val="0"/>
              <w:kinsoku/>
              <w:wordWrap/>
              <w:overflowPunct/>
              <w:topLinePunct w:val="0"/>
              <w:autoSpaceDE/>
              <w:autoSpaceDN/>
              <w:bidi w:val="0"/>
              <w:adjustRightInd/>
              <w:snapToGrid/>
              <w:spacing w:before="0" w:after="0" w:line="420" w:lineRule="exact"/>
              <w:ind w:firstLine="420" w:firstLineChars="200"/>
              <w:textAlignment w:val="auto"/>
              <w:rPr>
                <w:rStyle w:val="40"/>
                <w:rFonts w:hint="eastAsia" w:ascii="宋体" w:hAnsi="宋体" w:eastAsia="宋体" w:cs="宋体"/>
                <w:b w:val="0"/>
                <w:bCs w:val="0"/>
                <w:color w:val="000000" w:themeColor="text1"/>
                <w:kern w:val="2"/>
                <w:sz w:val="21"/>
                <w:szCs w:val="21"/>
                <w:highlight w:val="none"/>
                <w:lang w:val="en-US" w:eastAsia="zh-CN" w:bidi="ar"/>
                <w14:textFill>
                  <w14:solidFill>
                    <w14:schemeClr w14:val="tx1"/>
                  </w14:solidFill>
                </w14:textFill>
              </w:rPr>
            </w:pPr>
            <w:r>
              <w:rPr>
                <w:rStyle w:val="40"/>
                <w:rFonts w:hint="eastAsia" w:ascii="宋体" w:hAnsi="宋体" w:eastAsia="宋体" w:cs="宋体"/>
                <w:b w:val="0"/>
                <w:bCs w:val="0"/>
                <w:color w:val="000000" w:themeColor="text1"/>
                <w:kern w:val="2"/>
                <w:sz w:val="21"/>
                <w:szCs w:val="21"/>
                <w:highlight w:val="none"/>
                <w:lang w:val="en-US" w:eastAsia="zh-CN" w:bidi="ar"/>
                <w14:textFill>
                  <w14:solidFill>
                    <w14:schemeClr w14:val="tx1"/>
                  </w14:solidFill>
                </w14:textFill>
              </w:rPr>
              <w:t>18.玻璃钢船：1艘，驻点南宁市人民公园1艘(4.2米*1.3米*0.5米，双层纤维)。</w:t>
            </w:r>
          </w:p>
          <w:p w14:paraId="63045F40">
            <w:pPr>
              <w:numPr>
                <w:ilvl w:val="0"/>
                <w:numId w:val="0"/>
              </w:numPr>
              <w:spacing w:line="400" w:lineRule="exact"/>
              <w:ind w:firstLine="420" w:firstLineChars="200"/>
              <w:rPr>
                <w:rFonts w:hint="eastAsia"/>
                <w:color w:val="000000" w:themeColor="text1"/>
                <w:highlight w:val="none"/>
                <w:lang w:val="en-US" w:eastAsia="zh-CN"/>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19.6米升降三角梯：24把。其中10把驻点南宁市南湖公园、4把驻点南宁市人民公园、4把驻点南宁市金花茶公园、1把驻点南宁市石门公园、5把驻点南宁市花卉公园。</w:t>
            </w:r>
          </w:p>
          <w:p w14:paraId="2F5B57A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2" w:firstLineChars="200"/>
              <w:textAlignment w:val="auto"/>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备注：1.高空作业车、打药车的台班数为最低数量要求，若未满足工作需求的，由中标供应商按需提供；高空作业车、打药车的台班数可视工作实际需要，经服务需求单位同意后等量变更为其他特种车台班。2.签订合同后中标供应商</w:t>
            </w:r>
            <w:r>
              <w:rPr>
                <w:rFonts w:hint="eastAsia" w:ascii="宋体" w:hAnsi="宋体" w:cs="宋体"/>
                <w:b/>
                <w:bCs/>
                <w:i w:val="0"/>
                <w:iCs w:val="0"/>
                <w:color w:val="000000" w:themeColor="text1"/>
                <w:kern w:val="0"/>
                <w:sz w:val="21"/>
                <w:szCs w:val="21"/>
                <w:highlight w:val="none"/>
                <w:u w:val="none"/>
                <w:lang w:val="en-US" w:eastAsia="zh-CN" w:bidi="ar"/>
                <w14:textFill>
                  <w14:solidFill>
                    <w14:schemeClr w14:val="tx1"/>
                  </w14:solidFill>
                </w14:textFill>
              </w:rPr>
              <w:t>须向</w:t>
            </w:r>
            <w:r>
              <w:rPr>
                <w:rFonts w:hint="eastAsia" w:ascii="宋体" w:hAnsi="宋体" w:eastAsia="宋体" w:cs="宋体"/>
                <w:b/>
                <w:bCs/>
                <w:i w:val="0"/>
                <w:iCs w:val="0"/>
                <w:color w:val="000000" w:themeColor="text1"/>
                <w:kern w:val="0"/>
                <w:sz w:val="21"/>
                <w:szCs w:val="21"/>
                <w:highlight w:val="none"/>
                <w:u w:val="none"/>
                <w:lang w:val="en-US" w:eastAsia="zh-CN" w:bidi="ar"/>
                <w14:textFill>
                  <w14:solidFill>
                    <w14:schemeClr w14:val="tx1"/>
                  </w14:solidFill>
                </w14:textFill>
              </w:rPr>
              <w:t>服务需求单位提供洒水车发票或租赁合同复印件，用于核验（租赁服务期需满足本项目的服务时间）。</w:t>
            </w:r>
          </w:p>
          <w:p w14:paraId="0B11D51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val="0"/>
                <w:bCs w:val="0"/>
                <w:color w:val="000000" w:themeColor="text1"/>
                <w:kern w:val="2"/>
                <w:sz w:val="21"/>
                <w:szCs w:val="21"/>
                <w:highlight w:val="none"/>
                <w:lang w:val="en-US" w:eastAsia="zh-CN" w:bidi="ar"/>
                <w14:textFill>
                  <w14:solidFill>
                    <w14:schemeClr w14:val="tx1"/>
                  </w14:solidFill>
                </w14:textFill>
              </w:rPr>
            </w:pPr>
            <w:r>
              <w:rPr>
                <w:rStyle w:val="40"/>
                <w:rFonts w:hint="eastAsia" w:ascii="宋体" w:hAnsi="宋体" w:eastAsia="宋体" w:cs="宋体"/>
                <w:b w:val="0"/>
                <w:bCs w:val="0"/>
                <w:color w:val="000000" w:themeColor="text1"/>
                <w:sz w:val="21"/>
                <w:szCs w:val="21"/>
                <w:highlight w:val="none"/>
                <w:lang w:val="en-US" w:eastAsia="zh-CN" w:bidi="ar"/>
                <w14:textFill>
                  <w14:solidFill>
                    <w14:schemeClr w14:val="tx1"/>
                  </w14:solidFill>
                </w14:textFill>
              </w:rPr>
              <w:t>（二）</w:t>
            </w:r>
            <w:r>
              <w:rPr>
                <w:rFonts w:hint="eastAsia" w:ascii="宋体" w:hAnsi="宋体" w:eastAsia="宋体" w:cs="宋体"/>
                <w:b w:val="0"/>
                <w:bCs w:val="0"/>
                <w:color w:val="000000" w:themeColor="text1"/>
                <w:kern w:val="2"/>
                <w:sz w:val="21"/>
                <w:szCs w:val="21"/>
                <w:highlight w:val="none"/>
                <w:lang w:val="en-US" w:eastAsia="zh-CN" w:bidi="ar"/>
                <w14:textFill>
                  <w14:solidFill>
                    <w14:schemeClr w14:val="tx1"/>
                  </w14:solidFill>
                </w14:textFill>
              </w:rPr>
              <w:t>工具、耗材配置要求</w:t>
            </w:r>
          </w:p>
          <w:p w14:paraId="2CC13A5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满足日常养护工作所需质量和数量的工具及耗材，主要指生产工具、个人劳保用品及安全防护用具。包括但不限于铲、锄头、洞敲、十字锄、手锯、枝剪、淋水胶管、取水阀、斗车、梯子、清扫工具、手套、口罩、雨衣、安全服、安全锥、警示牌、警示带、告示牌、打草防护网、灭火器、防蜂服、植物防护材料、油料、施工围栏（高度不低于1.2m）、施工挡板高度（不低于1.8m）、维修工具等。</w:t>
            </w:r>
          </w:p>
          <w:p w14:paraId="0F18DD8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（三）其他</w:t>
            </w:r>
          </w:p>
          <w:p w14:paraId="5FA409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中标供应商须为所有工作人员配备统一工作服（工作服样式须经</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服务需求单位</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核准）；按</w:t>
            </w:r>
            <w:r>
              <w:rPr>
                <w:rStyle w:val="40"/>
                <w:rFonts w:hint="eastAsia" w:ascii="宋体" w:hAnsi="宋体" w:cs="宋体"/>
                <w:color w:val="000000" w:themeColor="text1"/>
                <w:sz w:val="21"/>
                <w:szCs w:val="21"/>
                <w:highlight w:val="none"/>
                <w:lang w:val="en-US" w:eastAsia="zh-CN" w:bidi="ar"/>
                <w14:textFill>
                  <w14:solidFill>
                    <w14:schemeClr w14:val="tx1"/>
                  </w14:solidFill>
                </w14:textFill>
              </w:rPr>
              <w:t>服务需求单位</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要求配置巡查工作车（两轮电动车）。</w:t>
            </w:r>
          </w:p>
          <w:p w14:paraId="38840FDD">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firstLine="422" w:firstLineChars="200"/>
              <w:textAlignment w:val="auto"/>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b/>
                <w:bCs/>
                <w:color w:val="000000" w:themeColor="text1"/>
                <w:sz w:val="21"/>
                <w:szCs w:val="21"/>
                <w:highlight w:val="none"/>
                <w:lang w:val="en-US" w:eastAsia="zh-CN" w:bidi="ar"/>
                <w14:textFill>
                  <w14:solidFill>
                    <w14:schemeClr w14:val="tx1"/>
                  </w14:solidFill>
                </w14:textFill>
              </w:rPr>
              <w:t>绿化养护管理服务要求</w:t>
            </w:r>
          </w:p>
          <w:p w14:paraId="4F6C4AAC">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Style w:val="40"/>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（一）养护方案及要求</w:t>
            </w:r>
          </w:p>
          <w:p w14:paraId="58BAD4D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1.结合本项目的要求及特点，制定科学、合理、可行并达到本项目养护标准和质量要求的养护方案，内容包括：土水肥管理、修剪、病虫害防治、植物防护、白蚁防治、大树（古树名木）养护、绿化垃圾及危险废弃物处置，设施维护，公园重点区域、重要景观节点及重点植物等 （具体内容详见附件）。</w:t>
            </w:r>
          </w:p>
          <w:p w14:paraId="3641AD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pP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▲2.中标供应商进场后，须结合各公园实际制定养护细案，并提交</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Style w:val="40"/>
                <w:rFonts w:hint="eastAsia" w:ascii="宋体" w:hAnsi="宋体" w:eastAsia="宋体" w:cs="宋体"/>
                <w:color w:val="000000" w:themeColor="text1"/>
                <w:sz w:val="21"/>
                <w:szCs w:val="21"/>
                <w:highlight w:val="none"/>
                <w:lang w:val="en-US" w:eastAsia="zh-CN" w:bidi="ar"/>
                <w14:textFill>
                  <w14:solidFill>
                    <w14:schemeClr w14:val="tx1"/>
                  </w14:solidFill>
                </w14:textFill>
              </w:rPr>
              <w:t>审核同意方可实施。</w:t>
            </w:r>
          </w:p>
          <w:p w14:paraId="5C50C781">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管理方案及要求</w:t>
            </w:r>
          </w:p>
          <w:p w14:paraId="1F51CB71">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宋体" w:hAnsi="宋体" w:eastAsia="宋体" w:cs="宋体"/>
                <w:strike/>
                <w:dstrike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1.制定工作预案（包含</w:t>
            </w:r>
            <w:r>
              <w:rPr>
                <w:rFonts w:hint="eastAsia" w:ascii="宋体" w:hAnsi="宋体" w:eastAsia="宋体" w:cs="宋体"/>
                <w:color w:val="000000" w:themeColor="text1"/>
                <w:sz w:val="21"/>
                <w:szCs w:val="21"/>
                <w:highlight w:val="none"/>
                <w14:textFill>
                  <w14:solidFill>
                    <w14:schemeClr w14:val="tx1"/>
                  </w14:solidFill>
                </w14:textFill>
              </w:rPr>
              <w:t>大型活动、重要节假日、</w:t>
            </w:r>
            <w:r>
              <w:rPr>
                <w:rFonts w:hint="eastAsia" w:ascii="宋体" w:hAnsi="宋体" w:eastAsia="宋体" w:cs="宋体"/>
                <w:color w:val="000000" w:themeColor="text1"/>
                <w:sz w:val="21"/>
                <w:szCs w:val="21"/>
                <w:highlight w:val="none"/>
                <w:lang w:val="en-US" w:eastAsia="zh-CN"/>
                <w14:textFill>
                  <w14:solidFill>
                    <w14:schemeClr w14:val="tx1"/>
                  </w14:solidFill>
                </w14:textFill>
              </w:rPr>
              <w:t>各类</w:t>
            </w:r>
            <w:r>
              <w:rPr>
                <w:rFonts w:hint="eastAsia" w:ascii="宋体" w:hAnsi="宋体" w:eastAsia="宋体" w:cs="宋体"/>
                <w:color w:val="000000" w:themeColor="text1"/>
                <w:sz w:val="21"/>
                <w:szCs w:val="21"/>
                <w:highlight w:val="none"/>
                <w14:textFill>
                  <w14:solidFill>
                    <w14:schemeClr w14:val="tx1"/>
                  </w14:solidFill>
                </w14:textFill>
              </w:rPr>
              <w:t>迎检</w:t>
            </w:r>
            <w:r>
              <w:rPr>
                <w:rFonts w:hint="eastAsia" w:ascii="宋体" w:hAnsi="宋体" w:eastAsia="宋体" w:cs="宋体"/>
                <w:color w:val="000000" w:themeColor="text1"/>
                <w:sz w:val="21"/>
                <w:szCs w:val="21"/>
                <w:highlight w:val="none"/>
                <w:lang w:val="en-US" w:eastAsia="zh-CN"/>
                <w14:textFill>
                  <w14:solidFill>
                    <w14:schemeClr w14:val="tx1"/>
                  </w14:solidFill>
                </w14:textFill>
              </w:rPr>
              <w:t>等）</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进场后</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结合各公园要求，制定细案。</w:t>
            </w:r>
          </w:p>
          <w:p w14:paraId="2295E32E">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制定切合实际的培训方案（含</w:t>
            </w:r>
            <w:r>
              <w:rPr>
                <w:rFonts w:hint="eastAsia" w:ascii="宋体" w:hAnsi="宋体" w:eastAsia="宋体" w:cs="宋体"/>
                <w:color w:val="000000" w:themeColor="text1"/>
                <w:sz w:val="21"/>
                <w:szCs w:val="21"/>
                <w:highlight w:val="none"/>
                <w:lang w:val="en-US" w:eastAsia="zh-CN"/>
                <w14:textFill>
                  <w14:solidFill>
                    <w14:schemeClr w14:val="tx1"/>
                  </w14:solidFill>
                </w14:textFill>
              </w:rPr>
              <w:t>岗前培训、</w:t>
            </w:r>
            <w:r>
              <w:rPr>
                <w:rFonts w:hint="eastAsia" w:ascii="宋体" w:hAnsi="宋体" w:eastAsia="宋体" w:cs="宋体"/>
                <w:color w:val="000000" w:themeColor="text1"/>
                <w:sz w:val="21"/>
                <w:szCs w:val="21"/>
                <w:highlight w:val="none"/>
                <w14:textFill>
                  <w14:solidFill>
                    <w14:schemeClr w14:val="tx1"/>
                  </w14:solidFill>
                </w14:textFill>
              </w:rPr>
              <w:t>技术</w:t>
            </w:r>
            <w:r>
              <w:rPr>
                <w:rFonts w:hint="eastAsia" w:ascii="宋体" w:hAnsi="宋体" w:eastAsia="宋体" w:cs="宋体"/>
                <w:color w:val="000000" w:themeColor="text1"/>
                <w:sz w:val="21"/>
                <w:szCs w:val="21"/>
                <w:highlight w:val="none"/>
                <w:lang w:val="en-US" w:eastAsia="zh-CN"/>
                <w14:textFill>
                  <w14:solidFill>
                    <w14:schemeClr w14:val="tx1"/>
                  </w14:solidFill>
                </w14:textFill>
              </w:rPr>
              <w:t>类</w:t>
            </w:r>
            <w:r>
              <w:rPr>
                <w:rFonts w:hint="eastAsia" w:ascii="宋体" w:hAnsi="宋体" w:eastAsia="宋体" w:cs="宋体"/>
                <w:color w:val="000000" w:themeColor="text1"/>
                <w:sz w:val="21"/>
                <w:szCs w:val="21"/>
                <w:highlight w:val="none"/>
                <w14:textFill>
                  <w14:solidFill>
                    <w14:schemeClr w14:val="tx1"/>
                  </w14:solidFill>
                </w14:textFill>
              </w:rPr>
              <w:t>和管理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类</w:t>
            </w:r>
            <w:r>
              <w:rPr>
                <w:rFonts w:hint="eastAsia" w:ascii="宋体" w:hAnsi="宋体" w:eastAsia="宋体" w:cs="宋体"/>
                <w:color w:val="000000" w:themeColor="text1"/>
                <w:sz w:val="21"/>
                <w:szCs w:val="21"/>
                <w:highlight w:val="none"/>
                <w14:textFill>
                  <w14:solidFill>
                    <w14:schemeClr w14:val="tx1"/>
                  </w14:solidFill>
                </w14:textFill>
              </w:rPr>
              <w:t>培训</w:t>
            </w:r>
            <w:r>
              <w:rPr>
                <w:rFonts w:hint="eastAsia" w:ascii="宋体" w:hAnsi="宋体" w:eastAsia="宋体" w:cs="宋体"/>
                <w:color w:val="000000" w:themeColor="text1"/>
                <w:sz w:val="21"/>
                <w:szCs w:val="21"/>
                <w:highlight w:val="none"/>
                <w:lang w:val="en-US" w:eastAsia="zh-CN"/>
                <w14:textFill>
                  <w14:solidFill>
                    <w14:schemeClr w14:val="tx1"/>
                  </w14:solidFill>
                </w14:textFill>
              </w:rPr>
              <w:t>等</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进场后，</w:t>
            </w:r>
            <w:r>
              <w:rPr>
                <w:rFonts w:hint="eastAsia" w:ascii="宋体" w:hAnsi="宋体" w:eastAsia="宋体" w:cs="宋体"/>
                <w:color w:val="000000" w:themeColor="text1"/>
                <w:sz w:val="21"/>
                <w:szCs w:val="21"/>
                <w:highlight w:val="none"/>
                <w14:textFill>
                  <w14:solidFill>
                    <w14:schemeClr w14:val="tx1"/>
                  </w14:solidFill>
                </w14:textFill>
              </w:rPr>
              <w:t>每个季度</w:t>
            </w:r>
            <w:r>
              <w:rPr>
                <w:rFonts w:hint="eastAsia" w:ascii="宋体" w:hAnsi="宋体" w:eastAsia="宋体" w:cs="宋体"/>
                <w:color w:val="000000" w:themeColor="text1"/>
                <w:sz w:val="21"/>
                <w:szCs w:val="21"/>
                <w:highlight w:val="none"/>
                <w:lang w:val="en-US" w:eastAsia="zh-CN"/>
                <w14:textFill>
                  <w14:solidFill>
                    <w14:schemeClr w14:val="tx1"/>
                  </w14:solidFill>
                </w14:textFill>
              </w:rPr>
              <w:t>每个公园开展培训活动不少于1</w:t>
            </w:r>
            <w:r>
              <w:rPr>
                <w:rFonts w:hint="eastAsia" w:ascii="宋体" w:hAnsi="宋体" w:eastAsia="宋体" w:cs="宋体"/>
                <w:color w:val="000000" w:themeColor="text1"/>
                <w:sz w:val="21"/>
                <w:szCs w:val="21"/>
                <w:highlight w:val="none"/>
                <w14:textFill>
                  <w14:solidFill>
                    <w14:schemeClr w14:val="tx1"/>
                  </w14:solidFill>
                </w14:textFill>
              </w:rPr>
              <w:t>次。</w:t>
            </w:r>
          </w:p>
          <w:p w14:paraId="0B663E14">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3.制定管理制度，包含人员组成</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工作</w:t>
            </w:r>
            <w:r>
              <w:rPr>
                <w:rFonts w:hint="eastAsia" w:ascii="宋体" w:hAnsi="宋体" w:eastAsia="宋体" w:cs="宋体"/>
                <w:color w:val="000000" w:themeColor="text1"/>
                <w:sz w:val="21"/>
                <w:szCs w:val="21"/>
                <w:highlight w:val="none"/>
                <w14:textFill>
                  <w14:solidFill>
                    <w14:schemeClr w14:val="tx1"/>
                  </w14:solidFill>
                </w14:textFill>
              </w:rPr>
              <w:t>职责、</w:t>
            </w:r>
            <w:r>
              <w:rPr>
                <w:rFonts w:hint="eastAsia" w:ascii="宋体" w:hAnsi="宋体" w:eastAsia="宋体" w:cs="宋体"/>
                <w:color w:val="000000" w:themeColor="text1"/>
                <w:sz w:val="21"/>
                <w:szCs w:val="21"/>
                <w:highlight w:val="none"/>
                <w:lang w:val="en-US" w:eastAsia="zh-CN"/>
                <w14:textFill>
                  <w14:solidFill>
                    <w14:schemeClr w14:val="tx1"/>
                  </w14:solidFill>
                </w14:textFill>
              </w:rPr>
              <w:t>考核机制、</w:t>
            </w:r>
            <w:r>
              <w:rPr>
                <w:rFonts w:hint="eastAsia" w:ascii="宋体" w:hAnsi="宋体" w:eastAsia="宋体" w:cs="宋体"/>
                <w:color w:val="000000" w:themeColor="text1"/>
                <w:sz w:val="21"/>
                <w:szCs w:val="21"/>
                <w:highlight w:val="none"/>
                <w14:textFill>
                  <w14:solidFill>
                    <w14:schemeClr w14:val="tx1"/>
                  </w14:solidFill>
                </w14:textFill>
              </w:rPr>
              <w:t>日常运作</w:t>
            </w:r>
            <w:r>
              <w:rPr>
                <w:rFonts w:hint="eastAsia" w:ascii="宋体" w:hAnsi="宋体" w:eastAsia="宋体" w:cs="宋体"/>
                <w:color w:val="000000" w:themeColor="text1"/>
                <w:sz w:val="21"/>
                <w:szCs w:val="21"/>
                <w:highlight w:val="none"/>
                <w:lang w:val="en-US" w:eastAsia="zh-CN"/>
                <w14:textFill>
                  <w14:solidFill>
                    <w14:schemeClr w14:val="tx1"/>
                  </w14:solidFill>
                </w14:textFill>
              </w:rPr>
              <w:t>流程及档案管理规范等，</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进场后</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结合各公园要求，制定相关细案</w:t>
            </w:r>
            <w:r>
              <w:rPr>
                <w:rFonts w:hint="eastAsia" w:ascii="宋体" w:hAnsi="宋体" w:eastAsia="宋体" w:cs="宋体"/>
                <w:color w:val="000000" w:themeColor="text1"/>
                <w:sz w:val="21"/>
                <w:szCs w:val="21"/>
                <w:highlight w:val="none"/>
                <w14:textFill>
                  <w14:solidFill>
                    <w14:schemeClr w14:val="tx1"/>
                  </w14:solidFill>
                </w14:textFill>
              </w:rPr>
              <w:t>。</w:t>
            </w:r>
          </w:p>
          <w:p w14:paraId="4D73B9CD">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22" w:firstLineChars="200"/>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（三）安全文明施工要求</w:t>
            </w:r>
          </w:p>
          <w:p w14:paraId="4656E1BC">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严格遵守</w:t>
            </w:r>
            <w:r>
              <w:rPr>
                <w:rFonts w:hint="eastAsia" w:ascii="宋体" w:hAnsi="宋体" w:eastAsia="宋体" w:cs="宋体"/>
                <w:color w:val="000000" w:themeColor="text1"/>
                <w:sz w:val="21"/>
                <w:szCs w:val="21"/>
                <w:highlight w:val="none"/>
                <w:lang w:val="en-US" w:eastAsia="zh-CN"/>
                <w14:textFill>
                  <w14:solidFill>
                    <w14:schemeClr w14:val="tx1"/>
                  </w14:solidFill>
                </w14:textFill>
              </w:rPr>
              <w:t>5个</w:t>
            </w:r>
            <w:r>
              <w:rPr>
                <w:rFonts w:hint="eastAsia" w:ascii="宋体" w:hAnsi="宋体" w:eastAsia="宋体" w:cs="宋体"/>
                <w:color w:val="000000" w:themeColor="text1"/>
                <w:sz w:val="21"/>
                <w:szCs w:val="21"/>
                <w:highlight w:val="none"/>
                <w14:textFill>
                  <w14:solidFill>
                    <w14:schemeClr w14:val="tx1"/>
                  </w14:solidFill>
                </w14:textFill>
              </w:rPr>
              <w:t>公园</w:t>
            </w:r>
            <w:r>
              <w:rPr>
                <w:rFonts w:hint="eastAsia" w:ascii="宋体" w:hAnsi="宋体" w:eastAsia="宋体" w:cs="宋体"/>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各项管理</w:t>
            </w:r>
            <w:r>
              <w:rPr>
                <w:rFonts w:hint="eastAsia" w:ascii="宋体" w:hAnsi="宋体" w:eastAsia="宋体" w:cs="宋体"/>
                <w:color w:val="000000" w:themeColor="text1"/>
                <w:sz w:val="21"/>
                <w:szCs w:val="21"/>
                <w:highlight w:val="none"/>
                <w:lang w:val="en-US" w:eastAsia="zh-CN"/>
                <w14:textFill>
                  <w14:solidFill>
                    <w14:schemeClr w14:val="tx1"/>
                  </w14:solidFill>
                </w14:textFill>
              </w:rPr>
              <w:t>及规章制度</w:t>
            </w:r>
            <w:r>
              <w:rPr>
                <w:rFonts w:hint="eastAsia" w:ascii="宋体" w:hAnsi="宋体" w:eastAsia="宋体" w:cs="宋体"/>
                <w:color w:val="000000" w:themeColor="text1"/>
                <w:sz w:val="21"/>
                <w:szCs w:val="21"/>
                <w:highlight w:val="none"/>
                <w14:textFill>
                  <w14:solidFill>
                    <w14:schemeClr w14:val="tx1"/>
                  </w14:solidFill>
                </w14:textFill>
              </w:rPr>
              <w:t>，服务期内</w:t>
            </w:r>
            <w:r>
              <w:rPr>
                <w:rFonts w:hint="eastAsia" w:ascii="宋体" w:hAnsi="宋体" w:eastAsia="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14:textFill>
                  <w14:solidFill>
                    <w14:schemeClr w14:val="tx1"/>
                  </w14:solidFill>
                </w14:textFill>
              </w:rPr>
              <w:t>如有修改或更新的，以最新</w:t>
            </w:r>
            <w:r>
              <w:rPr>
                <w:rFonts w:hint="eastAsia" w:ascii="宋体" w:hAnsi="宋体" w:eastAsia="宋体" w:cs="宋体"/>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为准。</w:t>
            </w:r>
          </w:p>
          <w:p w14:paraId="1A6770C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bCs/>
                <w:color w:val="000000" w:themeColor="text1"/>
                <w:sz w:val="21"/>
                <w:szCs w:val="21"/>
                <w:highlight w:val="none"/>
                <w14:textFill>
                  <w14:solidFill>
                    <w14:schemeClr w14:val="tx1"/>
                  </w14:solidFill>
                </w14:textFill>
              </w:rPr>
              <w:t>必须重视安全生产工作，确保服务期内不出安全生产责任事故。</w:t>
            </w:r>
            <w:r>
              <w:rPr>
                <w:rFonts w:hint="eastAsia" w:ascii="宋体" w:hAnsi="宋体" w:eastAsia="宋体" w:cs="宋体"/>
                <w:color w:val="000000" w:themeColor="text1"/>
                <w:sz w:val="21"/>
                <w:szCs w:val="21"/>
                <w:highlight w:val="none"/>
                <w14:textFill>
                  <w14:solidFill>
                    <w14:schemeClr w14:val="tx1"/>
                  </w14:solidFill>
                </w14:textFill>
              </w:rPr>
              <w:t>如因</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的过错或第三方原因导致发生安全生产责任事故的，一切责任及损失由</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承担。</w:t>
            </w:r>
          </w:p>
          <w:p w14:paraId="7CED26D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3.中标供应商为本项目制定安全生产制度并严格执行，每个公园</w:t>
            </w:r>
            <w:r>
              <w:rPr>
                <w:rFonts w:hint="eastAsia" w:ascii="宋体" w:hAnsi="宋体" w:eastAsia="宋体" w:cs="宋体"/>
                <w:color w:val="000000" w:themeColor="text1"/>
                <w:sz w:val="21"/>
                <w:szCs w:val="21"/>
                <w:highlight w:val="none"/>
                <w14:textFill>
                  <w14:solidFill>
                    <w14:schemeClr w14:val="tx1"/>
                  </w14:solidFill>
                </w14:textFill>
              </w:rPr>
              <w:t>每个月开展</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不少于</w:t>
            </w:r>
            <w:r>
              <w:rPr>
                <w:rFonts w:hint="eastAsia" w:ascii="宋体" w:hAnsi="宋体" w:eastAsia="宋体" w:cs="宋体"/>
                <w:color w:val="000000" w:themeColor="text1"/>
                <w:sz w:val="21"/>
                <w:szCs w:val="21"/>
                <w:highlight w:val="none"/>
                <w14:textFill>
                  <w14:solidFill>
                    <w14:schemeClr w14:val="tx1"/>
                  </w14:solidFill>
                </w14:textFill>
              </w:rPr>
              <w:t>1次安全生产检查</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每季度开展</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不少于1</w:t>
            </w:r>
            <w:r>
              <w:rPr>
                <w:rFonts w:hint="eastAsia" w:ascii="宋体" w:hAnsi="宋体" w:eastAsia="宋体" w:cs="宋体"/>
                <w:color w:val="000000" w:themeColor="text1"/>
                <w:sz w:val="21"/>
                <w:szCs w:val="21"/>
                <w:highlight w:val="none"/>
                <w14:textFill>
                  <w14:solidFill>
                    <w14:schemeClr w14:val="tx1"/>
                  </w14:solidFill>
                </w14:textFill>
              </w:rPr>
              <w:t>次安全生产培训。</w:t>
            </w:r>
          </w:p>
          <w:p w14:paraId="702BC64B">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4.制定</w:t>
            </w:r>
            <w:r>
              <w:rPr>
                <w:rFonts w:hint="eastAsia" w:ascii="宋体" w:hAnsi="宋体" w:eastAsia="宋体" w:cs="宋体"/>
                <w:color w:val="000000" w:themeColor="text1"/>
                <w:sz w:val="21"/>
                <w:szCs w:val="21"/>
                <w:highlight w:val="none"/>
                <w14:textFill>
                  <w14:solidFill>
                    <w14:schemeClr w14:val="tx1"/>
                  </w14:solidFill>
                </w14:textFill>
              </w:rPr>
              <w:t>应急预案，</w:t>
            </w:r>
            <w:r>
              <w:rPr>
                <w:rFonts w:hint="eastAsia" w:ascii="宋体" w:hAnsi="宋体" w:eastAsia="宋体" w:cs="宋体"/>
                <w:color w:val="000000" w:themeColor="text1"/>
                <w:sz w:val="21"/>
                <w:szCs w:val="21"/>
                <w:highlight w:val="none"/>
                <w:lang w:val="en-US" w:eastAsia="zh-CN"/>
                <w14:textFill>
                  <w14:solidFill>
                    <w14:schemeClr w14:val="tx1"/>
                  </w14:solidFill>
                </w14:textFill>
              </w:rPr>
              <w:t>包含自然灾害</w:t>
            </w:r>
            <w:r>
              <w:rPr>
                <w:rFonts w:hint="eastAsia" w:ascii="宋体" w:hAnsi="宋体" w:eastAsia="宋体" w:cs="宋体"/>
                <w:color w:val="000000" w:themeColor="text1"/>
                <w:sz w:val="21"/>
                <w:szCs w:val="21"/>
                <w:highlight w:val="none"/>
                <w14:textFill>
                  <w14:solidFill>
                    <w14:schemeClr w14:val="tx1"/>
                  </w14:solidFill>
                </w14:textFill>
              </w:rPr>
              <w:t>、火灾、突发事件</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农药中毒</w:t>
            </w:r>
            <w:r>
              <w:rPr>
                <w:rFonts w:hint="eastAsia" w:ascii="宋体" w:hAnsi="宋体" w:eastAsia="宋体" w:cs="宋体"/>
                <w:color w:val="000000" w:themeColor="text1"/>
                <w:sz w:val="21"/>
                <w:szCs w:val="21"/>
                <w:highlight w:val="none"/>
                <w14:textFill>
                  <w14:solidFill>
                    <w14:schemeClr w14:val="tx1"/>
                  </w14:solidFill>
                </w14:textFill>
              </w:rPr>
              <w:t>等，</w:t>
            </w:r>
            <w:r>
              <w:rPr>
                <w:rFonts w:hint="eastAsia" w:ascii="宋体" w:hAnsi="宋体" w:eastAsia="宋体" w:cs="宋体"/>
                <w:color w:val="000000" w:themeColor="text1"/>
                <w:sz w:val="21"/>
                <w:szCs w:val="21"/>
                <w:highlight w:val="none"/>
                <w:lang w:val="en-US" w:eastAsia="zh-CN"/>
                <w14:textFill>
                  <w14:solidFill>
                    <w14:schemeClr w14:val="tx1"/>
                  </w14:solidFill>
                </w14:textFill>
              </w:rPr>
              <w:t>如发生上述</w:t>
            </w:r>
            <w:r>
              <w:rPr>
                <w:rFonts w:hint="eastAsia" w:ascii="宋体" w:hAnsi="宋体" w:eastAsia="宋体" w:cs="宋体"/>
                <w:color w:val="000000" w:themeColor="text1"/>
                <w:sz w:val="21"/>
                <w:szCs w:val="21"/>
                <w:highlight w:val="none"/>
                <w14:textFill>
                  <w14:solidFill>
                    <w14:schemeClr w14:val="tx1"/>
                  </w14:solidFill>
                </w14:textFill>
              </w:rPr>
              <w:t>事件</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需在15分钟内响应并</w:t>
            </w:r>
            <w:r>
              <w:rPr>
                <w:rFonts w:hint="eastAsia" w:ascii="宋体" w:hAnsi="宋体" w:eastAsia="宋体" w:cs="宋体"/>
                <w:color w:val="000000" w:themeColor="text1"/>
                <w:sz w:val="21"/>
                <w:szCs w:val="21"/>
                <w:highlight w:val="none"/>
                <w:lang w:eastAsia="zh-CN"/>
                <w14:textFill>
                  <w14:solidFill>
                    <w14:schemeClr w14:val="tx1"/>
                  </w14:solidFill>
                </w14:textFill>
              </w:rPr>
              <w:t>做好后续相关工作</w:t>
            </w:r>
            <w:r>
              <w:rPr>
                <w:rFonts w:hint="eastAsia" w:ascii="宋体" w:hAnsi="宋体" w:eastAsia="宋体" w:cs="宋体"/>
                <w:color w:val="000000" w:themeColor="text1"/>
                <w:sz w:val="21"/>
                <w:szCs w:val="21"/>
                <w:highlight w:val="none"/>
                <w14:textFill>
                  <w14:solidFill>
                    <w14:schemeClr w14:val="tx1"/>
                  </w14:solidFill>
                </w14:textFill>
              </w:rPr>
              <w:t>。</w:t>
            </w:r>
          </w:p>
          <w:p w14:paraId="47B133DC">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大面积喷药、裁枝等对游人游园环境影响较大的工作需提前贴出告示及温馨提示，作业现场应根据情况设置安全警示标识</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对游客开放区域在双休日、节假日及与节假日相连的调休日、园内重大活动等人流量较多的时段，不得使用农药、施肥（无异味水肥除外），不得大面积灌水，不得进行高空作业、使用电动工具的乔灌木修剪和草坪修剪、树木栽植等影响游客疏散或安全的作业</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特殊情况除外</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p>
          <w:p w14:paraId="73E29DC6">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其他要求</w:t>
            </w:r>
          </w:p>
          <w:p w14:paraId="12CD2138">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Cs/>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bCs/>
                <w:color w:val="000000" w:themeColor="text1"/>
                <w:sz w:val="21"/>
                <w:szCs w:val="21"/>
                <w:highlight w:val="none"/>
                <w14:textFill>
                  <w14:solidFill>
                    <w14:schemeClr w14:val="tx1"/>
                  </w14:solidFill>
                </w14:textFill>
              </w:rPr>
              <w:t>应重视技术创新及成果应用，引进先进的、有效的设备、技术及方式，提升</w:t>
            </w:r>
            <w:r>
              <w:rPr>
                <w:rFonts w:hint="eastAsia" w:ascii="宋体" w:hAnsi="宋体" w:eastAsia="宋体" w:cs="宋体"/>
                <w:color w:val="000000" w:themeColor="text1"/>
                <w:sz w:val="21"/>
                <w:szCs w:val="21"/>
                <w:highlight w:val="none"/>
                <w14:textFill>
                  <w14:solidFill>
                    <w14:schemeClr w14:val="tx1"/>
                  </w14:solidFill>
                </w14:textFill>
              </w:rPr>
              <w:t>服务水平</w:t>
            </w:r>
            <w:r>
              <w:rPr>
                <w:rFonts w:hint="eastAsia" w:ascii="宋体" w:hAnsi="宋体" w:eastAsia="宋体" w:cs="宋体"/>
                <w:bCs/>
                <w:color w:val="000000" w:themeColor="text1"/>
                <w:sz w:val="21"/>
                <w:szCs w:val="21"/>
                <w:highlight w:val="none"/>
                <w14:textFill>
                  <w14:solidFill>
                    <w14:schemeClr w14:val="tx1"/>
                  </w14:solidFill>
                </w14:textFill>
              </w:rPr>
              <w:t>。</w:t>
            </w:r>
          </w:p>
          <w:p w14:paraId="722FC309">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2.中标供应商为</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搭建公园智能化管理软件平台，需求如下:①支持建立养护管理台账、数据动态更新和分析统计功能；②可下发养护任务、跟踪执行进度、事后监督考核，形成“派单-处置-归档”闭环管理；③支持移动端（或小程序）与电脑数据同步，方便工作人员现场填报；④提供便捷登录通道，游客可进行问题反馈，跟踪处置进度；⑤预留标准化拓展端口，数据存储周期≥2年，服务期内提供常态化维护符合网络安全要求。</w:t>
            </w:r>
          </w:p>
          <w:p w14:paraId="3DE38941">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六、服务考核</w:t>
            </w:r>
          </w:p>
          <w:p w14:paraId="15292F58">
            <w:pPr>
              <w:keepNext w:val="0"/>
              <w:keepLines w:val="0"/>
              <w:pageBreakBefore w:val="0"/>
              <w:numPr>
                <w:ilvl w:val="0"/>
                <w:numId w:val="0"/>
              </w:numPr>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服务需求单位分别</w:t>
            </w:r>
            <w:r>
              <w:rPr>
                <w:rFonts w:hint="eastAsia" w:ascii="宋体" w:hAnsi="宋体" w:eastAsia="宋体" w:cs="宋体"/>
                <w:color w:val="000000" w:themeColor="text1"/>
                <w:sz w:val="21"/>
                <w:szCs w:val="21"/>
                <w:highlight w:val="none"/>
                <w:lang w:val="en-US" w:eastAsia="zh-CN"/>
                <w14:textFill>
                  <w14:solidFill>
                    <w14:schemeClr w14:val="tx1"/>
                  </w14:solidFill>
                </w14:textFill>
              </w:rPr>
              <w:t>依据《南宁市南湖公园绿化养护考核办法》《南宁市人民公园绿化养护考核办法》《南宁市金花茶公园绿化养护考核办法》《南宁市石门公园绿化养护考核办法》《南宁市花卉公园绿化养护考核办法》（详见附件），对中标供应商在对应公园的服务质量进行监督、检查与考核，考核结果将作为服务质量评估、费用结算的核心依据。若检查发现中标供应商存在上述办法中未列明的问题，</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可根据实际情况酌情处置。</w:t>
            </w:r>
          </w:p>
          <w:p w14:paraId="01E7062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2"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t>七、其他</w:t>
            </w:r>
          </w:p>
          <w:p w14:paraId="1174CFAD">
            <w:pPr>
              <w:keepNext w:val="0"/>
              <w:keepLines w:val="0"/>
              <w:pageBreakBefore w:val="0"/>
              <w:numPr>
                <w:ilvl w:val="0"/>
                <w:numId w:val="7"/>
              </w:numPr>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中标供应商若有生产用房使用需求，可向</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提出申请，相关水电、维护维修等费用均由中标供应商自行承担。</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不提供食宿场所及非作业车辆停放场所。</w:t>
            </w:r>
          </w:p>
          <w:p w14:paraId="4DCDB65D">
            <w:pPr>
              <w:keepNext w:val="0"/>
              <w:keepLines w:val="0"/>
              <w:pageBreakBefore w:val="0"/>
              <w:widowControl w:val="0"/>
              <w:numPr>
                <w:ilvl w:val="0"/>
                <w:numId w:val="7"/>
              </w:numPr>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中标供应商负责生产过程中使用的绿化灌溉设施的日常维护维修工作，一切费用由中标供应商负责。</w:t>
            </w:r>
          </w:p>
          <w:p w14:paraId="2FBD99B4">
            <w:pPr>
              <w:pStyle w:val="20"/>
              <w:keepNext w:val="0"/>
              <w:keepLines w:val="0"/>
              <w:pageBreakBefore w:val="0"/>
              <w:widowControl w:val="0"/>
              <w:kinsoku/>
              <w:wordWrap w:val="0"/>
              <w:overflowPunct/>
              <w:topLinePunct w:val="0"/>
              <w:autoSpaceDE/>
              <w:autoSpaceDN/>
              <w:bidi w:val="0"/>
              <w:adjustRightInd/>
              <w:snapToGrid/>
              <w:spacing w:after="0"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每日绿化养护所产生的垃圾</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须</w:t>
            </w:r>
            <w:r>
              <w:rPr>
                <w:rFonts w:hint="eastAsia" w:ascii="宋体" w:hAnsi="宋体" w:eastAsia="宋体" w:cs="宋体"/>
                <w:color w:val="000000" w:themeColor="text1"/>
                <w:kern w:val="0"/>
                <w:sz w:val="21"/>
                <w:szCs w:val="21"/>
                <w:highlight w:val="none"/>
                <w14:textFill>
                  <w14:solidFill>
                    <w14:schemeClr w14:val="tx1"/>
                  </w14:solidFill>
                </w14:textFill>
              </w:rPr>
              <w:t>及时清运，日产日清，所产生的费用由中标供应商</w:t>
            </w:r>
            <w:r>
              <w:rPr>
                <w:rFonts w:hint="eastAsia" w:ascii="宋体" w:hAnsi="宋体" w:eastAsia="宋体" w:cs="宋体"/>
                <w:color w:val="000000" w:themeColor="text1"/>
                <w:sz w:val="21"/>
                <w:szCs w:val="21"/>
                <w:highlight w:val="none"/>
                <w:lang w:val="en-US" w:eastAsia="zh-CN"/>
                <w14:textFill>
                  <w14:solidFill>
                    <w14:schemeClr w14:val="tx1"/>
                  </w14:solidFill>
                </w14:textFill>
              </w:rPr>
              <w:t>自行承担</w:t>
            </w:r>
            <w:r>
              <w:rPr>
                <w:rFonts w:hint="eastAsia" w:ascii="宋体" w:hAnsi="宋体" w:eastAsia="宋体" w:cs="宋体"/>
                <w:color w:val="000000" w:themeColor="text1"/>
                <w:kern w:val="0"/>
                <w:sz w:val="21"/>
                <w:szCs w:val="21"/>
                <w:highlight w:val="none"/>
                <w14:textFill>
                  <w14:solidFill>
                    <w14:schemeClr w14:val="tx1"/>
                  </w14:solidFill>
                </w14:textFill>
              </w:rPr>
              <w:t>。</w:t>
            </w:r>
          </w:p>
          <w:p w14:paraId="5BFC56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四）为强化公共管理风险防控机制，有效预防和化解潜在理赔纠纷，切实保障公共安全及各方权益，中标供应商须为本项目购买保额不低于人民币500万元的“公众责任保险”。该保险应覆盖项目执行期间可能因公共管理活动导致的第三方人身伤害或财产损失等责任风险。</w:t>
            </w:r>
            <w:r>
              <w:rPr>
                <w:rFonts w:hint="eastAsia" w:ascii="宋体" w:hAnsi="宋体" w:eastAsia="宋体" w:cs="宋体"/>
                <w:color w:val="000000" w:themeColor="text1"/>
                <w:kern w:val="0"/>
                <w:sz w:val="21"/>
                <w:szCs w:val="21"/>
                <w:highlight w:val="none"/>
                <w14:textFill>
                  <w14:solidFill>
                    <w14:schemeClr w14:val="tx1"/>
                  </w14:solidFill>
                </w14:textFill>
              </w:rPr>
              <w:t>中标供应商</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应在</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进场服务前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完成保险购买手续</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，在</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合同正式签订之日起7个工作日内向</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提交加盖公章的保单及保险发票复印件作为存档凭证。</w:t>
            </w:r>
          </w:p>
          <w:p w14:paraId="4F0941B8">
            <w:pPr>
              <w:pStyle w:val="10"/>
              <w:keepNext w:val="0"/>
              <w:keepLines w:val="0"/>
              <w:pageBreakBefore w:val="0"/>
              <w:widowControl w:val="0"/>
              <w:numPr>
                <w:ilvl w:val="0"/>
                <w:numId w:val="0"/>
              </w:numPr>
              <w:kinsoku/>
              <w:wordWrap/>
              <w:overflowPunct/>
              <w:topLinePunct w:val="0"/>
              <w:autoSpaceDE/>
              <w:autoSpaceDN/>
              <w:bidi w:val="0"/>
              <w:adjustRightInd/>
              <w:snapToGrid/>
              <w:spacing w:after="0" w:line="420" w:lineRule="exact"/>
              <w:ind w:left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（五）其他</w:t>
            </w:r>
          </w:p>
          <w:p w14:paraId="079807C5">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▲1.南宁市南湖公园</w:t>
            </w:r>
          </w:p>
          <w:p w14:paraId="00958C0A">
            <w:pPr>
              <w:keepNext w:val="0"/>
              <w:keepLines w:val="0"/>
              <w:pageBreakBefore w:val="0"/>
              <w:widowControl w:val="0"/>
              <w:kinsoku/>
              <w:wordWrap/>
              <w:overflowPunct/>
              <w:topLinePunct w:val="0"/>
              <w:autoSpaceDE/>
              <w:autoSpaceDN/>
              <w:bidi w:val="0"/>
              <w:adjustRightInd/>
              <w:snapToGrid/>
              <w:spacing w:line="420" w:lineRule="exact"/>
              <w:ind w:firstLine="420" w:firstLineChars="20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（1）按现状接管中标范围内的绿地。服务期内，范围绿地内的绿化总面积增减3%以下（含3%），养护经费不作调整；绿化总面积减3%以上的，按实际中标价平均数</w:t>
            </w:r>
            <w:r>
              <w:rPr>
                <w:rFonts w:hint="eastAsia" w:ascii="宋体" w:hAnsi="宋体" w:cs="宋体"/>
                <w:color w:val="000000" w:themeColor="text1"/>
                <w:sz w:val="21"/>
                <w:szCs w:val="21"/>
                <w:highlight w:val="none"/>
                <w:lang w:val="en-US" w:eastAsia="zh-CN"/>
                <w14:textFill>
                  <w14:solidFill>
                    <w14:schemeClr w14:val="tx1"/>
                  </w14:solidFill>
                </w14:textFill>
              </w:rPr>
              <w:t>对全部减少的面积</w:t>
            </w:r>
            <w:r>
              <w:rPr>
                <w:rFonts w:hint="eastAsia" w:ascii="宋体" w:hAnsi="宋体" w:eastAsia="宋体" w:cs="宋体"/>
                <w:color w:val="000000" w:themeColor="text1"/>
                <w:sz w:val="21"/>
                <w:szCs w:val="21"/>
                <w:highlight w:val="none"/>
                <w:lang w:val="en-US" w:eastAsia="zh-CN"/>
                <w14:textFill>
                  <w14:solidFill>
                    <w14:schemeClr w14:val="tx1"/>
                  </w14:solidFill>
                </w14:textFill>
              </w:rPr>
              <w:t>计算核减费用；绿化总面积增3%以上的，以</w:t>
            </w:r>
            <w:r>
              <w:rPr>
                <w:rFonts w:hint="eastAsia" w:ascii="宋体" w:hAnsi="宋体" w:cs="宋体"/>
                <w:color w:val="000000" w:themeColor="text1"/>
                <w:sz w:val="21"/>
                <w:szCs w:val="21"/>
                <w:highlight w:val="none"/>
                <w:lang w:val="en-US" w:eastAsia="zh-CN"/>
                <w14:textFill>
                  <w14:solidFill>
                    <w14:schemeClr w14:val="tx1"/>
                  </w14:solidFill>
                </w14:textFill>
              </w:rPr>
              <w:t>相关</w:t>
            </w:r>
            <w:r>
              <w:rPr>
                <w:rFonts w:hint="eastAsia" w:ascii="宋体" w:hAnsi="宋体" w:eastAsia="宋体" w:cs="宋体"/>
                <w:color w:val="000000" w:themeColor="text1"/>
                <w:sz w:val="21"/>
                <w:szCs w:val="21"/>
                <w:highlight w:val="none"/>
                <w:lang w:val="en-US" w:eastAsia="zh-CN"/>
                <w14:textFill>
                  <w14:solidFill>
                    <w14:schemeClr w14:val="tx1"/>
                  </w14:solidFill>
                </w14:textFill>
              </w:rPr>
              <w:t>部门批复为准，不予增加费用的，养护经费不作调整。</w:t>
            </w:r>
          </w:p>
          <w:p w14:paraId="040F4DBA">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（2）根据</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lang w:val="en-US" w:eastAsia="zh-CN"/>
                <w14:textFill>
                  <w14:solidFill>
                    <w14:schemeClr w14:val="tx1"/>
                  </w14:solidFill>
                </w14:textFill>
              </w:rPr>
              <w:t>要求对养护范围内草坪进行更新，累计更新面积不低于14000㎡，并按要求做好资料加盖单位公章后上交</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lang w:val="en-US" w:eastAsia="zh-CN"/>
                <w14:textFill>
                  <w14:solidFill>
                    <w14:schemeClr w14:val="tx1"/>
                  </w14:solidFill>
                </w14:textFill>
              </w:rPr>
              <w:t>存档。</w:t>
            </w:r>
          </w:p>
          <w:p w14:paraId="10F61C1E">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（3）肥料</w:t>
            </w:r>
          </w:p>
          <w:p w14:paraId="4848879C">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肥料的种类及数量应根据植物种类(品种)、生长发育阶段及观赏特性不同而确定，按</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lang w:val="en-US" w:eastAsia="zh-CN"/>
                <w14:textFill>
                  <w14:solidFill>
                    <w14:schemeClr w14:val="tx1"/>
                  </w14:solidFill>
                </w14:textFill>
              </w:rPr>
              <w:t>要求实施，并做好出入库记录，肥料投入不少于合同总价的8.0%。</w:t>
            </w:r>
          </w:p>
          <w:p w14:paraId="695A59D6">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（4）苗木和基质</w:t>
            </w:r>
          </w:p>
          <w:p w14:paraId="717419EE">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根据</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lang w:val="en-US" w:eastAsia="zh-CN"/>
                <w14:textFill>
                  <w14:solidFill>
                    <w14:schemeClr w14:val="tx1"/>
                  </w14:solidFill>
                </w14:textFill>
              </w:rPr>
              <w:t>要求采购所需苗木（不含草皮）及基质，投入不少于合同总价的3.0%。</w:t>
            </w:r>
          </w:p>
          <w:p w14:paraId="632B03E9">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（5）诱蛇笼</w:t>
            </w:r>
          </w:p>
          <w:p w14:paraId="311EF983">
            <w:pPr>
              <w:keepNext w:val="0"/>
              <w:keepLines w:val="0"/>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设置诱蛇笼不少于80个，每月开展一次全面检查及笼具维护（含清理、复位、更换诱饵）。</w:t>
            </w:r>
          </w:p>
          <w:p w14:paraId="6B8F8090">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2.南宁市人民公园</w:t>
            </w:r>
          </w:p>
          <w:p w14:paraId="75DF0E99">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1"/>
                <w:szCs w:val="21"/>
                <w:highlight w:val="none"/>
                <w14:textFill>
                  <w14:solidFill>
                    <w14:schemeClr w14:val="tx1"/>
                  </w14:solidFill>
                </w14:textFill>
              </w:rPr>
              <w:t>）养护关键技术要求</w:t>
            </w:r>
          </w:p>
          <w:p w14:paraId="173D1EF5">
            <w:pPr>
              <w:keepNext w:val="0"/>
              <w:keepLines w:val="0"/>
              <w:pageBreakBefore w:val="0"/>
              <w:numPr>
                <w:ilvl w:val="0"/>
                <w:numId w:val="0"/>
              </w:numPr>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val="0"/>
                <w:bCs w:val="0"/>
                <w:color w:val="000000" w:themeColor="text1"/>
                <w:sz w:val="21"/>
                <w:szCs w:val="21"/>
                <w:highlight w:val="none"/>
                <w14:textFill>
                  <w14:solidFill>
                    <w14:schemeClr w14:val="tx1"/>
                  </w14:solidFill>
                </w14:textFill>
              </w:rPr>
              <w:t>根据</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b w:val="0"/>
                <w:bCs w:val="0"/>
                <w:color w:val="000000" w:themeColor="text1"/>
                <w:sz w:val="21"/>
                <w:szCs w:val="21"/>
                <w:highlight w:val="none"/>
                <w14:textFill>
                  <w14:solidFill>
                    <w14:schemeClr w14:val="tx1"/>
                  </w14:solidFill>
                </w14:textFill>
              </w:rPr>
              <w:t>要求对园内</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古树名木进</w:t>
            </w:r>
            <w:r>
              <w:rPr>
                <w:rFonts w:hint="eastAsia" w:ascii="宋体" w:hAnsi="宋体" w:eastAsia="宋体" w:cs="宋体"/>
                <w:b w:val="0"/>
                <w:bCs w:val="0"/>
                <w:color w:val="000000" w:themeColor="text1"/>
                <w:sz w:val="21"/>
                <w:szCs w:val="21"/>
                <w:highlight w:val="none"/>
                <w14:textFill>
                  <w14:solidFill>
                    <w14:schemeClr w14:val="tx1"/>
                  </w14:solidFill>
                </w14:textFill>
              </w:rPr>
              <w:t>行专项健康安全诊治，每年至</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少2</w:t>
            </w:r>
            <w:r>
              <w:rPr>
                <w:rFonts w:hint="eastAsia" w:ascii="宋体" w:hAnsi="宋体" w:eastAsia="宋体" w:cs="宋体"/>
                <w:b w:val="0"/>
                <w:bCs w:val="0"/>
                <w:color w:val="000000" w:themeColor="text1"/>
                <w:sz w:val="21"/>
                <w:szCs w:val="21"/>
                <w:highlight w:val="none"/>
                <w14:textFill>
                  <w14:solidFill>
                    <w14:schemeClr w14:val="tx1"/>
                  </w14:solidFill>
                </w14:textFill>
              </w:rPr>
              <w:t>次</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；对园内其他树木进行</w:t>
            </w:r>
            <w:r>
              <w:rPr>
                <w:rFonts w:hint="eastAsia" w:ascii="宋体" w:hAnsi="宋体" w:eastAsia="宋体" w:cs="宋体"/>
                <w:b w:val="0"/>
                <w:bCs w:val="0"/>
                <w:color w:val="000000" w:themeColor="text1"/>
                <w:sz w:val="21"/>
                <w:szCs w:val="21"/>
                <w:highlight w:val="none"/>
                <w14:textFill>
                  <w14:solidFill>
                    <w14:schemeClr w14:val="tx1"/>
                  </w14:solidFill>
                </w14:textFill>
              </w:rPr>
              <w:t>健康安全诊断，每年至少2次。</w:t>
            </w:r>
          </w:p>
          <w:p w14:paraId="0DD3BA7C">
            <w:pPr>
              <w:keepNext w:val="0"/>
              <w:keepLines w:val="0"/>
              <w:pageBreakBefore w:val="0"/>
              <w:numPr>
                <w:ilvl w:val="0"/>
                <w:numId w:val="0"/>
              </w:numPr>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val="0"/>
                <w:bCs w:val="0"/>
                <w:color w:val="000000" w:themeColor="text1"/>
                <w:sz w:val="21"/>
                <w:szCs w:val="21"/>
                <w:highlight w:val="none"/>
                <w14:textFill>
                  <w14:solidFill>
                    <w14:schemeClr w14:val="tx1"/>
                  </w14:solidFill>
                </w14:textFill>
              </w:rPr>
              <w:t>白蚁防治：于4-6月白蚁纷飞高发期每周、其余月份每月不少于2次进行全园巡查防治</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一级、二级养护区域应分别规范布设不少于1</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14:textFill>
                  <w14:solidFill>
                    <w14:schemeClr w14:val="tx1"/>
                  </w14:solidFill>
                </w14:textFill>
              </w:rPr>
              <w:t>0个和2</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5</w:t>
            </w:r>
            <w:r>
              <w:rPr>
                <w:rFonts w:hint="eastAsia" w:ascii="宋体" w:hAnsi="宋体" w:eastAsia="宋体" w:cs="宋体"/>
                <w:b w:val="0"/>
                <w:bCs w:val="0"/>
                <w:color w:val="000000" w:themeColor="text1"/>
                <w:sz w:val="21"/>
                <w:szCs w:val="21"/>
                <w:highlight w:val="none"/>
                <w14:textFill>
                  <w14:solidFill>
                    <w14:schemeClr w14:val="tx1"/>
                  </w14:solidFill>
                </w14:textFill>
              </w:rPr>
              <w:t>0个白蚁监测箱</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，建立专项工作台账。</w:t>
            </w:r>
          </w:p>
          <w:p w14:paraId="1348FBA0">
            <w:pPr>
              <w:keepNext w:val="0"/>
              <w:keepLines w:val="0"/>
              <w:pageBreakBefore w:val="0"/>
              <w:numPr>
                <w:ilvl w:val="0"/>
                <w:numId w:val="0"/>
              </w:numPr>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14:textFill>
                  <w14:solidFill>
                    <w14:schemeClr w14:val="tx1"/>
                  </w14:solidFill>
                </w14:textFill>
              </w:rPr>
              <w:t>红棕象甲、蛀干害虫、地下害虫防治：每年全园防治不少于2次。</w:t>
            </w:r>
          </w:p>
          <w:p w14:paraId="56A08032">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u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u w:val="none"/>
                <w:lang w:val="en-US" w:eastAsia="zh-CN"/>
                <w14:textFill>
                  <w14:solidFill>
                    <w14:schemeClr w14:val="tx1"/>
                  </w14:solidFill>
                </w14:textFill>
              </w:rPr>
              <w:t>2</w:t>
            </w:r>
            <w:r>
              <w:rPr>
                <w:rFonts w:hint="eastAsia" w:ascii="宋体" w:hAnsi="宋体" w:eastAsia="宋体" w:cs="宋体"/>
                <w:b w:val="0"/>
                <w:bCs w:val="0"/>
                <w:color w:val="000000" w:themeColor="text1"/>
                <w:sz w:val="21"/>
                <w:szCs w:val="21"/>
                <w:highlight w:val="none"/>
                <w:u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u w:val="none"/>
                <w14:textFill>
                  <w14:solidFill>
                    <w14:schemeClr w14:val="tx1"/>
                  </w14:solidFill>
                </w14:textFill>
              </w:rPr>
              <w:t>肥料、农药采购使用要求：</w:t>
            </w:r>
            <w:r>
              <w:rPr>
                <w:rFonts w:hint="eastAsia" w:ascii="宋体" w:hAnsi="宋体" w:eastAsia="宋体" w:cs="宋体"/>
                <w:b w:val="0"/>
                <w:bCs w:val="0"/>
                <w:color w:val="000000" w:themeColor="text1"/>
                <w:sz w:val="21"/>
                <w:szCs w:val="21"/>
                <w:highlight w:val="none"/>
                <w:u w:val="none"/>
                <w:lang w:val="en-US" w:eastAsia="zh-CN"/>
                <w14:textFill>
                  <w14:solidFill>
                    <w14:schemeClr w14:val="tx1"/>
                  </w14:solidFill>
                </w14:textFill>
              </w:rPr>
              <w:t>合同期内</w:t>
            </w:r>
            <w:r>
              <w:rPr>
                <w:rFonts w:hint="eastAsia" w:ascii="宋体" w:hAnsi="宋体" w:eastAsia="宋体" w:cs="宋体"/>
                <w:b w:val="0"/>
                <w:bCs w:val="0"/>
                <w:color w:val="000000" w:themeColor="text1"/>
                <w:sz w:val="21"/>
                <w:szCs w:val="21"/>
                <w:highlight w:val="none"/>
                <w:u w:val="none"/>
                <w14:textFill>
                  <w14:solidFill>
                    <w14:schemeClr w14:val="tx1"/>
                  </w14:solidFill>
                </w14:textFill>
              </w:rPr>
              <w:t>养护所需肥料、农药投入不少于</w:t>
            </w:r>
            <w:r>
              <w:rPr>
                <w:rFonts w:hint="eastAsia" w:ascii="宋体" w:hAnsi="宋体" w:eastAsia="宋体" w:cs="宋体"/>
                <w:b w:val="0"/>
                <w:bCs w:val="0"/>
                <w:color w:val="000000" w:themeColor="text1"/>
                <w:sz w:val="21"/>
                <w:szCs w:val="21"/>
                <w:highlight w:val="none"/>
                <w:u w:val="none"/>
                <w:lang w:val="en-US" w:eastAsia="zh-CN"/>
                <w14:textFill>
                  <w14:solidFill>
                    <w14:schemeClr w14:val="tx1"/>
                  </w14:solidFill>
                </w14:textFill>
              </w:rPr>
              <w:t>合同</w:t>
            </w:r>
            <w:r>
              <w:rPr>
                <w:rFonts w:hint="eastAsia" w:ascii="宋体" w:hAnsi="宋体" w:cs="宋体"/>
                <w:b w:val="0"/>
                <w:bCs w:val="0"/>
                <w:color w:val="000000" w:themeColor="text1"/>
                <w:sz w:val="21"/>
                <w:szCs w:val="21"/>
                <w:highlight w:val="none"/>
                <w:u w:val="none"/>
                <w:lang w:val="en-US" w:eastAsia="zh-CN"/>
                <w14:textFill>
                  <w14:solidFill>
                    <w14:schemeClr w14:val="tx1"/>
                  </w14:solidFill>
                </w14:textFill>
              </w:rPr>
              <w:t>总价</w:t>
            </w:r>
            <w:r>
              <w:rPr>
                <w:rFonts w:hint="eastAsia" w:ascii="宋体" w:hAnsi="宋体" w:eastAsia="宋体" w:cs="宋体"/>
                <w:b w:val="0"/>
                <w:bCs w:val="0"/>
                <w:color w:val="000000" w:themeColor="text1"/>
                <w:sz w:val="21"/>
                <w:szCs w:val="21"/>
                <w:highlight w:val="none"/>
                <w:u w:val="none"/>
                <w14:textFill>
                  <w14:solidFill>
                    <w14:schemeClr w14:val="tx1"/>
                  </w14:solidFill>
                </w14:textFill>
              </w:rPr>
              <w:t>的8.0%，肥料的购买清单及价格，需经公园审核同意后方可实施采购。施肥时应按计划实施并通知公园技术员至现场确认。若实际使用少于该施肥、农药投入费用，则将未投入费用在最后一个月养护经费中扣除。</w:t>
            </w:r>
          </w:p>
          <w:p w14:paraId="1F1CF7CB">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14:textFill>
                  <w14:solidFill>
                    <w14:schemeClr w14:val="tx1"/>
                  </w14:solidFill>
                </w14:textFill>
              </w:rPr>
            </w:pP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苗木死亡补植要求：因养护不当造成植物死亡，由</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b w:val="0"/>
                <w:bCs w:val="0"/>
                <w:color w:val="000000" w:themeColor="text1"/>
                <w:sz w:val="21"/>
                <w:szCs w:val="21"/>
                <w:highlight w:val="none"/>
                <w14:textFill>
                  <w14:solidFill>
                    <w14:schemeClr w14:val="tx1"/>
                  </w14:solidFill>
                </w14:textFill>
              </w:rPr>
              <w:t>购买植物补种（具体植物品种由公园协商确定），费用由</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b w:val="0"/>
                <w:bCs w:val="0"/>
                <w:color w:val="000000" w:themeColor="text1"/>
                <w:sz w:val="21"/>
                <w:szCs w:val="21"/>
                <w:highlight w:val="none"/>
                <w14:textFill>
                  <w14:solidFill>
                    <w14:schemeClr w14:val="tx1"/>
                  </w14:solidFill>
                </w14:textFill>
              </w:rPr>
              <w:t>承担。</w:t>
            </w:r>
          </w:p>
          <w:p w14:paraId="7CDCEEFE">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w:t>
            </w:r>
            <w:r>
              <w:rPr>
                <w:rFonts w:hint="eastAsia" w:ascii="宋体" w:hAnsi="宋体" w:eastAsia="宋体" w:cs="宋体"/>
                <w:b w:val="0"/>
                <w:bCs w:val="0"/>
                <w:color w:val="000000" w:themeColor="text1"/>
                <w:sz w:val="21"/>
                <w:szCs w:val="21"/>
                <w:highlight w:val="none"/>
                <w14:textFill>
                  <w14:solidFill>
                    <w14:schemeClr w14:val="tx1"/>
                  </w14:solidFill>
                </w14:textFill>
              </w:rPr>
              <w:t>水电费用要求：承包区域绿化养护产生的水电费按公园历年均值5万元核算，已纳入投标价，由</w:t>
            </w:r>
            <w:r>
              <w:rPr>
                <w:rFonts w:hint="eastAsia" w:ascii="宋体" w:hAnsi="宋体" w:eastAsia="宋体" w:cs="宋体"/>
                <w:b w:val="0"/>
                <w:bCs w:val="0"/>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b w:val="0"/>
                <w:bCs w:val="0"/>
                <w:color w:val="000000" w:themeColor="text1"/>
                <w:sz w:val="21"/>
                <w:szCs w:val="21"/>
                <w:highlight w:val="none"/>
                <w14:textFill>
                  <w14:solidFill>
                    <w14:schemeClr w14:val="tx1"/>
                  </w14:solidFill>
                </w14:textFill>
              </w:rPr>
              <w:t>支付。</w:t>
            </w:r>
          </w:p>
          <w:p w14:paraId="57253DE7">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3.南宁市金花茶公园</w:t>
            </w:r>
          </w:p>
          <w:p w14:paraId="77F26ECF">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）每个季度对全园高大乔木干枯枝（包括棕榈科植物）开展</w:t>
            </w:r>
            <w:r>
              <w:rPr>
                <w:rFonts w:hint="eastAsia" w:ascii="宋体" w:hAnsi="宋体" w:eastAsia="宋体" w:cs="宋体"/>
                <w:color w:val="000000" w:themeColor="text1"/>
                <w:sz w:val="21"/>
                <w:szCs w:val="21"/>
                <w:highlight w:val="none"/>
                <w:lang w:val="en-US" w:eastAsia="zh-CN"/>
                <w14:textFill>
                  <w14:solidFill>
                    <w14:schemeClr w14:val="tx1"/>
                  </w14:solidFill>
                </w14:textFill>
              </w:rPr>
              <w:t>1次</w:t>
            </w:r>
            <w:r>
              <w:rPr>
                <w:rFonts w:hint="eastAsia" w:ascii="宋体" w:hAnsi="宋体" w:eastAsia="宋体" w:cs="宋体"/>
                <w:color w:val="000000" w:themeColor="text1"/>
                <w:sz w:val="21"/>
                <w:szCs w:val="21"/>
                <w:highlight w:val="none"/>
                <w14:textFill>
                  <w14:solidFill>
                    <w14:schemeClr w14:val="tx1"/>
                  </w14:solidFill>
                </w14:textFill>
              </w:rPr>
              <w:t>高空车清理（至少一年四次高空车作业）。同时需无条件服从公园对消除安全隐患安排的修剪等安全生产工作</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504E08C3">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）中标范围绿地内，景点绿化改造、绿化提升、绿化恢复或绿化移植等工程新栽种苗木栽种完毕，经公园确认接收后，立即纳入</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日常绿化养护范围（年养护费用不增加）。</w:t>
            </w:r>
          </w:p>
          <w:p w14:paraId="4D44765E">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根据绿化养护质量情况，在服务项目不达标的情况下</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应合理增加绿化工人，所产生的一切费用由</w:t>
            </w:r>
            <w:r>
              <w:rPr>
                <w:rFonts w:hint="eastAsia" w:ascii="宋体" w:hAnsi="宋体" w:eastAsia="宋体" w:cs="宋体"/>
                <w:color w:val="000000" w:themeColor="text1"/>
                <w:sz w:val="21"/>
                <w:szCs w:val="21"/>
                <w:highlight w:val="none"/>
                <w:lang w:eastAsia="zh-CN"/>
                <w14:textFill>
                  <w14:solidFill>
                    <w14:schemeClr w14:val="tx1"/>
                  </w14:solidFill>
                </w14:textFill>
              </w:rPr>
              <w:t>中标供应商</w:t>
            </w:r>
            <w:r>
              <w:rPr>
                <w:rFonts w:hint="eastAsia" w:ascii="宋体" w:hAnsi="宋体" w:eastAsia="宋体" w:cs="宋体"/>
                <w:color w:val="000000" w:themeColor="text1"/>
                <w:sz w:val="21"/>
                <w:szCs w:val="21"/>
                <w:highlight w:val="none"/>
                <w14:textFill>
                  <w14:solidFill>
                    <w14:schemeClr w14:val="tx1"/>
                  </w14:solidFill>
                </w14:textFill>
              </w:rPr>
              <w:t>承担。</w:t>
            </w:r>
          </w:p>
          <w:p w14:paraId="476AD852">
            <w:pPr>
              <w:pageBreakBefore w:val="0"/>
              <w:kinsoku/>
              <w:overflowPunct/>
              <w:topLinePunct w:val="0"/>
              <w:autoSpaceDE/>
              <w:autoSpaceDN/>
              <w:bidi w:val="0"/>
              <w:snapToGrid/>
              <w:spacing w:line="420" w:lineRule="exact"/>
              <w:ind w:firstLine="420" w:firstLineChars="20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除养护期内的新种植苗木外，其他因养护不当而死亡的苗木由中标人按同样树种同等规格无偿进行补植。</w:t>
            </w:r>
          </w:p>
          <w:p w14:paraId="027A9A22">
            <w:pPr>
              <w:keepNext w:val="0"/>
              <w:keepLines w:val="0"/>
              <w:pageBreakBefore w:val="0"/>
              <w:kinsoku/>
              <w:overflowPunct/>
              <w:topLinePunct w:val="0"/>
              <w:autoSpaceDE/>
              <w:autoSpaceDN/>
              <w:bidi w:val="0"/>
              <w:adjustRightInd w:val="0"/>
              <w:snapToGrid/>
              <w:spacing w:line="420" w:lineRule="exact"/>
              <w:textAlignment w:val="baseline"/>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eastAsia="zh-CN"/>
                <w14:textFill>
                  <w14:solidFill>
                    <w14:schemeClr w14:val="tx1"/>
                  </w14:solidFill>
                </w14:textFill>
              </w:rPr>
              <w:t>）按现状接管中标范围内的绿地。服务期内，范围绿地内的绿化总面积增减5%以下（含5%），养护经费不作调整；绿化总面积减5%以上的，按实际中标价平均数对全部减少的面积计算核减费用；绿化总面积增5%以上的，以</w:t>
            </w:r>
            <w:r>
              <w:rPr>
                <w:rFonts w:hint="eastAsia" w:ascii="宋体" w:hAnsi="宋体" w:eastAsia="宋体" w:cs="宋体"/>
                <w:color w:val="000000" w:themeColor="text1"/>
                <w:sz w:val="21"/>
                <w:szCs w:val="21"/>
                <w:highlight w:val="none"/>
                <w:lang w:val="en-US" w:eastAsia="zh-CN"/>
                <w14:textFill>
                  <w14:solidFill>
                    <w14:schemeClr w14:val="tx1"/>
                  </w14:solidFill>
                </w14:textFill>
              </w:rPr>
              <w:t>相关</w:t>
            </w:r>
            <w:r>
              <w:rPr>
                <w:rFonts w:hint="eastAsia" w:ascii="宋体" w:hAnsi="宋体" w:eastAsia="宋体" w:cs="宋体"/>
                <w:color w:val="000000" w:themeColor="text1"/>
                <w:sz w:val="21"/>
                <w:szCs w:val="21"/>
                <w:highlight w:val="none"/>
                <w:lang w:eastAsia="zh-CN"/>
                <w14:textFill>
                  <w14:solidFill>
                    <w14:schemeClr w14:val="tx1"/>
                  </w14:solidFill>
                </w14:textFill>
              </w:rPr>
              <w:t>部门批复为准，不予增加费用的，养护经费不作调整。</w:t>
            </w:r>
          </w:p>
          <w:p w14:paraId="02326083">
            <w:pPr>
              <w:keepNext w:val="0"/>
              <w:keepLines w:val="0"/>
              <w:pageBreakBefore w:val="0"/>
              <w:widowControl/>
              <w:shd w:val="clear" w:color="auto" w:fill="FFFFFF"/>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）肥料每年投入不少于</w:t>
            </w:r>
            <w:r>
              <w:rPr>
                <w:rFonts w:hint="eastAsia" w:ascii="宋体" w:hAnsi="宋体" w:cs="宋体"/>
                <w:color w:val="000000" w:themeColor="text1"/>
                <w:sz w:val="21"/>
                <w:szCs w:val="21"/>
                <w:highlight w:val="none"/>
                <w:lang w:val="en-US" w:eastAsia="zh-CN"/>
                <w14:textFill>
                  <w14:solidFill>
                    <w14:schemeClr w14:val="tx1"/>
                  </w14:solidFill>
                </w14:textFill>
              </w:rPr>
              <w:t>合同总价</w:t>
            </w:r>
            <w:r>
              <w:rPr>
                <w:rFonts w:hint="eastAsia" w:ascii="宋体" w:hAnsi="宋体" w:eastAsia="宋体" w:cs="宋体"/>
                <w:color w:val="000000" w:themeColor="text1"/>
                <w:sz w:val="21"/>
                <w:szCs w:val="21"/>
                <w:highlight w:val="none"/>
                <w14:textFill>
                  <w14:solidFill>
                    <w14:schemeClr w14:val="tx1"/>
                  </w14:solidFill>
                </w14:textFill>
              </w:rPr>
              <w:t>的6.0%，且不得使用林业用肥，施肥时应按年计划并通知公园技术员至现场确认，按季度考核，若实际使用少于该施肥投入费用，则将未投入费用在每半年的最后一个月养护经费中扣除。</w:t>
            </w:r>
          </w:p>
          <w:p w14:paraId="41D1104F">
            <w:pPr>
              <w:keepNext w:val="0"/>
              <w:keepLines w:val="0"/>
              <w:pageBreakBefore w:val="0"/>
              <w:kinsoku/>
              <w:overflowPunct/>
              <w:topLinePunct w:val="0"/>
              <w:autoSpaceDE/>
              <w:autoSpaceDN/>
              <w:bidi w:val="0"/>
              <w:snapToGrid/>
              <w:spacing w:line="420" w:lineRule="exact"/>
              <w:ind w:firstLine="420" w:firstLineChars="200"/>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lang w:val="en-US" w:eastAsia="zh-CN"/>
                <w14:textFill>
                  <w14:solidFill>
                    <w14:schemeClr w14:val="tx1"/>
                  </w14:solidFill>
                </w14:textFill>
              </w:rPr>
              <w:t>4.南宁市石门公园</w:t>
            </w:r>
          </w:p>
          <w:p w14:paraId="2F3A53CC">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按现状接管中标范围内的绿地。中标范围绿地内，景点绿化改造、绿化提升、绿化恢复或绿化移植等工程新栽种苗木栽种完毕，经公园确认接收后，立即纳入中标供应商日常绿化养护范围（年养护费用不增加）。</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2）肥料每年投入不少于合同总价的5.0%（其中樱花专项养护，一年施肥四次），所有施肥工作应按年计划并通知公园技术员至现场确认，若实际使用少于该施肥投入费用，则将未投入费用在每半年的最后一个月养护经费中扣除。</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按现状接管中标范围内的绿地。服务期内，范围绿地内的绿化总面积增减5%以下（含5%），养护经费不作调整；绿化总面积减5%以上的，按实际中标价平均数对全部减少的面积计算核减费用；绿化总面积增5%以上的，以</w:t>
            </w:r>
            <w:r>
              <w:rPr>
                <w:rFonts w:hint="eastAsia" w:ascii="宋体" w:hAnsi="宋体" w:eastAsia="宋体" w:cs="宋体"/>
                <w:color w:val="000000" w:themeColor="text1"/>
                <w:sz w:val="21"/>
                <w:szCs w:val="21"/>
                <w:highlight w:val="none"/>
                <w:lang w:val="en-US" w:eastAsia="zh-CN"/>
                <w14:textFill>
                  <w14:solidFill>
                    <w14:schemeClr w14:val="tx1"/>
                  </w14:solidFill>
                </w14:textFill>
              </w:rPr>
              <w:t>相关</w:t>
            </w:r>
            <w:r>
              <w:rPr>
                <w:rFonts w:hint="eastAsia" w:ascii="宋体" w:hAnsi="宋体" w:eastAsia="宋体" w:cs="宋体"/>
                <w:color w:val="000000" w:themeColor="text1"/>
                <w:sz w:val="21"/>
                <w:szCs w:val="21"/>
                <w:highlight w:val="none"/>
                <w:lang w:eastAsia="zh-CN"/>
                <w14:textFill>
                  <w14:solidFill>
                    <w14:schemeClr w14:val="tx1"/>
                  </w14:solidFill>
                </w14:textFill>
              </w:rPr>
              <w:t>部门批复为准，不予增加费用的，养护经费不作调整。</w:t>
            </w:r>
            <w:r>
              <w:rPr>
                <w:rFonts w:hint="eastAsia" w:ascii="宋体" w:hAnsi="宋体" w:eastAsia="宋体" w:cs="宋体"/>
                <w:color w:val="000000" w:themeColor="text1"/>
                <w:sz w:val="21"/>
                <w:szCs w:val="21"/>
                <w:highlight w:val="none"/>
                <w14:textFill>
                  <w14:solidFill>
                    <w14:schemeClr w14:val="tx1"/>
                  </w14:solidFill>
                </w14:textFill>
              </w:rPr>
              <w:br w:type="textWrapping"/>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根据公园绿化年度养护要求，项目总费用中已包含补植专项经费25万元，用于对因自然老化、意外损毁、布局调整或其他非养护责任原因导致的苗木缺失、死亡等情况，进行必要补植与恢复。每项补植工作实施前，须向公园园容科提交计划方案，经审批同意后开展；实施完成后，须提交相应工程资料归档。此费用已包含在年度总费用中，不再另行结算。</w:t>
            </w:r>
          </w:p>
          <w:p w14:paraId="44115385">
            <w:pPr>
              <w:pStyle w:val="33"/>
              <w:keepNext w:val="0"/>
              <w:keepLines w:val="0"/>
              <w:pageBreakBefore w:val="0"/>
              <w:widowControl w:val="0"/>
              <w:kinsoku/>
              <w:wordWrap/>
              <w:overflowPunct/>
              <w:topLinePunct w:val="0"/>
              <w:autoSpaceDE/>
              <w:autoSpaceDN/>
              <w:bidi w:val="0"/>
              <w:adjustRightInd/>
              <w:snapToGrid/>
              <w:spacing w:line="420" w:lineRule="exact"/>
              <w:ind w:firstLine="36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5.南宁市花卉公园</w:t>
            </w:r>
          </w:p>
          <w:p w14:paraId="168ABE2C">
            <w:pPr>
              <w:pStyle w:val="33"/>
              <w:keepNext w:val="0"/>
              <w:keepLines w:val="0"/>
              <w:pageBreakBefore w:val="0"/>
              <w:widowControl w:val="0"/>
              <w:kinsoku/>
              <w:wordWrap/>
              <w:overflowPunct/>
              <w:topLinePunct w:val="0"/>
              <w:autoSpaceDE/>
              <w:autoSpaceDN/>
              <w:bidi w:val="0"/>
              <w:adjustRightInd/>
              <w:snapToGrid/>
              <w:spacing w:line="420" w:lineRule="exact"/>
              <w:ind w:firstLine="360"/>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14:textFill>
                  <w14:solidFill>
                    <w14:schemeClr w14:val="tx1"/>
                  </w14:solidFill>
                </w14:textFill>
              </w:rPr>
              <w:t>要求，进行范围内绿地局部景观种植所需苗木、机械及其他材料等占</w:t>
            </w:r>
            <w:r>
              <w:rPr>
                <w:rFonts w:hint="eastAsia" w:ascii="宋体" w:hAnsi="宋体" w:eastAsia="宋体" w:cs="宋体"/>
                <w:color w:val="000000" w:themeColor="text1"/>
                <w:sz w:val="21"/>
                <w:szCs w:val="21"/>
                <w:highlight w:val="none"/>
                <w:lang w:val="en-US" w:eastAsia="zh-CN"/>
                <w14:textFill>
                  <w14:solidFill>
                    <w14:schemeClr w14:val="tx1"/>
                  </w14:solidFill>
                </w14:textFill>
              </w:rPr>
              <w:t>合同总价的</w:t>
            </w:r>
            <w:r>
              <w:rPr>
                <w:rFonts w:hint="eastAsia" w:ascii="宋体" w:hAnsi="宋体" w:eastAsia="宋体" w:cs="宋体"/>
                <w:color w:val="000000" w:themeColor="text1"/>
                <w:sz w:val="21"/>
                <w:szCs w:val="21"/>
                <w:highlight w:val="none"/>
                <w14:textFill>
                  <w14:solidFill>
                    <w14:schemeClr w14:val="tx1"/>
                  </w14:solidFill>
                </w14:textFill>
              </w:rPr>
              <w:t>3%。采购计划清单须经公园审批同意后方可实施采购，并经现场验收合格后方可种植。人工费用由中标供应商自行承担。景观种植所涉苗木、机械及其他材料等，须按要求做好资料并加盖供应商公章后，提交</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14:textFill>
                  <w14:solidFill>
                    <w14:schemeClr w14:val="tx1"/>
                  </w14:solidFill>
                </w14:textFill>
              </w:rPr>
              <w:t>存档。</w:t>
            </w:r>
          </w:p>
          <w:p w14:paraId="10EA2B23">
            <w:pPr>
              <w:pStyle w:val="33"/>
              <w:keepNext w:val="0"/>
              <w:keepLines w:val="0"/>
              <w:pageBreakBefore w:val="0"/>
              <w:widowControl w:val="0"/>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14:textFill>
                  <w14:solidFill>
                    <w14:schemeClr w14:val="tx1"/>
                  </w14:solidFill>
                </w14:textFill>
              </w:rPr>
              <w:t>要求对养护范围内草坪进行更新，累计更新面积不低于5000㎡，并按要求做好资料加盖单位公章后上交</w:t>
            </w:r>
            <w:r>
              <w:rPr>
                <w:rFonts w:hint="eastAsia" w:ascii="宋体" w:hAnsi="宋体" w:cs="宋体"/>
                <w:color w:val="000000" w:themeColor="text1"/>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sz w:val="21"/>
                <w:szCs w:val="21"/>
                <w:highlight w:val="none"/>
                <w14:textFill>
                  <w14:solidFill>
                    <w14:schemeClr w14:val="tx1"/>
                  </w14:solidFill>
                </w14:textFill>
              </w:rPr>
              <w:t>存档。</w:t>
            </w:r>
          </w:p>
          <w:p w14:paraId="627C6D1E">
            <w:pPr>
              <w:pStyle w:val="33"/>
              <w:keepNext w:val="0"/>
              <w:keepLines w:val="0"/>
              <w:pageBreakBefore w:val="0"/>
              <w:widowControl w:val="0"/>
              <w:kinsoku/>
              <w:wordWrap/>
              <w:overflowPunct/>
              <w:topLinePunct w:val="0"/>
              <w:autoSpaceDE/>
              <w:autoSpaceDN/>
              <w:bidi w:val="0"/>
              <w:adjustRightInd/>
              <w:snapToGrid/>
              <w:spacing w:line="420" w:lineRule="exact"/>
              <w:ind w:firstLine="36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园内景点改造、绿化提升或绿化移植等工程新栽种的苗木，经</w:t>
            </w:r>
            <w:r>
              <w:rPr>
                <w:rFonts w:hint="eastAsia" w:ascii="宋体" w:hAnsi="宋体" w:cs="宋体"/>
                <w:color w:val="000000" w:themeColor="text1"/>
                <w:kern w:val="0"/>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kern w:val="0"/>
                <w:sz w:val="21"/>
                <w:szCs w:val="21"/>
                <w:highlight w:val="none"/>
                <w14:textFill>
                  <w14:solidFill>
                    <w14:schemeClr w14:val="tx1"/>
                  </w14:solidFill>
                </w14:textFill>
              </w:rPr>
              <w:t>确认接</w:t>
            </w:r>
            <w:r>
              <w:rPr>
                <w:rFonts w:hint="eastAsia" w:ascii="宋体" w:hAnsi="宋体" w:eastAsia="宋体" w:cs="宋体"/>
                <w:color w:val="000000" w:themeColor="text1"/>
                <w:sz w:val="21"/>
                <w:szCs w:val="21"/>
                <w:highlight w:val="none"/>
                <w14:textFill>
                  <w14:solidFill>
                    <w14:schemeClr w14:val="tx1"/>
                  </w14:solidFill>
                </w14:textFill>
              </w:rPr>
              <w:t>收后，应立即纳入中标供应商的日常绿化养护范围。</w:t>
            </w:r>
          </w:p>
          <w:p w14:paraId="280F4FC7">
            <w:pPr>
              <w:pStyle w:val="33"/>
              <w:keepNext w:val="0"/>
              <w:keepLines w:val="0"/>
              <w:pageBreakBefore w:val="0"/>
              <w:widowControl w:val="0"/>
              <w:kinsoku/>
              <w:wordWrap/>
              <w:overflowPunct/>
              <w:topLinePunct w:val="0"/>
              <w:autoSpaceDE/>
              <w:autoSpaceDN/>
              <w:bidi w:val="0"/>
              <w:adjustRightInd/>
              <w:snapToGrid/>
              <w:spacing w:line="420" w:lineRule="exact"/>
              <w:ind w:firstLine="36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t>）因中标供应商养护管理不到位，导致植物死亡或景观效果差的，由中标供应商进行补植或改造提升，费用自</w:t>
            </w:r>
            <w:r>
              <w:rPr>
                <w:rFonts w:hint="eastAsia" w:ascii="宋体" w:hAnsi="宋体" w:eastAsia="宋体" w:cs="宋体"/>
                <w:color w:val="000000" w:themeColor="text1"/>
                <w:sz w:val="21"/>
                <w:szCs w:val="21"/>
                <w:highlight w:val="none"/>
                <w:lang w:eastAsia="zh-CN"/>
                <w14:textFill>
                  <w14:solidFill>
                    <w14:schemeClr w14:val="tx1"/>
                  </w14:solidFill>
                </w14:textFill>
              </w:rPr>
              <w:t>行承担</w:t>
            </w:r>
            <w:r>
              <w:rPr>
                <w:rFonts w:hint="eastAsia" w:ascii="宋体" w:hAnsi="宋体" w:eastAsia="宋体" w:cs="宋体"/>
                <w:color w:val="000000" w:themeColor="text1"/>
                <w:sz w:val="21"/>
                <w:szCs w:val="21"/>
                <w:highlight w:val="none"/>
                <w14:textFill>
                  <w14:solidFill>
                    <w14:schemeClr w14:val="tx1"/>
                  </w14:solidFill>
                </w14:textFill>
              </w:rPr>
              <w:t>。</w:t>
            </w:r>
          </w:p>
          <w:p w14:paraId="3096995D">
            <w:pPr>
              <w:pStyle w:val="33"/>
              <w:keepNext w:val="0"/>
              <w:keepLines w:val="0"/>
              <w:pageBreakBefore w:val="0"/>
              <w:widowControl w:val="0"/>
              <w:kinsoku/>
              <w:wordWrap/>
              <w:overflowPunct/>
              <w:topLinePunct w:val="0"/>
              <w:autoSpaceDE/>
              <w:autoSpaceDN/>
              <w:bidi w:val="0"/>
              <w:adjustRightInd/>
              <w:snapToGrid/>
              <w:spacing w:line="420" w:lineRule="exact"/>
              <w:ind w:firstLine="36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）及时做好绿地的淋水养护工作，确保植物的正常生长。高温干旱季节，须每天淋水一次。公园绿化养护用水原则使用公园池塘水（园内有完整的抽水系统），抽水用电费用由中标供应商自</w:t>
            </w:r>
            <w:r>
              <w:rPr>
                <w:rFonts w:hint="eastAsia" w:ascii="宋体" w:hAnsi="宋体" w:eastAsia="宋体" w:cs="宋体"/>
                <w:color w:val="000000" w:themeColor="text1"/>
                <w:sz w:val="21"/>
                <w:szCs w:val="21"/>
                <w:highlight w:val="none"/>
                <w:lang w:eastAsia="zh-CN"/>
                <w14:textFill>
                  <w14:solidFill>
                    <w14:schemeClr w14:val="tx1"/>
                  </w14:solidFill>
                </w14:textFill>
              </w:rPr>
              <w:t>行承担</w:t>
            </w:r>
            <w:r>
              <w:rPr>
                <w:rFonts w:hint="eastAsia" w:ascii="宋体" w:hAnsi="宋体" w:eastAsia="宋体" w:cs="宋体"/>
                <w:color w:val="000000" w:themeColor="text1"/>
                <w:sz w:val="21"/>
                <w:szCs w:val="21"/>
                <w:highlight w:val="none"/>
                <w14:textFill>
                  <w14:solidFill>
                    <w14:schemeClr w14:val="tx1"/>
                  </w14:solidFill>
                </w14:textFill>
              </w:rPr>
              <w:t>。在池塘水不足的情况下，所用的自来水费用由中标供应商自</w:t>
            </w:r>
            <w:r>
              <w:rPr>
                <w:rFonts w:hint="eastAsia" w:ascii="宋体" w:hAnsi="宋体" w:eastAsia="宋体" w:cs="宋体"/>
                <w:color w:val="000000" w:themeColor="text1"/>
                <w:sz w:val="21"/>
                <w:szCs w:val="21"/>
                <w:highlight w:val="none"/>
                <w:lang w:val="en-US" w:eastAsia="zh-CN"/>
                <w14:textFill>
                  <w14:solidFill>
                    <w14:schemeClr w14:val="tx1"/>
                  </w14:solidFill>
                </w14:textFill>
              </w:rPr>
              <w:t>行承担</w:t>
            </w:r>
            <w:r>
              <w:rPr>
                <w:rFonts w:hint="eastAsia" w:ascii="宋体" w:hAnsi="宋体" w:eastAsia="宋体" w:cs="宋体"/>
                <w:color w:val="000000" w:themeColor="text1"/>
                <w:sz w:val="21"/>
                <w:szCs w:val="21"/>
                <w:highlight w:val="none"/>
                <w14:textFill>
                  <w14:solidFill>
                    <w14:schemeClr w14:val="tx1"/>
                  </w14:solidFill>
                </w14:textFill>
              </w:rPr>
              <w:t>。</w:t>
            </w:r>
          </w:p>
          <w:p w14:paraId="6EE16318">
            <w:pPr>
              <w:pStyle w:val="33"/>
              <w:pageBreakBefore w:val="0"/>
              <w:kinsoku/>
              <w:overflowPunct/>
              <w:topLinePunct w:val="0"/>
              <w:autoSpaceDE/>
              <w:autoSpaceDN/>
              <w:bidi w:val="0"/>
              <w:snapToGrid/>
              <w:spacing w:line="420" w:lineRule="exact"/>
              <w:ind w:firstLine="36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中标供应商每次投入使用的农药、肥料及植物，进场前</w:t>
            </w:r>
            <w:r>
              <w:rPr>
                <w:rFonts w:hint="eastAsia" w:ascii="宋体" w:hAnsi="宋体" w:eastAsia="宋体" w:cs="宋体"/>
                <w:color w:val="000000" w:themeColor="text1"/>
                <w:kern w:val="0"/>
                <w:sz w:val="21"/>
                <w:szCs w:val="21"/>
                <w:highlight w:val="none"/>
                <w:lang w:eastAsia="zh-CN"/>
                <w14:textFill>
                  <w14:solidFill>
                    <w14:schemeClr w14:val="tx1"/>
                  </w14:solidFill>
                </w14:textFill>
              </w:rPr>
              <w:t>需提</w:t>
            </w:r>
            <w:r>
              <w:rPr>
                <w:rFonts w:hint="eastAsia" w:ascii="宋体" w:hAnsi="宋体" w:eastAsia="宋体" w:cs="宋体"/>
                <w:color w:val="000000" w:themeColor="text1"/>
                <w:kern w:val="0"/>
                <w:sz w:val="21"/>
                <w:szCs w:val="21"/>
                <w:highlight w:val="none"/>
                <w14:textFill>
                  <w14:solidFill>
                    <w14:schemeClr w14:val="tx1"/>
                  </w14:solidFill>
                </w14:textFill>
              </w:rPr>
              <w:t>交采购发票及数量清单到</w:t>
            </w:r>
            <w:r>
              <w:rPr>
                <w:rFonts w:hint="eastAsia" w:ascii="宋体" w:hAnsi="宋体" w:cs="宋体"/>
                <w:color w:val="000000" w:themeColor="text1"/>
                <w:kern w:val="0"/>
                <w:sz w:val="21"/>
                <w:szCs w:val="21"/>
                <w:highlight w:val="none"/>
                <w:lang w:val="en-US" w:eastAsia="zh-CN"/>
                <w14:textFill>
                  <w14:solidFill>
                    <w14:schemeClr w14:val="tx1"/>
                  </w14:solidFill>
                </w14:textFill>
              </w:rPr>
              <w:t>公园</w:t>
            </w:r>
            <w:r>
              <w:rPr>
                <w:rFonts w:hint="eastAsia" w:ascii="宋体" w:hAnsi="宋体" w:eastAsia="宋体" w:cs="宋体"/>
                <w:color w:val="000000" w:themeColor="text1"/>
                <w:kern w:val="0"/>
                <w:sz w:val="21"/>
                <w:szCs w:val="21"/>
                <w:highlight w:val="none"/>
                <w14:textFill>
                  <w14:solidFill>
                    <w14:schemeClr w14:val="tx1"/>
                  </w14:solidFill>
                </w14:textFill>
              </w:rPr>
              <w:t>进行验收登记后方能使用。全年养护所需肥料投入不少于</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合同总价</w:t>
            </w:r>
            <w:r>
              <w:rPr>
                <w:rFonts w:hint="eastAsia" w:ascii="宋体" w:hAnsi="宋体" w:eastAsia="宋体" w:cs="宋体"/>
                <w:color w:val="000000" w:themeColor="text1"/>
                <w:kern w:val="0"/>
                <w:sz w:val="21"/>
                <w:szCs w:val="21"/>
                <w:highlight w:val="none"/>
                <w14:textFill>
                  <w14:solidFill>
                    <w14:schemeClr w14:val="tx1"/>
                  </w14:solidFill>
                </w14:textFill>
              </w:rPr>
              <w:t>的8%。肥料、农药及植物的购买清单及价格需经公园同意后方可购买。施肥时应按年计划实施并通知公园技术员至现场确认。若实际使用少于约定投入费用</w:t>
            </w:r>
            <w:r>
              <w:rPr>
                <w:rFonts w:hint="eastAsia" w:ascii="宋体" w:hAnsi="宋体" w:eastAsia="宋体" w:cs="宋体"/>
                <w:color w:val="000000" w:themeColor="text1"/>
                <w:sz w:val="21"/>
                <w:szCs w:val="21"/>
                <w:highlight w:val="none"/>
                <w14:textFill>
                  <w14:solidFill>
                    <w14:schemeClr w14:val="tx1"/>
                  </w14:solidFill>
                </w14:textFill>
              </w:rPr>
              <w:t>，则将未投入费用在每年的最后一个月养护经费中扣除。</w:t>
            </w:r>
          </w:p>
          <w:p w14:paraId="3BB88F9E">
            <w:pPr>
              <w:pageBreakBefore w:val="0"/>
              <w:kinsoku/>
              <w:overflowPunct/>
              <w:topLinePunct w:val="0"/>
              <w:autoSpaceDE/>
              <w:autoSpaceDN/>
              <w:bidi w:val="0"/>
              <w:snapToGrid/>
              <w:spacing w:line="42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p>
          <w:p w14:paraId="3F00BFEF">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附件1：南宁市南湖公园绿化养护服务范围图及考核办法</w:t>
            </w:r>
          </w:p>
          <w:p w14:paraId="6424E9F0">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附件2：南宁市人民公园绿化养护服务范围图及考核办法</w:t>
            </w:r>
          </w:p>
          <w:p w14:paraId="2DD51AB1">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附件3：南宁市金花茶公园绿化养护服务范围图及考核办法</w:t>
            </w:r>
          </w:p>
          <w:p w14:paraId="3345BFBA">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附件4：南宁市石门公园绿化养护服务范围图及考核办法</w:t>
            </w:r>
          </w:p>
          <w:p w14:paraId="5D803028">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附件5：南宁市花卉公园绿化养护服务范围图及考核办法</w:t>
            </w:r>
          </w:p>
          <w:p w14:paraId="13AF88A8">
            <w:pPr>
              <w:pStyle w:val="33"/>
              <w:keepNext w:val="0"/>
              <w:keepLines w:val="0"/>
              <w:pageBreakBefore w:val="0"/>
              <w:widowControl w:val="0"/>
              <w:numPr>
                <w:ilvl w:val="0"/>
                <w:numId w:val="0"/>
              </w:numPr>
              <w:kinsoku/>
              <w:wordWrap/>
              <w:overflowPunct/>
              <w:topLinePunct w:val="0"/>
              <w:autoSpaceDE/>
              <w:autoSpaceDN/>
              <w:bidi w:val="0"/>
              <w:adjustRightInd/>
              <w:snapToGrid/>
              <w:spacing w:line="420" w:lineRule="exact"/>
              <w:ind w:left="0" w:leftChars="0" w:firstLine="420" w:firstLineChars="200"/>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附件6：5个公园重点区域、重要景观节点及重点植物清单</w:t>
            </w:r>
          </w:p>
        </w:tc>
        <w:tc>
          <w:tcPr>
            <w:tcW w:w="1270" w:type="dxa"/>
            <w:tcBorders>
              <w:top w:val="single" w:color="auto" w:sz="4" w:space="0"/>
              <w:left w:val="single" w:color="auto" w:sz="4" w:space="0"/>
              <w:bottom w:val="single" w:color="auto" w:sz="4" w:space="0"/>
              <w:right w:val="single" w:color="auto" w:sz="4" w:space="0"/>
            </w:tcBorders>
            <w:noWrap w:val="0"/>
            <w:vAlign w:val="center"/>
          </w:tcPr>
          <w:p w14:paraId="488A2931">
            <w:pPr>
              <w:keepNext w:val="0"/>
              <w:keepLines w:val="0"/>
              <w:pageBreakBefore w:val="0"/>
              <w:shd w:val="clear"/>
              <w:kinsoku/>
              <w:wordWrap/>
              <w:overflowPunct/>
              <w:topLinePunct w:val="0"/>
              <w:bidi w:val="0"/>
              <w:snapToGrid/>
              <w:spacing w:line="500" w:lineRule="exact"/>
              <w:textAlignment w:val="auto"/>
              <w:rPr>
                <w:rFonts w:hint="default" w:ascii="宋体" w:hAnsi="宋体" w:eastAsia="宋体" w:cs="宋体"/>
                <w:color w:val="000000" w:themeColor="text1"/>
                <w:sz w:val="21"/>
                <w:szCs w:val="21"/>
                <w:highlight w:val="none"/>
                <w:lang w:val="en-US"/>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12351081.00</w:t>
            </w:r>
          </w:p>
        </w:tc>
        <w:tc>
          <w:tcPr>
            <w:tcW w:w="1045" w:type="dxa"/>
            <w:tcBorders>
              <w:top w:val="single" w:color="auto" w:sz="4" w:space="0"/>
              <w:left w:val="single" w:color="auto" w:sz="4" w:space="0"/>
              <w:bottom w:val="single" w:color="auto" w:sz="4" w:space="0"/>
              <w:right w:val="single" w:color="auto" w:sz="4" w:space="0"/>
            </w:tcBorders>
            <w:noWrap w:val="0"/>
            <w:vAlign w:val="center"/>
          </w:tcPr>
          <w:p w14:paraId="1DEFA0E3">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其他未列明行业</w:t>
            </w:r>
          </w:p>
        </w:tc>
      </w:tr>
      <w:tr w14:paraId="4E5565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28" w:type="dxa"/>
            <w:tcBorders>
              <w:top w:val="single" w:color="auto" w:sz="4" w:space="0"/>
              <w:left w:val="single" w:color="auto" w:sz="4" w:space="0"/>
              <w:bottom w:val="single" w:color="auto" w:sz="4" w:space="0"/>
              <w:right w:val="single" w:color="auto" w:sz="4" w:space="0"/>
            </w:tcBorders>
            <w:noWrap w:val="0"/>
            <w:vAlign w:val="top"/>
          </w:tcPr>
          <w:p w14:paraId="6473AEBF">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p w14:paraId="2001ED65">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p>
          <w:p w14:paraId="3AE52BA0">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商务条款</w:t>
            </w:r>
          </w:p>
        </w:tc>
        <w:tc>
          <w:tcPr>
            <w:tcW w:w="10054" w:type="dxa"/>
            <w:gridSpan w:val="7"/>
            <w:tcBorders>
              <w:top w:val="single" w:color="auto" w:sz="4" w:space="0"/>
              <w:left w:val="single" w:color="auto" w:sz="4" w:space="0"/>
              <w:bottom w:val="single" w:color="auto" w:sz="4" w:space="0"/>
              <w:right w:val="single" w:color="auto" w:sz="4" w:space="0"/>
            </w:tcBorders>
            <w:shd w:val="clear" w:color="auto" w:fill="auto"/>
            <w:noWrap w:val="0"/>
            <w:vAlign w:val="top"/>
          </w:tcPr>
          <w:p w14:paraId="201C137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一、合同签订</w:t>
            </w:r>
            <w:r>
              <w:rPr>
                <w:rFonts w:hint="eastAsia" w:ascii="宋体" w:hAnsi="宋体" w:cs="宋体"/>
                <w:color w:val="000000" w:themeColor="text1"/>
                <w:sz w:val="21"/>
                <w:szCs w:val="21"/>
                <w:highlight w:val="none"/>
                <w:lang w:val="en-US" w:eastAsia="zh-CN"/>
                <w14:textFill>
                  <w14:solidFill>
                    <w14:schemeClr w14:val="tx1"/>
                  </w14:solidFill>
                </w14:textFill>
              </w:rPr>
              <w:t>期</w:t>
            </w:r>
            <w:r>
              <w:rPr>
                <w:rFonts w:hint="eastAsia" w:ascii="宋体" w:hAnsi="宋体" w:eastAsia="宋体" w:cs="宋体"/>
                <w:color w:val="000000" w:themeColor="text1"/>
                <w:sz w:val="21"/>
                <w:szCs w:val="21"/>
                <w:highlight w:val="none"/>
                <w:lang w:val="en-US" w:eastAsia="zh-CN"/>
                <w14:textFill>
                  <w14:solidFill>
                    <w14:schemeClr w14:val="tx1"/>
                  </w14:solidFill>
                </w14:textFill>
              </w:rPr>
              <w:t>：自中标通知书发出之日起25日内。</w:t>
            </w:r>
          </w:p>
          <w:p w14:paraId="4FC7DCF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二、服务期限</w:t>
            </w:r>
            <w:r>
              <w:rPr>
                <w:rFonts w:hint="eastAsia" w:ascii="宋体" w:hAnsi="宋体" w:cs="宋体"/>
                <w:color w:val="000000" w:themeColor="text1"/>
                <w:sz w:val="21"/>
                <w:szCs w:val="21"/>
                <w:highlight w:val="none"/>
                <w:lang w:val="en-US" w:eastAsia="zh-CN"/>
                <w14:textFill>
                  <w14:solidFill>
                    <w14:schemeClr w14:val="tx1"/>
                  </w14:solidFill>
                </w14:textFill>
              </w:rPr>
              <w:t>：各公园服务期均为12个月，具体起始、终止日期以对应公园单独签订的合同约定为准，各公园服务期限独立核算，互不影响。</w:t>
            </w:r>
          </w:p>
          <w:p w14:paraId="59D0FD2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三、服务地点：南宁市南湖公园、南宁市人民公园、南宁市金花茶公园（含桃</w:t>
            </w:r>
            <w:r>
              <w:rPr>
                <w:rFonts w:hint="eastAsia" w:ascii="宋体" w:hAnsi="宋体" w:cs="宋体"/>
                <w:color w:val="000000" w:themeColor="text1"/>
                <w:sz w:val="21"/>
                <w:szCs w:val="21"/>
                <w:highlight w:val="none"/>
                <w:lang w:val="en-US" w:eastAsia="zh-CN"/>
                <w14:textFill>
                  <w14:solidFill>
                    <w14:schemeClr w14:val="tx1"/>
                  </w14:solidFill>
                </w14:textFill>
              </w:rPr>
              <w:t>村</w:t>
            </w:r>
            <w:r>
              <w:rPr>
                <w:rFonts w:hint="eastAsia" w:ascii="宋体" w:hAnsi="宋体" w:eastAsia="宋体" w:cs="宋体"/>
                <w:color w:val="000000" w:themeColor="text1"/>
                <w:sz w:val="21"/>
                <w:szCs w:val="21"/>
                <w:highlight w:val="none"/>
                <w:lang w:val="en-US" w:eastAsia="zh-CN"/>
                <w14:textFill>
                  <w14:solidFill>
                    <w14:schemeClr w14:val="tx1"/>
                  </w14:solidFill>
                </w14:textFill>
              </w:rPr>
              <w:t>路小游园）、南宁市石门公园、南宁市花卉公园。</w:t>
            </w:r>
          </w:p>
          <w:p w14:paraId="2F4E5F5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四、售后服务要求：</w:t>
            </w:r>
          </w:p>
          <w:p w14:paraId="3962FE2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（一）质量保证期：1年（自提交成果并验收合格之日起计）。</w:t>
            </w:r>
          </w:p>
          <w:p w14:paraId="72C3E58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▲（二）服务响应时间：</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发出的指令，中标供应商须于15分钟内予以响应确认，并同步启动派员处置流程。人员抵达现场时限按事件等级明确：紧急事件须15分钟内抵达，重要事件须30分钟内抵达，常规事务按约定时间处置。</w:t>
            </w:r>
          </w:p>
          <w:p w14:paraId="117C884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（三）问题整改时限：</w:t>
            </w:r>
          </w:p>
          <w:p w14:paraId="1F490C6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1.违反安全操作规程、有安全隐患的情况立即整改；</w:t>
            </w:r>
          </w:p>
          <w:p w14:paraId="03D006B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2.水电设施损坏整改时限为0.5个小时至1天；</w:t>
            </w:r>
          </w:p>
          <w:p w14:paraId="054589B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3.倒伏树木的整改时限为0.5-3天，但重要节点位置的，须立即整改；</w:t>
            </w:r>
          </w:p>
          <w:p w14:paraId="05C4B08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4.病虫害防治的整改时限为0.5-5天；</w:t>
            </w:r>
          </w:p>
          <w:p w14:paraId="341D399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5.杂草整改时限为0.5-3天；</w:t>
            </w:r>
          </w:p>
          <w:p w14:paraId="5888FAE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6.非自然倾斜树木、死株的整改时限为0.5-5天；</w:t>
            </w:r>
          </w:p>
          <w:p w14:paraId="52810C5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7.园林设施破损整改时限为0.5-5天；</w:t>
            </w:r>
          </w:p>
          <w:p w14:paraId="7F9F90B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8.黄土裸露整改时限为0.5-7天；</w:t>
            </w:r>
          </w:p>
          <w:p w14:paraId="1D4C737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r>
              <w:rPr>
                <w:rFonts w:hint="eastAsia" w:ascii="宋体" w:hAnsi="宋体" w:cs="宋体"/>
                <w:color w:val="000000" w:themeColor="text1"/>
                <w:sz w:val="21"/>
                <w:szCs w:val="21"/>
                <w:highlight w:val="none"/>
                <w:lang w:val="en-US" w:eastAsia="zh-CN"/>
                <w14:textFill>
                  <w14:solidFill>
                    <w14:schemeClr w14:val="tx1"/>
                  </w14:solidFill>
                </w14:textFill>
              </w:rPr>
              <w:t>生产用</w:t>
            </w:r>
            <w:r>
              <w:rPr>
                <w:rFonts w:hint="eastAsia" w:ascii="宋体" w:hAnsi="宋体" w:eastAsia="宋体" w:cs="宋体"/>
                <w:color w:val="000000" w:themeColor="text1"/>
                <w:sz w:val="21"/>
                <w:szCs w:val="21"/>
                <w:highlight w:val="none"/>
                <w:lang w:val="en-US" w:eastAsia="zh-CN"/>
                <w14:textFill>
                  <w14:solidFill>
                    <w14:schemeClr w14:val="tx1"/>
                  </w14:solidFill>
                </w14:textFill>
              </w:rPr>
              <w:t>房整改时限为0.5-10天。</w:t>
            </w:r>
          </w:p>
          <w:p w14:paraId="7A52524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以上整改时限检查人员可视具体时间、具体位置及工作量进行调整，未列明的整改事项可根据实际情况确定。</w:t>
            </w:r>
          </w:p>
          <w:p w14:paraId="01A8FD5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五、其他要求：</w:t>
            </w:r>
          </w:p>
          <w:p w14:paraId="75FF803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▲（一）报价必须含履行合同所发生的其他一切费用，并充分考虑因节日（如春节、国庆等）因素产生的价格波动，包括（但不限于）以下部分：</w:t>
            </w:r>
          </w:p>
          <w:p w14:paraId="735EF8F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1.人员工资、福利；</w:t>
            </w:r>
          </w:p>
          <w:p w14:paraId="4001715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2.日常养护工具，主要指生产工具、个人劳保用品及安全防护用具；</w:t>
            </w:r>
          </w:p>
          <w:p w14:paraId="797F5C1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3.园林机械设备购买或租赁费用、使用及维护维修费用；</w:t>
            </w:r>
          </w:p>
          <w:p w14:paraId="1E200AD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4.药剂及耗材；</w:t>
            </w:r>
          </w:p>
          <w:p w14:paraId="3034A31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5.肥料费用；</w:t>
            </w:r>
          </w:p>
          <w:p w14:paraId="5D796D8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6.苗木（不含草皮）及基质；</w:t>
            </w:r>
          </w:p>
          <w:p w14:paraId="797CCBF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7.草皮更新</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4941BFA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8.绿化养护过程中产生的绿化垃圾及危险废弃物处置费用；</w:t>
            </w:r>
          </w:p>
          <w:p w14:paraId="570CFA6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9.绿化灌溉系统的维护维修费；</w:t>
            </w:r>
          </w:p>
          <w:p w14:paraId="6D67714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10.绿化养护安全生产及应急抢险救援相关费用。</w:t>
            </w:r>
          </w:p>
          <w:p w14:paraId="1A01B22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11.白蚁、红棕象甲、蛀干害虫、地下害虫专项防治费用。</w:t>
            </w:r>
          </w:p>
          <w:p w14:paraId="5982223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12.防疫费、培训费（安全培训、专业培训）。</w:t>
            </w:r>
          </w:p>
          <w:p w14:paraId="0344D09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13.服务过程中产生的水电费、生产用房的维护维修费。</w:t>
            </w:r>
          </w:p>
          <w:p w14:paraId="5846FAF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14.本项目包含的招标代理服务费用。</w:t>
            </w:r>
          </w:p>
          <w:p w14:paraId="1CA8567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15.必要的保险费用、各项税金和管理费等。</w:t>
            </w:r>
          </w:p>
          <w:p w14:paraId="2F6CEE0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16.投标风险包干：中标供应商应当根据项目大小及工作难易程度、现场环境、工期长短、</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布置的临时性、阶段性任务以及招标文件的要求，自行考虑风险包干费用并计入投标报价中；中标后，</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将不再支付任何费用。风险因素包括：临时性、阶段性任务（含检查、突击整治、重大活动、其他活动等）、不良天气而采取的临时措施等。</w:t>
            </w:r>
          </w:p>
          <w:p w14:paraId="48A6B08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（二）中标供应商因工作不到位等原因造成人员及财产损失的，由中标供应商自行承担赔付。</w:t>
            </w:r>
          </w:p>
          <w:p w14:paraId="57D5FF8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▲六、付款方式</w:t>
            </w:r>
          </w:p>
          <w:p w14:paraId="608D5BC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按月对中标供应商所提供的服务进行考核，根据考核分数按合同规定核算并向南宁市财政局申请月服务费，待南宁市财政局拨付后10个工作日内支付。因</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使用的是财政资金，付款时间要根据财政资金下达的时间进行调整，造成推迟付款时间的，该情形不视为</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违约。</w:t>
            </w:r>
          </w:p>
          <w:p w14:paraId="40E78F04">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2.第12个月合同款，合同期满前，中标供应商需完成合同相关要求，已妥善处理本项目与</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相关的债权债务（相关设备移交、费用缴纳等），做好交接期各项工作，并经</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验收合格后方可拨付第12个月月度服务费，否则</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有权没收中标供应商第12个月全部或部分合同款。</w:t>
            </w:r>
          </w:p>
          <w:p w14:paraId="4361AD3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▲七、合同签订后中标供应商应于约定的进场之日按投标响应条件投入，包括投标时响应的管理人员、各类园林工具、机械以及耗材等，服务期内</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不定期检查。未按投标响应条件投入的，将按相应的考核细则进行处理。</w:t>
            </w:r>
          </w:p>
          <w:p w14:paraId="1C46D90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▲八、合同解除</w:t>
            </w:r>
          </w:p>
          <w:p w14:paraId="568F383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服务期内，</w:t>
            </w:r>
            <w:r>
              <w:rPr>
                <w:rFonts w:hint="eastAsia" w:ascii="宋体" w:hAnsi="宋体" w:eastAsia="宋体" w:cs="宋体"/>
                <w:color w:val="000000" w:themeColor="text1"/>
                <w:sz w:val="21"/>
                <w:szCs w:val="21"/>
                <w:highlight w:val="none"/>
                <w:lang w:val="en-US" w:eastAsia="zh-CN"/>
                <w14:textFill>
                  <w14:solidFill>
                    <w14:schemeClr w14:val="tx1"/>
                  </w14:solidFill>
                </w14:textFill>
              </w:rPr>
              <w:t>中标供应商有以下</w:t>
            </w:r>
            <w:r>
              <w:rPr>
                <w:rFonts w:hint="eastAsia" w:ascii="宋体" w:hAnsi="宋体" w:cs="宋体"/>
                <w:color w:val="000000" w:themeColor="text1"/>
                <w:sz w:val="21"/>
                <w:szCs w:val="21"/>
                <w:highlight w:val="none"/>
                <w:lang w:val="en-US" w:eastAsia="zh-CN"/>
                <w14:textFill>
                  <w14:solidFill>
                    <w14:schemeClr w14:val="tx1"/>
                  </w14:solidFill>
                </w14:textFill>
              </w:rPr>
              <w:t>情形</w:t>
            </w:r>
            <w:r>
              <w:rPr>
                <w:rFonts w:hint="eastAsia" w:ascii="宋体" w:hAnsi="宋体" w:eastAsia="宋体" w:cs="宋体"/>
                <w:color w:val="000000" w:themeColor="text1"/>
                <w:sz w:val="21"/>
                <w:szCs w:val="21"/>
                <w:highlight w:val="none"/>
                <w:lang w:val="en-US" w:eastAsia="zh-CN"/>
                <w14:textFill>
                  <w14:solidFill>
                    <w14:schemeClr w14:val="tx1"/>
                  </w14:solidFill>
                </w14:textFill>
              </w:rPr>
              <w:t>之一的，</w:t>
            </w:r>
            <w:r>
              <w:rPr>
                <w:rFonts w:hint="eastAsia" w:ascii="宋体" w:hAnsi="宋体" w:cs="宋体"/>
                <w:color w:val="000000" w:themeColor="text1"/>
                <w:sz w:val="21"/>
                <w:szCs w:val="21"/>
                <w:highlight w:val="none"/>
                <w:lang w:val="en-US" w:eastAsia="zh-CN"/>
                <w14:textFill>
                  <w14:solidFill>
                    <w14:schemeClr w14:val="tx1"/>
                  </w14:solidFill>
                </w14:textFill>
              </w:rPr>
              <w:t>服务需求单位有权上报监督部门申请</w:t>
            </w:r>
            <w:r>
              <w:rPr>
                <w:rFonts w:hint="eastAsia" w:ascii="宋体" w:hAnsi="宋体" w:eastAsia="宋体" w:cs="宋体"/>
                <w:color w:val="000000" w:themeColor="text1"/>
                <w:sz w:val="21"/>
                <w:szCs w:val="21"/>
                <w:highlight w:val="none"/>
                <w:lang w:val="en-US" w:eastAsia="zh-CN"/>
                <w14:textFill>
                  <w14:solidFill>
                    <w14:schemeClr w14:val="tx1"/>
                  </w14:solidFill>
                </w14:textFill>
              </w:rPr>
              <w:t>解除本合同，且一切经济损失和法律责任由中标供应商承担：</w:t>
            </w:r>
          </w:p>
          <w:p w14:paraId="6E521CE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（一）</w:t>
            </w:r>
            <w:r>
              <w:rPr>
                <w:rFonts w:hint="eastAsia" w:ascii="宋体" w:hAnsi="宋体" w:cs="宋体"/>
                <w:color w:val="000000" w:themeColor="text1"/>
                <w:sz w:val="21"/>
                <w:szCs w:val="21"/>
                <w:highlight w:val="none"/>
                <w:lang w:val="en-US" w:eastAsia="zh-CN"/>
                <w14:textFill>
                  <w14:solidFill>
                    <w14:schemeClr w14:val="tx1"/>
                  </w14:solidFill>
                </w14:textFill>
              </w:rPr>
              <w:t>5个公园服务范围内，月度考核等次</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不合格次数累计超过15次</w:t>
            </w:r>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单个公园单次不合格计为1次</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00671C9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（二）</w:t>
            </w:r>
            <w:r>
              <w:rPr>
                <w:rFonts w:hint="eastAsia" w:ascii="宋体" w:hAnsi="宋体" w:eastAsia="宋体" w:cs="宋体"/>
                <w:color w:val="000000" w:themeColor="text1"/>
                <w:sz w:val="21"/>
                <w:szCs w:val="21"/>
                <w:highlight w:val="none"/>
                <w:lang w:val="en-US" w:eastAsia="zh-CN"/>
                <w14:textFill>
                  <w14:solidFill>
                    <w14:schemeClr w14:val="tx1"/>
                  </w14:solidFill>
                </w14:textFill>
              </w:rPr>
              <w:t>或任一公园</w:t>
            </w:r>
            <w:r>
              <w:rPr>
                <w:rFonts w:hint="eastAsia" w:ascii="宋体" w:hAnsi="宋体" w:cs="宋体"/>
                <w:color w:val="000000" w:themeColor="text1"/>
                <w:sz w:val="21"/>
                <w:szCs w:val="21"/>
                <w:highlight w:val="none"/>
                <w:lang w:val="en-US" w:eastAsia="zh-CN"/>
                <w14:textFill>
                  <w14:solidFill>
                    <w14:schemeClr w14:val="tx1"/>
                  </w14:solidFill>
                </w14:textFill>
              </w:rPr>
              <w:t>月度考核等次</w:t>
            </w:r>
            <w:r>
              <w:rPr>
                <w:rFonts w:hint="eastAsia" w:ascii="宋体" w:hAnsi="宋体" w:eastAsia="宋体" w:cs="宋体"/>
                <w:color w:val="000000" w:themeColor="text1"/>
                <w:sz w:val="21"/>
                <w:szCs w:val="21"/>
                <w:highlight w:val="none"/>
                <w:lang w:val="en-US" w:eastAsia="zh-CN"/>
                <w14:textFill>
                  <w14:solidFill>
                    <w14:schemeClr w14:val="tx1"/>
                  </w14:solidFill>
                </w14:textFill>
              </w:rPr>
              <w:t>不合格次数连续3次或累计达5次的</w:t>
            </w:r>
            <w:r>
              <w:rPr>
                <w:rFonts w:hint="eastAsia" w:ascii="宋体" w:hAnsi="宋体" w:cs="宋体"/>
                <w:color w:val="000000" w:themeColor="text1"/>
                <w:sz w:val="21"/>
                <w:szCs w:val="21"/>
                <w:highlight w:val="none"/>
                <w:lang w:val="en-US" w:eastAsia="zh-CN"/>
                <w14:textFill>
                  <w14:solidFill>
                    <w14:schemeClr w14:val="tx1"/>
                  </w14:solidFill>
                </w14:textFill>
              </w:rPr>
              <w:t>；</w:t>
            </w:r>
          </w:p>
          <w:p w14:paraId="3855091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sz w:val="21"/>
                <w:szCs w:val="21"/>
                <w:highlight w:val="none"/>
                <w:lang w:val="en-US" w:eastAsia="zh-CN"/>
                <w14:textFill>
                  <w14:solidFill>
                    <w14:schemeClr w14:val="tx1"/>
                  </w14:solidFill>
                </w14:textFill>
              </w:rPr>
              <w:t>）发生安全生产事故：发生一般及以上等级安全生产责任事故，或因中标供应商存在重大安全管理过错、其行为对公园造成恶劣社会影响的安全生产责任事故，</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有权视情节轻重解除合同；</w:t>
            </w:r>
          </w:p>
          <w:p w14:paraId="6709F71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lang w:val="en-US" w:eastAsia="zh-CN"/>
                <w14:textFill>
                  <w14:solidFill>
                    <w14:schemeClr w14:val="tx1"/>
                  </w14:solidFill>
                </w14:textFill>
              </w:rPr>
              <w:t>）非法转包或分包：擅自将服务合同转包或分包给第三方；</w:t>
            </w:r>
          </w:p>
          <w:p w14:paraId="454D2B3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五</w:t>
            </w:r>
            <w:r>
              <w:rPr>
                <w:rFonts w:hint="eastAsia" w:ascii="宋体" w:hAnsi="宋体" w:eastAsia="宋体" w:cs="宋体"/>
                <w:color w:val="000000" w:themeColor="text1"/>
                <w:sz w:val="21"/>
                <w:szCs w:val="21"/>
                <w:highlight w:val="none"/>
                <w:lang w:val="en-US" w:eastAsia="zh-CN"/>
                <w14:textFill>
                  <w14:solidFill>
                    <w14:schemeClr w14:val="tx1"/>
                  </w14:solidFill>
                </w14:textFill>
              </w:rPr>
              <w:t>）丧失履约能力：进入破产、清算、解散程序，或被吊销营业执照及相关法定资源；</w:t>
            </w:r>
          </w:p>
          <w:p w14:paraId="6B70346A">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六</w:t>
            </w:r>
            <w:r>
              <w:rPr>
                <w:rFonts w:hint="eastAsia" w:ascii="宋体" w:hAnsi="宋体" w:eastAsia="宋体" w:cs="宋体"/>
                <w:color w:val="000000" w:themeColor="text1"/>
                <w:sz w:val="21"/>
                <w:szCs w:val="21"/>
                <w:highlight w:val="none"/>
                <w:lang w:val="en-US" w:eastAsia="zh-CN"/>
                <w14:textFill>
                  <w14:solidFill>
                    <w14:schemeClr w14:val="tx1"/>
                  </w14:solidFill>
                </w14:textFill>
              </w:rPr>
              <w:t>）其他根本性违约：其他严重违反招标文件及合同约定，导致合同目的无法实行的行为。</w:t>
            </w:r>
          </w:p>
          <w:p w14:paraId="1245E56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▲九、中标供应商对服务范围进行现状接收，</w:t>
            </w:r>
            <w:r>
              <w:rPr>
                <w:rFonts w:hint="eastAsia" w:ascii="宋体" w:hAnsi="宋体" w:eastAsia="宋体" w:cs="宋体"/>
                <w:color w:val="000000" w:themeColor="text1"/>
                <w:kern w:val="0"/>
                <w:sz w:val="21"/>
                <w:szCs w:val="21"/>
                <w:highlight w:val="none"/>
                <w14:textFill>
                  <w14:solidFill>
                    <w14:schemeClr w14:val="tx1"/>
                  </w14:solidFill>
                </w14:textFill>
              </w:rPr>
              <w:t>若上级部门对公园管辖范围作出调整，均以政府相关核定文件确定的范围为准</w:t>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；服务期满后，须配合本项目的下一个中标供应商在10天内完成所有设备、场地的移交工作。</w:t>
            </w:r>
          </w:p>
          <w:p w14:paraId="5588080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十、如遇政府部门政策调整、行政指令变更或法规文件修订等对本项目进行调整的，投标人需无条件服从并配合。</w:t>
            </w:r>
          </w:p>
          <w:p w14:paraId="60B4A4B8">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十一、投标人可在投标前</w:t>
            </w:r>
            <w:r>
              <w:rPr>
                <w:rFonts w:hint="eastAsia" w:ascii="宋体" w:hAnsi="宋体" w:cs="宋体"/>
                <w:color w:val="000000" w:themeColor="text1"/>
                <w:sz w:val="21"/>
                <w:szCs w:val="21"/>
                <w:highlight w:val="none"/>
                <w:lang w:val="en-US" w:eastAsia="zh-CN"/>
                <w14:textFill>
                  <w14:solidFill>
                    <w14:schemeClr w14:val="tx1"/>
                  </w14:solidFill>
                </w14:textFill>
              </w:rPr>
              <w:t>自行前往</w:t>
            </w:r>
            <w:r>
              <w:rPr>
                <w:rFonts w:hint="eastAsia" w:ascii="宋体" w:hAnsi="宋体" w:eastAsia="宋体" w:cs="宋体"/>
                <w:color w:val="000000" w:themeColor="text1"/>
                <w:sz w:val="21"/>
                <w:szCs w:val="21"/>
                <w:highlight w:val="none"/>
                <w:lang w:val="en-US" w:eastAsia="zh-CN"/>
                <w14:textFill>
                  <w14:solidFill>
                    <w14:schemeClr w14:val="tx1"/>
                  </w14:solidFill>
                </w14:textFill>
              </w:rPr>
              <w:t>现场勘察，并自行承担现场勘查所发生的一切费用、责任和风险。</w:t>
            </w:r>
          </w:p>
          <w:p w14:paraId="2EC9705F">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十二、验收标准、规范：</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根据招标文件上的技术规格要求和国家有关质量标准、 中标供应商的投标文件响应内容、服务成果进行验收。</w:t>
            </w:r>
          </w:p>
          <w:p w14:paraId="0BDD79DB">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十三、服务考核办法的动态优化：合同期内，</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有权根据管理需要，对服务考核办法的全部或部分内容（包括但不限于评分标准、指标权重、扣分细则及操作流程等） 进行细化、补充、调整与完善。任何此类优化均须经双方协商确认后方可生效。</w:t>
            </w:r>
          </w:p>
          <w:p w14:paraId="614F7F4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十四、投标供应商须针对本项目提供的所有人员相关佐证材料（含评分因素中要求提供的各类人员技能等级证书、职称证书、执业证书、工作经验证明材料等相关文件）的真实性、合法性作出不可撤销的承诺：承诺所提供的全部人员证书/材料均真实有效，不存在伪造、变造、租借、冒用他人证书、过期失效等虚假或不合规情形。如中标后经服务需求单位或政府采购监管部门核验发现存在上述虚假响应情形的，服务需求单位可取消其中标资格，并将相关违法违规情况上报政府采购监管部门，按相关规定处理。</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（承诺函格式自拟，必须提供，否则按无效投标处理）</w:t>
            </w:r>
          </w:p>
          <w:p w14:paraId="43090AA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b/>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▲十五、投标人须就本项目拟投入的</w:t>
            </w:r>
            <w:r>
              <w:rPr>
                <w:rFonts w:hint="default" w:ascii="宋体" w:hAnsi="宋体" w:eastAsia="宋体" w:cs="宋体"/>
                <w:color w:val="000000" w:themeColor="text1"/>
                <w:sz w:val="21"/>
                <w:szCs w:val="21"/>
                <w:highlight w:val="none"/>
                <w:lang w:val="en-US" w:eastAsia="zh-CN"/>
                <w14:textFill>
                  <w14:solidFill>
                    <w14:schemeClr w14:val="tx1"/>
                  </w14:solidFill>
                </w14:textFill>
              </w:rPr>
              <w:t>项目总负责人、现场负责人及技术员岗位，严格按照</w:t>
            </w:r>
            <w:r>
              <w:rPr>
                <w:rFonts w:hint="eastAsia" w:ascii="宋体" w:hAnsi="宋体" w:eastAsia="宋体" w:cs="宋体"/>
                <w:color w:val="000000" w:themeColor="text1"/>
                <w:sz w:val="21"/>
                <w:szCs w:val="21"/>
                <w:highlight w:val="none"/>
                <w:lang w:val="en-US" w:eastAsia="zh-CN"/>
                <w14:textFill>
                  <w14:solidFill>
                    <w14:schemeClr w14:val="tx1"/>
                  </w14:solidFill>
                </w14:textFill>
              </w:rPr>
              <w:t>公开</w:t>
            </w:r>
            <w:r>
              <w:rPr>
                <w:rFonts w:hint="default" w:ascii="宋体" w:hAnsi="宋体" w:eastAsia="宋体" w:cs="宋体"/>
                <w:color w:val="000000" w:themeColor="text1"/>
                <w:sz w:val="21"/>
                <w:szCs w:val="21"/>
                <w:highlight w:val="none"/>
                <w:lang w:val="en-US" w:eastAsia="zh-CN"/>
                <w14:textFill>
                  <w14:solidFill>
                    <w14:schemeClr w14:val="tx1"/>
                  </w14:solidFill>
                </w14:textFill>
              </w:rPr>
              <w:t>招标文件「人员配置及要求」条款中关于上述岗位不得兼任的规定，作出书面承诺</w:t>
            </w:r>
            <w:r>
              <w:rPr>
                <w:rFonts w:hint="default" w:ascii="Segoe UI" w:hAnsi="Segoe UI" w:eastAsia="Segoe UI" w:cs="Segoe UI"/>
                <w:b/>
                <w:bCs/>
                <w:i w:val="0"/>
                <w:iCs w:val="0"/>
                <w:caps w:val="0"/>
                <w:color w:val="000000" w:themeColor="text1"/>
                <w:spacing w:val="0"/>
                <w:sz w:val="21"/>
                <w:szCs w:val="21"/>
                <w:highlight w:val="none"/>
                <w:shd w:val="clear" w:color="auto" w:fill="FAFAFA"/>
                <w14:textFill>
                  <w14:solidFill>
                    <w14:schemeClr w14:val="tx1"/>
                  </w14:solidFill>
                </w14:textFill>
              </w:rPr>
              <w:t>（承诺函格式自拟，须明确承诺所投入人员符合不得兼任要求，且承诺真实有效）。本承诺函为投标文件必备组成部分，未提供或承诺内容不符合要求的，按无效投标处理。</w:t>
            </w:r>
          </w:p>
        </w:tc>
      </w:tr>
      <w:tr w14:paraId="194AE6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14" w:hRule="atLeast"/>
        </w:trPr>
        <w:tc>
          <w:tcPr>
            <w:tcW w:w="428" w:type="dxa"/>
            <w:tcBorders>
              <w:top w:val="single" w:color="auto" w:sz="4" w:space="0"/>
              <w:left w:val="single" w:color="auto" w:sz="4" w:space="0"/>
              <w:bottom w:val="single" w:color="auto" w:sz="4" w:space="0"/>
              <w:right w:val="single" w:color="auto" w:sz="4" w:space="0"/>
            </w:tcBorders>
            <w:noWrap w:val="0"/>
            <w:vAlign w:val="center"/>
          </w:tcPr>
          <w:p w14:paraId="75740609">
            <w:pPr>
              <w:keepNext w:val="0"/>
              <w:keepLines w:val="0"/>
              <w:pageBreakBefore w:val="0"/>
              <w:shd w:val="clear"/>
              <w:kinsoku/>
              <w:wordWrap/>
              <w:overflowPunct/>
              <w:topLinePunct w:val="0"/>
              <w:bidi w:val="0"/>
              <w:snapToGrid/>
              <w:spacing w:line="500" w:lineRule="exact"/>
              <w:jc w:val="center"/>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其他说明</w:t>
            </w:r>
          </w:p>
        </w:tc>
        <w:tc>
          <w:tcPr>
            <w:tcW w:w="10054" w:type="dxa"/>
            <w:gridSpan w:val="7"/>
            <w:tcBorders>
              <w:top w:val="single" w:color="auto" w:sz="4" w:space="0"/>
              <w:left w:val="single" w:color="auto" w:sz="4" w:space="0"/>
              <w:bottom w:val="single" w:color="auto" w:sz="4" w:space="0"/>
              <w:right w:val="single" w:color="auto" w:sz="4" w:space="0"/>
            </w:tcBorders>
            <w:shd w:val="clear" w:color="auto" w:fill="auto"/>
            <w:noWrap w:val="0"/>
            <w:vAlign w:val="top"/>
          </w:tcPr>
          <w:p w14:paraId="3EF2B45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1.进口产品说明</w:t>
            </w:r>
          </w:p>
          <w:p w14:paraId="2E9EFD7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本项目服务所涉及的货物不接受进口产品（即通过中国海关报关验放进入中国境内且产自关境外的产品）参与投标，如有进口产品参与投标的作无效标处理。</w:t>
            </w:r>
          </w:p>
          <w:p w14:paraId="18EB657A">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合同延续年限、条件和方式：本项目合同履约到期后，</w:t>
            </w:r>
            <w:r>
              <w:rPr>
                <w:rFonts w:hint="eastAsia" w:ascii="宋体" w:hAnsi="宋体" w:cs="宋体"/>
                <w:color w:val="000000" w:themeColor="text1"/>
                <w:sz w:val="21"/>
                <w:szCs w:val="21"/>
                <w:highlight w:val="none"/>
                <w:lang w:val="en-US" w:eastAsia="zh-CN"/>
                <w14:textFill>
                  <w14:solidFill>
                    <w14:schemeClr w14:val="tx1"/>
                  </w14:solidFill>
                </w14:textFill>
              </w:rPr>
              <w:t>服务需求单位</w:t>
            </w:r>
            <w:r>
              <w:rPr>
                <w:rFonts w:hint="eastAsia" w:ascii="宋体" w:hAnsi="宋体" w:eastAsia="宋体" w:cs="宋体"/>
                <w:color w:val="000000" w:themeColor="text1"/>
                <w:sz w:val="21"/>
                <w:szCs w:val="21"/>
                <w:highlight w:val="none"/>
                <w:lang w:val="en-US" w:eastAsia="zh-CN"/>
                <w14:textFill>
                  <w14:solidFill>
                    <w14:schemeClr w14:val="tx1"/>
                  </w14:solidFill>
                </w14:textFill>
              </w:rPr>
              <w:t>根据本项目的服务履约评价情况及实际需求，并根据《财政部关于推进和完善服务项目政府</w:t>
            </w:r>
            <w:r>
              <w:rPr>
                <w:rFonts w:hint="eastAsia" w:ascii="宋体" w:hAnsi="宋体" w:cs="宋体"/>
                <w:color w:val="000000" w:themeColor="text1"/>
                <w:sz w:val="21"/>
                <w:szCs w:val="21"/>
                <w:highlight w:val="none"/>
                <w:lang w:val="en-US" w:eastAsia="zh-CN"/>
                <w14:textFill>
                  <w14:solidFill>
                    <w14:schemeClr w14:val="tx1"/>
                  </w14:solidFill>
                </w14:textFill>
              </w:rPr>
              <w:t>采购</w:t>
            </w:r>
            <w:r>
              <w:rPr>
                <w:rFonts w:hint="eastAsia" w:ascii="宋体" w:hAnsi="宋体" w:eastAsia="宋体" w:cs="宋体"/>
                <w:color w:val="000000" w:themeColor="text1"/>
                <w:sz w:val="21"/>
                <w:szCs w:val="21"/>
                <w:highlight w:val="none"/>
                <w:lang w:val="en-US" w:eastAsia="zh-CN"/>
                <w14:textFill>
                  <w14:solidFill>
                    <w14:schemeClr w14:val="tx1"/>
                  </w14:solidFill>
                </w14:textFill>
              </w:rPr>
              <w:t>有关问题的通知》（财库〔2014〕37号）及《政府购买服务管理办法》（财政部令第102号）等规定，在年度预算保障的前提下，对于购买内容（采购需求）相对固定、连续（延续）性强、经费来源稳定、价格变化幅度小的政府采购服务项目，可以通过一年一续签方式签订合同，期限总长不得超过三年。</w:t>
            </w:r>
          </w:p>
          <w:p w14:paraId="38D104A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3.本次采购采用</w:t>
            </w:r>
            <w:r>
              <w:rPr>
                <w:rFonts w:hint="eastAsia" w:ascii="宋体" w:hAnsi="宋体" w:cs="宋体"/>
                <w:color w:val="000000" w:themeColor="text1"/>
                <w:sz w:val="21"/>
                <w:szCs w:val="21"/>
                <w:highlight w:val="none"/>
                <w:lang w:val="en-US" w:eastAsia="zh-CN"/>
                <w14:textFill>
                  <w14:solidFill>
                    <w14:schemeClr w14:val="tx1"/>
                  </w14:solidFill>
                </w14:textFill>
              </w:rPr>
              <w:t>带量统一采购、分别签订合同</w:t>
            </w:r>
            <w:r>
              <w:rPr>
                <w:rFonts w:hint="eastAsia" w:ascii="宋体" w:hAnsi="宋体" w:eastAsia="宋体" w:cs="宋体"/>
                <w:color w:val="000000" w:themeColor="text1"/>
                <w:sz w:val="21"/>
                <w:szCs w:val="21"/>
                <w:highlight w:val="none"/>
                <w:lang w:val="en-US" w:eastAsia="zh-CN"/>
                <w14:textFill>
                  <w14:solidFill>
                    <w14:schemeClr w14:val="tx1"/>
                  </w14:solidFill>
                </w14:textFill>
              </w:rPr>
              <w:t>模式，项目总预算金额为</w:t>
            </w:r>
            <w:r>
              <w:rPr>
                <w:rFonts w:hint="eastAsia" w:ascii="宋体" w:hAnsi="宋体" w:cs="宋体"/>
                <w:color w:val="000000" w:themeColor="text1"/>
                <w:sz w:val="21"/>
                <w:szCs w:val="21"/>
                <w:highlight w:val="none"/>
                <w:lang w:val="en-US" w:eastAsia="zh-CN"/>
                <w14:textFill>
                  <w14:solidFill>
                    <w14:schemeClr w14:val="tx1"/>
                  </w14:solidFill>
                </w14:textFill>
              </w:rPr>
              <w:t>1235.1081</w:t>
            </w:r>
            <w:r>
              <w:rPr>
                <w:rFonts w:hint="eastAsia" w:ascii="宋体" w:hAnsi="宋体" w:eastAsia="宋体" w:cs="宋体"/>
                <w:color w:val="000000" w:themeColor="text1"/>
                <w:sz w:val="21"/>
                <w:szCs w:val="21"/>
                <w:highlight w:val="none"/>
                <w:lang w:val="en-US" w:eastAsia="zh-CN"/>
                <w14:textFill>
                  <w14:solidFill>
                    <w14:schemeClr w14:val="tx1"/>
                  </w14:solidFill>
                </w14:textFill>
              </w:rPr>
              <w:t>万元，服务范围覆盖南宁市南湖公园、南宁市人民公园、南宁市金花茶公园、南宁市石门公园、南宁市花卉公园共5家服务需求单位，由南湖公园作为牵头单位，联合已落实预算资金的其他4个公园合并需求，统一组织采购。</w:t>
            </w:r>
            <w:r>
              <w:rPr>
                <w:rFonts w:hint="eastAsia" w:ascii="宋体" w:hAnsi="宋体" w:cs="宋体"/>
                <w:color w:val="000000" w:themeColor="text1"/>
                <w:sz w:val="21"/>
                <w:szCs w:val="21"/>
                <w:highlight w:val="none"/>
                <w:lang w:val="en-US" w:eastAsia="zh-CN"/>
                <w14:textFill>
                  <w14:solidFill>
                    <w14:schemeClr w14:val="tx1"/>
                  </w14:solidFill>
                </w14:textFill>
              </w:rPr>
              <w:t>各服务单位服务期均为12个月，服务起止时间不一致，以各服务单位最终签订合同为准。</w:t>
            </w:r>
            <w:r>
              <w:rPr>
                <w:rFonts w:hint="eastAsia" w:ascii="宋体" w:hAnsi="宋体" w:eastAsia="宋体" w:cs="宋体"/>
                <w:color w:val="000000" w:themeColor="text1"/>
                <w:sz w:val="21"/>
                <w:szCs w:val="21"/>
                <w:highlight w:val="none"/>
                <w:lang w:val="en-US" w:eastAsia="zh-CN"/>
                <w14:textFill>
                  <w14:solidFill>
                    <w14:schemeClr w14:val="tx1"/>
                  </w14:solidFill>
                </w14:textFill>
              </w:rPr>
              <w:t>中标供应商在收到中标通知书后25日内，与上述5个公园分别签订独立的《南宁市政府采购合同》，合同金额为中标供应商针对各服务需求单位的分项报价，各方独立履行各自的合同义务，负责相应的履约、验收及支付资金工作，合同条款须符合本招标文件要求及投标承诺。</w:t>
            </w:r>
          </w:p>
          <w:p w14:paraId="7DE5D33D">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default"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4.投标人需在投标文件中明确列示各公园的分项报价，各分项报价均不得超过对应预算金额，且所有分项报价之和不得高于投标总报价，否则按投标无效处理。</w:t>
            </w:r>
          </w:p>
          <w:p w14:paraId="53F04BA0">
            <w:pPr>
              <w:keepNext w:val="0"/>
              <w:keepLines w:val="0"/>
              <w:pageBreakBefore w:val="0"/>
              <w:widowControl w:val="0"/>
              <w:kinsoku/>
              <w:wordWrap/>
              <w:overflowPunct/>
              <w:topLinePunct w:val="0"/>
              <w:autoSpaceDE/>
              <w:autoSpaceDN/>
              <w:bidi w:val="0"/>
              <w:adjustRightInd/>
              <w:snapToGrid/>
              <w:spacing w:line="440" w:lineRule="exact"/>
              <w:ind w:firstLine="422" w:firstLineChars="200"/>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5.本项目采购标的对应的中小企业划分标准所属行业：其他未列明行业。</w:t>
            </w:r>
          </w:p>
        </w:tc>
        <w:bookmarkStart w:id="9" w:name="PO_TDCUS_ITEM_PB_REQ_TABLE_1_1"/>
      </w:tr>
      <w:bookmarkEnd w:id="8"/>
      <w:bookmarkEnd w:id="9"/>
    </w:tbl>
    <w:p w14:paraId="0DA1CD57">
      <w:pPr>
        <w:shd w:val="clea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1DD6D1A5">
      <w:pPr>
        <w:shd w:val="clear"/>
        <w:rPr>
          <w:rFonts w:hint="eastAsia" w:ascii="宋体" w:hAnsi="宋体" w:eastAsia="宋体" w:cs="宋体"/>
          <w:color w:val="auto"/>
          <w:sz w:val="32"/>
          <w:szCs w:val="32"/>
          <w:highlight w:val="none"/>
        </w:rPr>
        <w:sectPr>
          <w:footerReference r:id="rId5" w:type="default"/>
          <w:pgSz w:w="11906" w:h="16838"/>
          <w:pgMar w:top="1440" w:right="1080" w:bottom="1440" w:left="1080" w:header="720" w:footer="720" w:gutter="0"/>
          <w:pgNumType w:fmt="decimal" w:start="1"/>
          <w:cols w:space="720" w:num="1"/>
          <w:docGrid w:type="lines" w:linePitch="331" w:charSpace="0"/>
        </w:sectPr>
      </w:pPr>
    </w:p>
    <w:p w14:paraId="4DAFABAE">
      <w:pPr>
        <w:widowControl/>
        <w:jc w:val="left"/>
        <w:outlineLvl w:val="1"/>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附件1：南宁市南湖公园绿化养护服务范围图</w:t>
      </w:r>
      <w:r>
        <w:rPr>
          <w:rFonts w:hint="eastAsia" w:ascii="宋体" w:hAnsi="宋体" w:cs="宋体"/>
          <w:b/>
          <w:bCs/>
          <w:color w:val="auto"/>
          <w:sz w:val="28"/>
          <w:szCs w:val="28"/>
          <w:highlight w:val="none"/>
          <w:lang w:val="en-US" w:eastAsia="zh-CN"/>
        </w:rPr>
        <w:t>及考核办法</w:t>
      </w:r>
    </w:p>
    <w:p w14:paraId="0E94EED1">
      <w:pPr>
        <w:widowControl/>
        <w:jc w:val="left"/>
        <w:outlineLvl w:val="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附件1-1：南宁市南湖公园绿化养护服务范围图</w:t>
      </w:r>
    </w:p>
    <w:p w14:paraId="1A77D2A5">
      <w:pPr>
        <w:pageBreakBefore w:val="0"/>
        <w:numPr>
          <w:ilvl w:val="0"/>
          <w:numId w:val="0"/>
        </w:numPr>
        <w:kinsoku/>
        <w:wordWrap w:val="0"/>
        <w:overflowPunct/>
        <w:topLinePunct w:val="0"/>
        <w:bidi w:val="0"/>
        <w:outlineLvl w:val="2"/>
        <w:rPr>
          <w:rFonts w:hint="eastAsia" w:ascii="宋体" w:hAnsi="宋体" w:eastAsia="宋体" w:cs="宋体"/>
          <w:b/>
          <w:color w:val="auto"/>
          <w:sz w:val="32"/>
          <w:szCs w:val="32"/>
          <w:highlight w:val="none"/>
        </w:rPr>
        <w:sectPr>
          <w:pgSz w:w="16838" w:h="11906" w:orient="landscape"/>
          <w:pgMar w:top="1304" w:right="1440" w:bottom="1304" w:left="1440" w:header="851" w:footer="992" w:gutter="0"/>
          <w:pgBorders>
            <w:top w:val="none" w:sz="0" w:space="0"/>
            <w:left w:val="none" w:sz="0" w:space="0"/>
            <w:bottom w:val="none" w:sz="0" w:space="0"/>
            <w:right w:val="none" w:sz="0" w:space="0"/>
          </w:pgBorders>
          <w:cols w:space="720" w:num="1"/>
          <w:docGrid w:type="lines" w:linePitch="312" w:charSpace="0"/>
        </w:sectPr>
      </w:pPr>
      <w:r>
        <w:rPr>
          <w:rFonts w:ascii="宋体" w:hAnsi="宋体"/>
          <w:b/>
          <w:color w:val="auto"/>
          <w:sz w:val="30"/>
          <w:szCs w:val="30"/>
          <w:highlight w:val="none"/>
        </w:rPr>
        <w:drawing>
          <wp:anchor distT="0" distB="0" distL="114300" distR="114300" simplePos="0" relativeHeight="251662336" behindDoc="1" locked="0" layoutInCell="1" allowOverlap="1">
            <wp:simplePos x="0" y="0"/>
            <wp:positionH relativeFrom="column">
              <wp:posOffset>-285750</wp:posOffset>
            </wp:positionH>
            <wp:positionV relativeFrom="paragraph">
              <wp:posOffset>680720</wp:posOffset>
            </wp:positionV>
            <wp:extent cx="9040495" cy="3711575"/>
            <wp:effectExtent l="0" t="0" r="8255" b="3175"/>
            <wp:wrapNone/>
            <wp:docPr id="23" name="图片 9" descr="E:/卢燕兰/0政府采购/2025年绿化政府采购/2、需求编制/南湖公园绿化养护范围图（含重点区域及节点）.jpg南湖公园绿化养护范围图（含重点区域及节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E:/卢燕兰/0政府采购/2025年绿化政府采购/2、需求编制/南湖公园绿化养护范围图（含重点区域及节点）.jpg南湖公园绿化养护范围图（含重点区域及节点）"/>
                    <pic:cNvPicPr>
                      <a:picLocks noChangeAspect="1"/>
                    </pic:cNvPicPr>
                  </pic:nvPicPr>
                  <pic:blipFill>
                    <a:blip r:embed="rId18"/>
                    <a:srcRect l="1762" t="26891" r="1810" b="30833"/>
                    <a:stretch>
                      <a:fillRect/>
                    </a:stretch>
                  </pic:blipFill>
                  <pic:spPr>
                    <a:xfrm>
                      <a:off x="0" y="0"/>
                      <a:ext cx="9040495" cy="3711575"/>
                    </a:xfrm>
                    <a:prstGeom prst="rect">
                      <a:avLst/>
                    </a:prstGeom>
                    <a:noFill/>
                    <a:ln>
                      <a:noFill/>
                    </a:ln>
                  </pic:spPr>
                </pic:pic>
              </a:graphicData>
            </a:graphic>
          </wp:anchor>
        </w:drawing>
      </w:r>
    </w:p>
    <w:p w14:paraId="05EC512C">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附件1-2：</w:t>
      </w:r>
      <w:r>
        <w:rPr>
          <w:rFonts w:hint="eastAsia" w:ascii="宋体" w:hAnsi="宋体" w:eastAsia="宋体" w:cs="宋体"/>
          <w:b/>
          <w:bCs/>
          <w:color w:val="auto"/>
          <w:sz w:val="28"/>
          <w:szCs w:val="28"/>
          <w:highlight w:val="none"/>
        </w:rPr>
        <w:t>南宁市南湖公园绿化养护考核办法</w:t>
      </w:r>
    </w:p>
    <w:p w14:paraId="5E8BA587">
      <w:pPr>
        <w:spacing w:after="120"/>
        <w:ind w:right="-334" w:rightChars="-159"/>
        <w:jc w:val="center"/>
        <w:rPr>
          <w:rFonts w:ascii="宋体" w:hAnsi="宋体"/>
          <w:b/>
          <w:bCs/>
          <w:color w:val="auto"/>
          <w:sz w:val="32"/>
          <w:szCs w:val="32"/>
          <w:highlight w:val="none"/>
        </w:rPr>
      </w:pPr>
      <w:r>
        <w:rPr>
          <w:rFonts w:hint="eastAsia" w:ascii="宋体" w:hAnsi="宋体"/>
          <w:b/>
          <w:bCs/>
          <w:color w:val="auto"/>
          <w:sz w:val="32"/>
          <w:szCs w:val="32"/>
          <w:highlight w:val="none"/>
        </w:rPr>
        <w:t>南宁市南湖公园绿化养护考核办法</w:t>
      </w:r>
    </w:p>
    <w:p w14:paraId="0B1EB70B">
      <w:pPr>
        <w:spacing w:line="400" w:lineRule="exact"/>
        <w:jc w:val="center"/>
        <w:rPr>
          <w:rFonts w:ascii="黑体" w:hAnsi="黑体" w:eastAsia="黑体" w:cs="黑体"/>
          <w:b/>
          <w:bCs/>
          <w:color w:val="auto"/>
          <w:sz w:val="28"/>
          <w:szCs w:val="28"/>
          <w:highlight w:val="none"/>
        </w:rPr>
      </w:pPr>
    </w:p>
    <w:p w14:paraId="1B524040">
      <w:pPr>
        <w:spacing w:line="400" w:lineRule="exact"/>
        <w:jc w:val="center"/>
        <w:rPr>
          <w:rFonts w:ascii="黑体" w:hAnsi="黑体" w:eastAsia="黑体" w:cs="黑体"/>
          <w:color w:val="auto"/>
          <w:sz w:val="24"/>
          <w:highlight w:val="none"/>
        </w:rPr>
      </w:pPr>
      <w:r>
        <w:rPr>
          <w:rFonts w:hint="eastAsia" w:ascii="黑体" w:hAnsi="黑体" w:eastAsia="黑体" w:cs="黑体"/>
          <w:color w:val="auto"/>
          <w:sz w:val="24"/>
          <w:highlight w:val="none"/>
        </w:rPr>
        <w:t>第一章　总则</w:t>
      </w:r>
    </w:p>
    <w:p w14:paraId="22F41B83">
      <w:pPr>
        <w:spacing w:line="400" w:lineRule="exact"/>
        <w:ind w:firstLine="420" w:firstLineChars="200"/>
        <w:jc w:val="left"/>
        <w:rPr>
          <w:rFonts w:ascii="黑体" w:hAnsi="黑体" w:eastAsia="黑体" w:cs="黑体"/>
          <w:b/>
          <w:bCs/>
          <w:color w:val="auto"/>
          <w:szCs w:val="21"/>
          <w:highlight w:val="none"/>
        </w:rPr>
      </w:pPr>
      <w:r>
        <w:rPr>
          <w:rFonts w:hint="eastAsia" w:ascii="宋体" w:hAnsi="宋体"/>
          <w:color w:val="auto"/>
          <w:szCs w:val="21"/>
          <w:highlight w:val="none"/>
        </w:rPr>
        <w:t>为建立健全南宁市南湖公园绿化养护服务考核机制，使养护工作实现制度化、规范化、程序化，确保公园良好的游园秩序和景观环境，根据《南宁市公园条例》《南宁市城市绿化条例》及绿化养护有关工作要求，结合公园实际，特制定本办法。</w:t>
      </w:r>
    </w:p>
    <w:p w14:paraId="0AE4CC89">
      <w:pPr>
        <w:spacing w:line="400" w:lineRule="exact"/>
        <w:jc w:val="center"/>
        <w:rPr>
          <w:rFonts w:ascii="黑体" w:hAnsi="黑体" w:eastAsia="黑体" w:cs="黑体"/>
          <w:color w:val="auto"/>
          <w:sz w:val="24"/>
          <w:highlight w:val="none"/>
        </w:rPr>
      </w:pPr>
    </w:p>
    <w:p w14:paraId="70EBB107">
      <w:pPr>
        <w:spacing w:line="400" w:lineRule="exact"/>
        <w:jc w:val="center"/>
        <w:rPr>
          <w:rFonts w:ascii="黑体" w:hAnsi="黑体" w:eastAsia="黑体" w:cs="黑体"/>
          <w:b/>
          <w:bCs/>
          <w:color w:val="auto"/>
          <w:sz w:val="28"/>
          <w:szCs w:val="28"/>
          <w:highlight w:val="none"/>
        </w:rPr>
      </w:pPr>
      <w:r>
        <w:rPr>
          <w:rFonts w:hint="eastAsia" w:ascii="黑体" w:hAnsi="黑体" w:eastAsia="黑体" w:cs="黑体"/>
          <w:color w:val="auto"/>
          <w:sz w:val="24"/>
          <w:highlight w:val="none"/>
        </w:rPr>
        <w:t xml:space="preserve"> 第二章　考核范围及内容</w:t>
      </w:r>
    </w:p>
    <w:p w14:paraId="4791E944">
      <w:pPr>
        <w:adjustRightInd w:val="0"/>
        <w:spacing w:line="400" w:lineRule="exact"/>
        <w:ind w:firstLine="420" w:firstLineChars="200"/>
        <w:rPr>
          <w:rFonts w:ascii="宋体" w:hAnsi="Courier New"/>
          <w:color w:val="auto"/>
          <w:szCs w:val="21"/>
          <w:highlight w:val="none"/>
        </w:rPr>
      </w:pPr>
      <w:r>
        <w:rPr>
          <w:rFonts w:hint="eastAsia" w:ascii="宋体" w:hAnsi="宋体"/>
          <w:color w:val="auto"/>
          <w:szCs w:val="21"/>
          <w:highlight w:val="none"/>
        </w:rPr>
        <w:t>公园管辖范围内绿化养护工作。</w:t>
      </w:r>
    </w:p>
    <w:p w14:paraId="0BDD29F7">
      <w:pPr>
        <w:spacing w:line="400" w:lineRule="exact"/>
        <w:jc w:val="center"/>
        <w:rPr>
          <w:rFonts w:ascii="黑体" w:hAnsi="黑体" w:eastAsia="黑体" w:cs="黑体"/>
          <w:color w:val="auto"/>
          <w:sz w:val="24"/>
          <w:highlight w:val="none"/>
        </w:rPr>
      </w:pPr>
    </w:p>
    <w:p w14:paraId="2E4AA09B">
      <w:pPr>
        <w:spacing w:line="400" w:lineRule="exact"/>
        <w:jc w:val="center"/>
        <w:rPr>
          <w:rFonts w:ascii="黑体" w:hAnsi="黑体" w:eastAsia="黑体" w:cs="黑体"/>
          <w:color w:val="auto"/>
          <w:sz w:val="24"/>
          <w:highlight w:val="none"/>
        </w:rPr>
      </w:pPr>
      <w:r>
        <w:rPr>
          <w:rFonts w:hint="eastAsia" w:ascii="黑体" w:hAnsi="黑体" w:eastAsia="黑体" w:cs="黑体"/>
          <w:color w:val="auto"/>
          <w:sz w:val="24"/>
          <w:highlight w:val="none"/>
        </w:rPr>
        <w:t>第三章　考核标准</w:t>
      </w:r>
    </w:p>
    <w:p w14:paraId="07C74C5D">
      <w:pPr>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绿化养护标准及质量要求执行《南宁市南湖公园绿化养护规范》《</w:t>
      </w:r>
      <w:r>
        <w:rPr>
          <w:rFonts w:hint="eastAsia" w:ascii="宋体" w:hAnsi="宋体" w:cs="宋体"/>
          <w:color w:val="auto"/>
          <w:kern w:val="0"/>
          <w:szCs w:val="21"/>
          <w:highlight w:val="none"/>
        </w:rPr>
        <w:t>南宁市南湖公园绿化养护质量要求》，具体考核扣分标准参照</w:t>
      </w:r>
      <w:r>
        <w:rPr>
          <w:rFonts w:hint="eastAsia" w:ascii="宋体" w:hAnsi="宋体" w:cs="宋体"/>
          <w:color w:val="auto"/>
          <w:szCs w:val="21"/>
          <w:highlight w:val="none"/>
        </w:rPr>
        <w:t>《南宁市南湖公园绿化养护考核细则》。</w:t>
      </w:r>
    </w:p>
    <w:p w14:paraId="69516D8E">
      <w:pPr>
        <w:spacing w:line="400" w:lineRule="exact"/>
        <w:jc w:val="center"/>
        <w:rPr>
          <w:rFonts w:ascii="黑体" w:hAnsi="黑体" w:eastAsia="黑体" w:cs="黑体"/>
          <w:color w:val="auto"/>
          <w:sz w:val="24"/>
          <w:highlight w:val="none"/>
        </w:rPr>
      </w:pPr>
    </w:p>
    <w:p w14:paraId="23241E0F">
      <w:pPr>
        <w:spacing w:line="400" w:lineRule="exact"/>
        <w:jc w:val="center"/>
        <w:rPr>
          <w:rFonts w:ascii="黑体" w:hAnsi="黑体" w:eastAsia="黑体" w:cs="黑体"/>
          <w:color w:val="auto"/>
          <w:sz w:val="24"/>
          <w:highlight w:val="none"/>
        </w:rPr>
      </w:pPr>
      <w:r>
        <w:rPr>
          <w:rFonts w:hint="eastAsia" w:ascii="黑体" w:hAnsi="黑体" w:eastAsia="黑体" w:cs="黑体"/>
          <w:color w:val="auto"/>
          <w:sz w:val="24"/>
          <w:highlight w:val="none"/>
        </w:rPr>
        <w:t>第四章　考核方式</w:t>
      </w:r>
    </w:p>
    <w:p w14:paraId="5B02D92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公园采取日常检查和月度检查相结合的方式对服务单位工作进行考核。</w:t>
      </w:r>
    </w:p>
    <w:p w14:paraId="610C2E6C">
      <w:pPr>
        <w:numPr>
          <w:ilvl w:val="0"/>
          <w:numId w:val="8"/>
        </w:num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日常检查</w:t>
      </w:r>
    </w:p>
    <w:p w14:paraId="4EA2AC5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公园根据《南宁市南湖公园绿化养护考核细则》要求，对服务单位工作进行日常检查。发现问题即</w:t>
      </w:r>
      <w:r>
        <w:rPr>
          <w:rFonts w:hint="eastAsia" w:ascii="宋体" w:hAnsi="宋体" w:cs="宋体"/>
          <w:color w:val="auto"/>
          <w:szCs w:val="21"/>
          <w:highlight w:val="none"/>
        </w:rPr>
        <w:t>依据考核细则扣除相应分值</w:t>
      </w:r>
      <w:r>
        <w:rPr>
          <w:rFonts w:hint="eastAsia" w:ascii="宋体" w:hAnsi="宋体"/>
          <w:color w:val="auto"/>
          <w:szCs w:val="21"/>
          <w:highlight w:val="none"/>
        </w:rPr>
        <w:t>，分值</w:t>
      </w:r>
      <w:r>
        <w:rPr>
          <w:rFonts w:hint="eastAsia" w:ascii="宋体" w:hAnsi="宋体" w:cs="宋体"/>
          <w:color w:val="auto"/>
          <w:szCs w:val="21"/>
          <w:highlight w:val="none"/>
        </w:rPr>
        <w:t>计入当月月度考核总评分；</w:t>
      </w:r>
      <w:r>
        <w:rPr>
          <w:rFonts w:hint="eastAsia" w:ascii="宋体" w:hAnsi="宋体"/>
          <w:color w:val="auto"/>
          <w:szCs w:val="21"/>
          <w:highlight w:val="none"/>
        </w:rPr>
        <w:t>不按要求整改、未整改、造成损失或不良后果的，</w:t>
      </w:r>
      <w:r>
        <w:rPr>
          <w:rFonts w:hint="eastAsia" w:ascii="宋体" w:hAnsi="宋体" w:cs="宋体"/>
          <w:color w:val="auto"/>
          <w:szCs w:val="21"/>
          <w:highlight w:val="none"/>
        </w:rPr>
        <w:t>视情节对应考核细则核算扣款，扣款直接从当月服务费用中扣除。</w:t>
      </w:r>
    </w:p>
    <w:p w14:paraId="3940A98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二、月度检查</w:t>
      </w:r>
    </w:p>
    <w:p w14:paraId="4C438768">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公园按照《南宁市南湖公园绿化养护考核细则》要求，按月对服务单位工作进行全面检查，月度检查总扣分计入当月月度考核总评分，</w:t>
      </w:r>
      <w:r>
        <w:rPr>
          <w:rFonts w:hint="eastAsia" w:ascii="宋体" w:hAnsi="宋体" w:cs="宋体"/>
          <w:color w:val="auto"/>
          <w:szCs w:val="21"/>
          <w:highlight w:val="none"/>
        </w:rPr>
        <w:t>视情节对应考核细则核算扣款，扣款直接从当月服务费用中扣除。</w:t>
      </w:r>
    </w:p>
    <w:p w14:paraId="65202FF9">
      <w:pPr>
        <w:spacing w:line="400" w:lineRule="exact"/>
        <w:jc w:val="center"/>
        <w:rPr>
          <w:rFonts w:ascii="黑体" w:hAnsi="黑体" w:eastAsia="黑体" w:cs="黑体"/>
          <w:color w:val="auto"/>
          <w:sz w:val="24"/>
          <w:highlight w:val="none"/>
        </w:rPr>
      </w:pPr>
    </w:p>
    <w:p w14:paraId="09773B14">
      <w:pPr>
        <w:spacing w:line="400" w:lineRule="exact"/>
        <w:jc w:val="center"/>
        <w:rPr>
          <w:rFonts w:ascii="黑体" w:hAnsi="黑体" w:eastAsia="黑体" w:cs="黑体"/>
          <w:color w:val="auto"/>
          <w:sz w:val="24"/>
          <w:highlight w:val="none"/>
        </w:rPr>
      </w:pPr>
      <w:r>
        <w:rPr>
          <w:rFonts w:hint="eastAsia" w:ascii="黑体" w:hAnsi="黑体" w:eastAsia="黑体" w:cs="黑体"/>
          <w:color w:val="auto"/>
          <w:sz w:val="24"/>
          <w:highlight w:val="none"/>
        </w:rPr>
        <w:t>第五章　考核结果运用</w:t>
      </w:r>
    </w:p>
    <w:p w14:paraId="10D6E034">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考核评分结果作为养护工作质量评价及费用核拨的重要依据。</w:t>
      </w:r>
    </w:p>
    <w:p w14:paraId="075A59F0">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一、计分方式：</w:t>
      </w:r>
    </w:p>
    <w:p w14:paraId="2218327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月度考核总评分采用百分制，计算方式为：</w:t>
      </w:r>
    </w:p>
    <w:p w14:paraId="113CE0BC">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总评分=100-月度检查扣分分值-日常检查累计总扣分分值</w:t>
      </w:r>
    </w:p>
    <w:p w14:paraId="20E1296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二、考核等次：</w:t>
      </w:r>
    </w:p>
    <w:p w14:paraId="5DF4F40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分为优秀、合格、基本合格、不合格四个等级：总评分≥95分为优秀；90分≤总评分</w:t>
      </w:r>
      <w:r>
        <w:rPr>
          <w:rFonts w:hint="eastAsia" w:ascii="宋体" w:hAnsi="宋体"/>
          <w:b/>
          <w:bCs/>
          <w:color w:val="auto"/>
          <w:szCs w:val="21"/>
          <w:highlight w:val="none"/>
        </w:rPr>
        <w:t>＜</w:t>
      </w:r>
      <w:r>
        <w:rPr>
          <w:rFonts w:hint="eastAsia" w:ascii="宋体" w:hAnsi="宋体"/>
          <w:color w:val="auto"/>
          <w:szCs w:val="21"/>
          <w:highlight w:val="none"/>
        </w:rPr>
        <w:t>95分为合格；85分≤总评分＜90分为基本合格；总评分＜85分为不合格。</w:t>
      </w:r>
    </w:p>
    <w:p w14:paraId="77F4A26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三、养护经费拨付：</w:t>
      </w:r>
    </w:p>
    <w:p w14:paraId="3007F901">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（一）扣款基数=合同总价÷12个月÷100分</w:t>
      </w:r>
    </w:p>
    <w:p w14:paraId="69C12F1F">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（二）月服务费计算方式如下：</w:t>
      </w:r>
    </w:p>
    <w:p w14:paraId="43443473">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1.当月考核分数为</w:t>
      </w:r>
      <w:r>
        <w:rPr>
          <w:rFonts w:hint="eastAsia" w:ascii="宋体" w:hAnsi="宋体"/>
          <w:b/>
          <w:bCs/>
          <w:color w:val="auto"/>
          <w:szCs w:val="21"/>
          <w:highlight w:val="none"/>
        </w:rPr>
        <w:t>≥</w:t>
      </w:r>
      <w:r>
        <w:rPr>
          <w:rFonts w:hint="eastAsia" w:ascii="宋体" w:hAnsi="宋体"/>
          <w:color w:val="auto"/>
          <w:szCs w:val="21"/>
          <w:highlight w:val="none"/>
        </w:rPr>
        <w:t xml:space="preserve">90分的服务费计算公式如下： </w:t>
      </w:r>
    </w:p>
    <w:p w14:paraId="787FECA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当月服务费=合同总价÷12个月-扣款金额。</w:t>
      </w:r>
    </w:p>
    <w:p w14:paraId="2ED4B265">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2.85分≤当月考核总评分＜90分的服务费计算公式如下：</w:t>
      </w:r>
    </w:p>
    <w:p w14:paraId="39F75EDB">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当月服务费=合同总价÷12个月－（90分－当月考核得分）×扣款基数-扣款金额。</w:t>
      </w:r>
    </w:p>
    <w:p w14:paraId="04E155AD">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 xml:space="preserve">3.当月考核分数为＜85分的服务费计算公式如下： </w:t>
      </w:r>
    </w:p>
    <w:p w14:paraId="6EB593E1">
      <w:pPr>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当月服务费=合同总价÷12个月－（100分－当月考核得分）×扣款基数-扣款金额。</w:t>
      </w:r>
    </w:p>
    <w:p w14:paraId="3FABD528">
      <w:pPr>
        <w:widowControl/>
        <w:spacing w:line="380" w:lineRule="exact"/>
        <w:ind w:firstLine="420" w:firstLineChars="200"/>
        <w:rPr>
          <w:rFonts w:ascii="宋体" w:hAnsi="宋体"/>
          <w:color w:val="auto"/>
          <w:szCs w:val="21"/>
          <w:highlight w:val="none"/>
        </w:rPr>
      </w:pPr>
    </w:p>
    <w:p w14:paraId="2A5D35D2">
      <w:pPr>
        <w:spacing w:line="380" w:lineRule="exact"/>
        <w:jc w:val="center"/>
        <w:rPr>
          <w:rFonts w:ascii="黑体" w:hAnsi="黑体" w:eastAsia="黑体" w:cs="黑体"/>
          <w:color w:val="auto"/>
          <w:sz w:val="24"/>
          <w:highlight w:val="none"/>
        </w:rPr>
      </w:pPr>
      <w:r>
        <w:rPr>
          <w:rFonts w:hint="eastAsia" w:ascii="黑体" w:hAnsi="黑体" w:eastAsia="黑体" w:cs="黑体"/>
          <w:color w:val="auto"/>
          <w:sz w:val="24"/>
          <w:highlight w:val="none"/>
        </w:rPr>
        <w:t>第六章   其他规定</w:t>
      </w:r>
    </w:p>
    <w:p w14:paraId="3598E76E">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本考核办法解释权归公园所有。如有未尽事宜，由相关部门提出修订意见，经公园领导审批后执行。</w:t>
      </w:r>
    </w:p>
    <w:p w14:paraId="0BC687FC">
      <w:pPr>
        <w:widowControl/>
        <w:spacing w:line="380" w:lineRule="exact"/>
        <w:ind w:firstLine="420" w:firstLineChars="200"/>
        <w:rPr>
          <w:rFonts w:ascii="宋体" w:hAnsi="宋体"/>
          <w:color w:val="auto"/>
          <w:szCs w:val="21"/>
          <w:highlight w:val="none"/>
        </w:rPr>
      </w:pPr>
    </w:p>
    <w:p w14:paraId="4981A5B5">
      <w:pPr>
        <w:widowControl/>
        <w:spacing w:line="600" w:lineRule="exact"/>
        <w:jc w:val="center"/>
        <w:outlineLvl w:val="9"/>
        <w:rPr>
          <w:rFonts w:ascii="黑体" w:hAnsi="黑体" w:eastAsia="黑体" w:cs="黑体"/>
          <w:color w:val="auto"/>
          <w:sz w:val="32"/>
          <w:szCs w:val="32"/>
          <w:highlight w:val="none"/>
        </w:rPr>
      </w:pPr>
    </w:p>
    <w:p w14:paraId="4E3B2EBE">
      <w:pPr>
        <w:widowControl/>
        <w:spacing w:line="600" w:lineRule="exact"/>
        <w:jc w:val="center"/>
        <w:outlineLvl w:val="9"/>
        <w:rPr>
          <w:rFonts w:ascii="黑体" w:hAnsi="黑体" w:eastAsia="黑体" w:cs="黑体"/>
          <w:color w:val="auto"/>
          <w:sz w:val="32"/>
          <w:szCs w:val="32"/>
          <w:highlight w:val="none"/>
        </w:rPr>
      </w:pPr>
    </w:p>
    <w:p w14:paraId="087CA533">
      <w:pPr>
        <w:widowControl/>
        <w:spacing w:line="600" w:lineRule="exact"/>
        <w:jc w:val="center"/>
        <w:outlineLvl w:val="9"/>
        <w:rPr>
          <w:rFonts w:ascii="黑体" w:hAnsi="黑体" w:eastAsia="黑体" w:cs="黑体"/>
          <w:color w:val="auto"/>
          <w:sz w:val="32"/>
          <w:szCs w:val="32"/>
          <w:highlight w:val="none"/>
        </w:rPr>
      </w:pPr>
    </w:p>
    <w:p w14:paraId="240F68C1">
      <w:pPr>
        <w:widowControl/>
        <w:spacing w:line="600" w:lineRule="exact"/>
        <w:jc w:val="center"/>
        <w:outlineLvl w:val="9"/>
        <w:rPr>
          <w:rFonts w:ascii="黑体" w:hAnsi="黑体" w:eastAsia="黑体" w:cs="黑体"/>
          <w:color w:val="auto"/>
          <w:sz w:val="32"/>
          <w:szCs w:val="32"/>
          <w:highlight w:val="none"/>
        </w:rPr>
      </w:pPr>
    </w:p>
    <w:p w14:paraId="573F8CAD">
      <w:pPr>
        <w:widowControl/>
        <w:spacing w:line="600" w:lineRule="exact"/>
        <w:jc w:val="center"/>
        <w:outlineLvl w:val="9"/>
        <w:rPr>
          <w:rFonts w:ascii="黑体" w:hAnsi="黑体" w:eastAsia="黑体" w:cs="黑体"/>
          <w:color w:val="auto"/>
          <w:sz w:val="32"/>
          <w:szCs w:val="32"/>
          <w:highlight w:val="none"/>
        </w:rPr>
      </w:pPr>
    </w:p>
    <w:p w14:paraId="0376E402">
      <w:pPr>
        <w:widowControl/>
        <w:spacing w:line="600" w:lineRule="exact"/>
        <w:jc w:val="center"/>
        <w:outlineLvl w:val="9"/>
        <w:rPr>
          <w:rFonts w:ascii="黑体" w:hAnsi="黑体" w:eastAsia="黑体" w:cs="黑体"/>
          <w:color w:val="auto"/>
          <w:sz w:val="32"/>
          <w:szCs w:val="32"/>
          <w:highlight w:val="none"/>
        </w:rPr>
      </w:pPr>
    </w:p>
    <w:p w14:paraId="085CEA33">
      <w:pPr>
        <w:widowControl/>
        <w:spacing w:line="600" w:lineRule="exact"/>
        <w:jc w:val="center"/>
        <w:outlineLvl w:val="9"/>
        <w:rPr>
          <w:rFonts w:ascii="黑体" w:hAnsi="黑体" w:eastAsia="黑体" w:cs="黑体"/>
          <w:color w:val="auto"/>
          <w:sz w:val="32"/>
          <w:szCs w:val="32"/>
          <w:highlight w:val="none"/>
        </w:rPr>
      </w:pPr>
    </w:p>
    <w:p w14:paraId="3C6712CC">
      <w:pPr>
        <w:widowControl/>
        <w:spacing w:line="600" w:lineRule="exact"/>
        <w:jc w:val="center"/>
        <w:outlineLvl w:val="9"/>
        <w:rPr>
          <w:rFonts w:ascii="黑体" w:hAnsi="黑体" w:eastAsia="黑体" w:cs="黑体"/>
          <w:color w:val="auto"/>
          <w:sz w:val="32"/>
          <w:szCs w:val="32"/>
          <w:highlight w:val="none"/>
        </w:rPr>
      </w:pPr>
    </w:p>
    <w:p w14:paraId="2AB94FCB">
      <w:pPr>
        <w:widowControl/>
        <w:spacing w:line="600" w:lineRule="exact"/>
        <w:jc w:val="center"/>
        <w:outlineLvl w:val="9"/>
        <w:rPr>
          <w:rFonts w:ascii="黑体" w:hAnsi="黑体" w:eastAsia="黑体" w:cs="黑体"/>
          <w:color w:val="auto"/>
          <w:sz w:val="32"/>
          <w:szCs w:val="32"/>
          <w:highlight w:val="none"/>
        </w:rPr>
      </w:pPr>
    </w:p>
    <w:p w14:paraId="37654186">
      <w:pPr>
        <w:widowControl/>
        <w:spacing w:line="600" w:lineRule="exact"/>
        <w:jc w:val="center"/>
        <w:outlineLvl w:val="9"/>
        <w:rPr>
          <w:rFonts w:ascii="黑体" w:hAnsi="黑体" w:eastAsia="黑体" w:cs="黑体"/>
          <w:color w:val="auto"/>
          <w:sz w:val="32"/>
          <w:szCs w:val="32"/>
          <w:highlight w:val="none"/>
        </w:rPr>
      </w:pPr>
    </w:p>
    <w:p w14:paraId="1FA8186B">
      <w:pPr>
        <w:widowControl/>
        <w:spacing w:line="600" w:lineRule="exact"/>
        <w:jc w:val="center"/>
        <w:outlineLvl w:val="9"/>
        <w:rPr>
          <w:rFonts w:ascii="黑体" w:hAnsi="黑体" w:eastAsia="黑体" w:cs="黑体"/>
          <w:color w:val="auto"/>
          <w:sz w:val="32"/>
          <w:szCs w:val="32"/>
          <w:highlight w:val="none"/>
        </w:rPr>
      </w:pPr>
    </w:p>
    <w:p w14:paraId="3504ECA1">
      <w:pPr>
        <w:widowControl/>
        <w:spacing w:line="600" w:lineRule="exact"/>
        <w:jc w:val="center"/>
        <w:outlineLvl w:val="9"/>
        <w:rPr>
          <w:rFonts w:ascii="黑体" w:hAnsi="黑体" w:eastAsia="黑体" w:cs="黑体"/>
          <w:color w:val="auto"/>
          <w:sz w:val="32"/>
          <w:szCs w:val="32"/>
          <w:highlight w:val="none"/>
        </w:rPr>
      </w:pPr>
    </w:p>
    <w:p w14:paraId="78C7601C">
      <w:pPr>
        <w:widowControl/>
        <w:spacing w:line="600" w:lineRule="exact"/>
        <w:outlineLvl w:val="9"/>
        <w:rPr>
          <w:rFonts w:hint="eastAsia" w:ascii="黑体" w:hAnsi="黑体" w:eastAsia="黑体" w:cs="黑体"/>
          <w:color w:val="auto"/>
          <w:sz w:val="32"/>
          <w:szCs w:val="32"/>
          <w:highlight w:val="none"/>
        </w:rPr>
      </w:pPr>
    </w:p>
    <w:p w14:paraId="705FDD47">
      <w:pPr>
        <w:widowControl/>
        <w:spacing w:line="600" w:lineRule="exact"/>
        <w:outlineLvl w:val="9"/>
        <w:rPr>
          <w:rFonts w:hint="eastAsia" w:ascii="宋体" w:hAnsi="宋体" w:eastAsia="宋体" w:cs="宋体"/>
          <w:b/>
          <w:bCs/>
          <w:color w:val="auto"/>
          <w:kern w:val="0"/>
          <w:sz w:val="28"/>
          <w:szCs w:val="28"/>
          <w:highlight w:val="none"/>
        </w:rPr>
      </w:pPr>
      <w:r>
        <w:rPr>
          <w:rFonts w:hint="eastAsia" w:ascii="宋体" w:hAnsi="宋体" w:eastAsia="宋体" w:cs="宋体"/>
          <w:b/>
          <w:bCs/>
          <w:color w:val="auto"/>
          <w:sz w:val="28"/>
          <w:szCs w:val="28"/>
          <w:highlight w:val="none"/>
        </w:rPr>
        <w:br w:type="page"/>
      </w: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2-1</w:t>
      </w:r>
      <w:r>
        <w:rPr>
          <w:rFonts w:hint="eastAsia" w:ascii="宋体" w:hAnsi="宋体" w:eastAsia="宋体" w:cs="宋体"/>
          <w:b/>
          <w:bCs/>
          <w:color w:val="auto"/>
          <w:sz w:val="28"/>
          <w:szCs w:val="28"/>
          <w:highlight w:val="none"/>
        </w:rPr>
        <w:t>：</w:t>
      </w:r>
      <w:r>
        <w:rPr>
          <w:rFonts w:hint="eastAsia" w:ascii="宋体" w:hAnsi="宋体" w:eastAsia="宋体" w:cs="宋体"/>
          <w:b/>
          <w:bCs/>
          <w:color w:val="auto"/>
          <w:kern w:val="0"/>
          <w:sz w:val="28"/>
          <w:szCs w:val="28"/>
          <w:highlight w:val="none"/>
        </w:rPr>
        <w:t>南宁市南湖公园绿化养护规范</w:t>
      </w:r>
    </w:p>
    <w:p w14:paraId="74008F56">
      <w:pPr>
        <w:widowControl/>
        <w:spacing w:line="300" w:lineRule="atLeast"/>
        <w:ind w:firstLine="480"/>
        <w:rPr>
          <w:rFonts w:ascii="宋体" w:hAnsi="宋体"/>
          <w:color w:val="auto"/>
          <w:kern w:val="0"/>
          <w:szCs w:val="21"/>
          <w:highlight w:val="none"/>
        </w:rPr>
      </w:pPr>
    </w:p>
    <w:p w14:paraId="6BBCC581">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本规范以《广西城市绿化养护规范及验收要求》（DB45/T 449—2007）为参照依据，结合我园实际,从水分管理、土肥管理、修剪、松土除杂、病虫害控制、植物防护、清理工作、补种、古树名木养护、环境卫生、设施设备等方面制定详细规范及标准，除应按本规范执行外，还应遵守国家、行业、地方有关标准的规定。</w:t>
      </w:r>
    </w:p>
    <w:p w14:paraId="5A806A3D">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1水分管理</w:t>
      </w:r>
    </w:p>
    <w:p w14:paraId="6971EAE4">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1.1 淋水时间</w:t>
      </w:r>
    </w:p>
    <w:p w14:paraId="4179D7CD">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阴天全天均可淋水，遇高温、太阳辐射强应在上午11时前或下午4时后淋水。</w:t>
      </w:r>
    </w:p>
    <w:p w14:paraId="0254DF06">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1.2 淋水量</w:t>
      </w:r>
    </w:p>
    <w:p w14:paraId="0CD5F944">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水分供给以能保证植物正常生长、发育需要为宜。淋、灌水量应符合以下规定：</w:t>
      </w:r>
    </w:p>
    <w:p w14:paraId="7C288FCD">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新种植的乔灌木第一次定根水必须及时，并且淋足淋透，在植株未恢复正常生长之前经常性保持土壤湿润。幼龄树（种植5年内），干旱天气，每周灌、淋1次～2次；不耐旱的成年乔木，干旱季节，每月应灌、淋1次～3次。灌木、草坪、遮</w:t>
      </w:r>
      <w:r>
        <w:rPr>
          <w:rFonts w:hint="eastAsia" w:ascii="宋体" w:hAnsi="宋体"/>
          <w:color w:val="auto"/>
          <w:kern w:val="0"/>
          <w:szCs w:val="21"/>
          <w:highlight w:val="none"/>
          <w:lang w:val="en-US" w:eastAsia="zh-CN"/>
        </w:rPr>
        <w:t>阴</w:t>
      </w:r>
      <w:r>
        <w:rPr>
          <w:rFonts w:hint="eastAsia" w:ascii="宋体" w:hAnsi="宋体"/>
          <w:color w:val="auto"/>
          <w:kern w:val="0"/>
          <w:szCs w:val="21"/>
          <w:highlight w:val="none"/>
        </w:rPr>
        <w:t>的地被植物，淋水应湿透表层10cm以上；干旱天气，每周应喷淋2次～4次。无遮</w:t>
      </w:r>
      <w:r>
        <w:rPr>
          <w:rFonts w:hint="eastAsia" w:ascii="宋体" w:hAnsi="宋体"/>
          <w:color w:val="auto"/>
          <w:kern w:val="0"/>
          <w:szCs w:val="21"/>
          <w:highlight w:val="none"/>
          <w:lang w:val="en-US" w:eastAsia="zh-CN"/>
        </w:rPr>
        <w:t>阴</w:t>
      </w:r>
      <w:r>
        <w:rPr>
          <w:rFonts w:hint="eastAsia" w:ascii="宋体" w:hAnsi="宋体"/>
          <w:color w:val="auto"/>
          <w:kern w:val="0"/>
          <w:szCs w:val="21"/>
          <w:highlight w:val="none"/>
        </w:rPr>
        <w:t>的地被及盆栽草花应每天淋水1次～2次（干旱天气）；对于园内重点养护的开花植物（月季、杜鹃、非洲芙蓉等）的淋水，通过观察土壤表层5cm以下水分情况，土壤干燥，需及时进行淋水，淋水需淋透；土壤湿润则无需淋水，淋水应避免表层土湿润，深层土干燥。</w:t>
      </w:r>
    </w:p>
    <w:p w14:paraId="6BA8509B">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1.3 淋水方法</w:t>
      </w:r>
    </w:p>
    <w:p w14:paraId="095EE596">
      <w:pPr>
        <w:widowControl/>
        <w:spacing w:line="38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可采取喷灌、喷淋、灌淋。采用喷淋方法淋水，必须掌握好出水量及喷淋方向，不得冲倒、冲歪植株及冲翻树根。对于乔灌木淋水应先给树体洗尘。</w:t>
      </w:r>
    </w:p>
    <w:p w14:paraId="51708556">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1.4 排水</w:t>
      </w:r>
    </w:p>
    <w:p w14:paraId="6CC92F59">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乔灌木树盘、花坛、地被、草坪根据实际设排水盲沟，以保证雨季雨水能从地面顺畅排走，绿地不得有积水现象。</w:t>
      </w:r>
    </w:p>
    <w:p w14:paraId="34F12354">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 土肥管理</w:t>
      </w:r>
    </w:p>
    <w:p w14:paraId="5EB87F75">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2.1 土壤的疏松通透</w:t>
      </w:r>
    </w:p>
    <w:p w14:paraId="62977297">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必须保持园内土壤疏松通透，根据实际情况，对乔木及整形灌木、孤植灌木每年至少整理一次树盘，并定期松土保持土壤疏松。</w:t>
      </w:r>
    </w:p>
    <w:p w14:paraId="7B0E0102">
      <w:pPr>
        <w:widowControl/>
        <w:spacing w:line="380" w:lineRule="exact"/>
        <w:ind w:firstLine="105" w:firstLineChars="50"/>
        <w:outlineLvl w:val="9"/>
        <w:rPr>
          <w:rFonts w:ascii="宋体" w:hAnsi="宋体"/>
          <w:color w:val="auto"/>
          <w:kern w:val="0"/>
          <w:szCs w:val="21"/>
          <w:highlight w:val="none"/>
        </w:rPr>
      </w:pPr>
      <w:r>
        <w:rPr>
          <w:rFonts w:hint="eastAsia" w:ascii="宋体" w:hAnsi="宋体"/>
          <w:color w:val="auto"/>
          <w:kern w:val="0"/>
          <w:szCs w:val="21"/>
          <w:highlight w:val="none"/>
        </w:rPr>
        <w:t>2.2 施肥</w:t>
      </w:r>
    </w:p>
    <w:p w14:paraId="57335158">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2.2.1 定植5年内的乔木，全年施肥1次～3次，春季以氮肥为主，秋季、冬季施复合肥或磷钾肥或有机肥，每株每次施尿素0.05kg～0.15kg或复合肥0.1kg～0.4kg。</w:t>
      </w:r>
    </w:p>
    <w:p w14:paraId="7049D2F2">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2.2.2 定植5年后的乔木，视长势定全年施1次～2次根外肥，肥料可用0.1</w:t>
      </w:r>
      <w:r>
        <w:rPr>
          <w:rFonts w:hint="eastAsia" w:ascii="宋体" w:hAnsi="宋体"/>
          <w:color w:val="auto"/>
          <w:spacing w:val="-30"/>
          <w:kern w:val="0"/>
          <w:szCs w:val="21"/>
          <w:highlight w:val="none"/>
        </w:rPr>
        <w:t>％</w:t>
      </w:r>
      <w:r>
        <w:rPr>
          <w:rFonts w:hint="eastAsia" w:ascii="宋体" w:hAnsi="宋体"/>
          <w:color w:val="auto"/>
          <w:kern w:val="0"/>
          <w:szCs w:val="21"/>
          <w:highlight w:val="none"/>
        </w:rPr>
        <w:t>～1.0</w:t>
      </w:r>
      <w:r>
        <w:rPr>
          <w:rFonts w:hint="eastAsia" w:ascii="宋体" w:hAnsi="宋体"/>
          <w:color w:val="auto"/>
          <w:spacing w:val="-30"/>
          <w:kern w:val="0"/>
          <w:szCs w:val="21"/>
          <w:highlight w:val="none"/>
        </w:rPr>
        <w:t>％</w:t>
      </w:r>
      <w:r>
        <w:rPr>
          <w:rFonts w:hint="eastAsia" w:ascii="宋体" w:hAnsi="宋体"/>
          <w:color w:val="auto"/>
          <w:kern w:val="0"/>
          <w:szCs w:val="21"/>
          <w:highlight w:val="none"/>
        </w:rPr>
        <w:t>尿素、磷酸二氢钾等；古树、衰老树冬季应深耕根施迟效性肥料一次，以骨粉、堆肥、垃圾肥等有机肥为主，平均每株施10kg～25kg有机物或施复合肥0.3kg～1.0kg，观花、观果类乔木还应在花后、果后追施一次复合肥或尿素。</w:t>
      </w:r>
    </w:p>
    <w:p w14:paraId="398561DB">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2.2.3 灌木全年施肥3次～8次（视植物长势而定），生长期以施氮肥为主，开花期、冬季以磷钾肥为主；片植灌木，每次每平方米施复合肥0.025 kg～0.100kg；孤植灌木，每株每次施化肥0.05 kg～0.15kg。</w:t>
      </w:r>
    </w:p>
    <w:p w14:paraId="452F913C">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2.2.4 草坪、草本地被植物。全年施2次～4次，生长期施尿素或复合肥1次～3次，每平方米施0.01 kg～0.05kg；入冬前施1次复合肥，观花地被开花前施1次复合肥。</w:t>
      </w:r>
    </w:p>
    <w:p w14:paraId="1D5E4196">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2.2.5 重点养护的开花植物（月季、杜鹃、非洲芙蓉等）及花坛植物种植后应每隔10天施一次水肥（复合肥）。</w:t>
      </w:r>
    </w:p>
    <w:p w14:paraId="2F387DCF">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2.2.6 应多施有机肥，尽量利用落叶及修剪出来的枝叶埋入土中或堆沤后施用，以改良土壤，增加土壤肥力。</w:t>
      </w:r>
    </w:p>
    <w:p w14:paraId="22CF7C65">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2.2.7 乔木与孤植灌木可采用沟施、穴施或叶面喷施；沟施或穴施位置有地被的，先将地被植物带根移开，挖沟或穴深施，施肥盖土后再复植原位。片植地被、草坪、花坛可采用撒施或叶面喷施或淋水肥；撒施时，肥料不能粘在叶面上。</w:t>
      </w:r>
    </w:p>
    <w:p w14:paraId="57669EEB">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2.2.8 使用复合肥进行根施或撒施时,施肥后应及时淋水。</w:t>
      </w:r>
    </w:p>
    <w:p w14:paraId="2EDF5267">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 修剪</w:t>
      </w:r>
    </w:p>
    <w:p w14:paraId="27D144EC">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3.1 乔木修剪</w:t>
      </w:r>
    </w:p>
    <w:p w14:paraId="625D3F57">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3.1.1 自然修剪</w:t>
      </w:r>
    </w:p>
    <w:p w14:paraId="25844CDF">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3.1.1.1 幼龄树修剪，以培养树形为主，全年修剪2次，冬、夏各进行1次，剪去过密枝、下垂枝、交叉枝、病虫枝等，剪口要求平滑，直径5cm以上的剪口应做好伤口处理。</w:t>
      </w:r>
    </w:p>
    <w:p w14:paraId="08CFEF77">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3.1.1.2 成年树修剪，以维持本身树形特征为主，全年修剪数次，及时清理枯枝黄叶；冬季和夏季台风到来之前进行适度修剪，把病虫枝、下垂枝、过密枝、交叉枝等剪去，剪口要求平整，不留桩头，并做好伤口处理。</w:t>
      </w:r>
    </w:p>
    <w:p w14:paraId="2AD06358">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3.1.1.3 对影响主要树种树体定向生长的其它次要树应进行避让修剪，以保证主体树有足够的生长定向空间。</w:t>
      </w:r>
    </w:p>
    <w:p w14:paraId="32A23EB7">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3.1.1.4 对影响园内基础设施正常使用的树木应及时进行适度修剪，树体不应有钉挂物、缠绕物等。</w:t>
      </w:r>
    </w:p>
    <w:p w14:paraId="3B8A970A">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3.1.2 造型修剪</w:t>
      </w:r>
    </w:p>
    <w:p w14:paraId="5BEE92CD">
      <w:pPr>
        <w:widowControl/>
        <w:spacing w:line="38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 xml:space="preserve">根据设计和景观要求,把乔木剪成并维持特定的形状。修剪次数与强度以能维持其形状为宜，修剪时必须注意剪去过密的内膛枝、交叉枝等。 </w:t>
      </w:r>
    </w:p>
    <w:p w14:paraId="61098832">
      <w:pPr>
        <w:spacing w:line="380" w:lineRule="exact"/>
        <w:outlineLvl w:val="9"/>
        <w:rPr>
          <w:rFonts w:ascii="宋体" w:hAnsi="宋体"/>
          <w:color w:val="auto"/>
          <w:kern w:val="0"/>
          <w:szCs w:val="21"/>
          <w:highlight w:val="none"/>
        </w:rPr>
      </w:pPr>
      <w:r>
        <w:rPr>
          <w:rFonts w:hint="eastAsia" w:ascii="宋体" w:hAnsi="宋体"/>
          <w:color w:val="auto"/>
          <w:kern w:val="0"/>
          <w:szCs w:val="21"/>
          <w:highlight w:val="none"/>
        </w:rPr>
        <w:t>3.2 灌木修剪</w:t>
      </w:r>
    </w:p>
    <w:p w14:paraId="17C17C48">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3.2.1 孤植灌木修剪</w:t>
      </w:r>
    </w:p>
    <w:p w14:paraId="0D124023">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3.2.1.1 观叶、观茎的棕榈科灌木和其它慢生性观叶灌木，主要适当控制灌木的形状，根据树种特性进行疏枝、剪除枯枝黄叶。</w:t>
      </w:r>
    </w:p>
    <w:p w14:paraId="07C12685">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3.2.1.2 萌发力强，生长快的观花、观叶灌木，春季或花期过后进行重剪，以控制植株徒长，维持一定的高度与形状。</w:t>
      </w:r>
    </w:p>
    <w:p w14:paraId="1450C7D6">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3.2.1.3 疏枝，剪口必须贴近干枝，平滑、不撕裂，不伤及干枝，不留桩头。</w:t>
      </w:r>
    </w:p>
    <w:p w14:paraId="55A0700E">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3.2.1.4 短剪，剪口要求平滑，剪口芽方向合理，距离剪口芽约0.5-1cm。</w:t>
      </w:r>
    </w:p>
    <w:p w14:paraId="391E5369">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3.2.2 整形灌木修剪</w:t>
      </w:r>
    </w:p>
    <w:p w14:paraId="5F96D32A">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3.2.2.1 必须按设计或观赏要求，逐步修剪养成一定的形状，并且要求成形美观、曲线变化明显，与周围环境相协调；规则式的同一品种植物造型，其形状、大小应基本一致。</w:t>
      </w:r>
    </w:p>
    <w:p w14:paraId="50E31EEA">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3.2.2.2 整形灌木成形后应保持原来的形状，随着植物的生长，其形体大于设计观赏要求或因频繁修剪造成长势趋弱的，应于春季进行回缩修剪。</w:t>
      </w:r>
    </w:p>
    <w:p w14:paraId="3BAC5C28">
      <w:pPr>
        <w:spacing w:line="380" w:lineRule="exact"/>
        <w:ind w:firstLine="105" w:firstLineChars="50"/>
        <w:rPr>
          <w:rFonts w:ascii="宋体" w:hAnsi="宋体"/>
          <w:color w:val="auto"/>
          <w:kern w:val="0"/>
          <w:szCs w:val="21"/>
          <w:highlight w:val="none"/>
        </w:rPr>
      </w:pPr>
      <w:r>
        <w:rPr>
          <w:rFonts w:hint="eastAsia" w:ascii="宋体" w:hAnsi="宋体"/>
          <w:color w:val="auto"/>
          <w:kern w:val="0"/>
          <w:szCs w:val="21"/>
          <w:highlight w:val="none"/>
        </w:rPr>
        <w:t>3.2.2.3 特殊景观节点的灌木修剪，应保证功能性，景观性。</w:t>
      </w:r>
    </w:p>
    <w:p w14:paraId="5FC92D69">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3.2.3 片植灌木</w:t>
      </w:r>
    </w:p>
    <w:p w14:paraId="0AD60F64">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3.2.3.1 按设计或观赏要求修剪，并剪去干枯枝、寄生与缠绕物，要求图形清晰，线条明显，整体美观。</w:t>
      </w:r>
    </w:p>
    <w:p w14:paraId="20B1AA74">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3.2.3.2 萌芽力强、生长快的观叶片植灌木，应于春季进行回缩修剪，以控制整体高度和保持良好的长势。</w:t>
      </w:r>
    </w:p>
    <w:p w14:paraId="19C834D1">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3.2.3.3 观花片植灌木应于开花后适度修剪或重剪。</w:t>
      </w:r>
    </w:p>
    <w:p w14:paraId="6903F694">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3.3 地被修剪</w:t>
      </w:r>
    </w:p>
    <w:p w14:paraId="53328C40">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3.3.1 地被要求保持整洁，及时清除黄叶、杂物；过密的应适当疏株、移植；过高的应间高留矮，促萌新株，逐步更新。</w:t>
      </w:r>
    </w:p>
    <w:p w14:paraId="3B5082F9">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3.3.2 蔓生性较强的地被，应适当修剪，保持整体整齐或有规律变化。</w:t>
      </w:r>
    </w:p>
    <w:p w14:paraId="596C9CF3">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3.4 重点养护的开花植物及花坛植物修剪</w:t>
      </w:r>
    </w:p>
    <w:p w14:paraId="246E6F66">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及时剪除残花、枯枝、黄叶，并短截或疏去过高的枝叶，保持花坛中同一色块顶面高度基本一致。</w:t>
      </w:r>
    </w:p>
    <w:p w14:paraId="53634280">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3.5 草坪修剪</w:t>
      </w:r>
    </w:p>
    <w:p w14:paraId="53B4FFF4">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视草坪生长情况全年修剪6次～12次，草坪高度应控制在8-10cm。如遇重要节庆日，应提前开展工作，以确保节庆日期间草地景观良好。</w:t>
      </w:r>
    </w:p>
    <w:p w14:paraId="6DB73AD2">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3.6 藤本植物修剪</w:t>
      </w:r>
    </w:p>
    <w:p w14:paraId="7EAE0BFE">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3.6.1 主要剪去过密枝、衰老枝，控制枝条下垂的长度基本一致，且不影响交通、视线。花期过后应适当重剪。</w:t>
      </w:r>
    </w:p>
    <w:p w14:paraId="0E9FED44">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3.6.2 有光脚或中空现象时，采用局部重剪、曲枝蔓诱引措施来弥补空缺。</w:t>
      </w:r>
    </w:p>
    <w:p w14:paraId="2EDF59E6">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4 松土除杂</w:t>
      </w:r>
    </w:p>
    <w:p w14:paraId="3AB616C8">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4.1 绿地内植物应定期松土除杂。</w:t>
      </w:r>
    </w:p>
    <w:p w14:paraId="78D1325D">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4.2 应经常对草坪进行人工除杂，对生长快、侵延力强的杂草应除早、除小、除了。结合剪草机定期剪草，控制杂草的开花及蔓延，草坪纯度应保持在95</w:t>
      </w:r>
      <w:r>
        <w:rPr>
          <w:rFonts w:hint="eastAsia" w:ascii="宋体" w:hAnsi="宋体"/>
          <w:color w:val="auto"/>
          <w:spacing w:val="-30"/>
          <w:kern w:val="0"/>
          <w:szCs w:val="21"/>
          <w:highlight w:val="none"/>
        </w:rPr>
        <w:t xml:space="preserve">％ </w:t>
      </w:r>
      <w:r>
        <w:rPr>
          <w:rFonts w:hint="eastAsia" w:ascii="宋体" w:hAnsi="宋体"/>
          <w:color w:val="auto"/>
          <w:kern w:val="0"/>
          <w:szCs w:val="21"/>
          <w:highlight w:val="none"/>
        </w:rPr>
        <w:t>以上，无大型、异型杂草。</w:t>
      </w:r>
    </w:p>
    <w:p w14:paraId="3C0CEE24">
      <w:pPr>
        <w:spacing w:line="380" w:lineRule="exact"/>
        <w:rPr>
          <w:rFonts w:ascii="宋体" w:hAnsi="宋体"/>
          <w:color w:val="auto"/>
          <w:kern w:val="0"/>
          <w:szCs w:val="21"/>
          <w:highlight w:val="none"/>
        </w:rPr>
      </w:pPr>
      <w:r>
        <w:rPr>
          <w:rFonts w:hint="eastAsia" w:ascii="宋体" w:hAnsi="宋体"/>
          <w:color w:val="auto"/>
          <w:kern w:val="0"/>
          <w:szCs w:val="21"/>
          <w:highlight w:val="none"/>
        </w:rPr>
        <w:t>4.3 每年春季或冬季用草坪疏草机或草坪打孔机，对草坪进行疏草或打孔，以防草过密起团，增加草坪土壤通透性。</w:t>
      </w:r>
    </w:p>
    <w:p w14:paraId="14CBA8CA">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5 病虫害控制</w:t>
      </w:r>
    </w:p>
    <w:p w14:paraId="4DC8747A">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5.1 经常检查，随时掌握病虫的生长繁殖及危害情况，结合历年发病规律，做好预测预防工作。</w:t>
      </w:r>
    </w:p>
    <w:p w14:paraId="77BFD5F3">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5.2 掌握在幼虫期和病虫害大发生前进行防治，根据病虫害种类，天气情况、农药性质，合理使用农药。</w:t>
      </w:r>
    </w:p>
    <w:p w14:paraId="703880EE">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5.3 喷药应选择在无风无雨时进行，喷药必须到位、均匀，文明操作，喷施范围内应避免游客穿行，药水不能喷到行人身上，对于人为活动多或人流量大的地段，应提前</w:t>
      </w:r>
      <w:r>
        <w:rPr>
          <w:rFonts w:hint="eastAsia" w:ascii="宋体" w:hAnsi="宋体"/>
          <w:color w:val="auto"/>
          <w:kern w:val="0"/>
          <w:szCs w:val="21"/>
          <w:highlight w:val="none"/>
          <w:lang w:eastAsia="zh-CN"/>
        </w:rPr>
        <w:t>告知</w:t>
      </w:r>
      <w:r>
        <w:rPr>
          <w:rFonts w:hint="eastAsia" w:ascii="宋体" w:hAnsi="宋体"/>
          <w:color w:val="auto"/>
          <w:kern w:val="0"/>
          <w:szCs w:val="21"/>
          <w:highlight w:val="none"/>
        </w:rPr>
        <w:t>喷药时间及药效持续时长；根部埋药，应挖沟、坑，把药放在细根集中部位，并覆土。</w:t>
      </w:r>
    </w:p>
    <w:p w14:paraId="233C6EBB">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5.4 药水随用随配，药水配用浓度应按使用说明，需要加大浓度或两种以上农药混用必须先小面积试用安全或经专业技术人员确认后才能大面积使用；使用过的农药瓶须集中收集，合规处理。</w:t>
      </w:r>
    </w:p>
    <w:p w14:paraId="7F8BC719">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5.5 应该选择使用低毒、低残留农药或生物制剂，尽量保护天敌，采用化学防治、生物防治相结合进行综合治理。</w:t>
      </w:r>
    </w:p>
    <w:p w14:paraId="59702A93">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5.6 交替使用农药，不能长期使用单一种农药防治同一病虫害，以防病菌和害虫产生抗药性。用药后应检查用药效果，做到对症下药，及时纠正。</w:t>
      </w:r>
    </w:p>
    <w:p w14:paraId="21799257">
      <w:pPr>
        <w:widowControl/>
        <w:spacing w:line="380" w:lineRule="exact"/>
        <w:rPr>
          <w:rFonts w:ascii="宋体" w:hAnsi="宋体"/>
          <w:color w:val="auto"/>
          <w:kern w:val="0"/>
          <w:szCs w:val="21"/>
          <w:highlight w:val="none"/>
        </w:rPr>
      </w:pPr>
      <w:r>
        <w:rPr>
          <w:rFonts w:hint="eastAsia" w:ascii="宋体" w:hAnsi="宋体"/>
          <w:color w:val="auto"/>
          <w:kern w:val="0"/>
          <w:szCs w:val="21"/>
          <w:highlight w:val="none"/>
        </w:rPr>
        <w:t xml:space="preserve"> 5.7 及时剪除销毁病虫害引起的树枝败叶，并结合修枝，把徒长枝、过密枝剪去，创造透风透光环境，杜绝病虫害滋生蔓延。</w:t>
      </w:r>
    </w:p>
    <w:p w14:paraId="0654334F">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5.8 修剪时，应对剪口进行处理以防病虫害的侵入。</w:t>
      </w:r>
    </w:p>
    <w:p w14:paraId="7CECDCA6">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5.9 及时清除植株上的寄生物。</w:t>
      </w:r>
    </w:p>
    <w:p w14:paraId="5C0C203F">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5.10 严禁使用带检疫对象病虫的苗木进行补种，外地苗木必须经过检疫，本地苗木必须经检查及处理后没有病虫</w:t>
      </w:r>
      <w:r>
        <w:rPr>
          <w:rFonts w:hint="eastAsia" w:ascii="宋体" w:hAnsi="宋体"/>
          <w:color w:val="auto"/>
          <w:kern w:val="0"/>
          <w:szCs w:val="21"/>
          <w:highlight w:val="none"/>
          <w:lang w:val="en-US" w:eastAsia="zh-CN"/>
        </w:rPr>
        <w:t>危</w:t>
      </w:r>
      <w:r>
        <w:rPr>
          <w:rFonts w:hint="eastAsia" w:ascii="宋体" w:hAnsi="宋体"/>
          <w:color w:val="auto"/>
          <w:kern w:val="0"/>
          <w:szCs w:val="21"/>
          <w:highlight w:val="none"/>
        </w:rPr>
        <w:t>害的苗木才能使用。</w:t>
      </w:r>
    </w:p>
    <w:p w14:paraId="779AB079">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5.11 病虫害控制必须在不影响景观效果程度之内。</w:t>
      </w:r>
    </w:p>
    <w:p w14:paraId="6584E7B0">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6植物防护</w:t>
      </w:r>
    </w:p>
    <w:p w14:paraId="0B6BC321">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6.1 防寒、防冻(对不耐寒的植物品种)</w:t>
      </w:r>
    </w:p>
    <w:p w14:paraId="45AB4E34">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6.1.1 喷施防冻液和覆盖</w:t>
      </w:r>
    </w:p>
    <w:p w14:paraId="16060154">
      <w:pPr>
        <w:widowControl/>
        <w:spacing w:line="38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在气温5-15℃时，可采用喷施防冻液或覆盖的方式；气温低于5℃，严禁使用防冻液，可采用覆盖方式。喷施防冻液每7-15天喷一次。覆盖，对乔木可用麻绳、土工布等包裹树干至二级分枝；对小型植物、露地花卉、地被等，需搭设足够空间的棚架后用遮</w:t>
      </w:r>
      <w:r>
        <w:rPr>
          <w:rFonts w:hint="eastAsia" w:ascii="宋体" w:hAnsi="宋体"/>
          <w:color w:val="auto"/>
          <w:kern w:val="0"/>
          <w:szCs w:val="21"/>
          <w:highlight w:val="none"/>
          <w:lang w:val="en-US" w:eastAsia="zh-CN"/>
        </w:rPr>
        <w:t>阴</w:t>
      </w:r>
      <w:r>
        <w:rPr>
          <w:rFonts w:hint="eastAsia" w:ascii="宋体" w:hAnsi="宋体"/>
          <w:color w:val="auto"/>
          <w:kern w:val="0"/>
          <w:szCs w:val="21"/>
          <w:highlight w:val="none"/>
        </w:rPr>
        <w:t>布、薄膜等进行遮盖。</w:t>
      </w:r>
    </w:p>
    <w:p w14:paraId="74043A29">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6.1.2 洗霜</w:t>
      </w:r>
    </w:p>
    <w:p w14:paraId="7059B042">
      <w:pPr>
        <w:widowControl/>
        <w:spacing w:line="380" w:lineRule="exact"/>
        <w:ind w:firstLine="480"/>
        <w:rPr>
          <w:rFonts w:ascii="宋体" w:hAnsi="宋体"/>
          <w:color w:val="auto"/>
          <w:kern w:val="0"/>
          <w:szCs w:val="21"/>
          <w:highlight w:val="none"/>
        </w:rPr>
      </w:pPr>
      <w:r>
        <w:rPr>
          <w:rFonts w:hint="eastAsia" w:ascii="宋体" w:hAnsi="宋体"/>
          <w:color w:val="auto"/>
          <w:kern w:val="0"/>
          <w:szCs w:val="21"/>
          <w:highlight w:val="none"/>
        </w:rPr>
        <w:t>在有霜日，太阳未出来前，给植株洗霜，即用水喷洒叶面或枝干。</w:t>
      </w:r>
    </w:p>
    <w:p w14:paraId="16DAA31A">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6.1.3 加强水肥管理，增强抗寒能力</w:t>
      </w:r>
    </w:p>
    <w:p w14:paraId="2F37F7F5">
      <w:pPr>
        <w:widowControl/>
        <w:spacing w:line="38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合理浇灌，科学施肥，如秋冬季应停止单纯施放尿素等氮肥，宜施用有机肥或以磷、钾为主的复合肥，或喷施叶面肥等措施，控制植株徒长，促进植株生长健壮，增强其抗寒能力。</w:t>
      </w:r>
    </w:p>
    <w:p w14:paraId="0E20797C">
      <w:pPr>
        <w:widowControl/>
        <w:spacing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6.2 防风(对高大乔木)</w:t>
      </w:r>
    </w:p>
    <w:p w14:paraId="0FDB140D">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6.2.1 台风季节到来前必须进行适当修剪，剪除病虫枝、过密枝、干枯枝、下垂枝、回缩偏冠树枝；排查病害、易倒植株，及时做好支撑等措施；严重偏冠树或危树必须架设护桩，确保行人、车辆安全。</w:t>
      </w:r>
    </w:p>
    <w:p w14:paraId="58046390">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6.2.2 风雨过后应及时巡查，及时处理风折、风倒、雷击树枝。</w:t>
      </w:r>
    </w:p>
    <w:p w14:paraId="60DFB4E4">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6.2.3 移植和管道施工应避免断粗2cm以上的主根、侧根。</w:t>
      </w:r>
    </w:p>
    <w:p w14:paraId="659C32A0">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7 清理工作</w:t>
      </w:r>
    </w:p>
    <w:p w14:paraId="469E53DE">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7.1 修剪后应将落在灌木上、树盘上的枝叶清理干净。</w:t>
      </w:r>
    </w:p>
    <w:p w14:paraId="484C8518">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7.2 修剪后的枝叶必须当天清理。</w:t>
      </w:r>
    </w:p>
    <w:p w14:paraId="3B34E5D4">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7.3 因风雨造成的树木伤残枝、倒树应视天气情况当天及时处理。</w:t>
      </w:r>
    </w:p>
    <w:p w14:paraId="30FE2FAC">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7.4 及时清理死树及树木桩头。</w:t>
      </w:r>
    </w:p>
    <w:p w14:paraId="76B0505F">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8 补种</w:t>
      </w:r>
    </w:p>
    <w:p w14:paraId="236B5361">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8.1 绿地缺株或黄土裸露的，应及时补种。补种的品种应与原状相符或与周边景观相协调。</w:t>
      </w:r>
    </w:p>
    <w:p w14:paraId="27F74265">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8.2补种的苗木必须健壮，无病虫害。草坪纯度必须达95</w:t>
      </w:r>
      <w:r>
        <w:rPr>
          <w:rFonts w:hint="eastAsia" w:ascii="宋体" w:hAnsi="宋体"/>
          <w:color w:val="auto"/>
          <w:spacing w:val="-30"/>
          <w:kern w:val="0"/>
          <w:szCs w:val="21"/>
          <w:highlight w:val="none"/>
        </w:rPr>
        <w:t xml:space="preserve"> ％</w:t>
      </w:r>
      <w:r>
        <w:rPr>
          <w:rFonts w:hint="eastAsia" w:ascii="宋体" w:hAnsi="宋体"/>
          <w:color w:val="auto"/>
          <w:kern w:val="0"/>
          <w:szCs w:val="21"/>
          <w:highlight w:val="none"/>
        </w:rPr>
        <w:t>以上。</w:t>
      </w:r>
    </w:p>
    <w:p w14:paraId="312C3B94">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8.3 草坪及灌木已老化的，应在衰老期到来初期更新改造。</w:t>
      </w:r>
    </w:p>
    <w:p w14:paraId="12F84A35">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9古树名木的养护</w:t>
      </w:r>
    </w:p>
    <w:p w14:paraId="77EEA7D0">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9.1 不可随意改变生长环境条件，不宜在其周围挖方、填方；距树干3m以内不能有水泥、砖石等不透气铺装或建筑物。</w:t>
      </w:r>
    </w:p>
    <w:p w14:paraId="218B54E0">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9.2 防止土壤板结，在距树干3m～5m内应设栅栏隔离或种植地被植物，以防行人入内践踏，每年在距树干5m以内中耕松土2次～3次，对衰老树，有条件的可逐步换土或改土（表层50cm以上）。</w:t>
      </w:r>
    </w:p>
    <w:p w14:paraId="7B3C0EF2">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9.3 施肥，每年生长季节喷施叶面肥1次～3次，每年秋冬季在距树干5m内开辐射状沟施放复合肥（每株施0.5kg～1.0kg复合肥）或施沤熟的有机肥。</w:t>
      </w:r>
    </w:p>
    <w:p w14:paraId="2AD94A0B">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9.4 古树易受蛀干害虫及白蚁的危害，必须经常检查，及时防治。修剪的剪口及损伤部分应涂药防腐、防虫。有空洞的树干必须清理干净洞内污垢，涂药消毒后进行补洞。</w:t>
      </w:r>
    </w:p>
    <w:p w14:paraId="08B42CA4">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9.5 修剪复壮，古树名木的修剪主要修剪干枯枝、病虫枝、下垂枝等。对具潜芽且寿命长的树种，当树冠外围枝条衰老枯梢时，应该采取适当回缩修剪来更新。对无潜芽或寿命短的树种，通过深翻改土，切断1cm以下的粗根系、刺激诱发新根（亦可配制生根粉类兑水灌断根处），促进根系更新。修剪或断根后，必须加强水肥管理。</w:t>
      </w:r>
    </w:p>
    <w:p w14:paraId="42581A09">
      <w:pPr>
        <w:widowControl/>
        <w:spacing w:line="380" w:lineRule="exact"/>
        <w:ind w:firstLine="105"/>
        <w:rPr>
          <w:rFonts w:ascii="宋体" w:hAnsi="宋体"/>
          <w:color w:val="auto"/>
          <w:kern w:val="0"/>
          <w:szCs w:val="21"/>
          <w:highlight w:val="none"/>
        </w:rPr>
      </w:pPr>
      <w:r>
        <w:rPr>
          <w:rFonts w:hint="eastAsia" w:ascii="宋体" w:hAnsi="宋体"/>
          <w:color w:val="auto"/>
          <w:kern w:val="0"/>
          <w:szCs w:val="21"/>
          <w:highlight w:val="none"/>
        </w:rPr>
        <w:t>9.6 对生长不均衡树主干及延伸较长的枝杈，必须加设支柱或在树干适当部位打桩，以防风折。</w:t>
      </w:r>
    </w:p>
    <w:p w14:paraId="36556C61">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10 环境卫生</w:t>
      </w:r>
    </w:p>
    <w:p w14:paraId="45986BF3">
      <w:pPr>
        <w:widowControl/>
        <w:spacing w:before="156" w:line="380" w:lineRule="exact"/>
        <w:ind w:firstLine="105"/>
        <w:outlineLvl w:val="9"/>
        <w:rPr>
          <w:rFonts w:ascii="宋体" w:hAnsi="宋体"/>
          <w:color w:val="auto"/>
          <w:kern w:val="0"/>
          <w:szCs w:val="21"/>
          <w:highlight w:val="none"/>
        </w:rPr>
      </w:pPr>
      <w:r>
        <w:rPr>
          <w:rFonts w:hint="eastAsia" w:ascii="宋体" w:hAnsi="宋体"/>
          <w:color w:val="auto"/>
          <w:kern w:val="0"/>
          <w:szCs w:val="21"/>
          <w:highlight w:val="none"/>
        </w:rPr>
        <w:t xml:space="preserve">   绿地内应保持清洁卫生。不能有砖石、堆积物及修剪过后的枝叶堆积，表面无明显垃圾，花坛外缘的土面应略低于路缘石顶面，不能有泥土污染周围环境。</w:t>
      </w:r>
    </w:p>
    <w:p w14:paraId="6EF1C276">
      <w:pPr>
        <w:widowControl/>
        <w:spacing w:before="156" w:line="380" w:lineRule="exact"/>
        <w:outlineLvl w:val="9"/>
        <w:rPr>
          <w:rFonts w:ascii="宋体" w:hAnsi="宋体"/>
          <w:color w:val="auto"/>
          <w:kern w:val="0"/>
          <w:szCs w:val="21"/>
          <w:highlight w:val="none"/>
        </w:rPr>
      </w:pPr>
      <w:r>
        <w:rPr>
          <w:rFonts w:hint="eastAsia" w:ascii="宋体" w:hAnsi="宋体"/>
          <w:color w:val="auto"/>
          <w:kern w:val="0"/>
          <w:szCs w:val="21"/>
          <w:highlight w:val="none"/>
        </w:rPr>
        <w:t>11 设备设施</w:t>
      </w:r>
    </w:p>
    <w:p w14:paraId="753D9AEA">
      <w:pPr>
        <w:widowControl/>
        <w:spacing w:line="380" w:lineRule="exact"/>
        <w:ind w:firstLine="420" w:firstLineChars="200"/>
        <w:rPr>
          <w:rFonts w:ascii="宋体" w:hAnsi="宋体"/>
          <w:color w:val="auto"/>
          <w:kern w:val="0"/>
          <w:szCs w:val="21"/>
          <w:highlight w:val="none"/>
        </w:rPr>
      </w:pPr>
      <w:r>
        <w:rPr>
          <w:rFonts w:hint="eastAsia" w:ascii="宋体" w:hAnsi="宋体"/>
          <w:color w:val="auto"/>
          <w:kern w:val="0"/>
          <w:szCs w:val="21"/>
          <w:highlight w:val="none"/>
        </w:rPr>
        <w:t>定期维护养护设备、设施，确保设备设施完好、整洁，正常使用。</w:t>
      </w:r>
    </w:p>
    <w:p w14:paraId="3A5AF2D4">
      <w:pPr>
        <w:widowControl/>
        <w:spacing w:line="380" w:lineRule="exact"/>
        <w:ind w:firstLine="420" w:firstLineChars="200"/>
        <w:rPr>
          <w:rFonts w:ascii="宋体" w:hAnsi="宋体"/>
          <w:color w:val="auto"/>
          <w:kern w:val="0"/>
          <w:szCs w:val="21"/>
          <w:highlight w:val="none"/>
        </w:rPr>
      </w:pPr>
    </w:p>
    <w:p w14:paraId="167FB965">
      <w:pPr>
        <w:widowControl/>
        <w:spacing w:line="380" w:lineRule="exact"/>
        <w:ind w:firstLine="420" w:firstLineChars="200"/>
        <w:rPr>
          <w:rFonts w:ascii="宋体" w:hAnsi="宋体"/>
          <w:color w:val="auto"/>
          <w:kern w:val="0"/>
          <w:szCs w:val="21"/>
          <w:highlight w:val="none"/>
        </w:rPr>
      </w:pPr>
    </w:p>
    <w:p w14:paraId="684D9EE9">
      <w:pPr>
        <w:widowControl/>
        <w:spacing w:line="380" w:lineRule="exact"/>
        <w:ind w:firstLine="482" w:firstLineChars="200"/>
        <w:rPr>
          <w:rFonts w:hint="eastAsia" w:ascii="宋体" w:hAnsi="宋体"/>
          <w:b/>
          <w:color w:val="auto"/>
          <w:kern w:val="0"/>
          <w:sz w:val="24"/>
          <w:szCs w:val="21"/>
          <w:highlight w:val="none"/>
        </w:rPr>
      </w:pPr>
      <w:r>
        <w:rPr>
          <w:rFonts w:hint="eastAsia" w:ascii="宋体" w:hAnsi="宋体"/>
          <w:b/>
          <w:color w:val="auto"/>
          <w:kern w:val="0"/>
          <w:sz w:val="24"/>
          <w:szCs w:val="21"/>
          <w:highlight w:val="none"/>
        </w:rPr>
        <w:t>在执行以上养护规范过程中，如出现指标验证为不合理或相关部门提高管理要求等情况下，</w:t>
      </w:r>
      <w:r>
        <w:rPr>
          <w:rFonts w:hint="eastAsia" w:ascii="宋体" w:hAnsi="宋体"/>
          <w:b/>
          <w:color w:val="auto"/>
          <w:kern w:val="0"/>
          <w:sz w:val="24"/>
          <w:szCs w:val="21"/>
          <w:highlight w:val="none"/>
          <w:lang w:val="en-US" w:eastAsia="zh-CN"/>
        </w:rPr>
        <w:t>公园</w:t>
      </w:r>
      <w:r>
        <w:rPr>
          <w:rFonts w:hint="eastAsia" w:ascii="宋体" w:hAnsi="宋体"/>
          <w:b/>
          <w:color w:val="auto"/>
          <w:kern w:val="0"/>
          <w:sz w:val="24"/>
          <w:szCs w:val="21"/>
          <w:highlight w:val="none"/>
        </w:rPr>
        <w:t>可对该养护规范进行适度调整。</w:t>
      </w:r>
    </w:p>
    <w:p w14:paraId="69D1C468">
      <w:pPr>
        <w:widowControl/>
        <w:spacing w:line="380" w:lineRule="exact"/>
        <w:ind w:firstLine="482" w:firstLineChars="200"/>
        <w:rPr>
          <w:rFonts w:hint="eastAsia" w:ascii="宋体" w:hAnsi="宋体"/>
          <w:b/>
          <w:color w:val="auto"/>
          <w:kern w:val="0"/>
          <w:sz w:val="24"/>
          <w:szCs w:val="21"/>
          <w:highlight w:val="none"/>
        </w:rPr>
      </w:pPr>
    </w:p>
    <w:p w14:paraId="218E8F2E">
      <w:pPr>
        <w:widowControl/>
        <w:spacing w:line="380" w:lineRule="exact"/>
        <w:ind w:firstLine="482" w:firstLineChars="200"/>
        <w:rPr>
          <w:rFonts w:hint="eastAsia" w:ascii="宋体" w:hAnsi="宋体"/>
          <w:b/>
          <w:color w:val="auto"/>
          <w:kern w:val="0"/>
          <w:sz w:val="24"/>
          <w:szCs w:val="21"/>
          <w:highlight w:val="none"/>
        </w:rPr>
      </w:pPr>
    </w:p>
    <w:p w14:paraId="4FFF42DC">
      <w:pPr>
        <w:widowControl/>
        <w:spacing w:line="380" w:lineRule="exact"/>
        <w:ind w:firstLine="482" w:firstLineChars="200"/>
        <w:rPr>
          <w:rFonts w:hint="eastAsia" w:ascii="宋体" w:hAnsi="宋体"/>
          <w:b/>
          <w:color w:val="auto"/>
          <w:kern w:val="0"/>
          <w:sz w:val="24"/>
          <w:szCs w:val="21"/>
          <w:highlight w:val="none"/>
        </w:rPr>
      </w:pPr>
    </w:p>
    <w:p w14:paraId="5D3D102F">
      <w:pPr>
        <w:widowControl/>
        <w:spacing w:line="380" w:lineRule="exact"/>
        <w:ind w:firstLine="482" w:firstLineChars="200"/>
        <w:rPr>
          <w:rFonts w:hint="eastAsia" w:ascii="宋体" w:hAnsi="宋体"/>
          <w:b/>
          <w:color w:val="auto"/>
          <w:kern w:val="0"/>
          <w:sz w:val="24"/>
          <w:szCs w:val="21"/>
          <w:highlight w:val="none"/>
        </w:rPr>
      </w:pPr>
    </w:p>
    <w:p w14:paraId="66E18A3F">
      <w:pPr>
        <w:widowControl/>
        <w:spacing w:line="380" w:lineRule="exact"/>
        <w:ind w:firstLine="482" w:firstLineChars="200"/>
        <w:rPr>
          <w:rFonts w:hint="eastAsia" w:ascii="宋体" w:hAnsi="宋体"/>
          <w:b/>
          <w:color w:val="auto"/>
          <w:kern w:val="0"/>
          <w:sz w:val="24"/>
          <w:szCs w:val="21"/>
          <w:highlight w:val="none"/>
        </w:rPr>
      </w:pPr>
    </w:p>
    <w:p w14:paraId="0473D57A">
      <w:pPr>
        <w:widowControl/>
        <w:spacing w:line="380" w:lineRule="exact"/>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2-2：</w:t>
      </w:r>
      <w:r>
        <w:rPr>
          <w:rFonts w:hint="eastAsia" w:ascii="宋体" w:hAnsi="宋体" w:eastAsia="宋体" w:cs="宋体"/>
          <w:b/>
          <w:bCs/>
          <w:color w:val="auto"/>
          <w:kern w:val="0"/>
          <w:sz w:val="28"/>
          <w:szCs w:val="28"/>
          <w:highlight w:val="none"/>
        </w:rPr>
        <w:t>南宁市南湖公园绿化养护质量要求</w:t>
      </w:r>
    </w:p>
    <w:p w14:paraId="404B76E3">
      <w:pPr>
        <w:widowControl/>
        <w:spacing w:line="380" w:lineRule="exact"/>
        <w:jc w:val="left"/>
        <w:rPr>
          <w:rFonts w:ascii="宋体" w:hAnsi="宋体"/>
          <w:b/>
          <w:bCs/>
          <w:color w:val="auto"/>
          <w:kern w:val="0"/>
          <w:sz w:val="30"/>
          <w:szCs w:val="30"/>
          <w:highlight w:val="none"/>
        </w:rPr>
      </w:pPr>
    </w:p>
    <w:p w14:paraId="17ADF37E">
      <w:pPr>
        <w:widowControl/>
        <w:ind w:firstLine="211" w:firstLineChars="100"/>
        <w:outlineLvl w:val="9"/>
        <w:rPr>
          <w:b/>
          <w:bCs/>
          <w:color w:val="auto"/>
          <w:highlight w:val="none"/>
        </w:rPr>
      </w:pPr>
      <w:r>
        <w:rPr>
          <w:rFonts w:hint="eastAsia"/>
          <w:b/>
          <w:bCs/>
          <w:color w:val="auto"/>
          <w:highlight w:val="none"/>
        </w:rPr>
        <w:t>（1）绿地养护质量要求</w:t>
      </w:r>
    </w:p>
    <w:tbl>
      <w:tblPr>
        <w:tblStyle w:val="22"/>
        <w:tblW w:w="0" w:type="auto"/>
        <w:jc w:val="center"/>
        <w:tblLayout w:type="fixed"/>
        <w:tblCellMar>
          <w:top w:w="0" w:type="dxa"/>
          <w:left w:w="108" w:type="dxa"/>
          <w:bottom w:w="0" w:type="dxa"/>
          <w:right w:w="108" w:type="dxa"/>
        </w:tblCellMar>
      </w:tblPr>
      <w:tblGrid>
        <w:gridCol w:w="629"/>
        <w:gridCol w:w="1080"/>
        <w:gridCol w:w="6999"/>
      </w:tblGrid>
      <w:tr w14:paraId="5DEEC190">
        <w:trPr>
          <w:trHeight w:val="476" w:hRule="atLeast"/>
          <w:jc w:val="center"/>
        </w:trPr>
        <w:tc>
          <w:tcPr>
            <w:tcW w:w="629" w:type="dxa"/>
            <w:tcBorders>
              <w:top w:val="single" w:color="auto" w:sz="12" w:space="0"/>
              <w:left w:val="single" w:color="auto" w:sz="12" w:space="0"/>
              <w:bottom w:val="single" w:color="auto" w:sz="12" w:space="0"/>
              <w:right w:val="single" w:color="auto" w:sz="4" w:space="0"/>
            </w:tcBorders>
            <w:noWrap/>
            <w:vAlign w:val="center"/>
          </w:tcPr>
          <w:p w14:paraId="2ECA7BE6">
            <w:pPr>
              <w:jc w:val="center"/>
              <w:rPr>
                <w:rFonts w:ascii="宋体" w:hAnsi="宋体"/>
                <w:color w:val="auto"/>
                <w:highlight w:val="none"/>
              </w:rPr>
            </w:pPr>
            <w:r>
              <w:rPr>
                <w:rFonts w:hint="eastAsia" w:ascii="宋体" w:hAnsi="宋体"/>
                <w:color w:val="auto"/>
                <w:highlight w:val="none"/>
              </w:rPr>
              <w:t>序号</w:t>
            </w:r>
          </w:p>
        </w:tc>
        <w:tc>
          <w:tcPr>
            <w:tcW w:w="1080" w:type="dxa"/>
            <w:tcBorders>
              <w:top w:val="single" w:color="auto" w:sz="12" w:space="0"/>
              <w:left w:val="nil"/>
              <w:bottom w:val="single" w:color="auto" w:sz="12" w:space="0"/>
              <w:right w:val="single" w:color="auto" w:sz="4" w:space="0"/>
            </w:tcBorders>
            <w:noWrap/>
            <w:vAlign w:val="center"/>
          </w:tcPr>
          <w:p w14:paraId="6A6AF0F8">
            <w:pPr>
              <w:jc w:val="center"/>
              <w:rPr>
                <w:rFonts w:ascii="宋体" w:hAnsi="宋体"/>
                <w:color w:val="auto"/>
                <w:highlight w:val="none"/>
              </w:rPr>
            </w:pPr>
            <w:r>
              <w:rPr>
                <w:rFonts w:hint="eastAsia" w:ascii="宋体" w:hAnsi="宋体"/>
                <w:color w:val="auto"/>
                <w:highlight w:val="none"/>
              </w:rPr>
              <w:t>项目</w:t>
            </w:r>
          </w:p>
        </w:tc>
        <w:tc>
          <w:tcPr>
            <w:tcW w:w="6999" w:type="dxa"/>
            <w:tcBorders>
              <w:top w:val="single" w:color="auto" w:sz="12" w:space="0"/>
              <w:left w:val="nil"/>
              <w:bottom w:val="single" w:color="auto" w:sz="12" w:space="0"/>
              <w:right w:val="single" w:color="auto" w:sz="12" w:space="0"/>
            </w:tcBorders>
            <w:noWrap/>
            <w:vAlign w:val="center"/>
          </w:tcPr>
          <w:p w14:paraId="287E4900">
            <w:pPr>
              <w:jc w:val="center"/>
              <w:rPr>
                <w:rFonts w:ascii="宋体" w:hAnsi="宋体"/>
                <w:color w:val="auto"/>
                <w:highlight w:val="none"/>
              </w:rPr>
            </w:pPr>
            <w:r>
              <w:rPr>
                <w:rFonts w:hint="eastAsia" w:ascii="宋体" w:hAnsi="宋体"/>
                <w:color w:val="auto"/>
                <w:highlight w:val="none"/>
              </w:rPr>
              <w:t>质量要求</w:t>
            </w:r>
          </w:p>
        </w:tc>
      </w:tr>
      <w:tr w14:paraId="306DB41A">
        <w:tblPrEx>
          <w:tblCellMar>
            <w:top w:w="0" w:type="dxa"/>
            <w:left w:w="108" w:type="dxa"/>
            <w:bottom w:w="0" w:type="dxa"/>
            <w:right w:w="108" w:type="dxa"/>
          </w:tblCellMar>
        </w:tblPrEx>
        <w:trPr>
          <w:trHeight w:val="646" w:hRule="atLeast"/>
          <w:jc w:val="center"/>
        </w:trPr>
        <w:tc>
          <w:tcPr>
            <w:tcW w:w="629" w:type="dxa"/>
            <w:tcBorders>
              <w:top w:val="single" w:color="auto" w:sz="12" w:space="0"/>
              <w:left w:val="single" w:color="auto" w:sz="12" w:space="0"/>
              <w:bottom w:val="single" w:color="auto" w:sz="4" w:space="0"/>
              <w:right w:val="single" w:color="auto" w:sz="4" w:space="0"/>
            </w:tcBorders>
            <w:noWrap/>
            <w:vAlign w:val="center"/>
          </w:tcPr>
          <w:p w14:paraId="33E7D171">
            <w:pPr>
              <w:jc w:val="center"/>
              <w:rPr>
                <w:rFonts w:ascii="宋体" w:hAnsi="宋体"/>
                <w:color w:val="auto"/>
                <w:highlight w:val="none"/>
              </w:rPr>
            </w:pPr>
            <w:r>
              <w:rPr>
                <w:rFonts w:hint="eastAsia" w:ascii="宋体" w:hAnsi="宋体"/>
                <w:color w:val="auto"/>
                <w:highlight w:val="none"/>
              </w:rPr>
              <w:t>一</w:t>
            </w:r>
          </w:p>
        </w:tc>
        <w:tc>
          <w:tcPr>
            <w:tcW w:w="1080" w:type="dxa"/>
            <w:tcBorders>
              <w:top w:val="single" w:color="auto" w:sz="12" w:space="0"/>
              <w:left w:val="nil"/>
              <w:bottom w:val="single" w:color="auto" w:sz="4" w:space="0"/>
              <w:right w:val="single" w:color="auto" w:sz="4" w:space="0"/>
            </w:tcBorders>
            <w:noWrap/>
            <w:vAlign w:val="center"/>
          </w:tcPr>
          <w:p w14:paraId="578A4676">
            <w:pPr>
              <w:jc w:val="center"/>
              <w:rPr>
                <w:rFonts w:ascii="宋体" w:hAnsi="宋体"/>
                <w:color w:val="auto"/>
                <w:highlight w:val="none"/>
              </w:rPr>
            </w:pPr>
            <w:r>
              <w:rPr>
                <w:rFonts w:hint="eastAsia" w:ascii="宋体" w:hAnsi="宋体"/>
                <w:color w:val="auto"/>
                <w:highlight w:val="none"/>
              </w:rPr>
              <w:t>群落结构与整体效果</w:t>
            </w:r>
          </w:p>
        </w:tc>
        <w:tc>
          <w:tcPr>
            <w:tcW w:w="6999" w:type="dxa"/>
            <w:tcBorders>
              <w:top w:val="single" w:color="auto" w:sz="12" w:space="0"/>
              <w:left w:val="nil"/>
              <w:bottom w:val="single" w:color="auto" w:sz="4" w:space="0"/>
              <w:right w:val="single" w:color="auto" w:sz="12" w:space="0"/>
            </w:tcBorders>
            <w:noWrap/>
            <w:vAlign w:val="center"/>
          </w:tcPr>
          <w:p w14:paraId="3C6C846F">
            <w:pPr>
              <w:ind w:firstLine="420" w:firstLineChars="200"/>
              <w:rPr>
                <w:rFonts w:hAnsi="宋体"/>
                <w:color w:val="auto"/>
                <w:highlight w:val="none"/>
              </w:rPr>
            </w:pPr>
            <w:r>
              <w:rPr>
                <w:rFonts w:hint="eastAsia" w:ascii="宋体" w:hAnsi="宋体"/>
                <w:color w:val="auto"/>
                <w:highlight w:val="none"/>
              </w:rPr>
              <w:t>植物配置合理、层次丰富，植株生长空间与层次处理得当，具有完整的群落结构，绿量大，基本无积尘，整体观赏效果优良。</w:t>
            </w:r>
          </w:p>
        </w:tc>
      </w:tr>
      <w:tr w14:paraId="2CF9EB33">
        <w:tblPrEx>
          <w:tblCellMar>
            <w:top w:w="0" w:type="dxa"/>
            <w:left w:w="108" w:type="dxa"/>
            <w:bottom w:w="0" w:type="dxa"/>
            <w:right w:w="108" w:type="dxa"/>
          </w:tblCellMar>
        </w:tblPrEx>
        <w:trPr>
          <w:trHeight w:val="690" w:hRule="atLeast"/>
          <w:jc w:val="center"/>
        </w:trPr>
        <w:tc>
          <w:tcPr>
            <w:tcW w:w="629" w:type="dxa"/>
            <w:tcBorders>
              <w:top w:val="single" w:color="auto" w:sz="4" w:space="0"/>
              <w:left w:val="single" w:color="auto" w:sz="12" w:space="0"/>
              <w:bottom w:val="single" w:color="auto" w:sz="4" w:space="0"/>
              <w:right w:val="single" w:color="auto" w:sz="4" w:space="0"/>
            </w:tcBorders>
            <w:noWrap/>
            <w:vAlign w:val="center"/>
          </w:tcPr>
          <w:p w14:paraId="6BDAC7DD">
            <w:pPr>
              <w:jc w:val="center"/>
              <w:rPr>
                <w:rFonts w:ascii="宋体" w:hAnsi="宋体"/>
                <w:color w:val="auto"/>
                <w:highlight w:val="none"/>
              </w:rPr>
            </w:pPr>
            <w:r>
              <w:rPr>
                <w:rFonts w:hint="eastAsia" w:ascii="宋体" w:hAnsi="宋体"/>
                <w:color w:val="auto"/>
                <w:highlight w:val="none"/>
              </w:rPr>
              <w:t>二</w:t>
            </w:r>
          </w:p>
        </w:tc>
        <w:tc>
          <w:tcPr>
            <w:tcW w:w="1080" w:type="dxa"/>
            <w:tcBorders>
              <w:top w:val="single" w:color="auto" w:sz="4" w:space="0"/>
              <w:left w:val="nil"/>
              <w:bottom w:val="single" w:color="auto" w:sz="4" w:space="0"/>
              <w:right w:val="single" w:color="auto" w:sz="4" w:space="0"/>
            </w:tcBorders>
            <w:noWrap/>
            <w:vAlign w:val="center"/>
          </w:tcPr>
          <w:p w14:paraId="2FCA7087">
            <w:pPr>
              <w:jc w:val="center"/>
              <w:rPr>
                <w:rFonts w:ascii="宋体" w:hAnsi="宋体"/>
                <w:color w:val="auto"/>
                <w:highlight w:val="none"/>
              </w:rPr>
            </w:pPr>
            <w:r>
              <w:rPr>
                <w:rFonts w:hint="eastAsia" w:ascii="宋体" w:hAnsi="宋体"/>
                <w:color w:val="auto"/>
                <w:highlight w:val="none"/>
              </w:rPr>
              <w:t>植物生长</w:t>
            </w:r>
          </w:p>
        </w:tc>
        <w:tc>
          <w:tcPr>
            <w:tcW w:w="6999" w:type="dxa"/>
            <w:tcBorders>
              <w:top w:val="single" w:color="auto" w:sz="4" w:space="0"/>
              <w:left w:val="nil"/>
              <w:bottom w:val="single" w:color="auto" w:sz="4" w:space="0"/>
              <w:right w:val="single" w:color="auto" w:sz="12" w:space="0"/>
            </w:tcBorders>
            <w:noWrap/>
            <w:vAlign w:val="center"/>
          </w:tcPr>
          <w:p w14:paraId="4E04E8F6">
            <w:pPr>
              <w:ind w:firstLine="420" w:firstLineChars="200"/>
              <w:rPr>
                <w:rFonts w:ascii="宋体" w:hAnsi="宋体"/>
                <w:color w:val="auto"/>
                <w:highlight w:val="none"/>
              </w:rPr>
            </w:pPr>
            <w:r>
              <w:rPr>
                <w:rFonts w:hint="eastAsia" w:ascii="宋体" w:hAnsi="宋体"/>
                <w:color w:val="auto"/>
                <w:highlight w:val="none"/>
              </w:rPr>
              <w:t>生长良好，符合物候状况，叶的颜色、形状、大小正常，树体自然；观花植物适时开花，花期基本一致。达标率＞95</w:t>
            </w:r>
            <w:r>
              <w:rPr>
                <w:rFonts w:hint="eastAsia" w:ascii="宋体" w:hAnsi="宋体"/>
                <w:color w:val="auto"/>
                <w:spacing w:val="-30"/>
                <w:highlight w:val="none"/>
              </w:rPr>
              <w:t>％</w:t>
            </w:r>
            <w:r>
              <w:rPr>
                <w:rFonts w:hint="eastAsia" w:ascii="宋体" w:hAnsi="宋体"/>
                <w:color w:val="auto"/>
                <w:highlight w:val="none"/>
              </w:rPr>
              <w:t>。</w:t>
            </w:r>
          </w:p>
        </w:tc>
      </w:tr>
      <w:tr w14:paraId="6C254310">
        <w:tblPrEx>
          <w:tblCellMar>
            <w:top w:w="0" w:type="dxa"/>
            <w:left w:w="108" w:type="dxa"/>
            <w:bottom w:w="0" w:type="dxa"/>
            <w:right w:w="108" w:type="dxa"/>
          </w:tblCellMar>
        </w:tblPrEx>
        <w:trPr>
          <w:trHeight w:val="1828" w:hRule="atLeast"/>
          <w:jc w:val="center"/>
        </w:trPr>
        <w:tc>
          <w:tcPr>
            <w:tcW w:w="629" w:type="dxa"/>
            <w:tcBorders>
              <w:top w:val="single" w:color="auto" w:sz="4" w:space="0"/>
              <w:left w:val="single" w:color="auto" w:sz="12" w:space="0"/>
              <w:bottom w:val="single" w:color="auto" w:sz="4" w:space="0"/>
              <w:right w:val="single" w:color="auto" w:sz="4" w:space="0"/>
            </w:tcBorders>
            <w:noWrap/>
            <w:vAlign w:val="center"/>
          </w:tcPr>
          <w:p w14:paraId="5C29AD90">
            <w:pPr>
              <w:jc w:val="center"/>
              <w:rPr>
                <w:rFonts w:ascii="宋体" w:hAnsi="宋体"/>
                <w:color w:val="auto"/>
                <w:highlight w:val="none"/>
              </w:rPr>
            </w:pPr>
            <w:r>
              <w:rPr>
                <w:rFonts w:hint="eastAsia" w:ascii="宋体" w:hAnsi="宋体"/>
                <w:color w:val="auto"/>
                <w:highlight w:val="none"/>
              </w:rPr>
              <w:t>三</w:t>
            </w:r>
          </w:p>
        </w:tc>
        <w:tc>
          <w:tcPr>
            <w:tcW w:w="1080" w:type="dxa"/>
            <w:tcBorders>
              <w:top w:val="single" w:color="auto" w:sz="4" w:space="0"/>
              <w:left w:val="nil"/>
              <w:bottom w:val="single" w:color="auto" w:sz="4" w:space="0"/>
              <w:right w:val="single" w:color="auto" w:sz="4" w:space="0"/>
            </w:tcBorders>
            <w:noWrap/>
            <w:vAlign w:val="center"/>
          </w:tcPr>
          <w:p w14:paraId="46660359">
            <w:pPr>
              <w:jc w:val="center"/>
              <w:rPr>
                <w:rFonts w:ascii="宋体" w:hAnsi="宋体"/>
                <w:color w:val="auto"/>
                <w:highlight w:val="none"/>
              </w:rPr>
            </w:pPr>
            <w:r>
              <w:rPr>
                <w:rFonts w:hint="eastAsia" w:ascii="宋体" w:hAnsi="宋体"/>
                <w:color w:val="auto"/>
                <w:highlight w:val="none"/>
              </w:rPr>
              <w:t>整形修剪</w:t>
            </w:r>
          </w:p>
        </w:tc>
        <w:tc>
          <w:tcPr>
            <w:tcW w:w="6999" w:type="dxa"/>
            <w:tcBorders>
              <w:top w:val="single" w:color="auto" w:sz="4" w:space="0"/>
              <w:left w:val="nil"/>
              <w:bottom w:val="single" w:color="auto" w:sz="4" w:space="0"/>
              <w:right w:val="single" w:color="auto" w:sz="12" w:space="0"/>
            </w:tcBorders>
            <w:noWrap/>
            <w:vAlign w:val="center"/>
          </w:tcPr>
          <w:p w14:paraId="2C5883A8">
            <w:pPr>
              <w:ind w:firstLine="420" w:firstLineChars="200"/>
              <w:rPr>
                <w:rFonts w:ascii="宋体" w:hAnsi="宋体"/>
                <w:color w:val="auto"/>
                <w:highlight w:val="none"/>
              </w:rPr>
            </w:pPr>
            <w:r>
              <w:rPr>
                <w:rFonts w:hint="eastAsia" w:ascii="宋体" w:hAnsi="宋体"/>
                <w:color w:val="auto"/>
                <w:highlight w:val="none"/>
              </w:rPr>
              <w:t>乔木：定期修剪，无干枯枝、缠绕物、钉挂物，分枝合理，树冠匀称，观赏效果良好。整型乔灌木：按要求养成并维持一定形态，生长茂密，脚叶丰满。形态优美。孤植灌木：按要求养成观花或观叶形态，同一品种物候基本一致，树形美观，无枯枝。片植灌木：图形清晰、线条明显、流畅，无明显杂草。草本地被为常绿观花或观叶形态，整体基本整齐，基本无枯黄叶、杂草。达标率＞95</w:t>
            </w:r>
            <w:r>
              <w:rPr>
                <w:rFonts w:hint="eastAsia" w:ascii="宋体" w:hAnsi="宋体"/>
                <w:color w:val="auto"/>
                <w:spacing w:val="-30"/>
                <w:highlight w:val="none"/>
              </w:rPr>
              <w:t>％</w:t>
            </w:r>
            <w:r>
              <w:rPr>
                <w:rFonts w:hint="eastAsia" w:ascii="宋体" w:hAnsi="宋体"/>
                <w:color w:val="auto"/>
                <w:highlight w:val="none"/>
              </w:rPr>
              <w:t>。</w:t>
            </w:r>
          </w:p>
        </w:tc>
      </w:tr>
      <w:tr w14:paraId="6EC3338A">
        <w:tblPrEx>
          <w:tblCellMar>
            <w:top w:w="0" w:type="dxa"/>
            <w:left w:w="108" w:type="dxa"/>
            <w:bottom w:w="0" w:type="dxa"/>
            <w:right w:w="108" w:type="dxa"/>
          </w:tblCellMar>
        </w:tblPrEx>
        <w:trPr>
          <w:trHeight w:val="931" w:hRule="atLeast"/>
          <w:jc w:val="center"/>
        </w:trPr>
        <w:tc>
          <w:tcPr>
            <w:tcW w:w="629" w:type="dxa"/>
            <w:tcBorders>
              <w:top w:val="single" w:color="auto" w:sz="4" w:space="0"/>
              <w:left w:val="single" w:color="auto" w:sz="12" w:space="0"/>
              <w:bottom w:val="single" w:color="auto" w:sz="4" w:space="0"/>
              <w:right w:val="single" w:color="auto" w:sz="4" w:space="0"/>
            </w:tcBorders>
            <w:noWrap/>
            <w:vAlign w:val="center"/>
          </w:tcPr>
          <w:p w14:paraId="2A2F35E7">
            <w:pPr>
              <w:jc w:val="center"/>
              <w:rPr>
                <w:rFonts w:ascii="宋体" w:hAnsi="宋体"/>
                <w:color w:val="auto"/>
                <w:highlight w:val="none"/>
              </w:rPr>
            </w:pPr>
            <w:r>
              <w:rPr>
                <w:rFonts w:hint="eastAsia" w:ascii="宋体" w:hAnsi="宋体"/>
                <w:color w:val="auto"/>
                <w:highlight w:val="none"/>
              </w:rPr>
              <w:t>四</w:t>
            </w:r>
          </w:p>
        </w:tc>
        <w:tc>
          <w:tcPr>
            <w:tcW w:w="1080" w:type="dxa"/>
            <w:tcBorders>
              <w:top w:val="single" w:color="auto" w:sz="4" w:space="0"/>
              <w:left w:val="nil"/>
              <w:bottom w:val="single" w:color="auto" w:sz="4" w:space="0"/>
              <w:right w:val="single" w:color="auto" w:sz="4" w:space="0"/>
            </w:tcBorders>
            <w:noWrap/>
            <w:vAlign w:val="center"/>
          </w:tcPr>
          <w:p w14:paraId="400EC0FB">
            <w:pPr>
              <w:jc w:val="center"/>
              <w:rPr>
                <w:rFonts w:ascii="宋体" w:hAnsi="宋体"/>
                <w:color w:val="auto"/>
                <w:highlight w:val="none"/>
              </w:rPr>
            </w:pPr>
            <w:r>
              <w:rPr>
                <w:rFonts w:hint="eastAsia" w:ascii="宋体" w:hAnsi="宋体"/>
                <w:color w:val="auto"/>
                <w:highlight w:val="none"/>
              </w:rPr>
              <w:t>树盘</w:t>
            </w:r>
          </w:p>
        </w:tc>
        <w:tc>
          <w:tcPr>
            <w:tcW w:w="6999" w:type="dxa"/>
            <w:tcBorders>
              <w:top w:val="single" w:color="auto" w:sz="4" w:space="0"/>
              <w:left w:val="nil"/>
              <w:bottom w:val="single" w:color="auto" w:sz="4" w:space="0"/>
              <w:right w:val="single" w:color="auto" w:sz="12" w:space="0"/>
            </w:tcBorders>
            <w:noWrap/>
            <w:vAlign w:val="center"/>
          </w:tcPr>
          <w:p w14:paraId="526C1C3F">
            <w:pPr>
              <w:ind w:firstLine="420" w:firstLineChars="200"/>
              <w:rPr>
                <w:rFonts w:ascii="宋体" w:hAnsi="宋体"/>
                <w:color w:val="auto"/>
                <w:highlight w:val="none"/>
              </w:rPr>
            </w:pPr>
            <w:r>
              <w:rPr>
                <w:rFonts w:hint="eastAsia" w:ascii="宋体" w:hAnsi="宋体"/>
                <w:color w:val="auto"/>
                <w:highlight w:val="none"/>
              </w:rPr>
              <w:t>有地被树盘：其形状、大小整齐规范，满盘，不攀缠植株，无明显杂草、杂物。无地被树盘：大小合适，边线整齐，土壤疏松、细碎，基本无杂草、杂物。达标率＞95</w:t>
            </w:r>
            <w:r>
              <w:rPr>
                <w:rFonts w:hint="eastAsia" w:ascii="宋体" w:hAnsi="宋体"/>
                <w:color w:val="auto"/>
                <w:spacing w:val="-30"/>
                <w:highlight w:val="none"/>
              </w:rPr>
              <w:t>％</w:t>
            </w:r>
            <w:r>
              <w:rPr>
                <w:rFonts w:hint="eastAsia" w:ascii="宋体" w:hAnsi="宋体"/>
                <w:color w:val="auto"/>
                <w:highlight w:val="none"/>
              </w:rPr>
              <w:t>。</w:t>
            </w:r>
          </w:p>
        </w:tc>
      </w:tr>
      <w:tr w14:paraId="76D51AA5">
        <w:tblPrEx>
          <w:tblCellMar>
            <w:top w:w="0" w:type="dxa"/>
            <w:left w:w="108" w:type="dxa"/>
            <w:bottom w:w="0" w:type="dxa"/>
            <w:right w:w="108" w:type="dxa"/>
          </w:tblCellMar>
        </w:tblPrEx>
        <w:trPr>
          <w:trHeight w:val="1393" w:hRule="atLeast"/>
          <w:jc w:val="center"/>
        </w:trPr>
        <w:tc>
          <w:tcPr>
            <w:tcW w:w="629" w:type="dxa"/>
            <w:tcBorders>
              <w:top w:val="single" w:color="auto" w:sz="4" w:space="0"/>
              <w:left w:val="single" w:color="auto" w:sz="12" w:space="0"/>
              <w:bottom w:val="single" w:color="auto" w:sz="4" w:space="0"/>
              <w:right w:val="single" w:color="auto" w:sz="4" w:space="0"/>
            </w:tcBorders>
            <w:noWrap/>
            <w:vAlign w:val="center"/>
          </w:tcPr>
          <w:p w14:paraId="5B83B970">
            <w:pPr>
              <w:jc w:val="center"/>
              <w:rPr>
                <w:rFonts w:ascii="宋体" w:hAnsi="宋体"/>
                <w:color w:val="auto"/>
                <w:highlight w:val="none"/>
              </w:rPr>
            </w:pPr>
            <w:r>
              <w:rPr>
                <w:rFonts w:hint="eastAsia" w:ascii="宋体" w:hAnsi="宋体"/>
                <w:color w:val="auto"/>
                <w:highlight w:val="none"/>
              </w:rPr>
              <w:t>五</w:t>
            </w:r>
          </w:p>
        </w:tc>
        <w:tc>
          <w:tcPr>
            <w:tcW w:w="1080" w:type="dxa"/>
            <w:tcBorders>
              <w:top w:val="single" w:color="auto" w:sz="4" w:space="0"/>
              <w:left w:val="nil"/>
              <w:bottom w:val="single" w:color="auto" w:sz="4" w:space="0"/>
              <w:right w:val="single" w:color="auto" w:sz="4" w:space="0"/>
            </w:tcBorders>
            <w:noWrap/>
            <w:vAlign w:val="center"/>
          </w:tcPr>
          <w:p w14:paraId="4517E9AA">
            <w:pPr>
              <w:jc w:val="center"/>
              <w:rPr>
                <w:rFonts w:ascii="宋体" w:hAnsi="宋体"/>
                <w:color w:val="auto"/>
                <w:highlight w:val="none"/>
              </w:rPr>
            </w:pPr>
            <w:r>
              <w:rPr>
                <w:rFonts w:hint="eastAsia" w:ascii="宋体" w:hAnsi="宋体"/>
                <w:color w:val="auto"/>
                <w:highlight w:val="none"/>
              </w:rPr>
              <w:t>草坪</w:t>
            </w:r>
          </w:p>
        </w:tc>
        <w:tc>
          <w:tcPr>
            <w:tcW w:w="6999" w:type="dxa"/>
            <w:tcBorders>
              <w:top w:val="single" w:color="auto" w:sz="4" w:space="0"/>
              <w:left w:val="nil"/>
              <w:bottom w:val="single" w:color="auto" w:sz="4" w:space="0"/>
              <w:right w:val="single" w:color="auto" w:sz="12" w:space="0"/>
            </w:tcBorders>
            <w:noWrap/>
            <w:vAlign w:val="center"/>
          </w:tcPr>
          <w:p w14:paraId="3E59EE94">
            <w:pPr>
              <w:ind w:firstLine="420" w:firstLineChars="200"/>
              <w:rPr>
                <w:rFonts w:ascii="宋体" w:hAnsi="宋体"/>
                <w:color w:val="auto"/>
                <w:highlight w:val="none"/>
              </w:rPr>
            </w:pPr>
            <w:r>
              <w:rPr>
                <w:rFonts w:hint="eastAsia" w:ascii="宋体" w:hAnsi="宋体"/>
                <w:color w:val="auto"/>
                <w:highlight w:val="none"/>
              </w:rPr>
              <w:t>观赏性草坪，青绿无枯黄，无大型杂草和异型杂草，目的草种纯度95</w:t>
            </w:r>
            <w:r>
              <w:rPr>
                <w:rFonts w:hint="eastAsia" w:ascii="宋体" w:hAnsi="宋体"/>
                <w:color w:val="auto"/>
                <w:spacing w:val="-30"/>
                <w:highlight w:val="none"/>
              </w:rPr>
              <w:t>％</w:t>
            </w:r>
            <w:r>
              <w:rPr>
                <w:rFonts w:hint="eastAsia" w:ascii="宋体" w:hAnsi="宋体"/>
                <w:color w:val="auto"/>
                <w:highlight w:val="none"/>
              </w:rPr>
              <w:t>以上。开放类草坪，生长季节青绿，无明显枯黄现象，无大型杂草，目的草种纯度90</w:t>
            </w:r>
            <w:r>
              <w:rPr>
                <w:rFonts w:hint="eastAsia" w:ascii="宋体" w:hAnsi="宋体"/>
                <w:color w:val="auto"/>
                <w:spacing w:val="-30"/>
                <w:highlight w:val="none"/>
              </w:rPr>
              <w:t>％</w:t>
            </w:r>
            <w:r>
              <w:rPr>
                <w:rFonts w:hint="eastAsia" w:ascii="宋体" w:hAnsi="宋体"/>
                <w:color w:val="auto"/>
                <w:highlight w:val="none"/>
              </w:rPr>
              <w:t>以上。草坪平整不起团，高度在8cm以下；无明显坑洼、小洞，草坪边缘线（与路面、色块交界处）清晰。达标率＞95</w:t>
            </w:r>
            <w:r>
              <w:rPr>
                <w:rFonts w:hint="eastAsia" w:ascii="宋体" w:hAnsi="宋体"/>
                <w:color w:val="auto"/>
                <w:spacing w:val="-30"/>
                <w:highlight w:val="none"/>
              </w:rPr>
              <w:t>％</w:t>
            </w:r>
            <w:r>
              <w:rPr>
                <w:rFonts w:hint="eastAsia" w:ascii="宋体" w:hAnsi="宋体"/>
                <w:color w:val="auto"/>
                <w:highlight w:val="none"/>
              </w:rPr>
              <w:t>。</w:t>
            </w:r>
          </w:p>
        </w:tc>
      </w:tr>
      <w:tr w14:paraId="0F96F239">
        <w:tblPrEx>
          <w:tblCellMar>
            <w:top w:w="0" w:type="dxa"/>
            <w:left w:w="108" w:type="dxa"/>
            <w:bottom w:w="0" w:type="dxa"/>
            <w:right w:w="108" w:type="dxa"/>
          </w:tblCellMar>
        </w:tblPrEx>
        <w:trPr>
          <w:trHeight w:val="789" w:hRule="atLeast"/>
          <w:jc w:val="center"/>
        </w:trPr>
        <w:tc>
          <w:tcPr>
            <w:tcW w:w="629" w:type="dxa"/>
            <w:tcBorders>
              <w:top w:val="single" w:color="auto" w:sz="4" w:space="0"/>
              <w:left w:val="single" w:color="auto" w:sz="12" w:space="0"/>
              <w:bottom w:val="single" w:color="auto" w:sz="4" w:space="0"/>
              <w:right w:val="single" w:color="auto" w:sz="4" w:space="0"/>
            </w:tcBorders>
            <w:noWrap/>
            <w:vAlign w:val="center"/>
          </w:tcPr>
          <w:p w14:paraId="0AD81523">
            <w:pPr>
              <w:jc w:val="center"/>
              <w:rPr>
                <w:rFonts w:ascii="宋体" w:hAnsi="宋体"/>
                <w:color w:val="auto"/>
                <w:highlight w:val="none"/>
              </w:rPr>
            </w:pPr>
            <w:r>
              <w:rPr>
                <w:rFonts w:hint="eastAsia" w:ascii="宋体" w:hAnsi="宋体"/>
                <w:color w:val="auto"/>
                <w:highlight w:val="none"/>
              </w:rPr>
              <w:t>六</w:t>
            </w:r>
          </w:p>
        </w:tc>
        <w:tc>
          <w:tcPr>
            <w:tcW w:w="1080" w:type="dxa"/>
            <w:tcBorders>
              <w:top w:val="single" w:color="auto" w:sz="4" w:space="0"/>
              <w:left w:val="nil"/>
              <w:bottom w:val="single" w:color="auto" w:sz="4" w:space="0"/>
              <w:right w:val="single" w:color="auto" w:sz="4" w:space="0"/>
            </w:tcBorders>
            <w:noWrap/>
            <w:vAlign w:val="center"/>
          </w:tcPr>
          <w:p w14:paraId="6E8AB533">
            <w:pPr>
              <w:jc w:val="center"/>
              <w:rPr>
                <w:rFonts w:ascii="宋体" w:hAnsi="宋体"/>
                <w:color w:val="auto"/>
                <w:highlight w:val="none"/>
              </w:rPr>
            </w:pPr>
            <w:r>
              <w:rPr>
                <w:rFonts w:hint="eastAsia" w:ascii="宋体" w:hAnsi="宋体"/>
                <w:color w:val="auto"/>
                <w:highlight w:val="none"/>
              </w:rPr>
              <w:t>病虫害</w:t>
            </w:r>
          </w:p>
          <w:p w14:paraId="018B521E">
            <w:pPr>
              <w:jc w:val="center"/>
              <w:rPr>
                <w:rFonts w:ascii="宋体" w:hAnsi="宋体"/>
                <w:color w:val="auto"/>
                <w:highlight w:val="none"/>
              </w:rPr>
            </w:pPr>
            <w:r>
              <w:rPr>
                <w:rFonts w:hint="eastAsia" w:ascii="宋体" w:hAnsi="宋体"/>
                <w:color w:val="auto"/>
                <w:highlight w:val="none"/>
              </w:rPr>
              <w:t>控制</w:t>
            </w:r>
          </w:p>
        </w:tc>
        <w:tc>
          <w:tcPr>
            <w:tcW w:w="6999" w:type="dxa"/>
            <w:tcBorders>
              <w:top w:val="single" w:color="auto" w:sz="4" w:space="0"/>
              <w:left w:val="nil"/>
              <w:bottom w:val="single" w:color="auto" w:sz="4" w:space="0"/>
              <w:right w:val="single" w:color="auto" w:sz="12" w:space="0"/>
            </w:tcBorders>
            <w:noWrap/>
            <w:vAlign w:val="center"/>
          </w:tcPr>
          <w:p w14:paraId="630BA1D2">
            <w:pPr>
              <w:ind w:firstLine="420" w:firstLineChars="200"/>
              <w:rPr>
                <w:rFonts w:ascii="宋体" w:hAnsi="宋体"/>
                <w:color w:val="auto"/>
                <w:highlight w:val="none"/>
              </w:rPr>
            </w:pPr>
            <w:r>
              <w:rPr>
                <w:rFonts w:hint="eastAsia" w:ascii="宋体" w:hAnsi="宋体"/>
                <w:color w:val="auto"/>
                <w:highlight w:val="none"/>
              </w:rPr>
              <w:t>基本无危害迹象；病虫害总</w:t>
            </w:r>
            <w:r>
              <w:rPr>
                <w:rFonts w:hint="eastAsia" w:ascii="宋体" w:hAnsi="宋体"/>
                <w:color w:val="auto"/>
                <w:highlight w:val="none"/>
                <w:lang w:val="en-US" w:eastAsia="zh-CN"/>
              </w:rPr>
              <w:t>危</w:t>
            </w:r>
            <w:r>
              <w:rPr>
                <w:rFonts w:hint="eastAsia" w:ascii="宋体" w:hAnsi="宋体"/>
                <w:color w:val="auto"/>
                <w:highlight w:val="none"/>
              </w:rPr>
              <w:t>害率＜10%，其中蛀干、根部害虫、食叶性害虫＜5</w:t>
            </w:r>
            <w:r>
              <w:rPr>
                <w:rFonts w:hint="eastAsia" w:ascii="宋体" w:hAnsi="宋体"/>
                <w:color w:val="auto"/>
                <w:spacing w:val="-30"/>
                <w:highlight w:val="none"/>
              </w:rPr>
              <w:t>％</w:t>
            </w:r>
            <w:r>
              <w:rPr>
                <w:rFonts w:hint="eastAsia" w:ascii="宋体" w:hAnsi="宋体"/>
                <w:color w:val="auto"/>
                <w:highlight w:val="none"/>
              </w:rPr>
              <w:t>，刺吸性害虫＜10</w:t>
            </w:r>
            <w:r>
              <w:rPr>
                <w:rFonts w:hint="eastAsia" w:ascii="宋体" w:hAnsi="宋体"/>
                <w:color w:val="auto"/>
                <w:spacing w:val="-30"/>
                <w:highlight w:val="none"/>
              </w:rPr>
              <w:t>％</w:t>
            </w:r>
            <w:r>
              <w:rPr>
                <w:rFonts w:hint="eastAsia" w:ascii="宋体" w:hAnsi="宋体"/>
                <w:color w:val="auto"/>
                <w:highlight w:val="none"/>
              </w:rPr>
              <w:t>，基本无寄生，病害感染率＜5</w:t>
            </w:r>
            <w:r>
              <w:rPr>
                <w:rFonts w:hint="eastAsia" w:ascii="宋体" w:hAnsi="宋体"/>
                <w:color w:val="auto"/>
                <w:spacing w:val="-30"/>
                <w:highlight w:val="none"/>
              </w:rPr>
              <w:t>％</w:t>
            </w:r>
            <w:r>
              <w:rPr>
                <w:rFonts w:hint="eastAsia" w:ascii="宋体" w:hAnsi="宋体"/>
                <w:color w:val="auto"/>
                <w:highlight w:val="none"/>
              </w:rPr>
              <w:t>。</w:t>
            </w:r>
          </w:p>
        </w:tc>
      </w:tr>
      <w:tr w14:paraId="0E1229D8">
        <w:tblPrEx>
          <w:tblCellMar>
            <w:top w:w="0" w:type="dxa"/>
            <w:left w:w="108" w:type="dxa"/>
            <w:bottom w:w="0" w:type="dxa"/>
            <w:right w:w="108" w:type="dxa"/>
          </w:tblCellMar>
        </w:tblPrEx>
        <w:trPr>
          <w:trHeight w:val="930" w:hRule="atLeast"/>
          <w:jc w:val="center"/>
        </w:trPr>
        <w:tc>
          <w:tcPr>
            <w:tcW w:w="629" w:type="dxa"/>
            <w:tcBorders>
              <w:top w:val="single" w:color="auto" w:sz="4" w:space="0"/>
              <w:left w:val="single" w:color="auto" w:sz="12" w:space="0"/>
              <w:bottom w:val="single" w:color="auto" w:sz="4" w:space="0"/>
              <w:right w:val="single" w:color="auto" w:sz="4" w:space="0"/>
            </w:tcBorders>
            <w:noWrap/>
            <w:vAlign w:val="center"/>
          </w:tcPr>
          <w:p w14:paraId="0AEF55DA">
            <w:pPr>
              <w:jc w:val="center"/>
              <w:rPr>
                <w:rFonts w:ascii="宋体" w:hAnsi="宋体"/>
                <w:color w:val="auto"/>
                <w:highlight w:val="none"/>
              </w:rPr>
            </w:pPr>
            <w:r>
              <w:rPr>
                <w:rFonts w:hint="eastAsia" w:ascii="宋体" w:hAnsi="宋体"/>
                <w:color w:val="auto"/>
                <w:highlight w:val="none"/>
              </w:rPr>
              <w:t>七</w:t>
            </w:r>
          </w:p>
        </w:tc>
        <w:tc>
          <w:tcPr>
            <w:tcW w:w="1080" w:type="dxa"/>
            <w:tcBorders>
              <w:top w:val="single" w:color="auto" w:sz="4" w:space="0"/>
              <w:left w:val="nil"/>
              <w:bottom w:val="single" w:color="auto" w:sz="4" w:space="0"/>
              <w:right w:val="single" w:color="auto" w:sz="4" w:space="0"/>
            </w:tcBorders>
            <w:noWrap/>
            <w:vAlign w:val="center"/>
          </w:tcPr>
          <w:p w14:paraId="5101943D">
            <w:pPr>
              <w:jc w:val="center"/>
              <w:rPr>
                <w:rFonts w:ascii="宋体" w:hAnsi="宋体"/>
                <w:color w:val="auto"/>
                <w:highlight w:val="none"/>
              </w:rPr>
            </w:pPr>
            <w:r>
              <w:rPr>
                <w:rFonts w:hint="eastAsia" w:ascii="宋体" w:hAnsi="宋体"/>
                <w:color w:val="auto"/>
                <w:highlight w:val="none"/>
              </w:rPr>
              <w:t>保存率与</w:t>
            </w:r>
          </w:p>
          <w:p w14:paraId="441EB7C7">
            <w:pPr>
              <w:jc w:val="center"/>
              <w:rPr>
                <w:rFonts w:ascii="宋体" w:hAnsi="宋体"/>
                <w:color w:val="auto"/>
                <w:highlight w:val="none"/>
              </w:rPr>
            </w:pPr>
            <w:r>
              <w:rPr>
                <w:rFonts w:hint="eastAsia" w:ascii="宋体" w:hAnsi="宋体"/>
                <w:color w:val="auto"/>
                <w:highlight w:val="none"/>
              </w:rPr>
              <w:t>覆盖率</w:t>
            </w:r>
          </w:p>
        </w:tc>
        <w:tc>
          <w:tcPr>
            <w:tcW w:w="6999" w:type="dxa"/>
            <w:tcBorders>
              <w:top w:val="single" w:color="auto" w:sz="4" w:space="0"/>
              <w:left w:val="nil"/>
              <w:bottom w:val="single" w:color="auto" w:sz="4" w:space="0"/>
              <w:right w:val="single" w:color="auto" w:sz="12" w:space="0"/>
            </w:tcBorders>
            <w:noWrap/>
            <w:vAlign w:val="center"/>
          </w:tcPr>
          <w:p w14:paraId="1EA7595F">
            <w:pPr>
              <w:ind w:firstLine="420" w:firstLineChars="200"/>
              <w:rPr>
                <w:rFonts w:ascii="宋体" w:hAnsi="宋体"/>
                <w:color w:val="auto"/>
                <w:highlight w:val="none"/>
              </w:rPr>
            </w:pPr>
            <w:r>
              <w:rPr>
                <w:rFonts w:hint="eastAsia" w:ascii="宋体" w:hAnsi="宋体"/>
                <w:color w:val="auto"/>
                <w:highlight w:val="none"/>
              </w:rPr>
              <w:t>及时补种与改造，黄土裸露率＜1</w:t>
            </w:r>
            <w:r>
              <w:rPr>
                <w:rFonts w:hint="eastAsia" w:ascii="宋体" w:hAnsi="宋体"/>
                <w:color w:val="auto"/>
                <w:spacing w:val="-30"/>
                <w:highlight w:val="none"/>
              </w:rPr>
              <w:t>％</w:t>
            </w:r>
            <w:r>
              <w:rPr>
                <w:rFonts w:hint="eastAsia" w:ascii="宋体" w:hAnsi="宋体"/>
                <w:color w:val="auto"/>
                <w:highlight w:val="none"/>
              </w:rPr>
              <w:t>，乔灌木缺株率＜1</w:t>
            </w:r>
            <w:r>
              <w:rPr>
                <w:rFonts w:hint="eastAsia" w:ascii="宋体" w:hAnsi="宋体"/>
                <w:color w:val="auto"/>
                <w:spacing w:val="-30"/>
                <w:highlight w:val="none"/>
              </w:rPr>
              <w:t>％</w:t>
            </w:r>
            <w:r>
              <w:rPr>
                <w:rFonts w:hint="eastAsia" w:ascii="宋体" w:hAnsi="宋体"/>
                <w:color w:val="auto"/>
                <w:highlight w:val="none"/>
              </w:rPr>
              <w:t>，单处明显裸露面积＜3m</w:t>
            </w:r>
            <w:r>
              <w:rPr>
                <w:rFonts w:hint="eastAsia" w:ascii="宋体" w:hAnsi="宋体"/>
                <w:color w:val="auto"/>
                <w:highlight w:val="none"/>
                <w:vertAlign w:val="superscript"/>
              </w:rPr>
              <w:t>2</w:t>
            </w:r>
            <w:r>
              <w:rPr>
                <w:rFonts w:hint="eastAsia" w:ascii="宋体" w:hAnsi="宋体"/>
                <w:color w:val="auto"/>
                <w:highlight w:val="none"/>
              </w:rPr>
              <w:t>；花坛色块中的时花及时换种，保持常年有花。</w:t>
            </w:r>
          </w:p>
        </w:tc>
      </w:tr>
      <w:tr w14:paraId="6EF9C03F">
        <w:tblPrEx>
          <w:tblCellMar>
            <w:top w:w="0" w:type="dxa"/>
            <w:left w:w="108" w:type="dxa"/>
            <w:bottom w:w="0" w:type="dxa"/>
            <w:right w:w="108" w:type="dxa"/>
          </w:tblCellMar>
        </w:tblPrEx>
        <w:trPr>
          <w:trHeight w:val="930" w:hRule="atLeast"/>
          <w:jc w:val="center"/>
        </w:trPr>
        <w:tc>
          <w:tcPr>
            <w:tcW w:w="629" w:type="dxa"/>
            <w:tcBorders>
              <w:top w:val="single" w:color="auto" w:sz="4" w:space="0"/>
              <w:left w:val="single" w:color="auto" w:sz="12" w:space="0"/>
              <w:bottom w:val="single" w:color="auto" w:sz="4" w:space="0"/>
              <w:right w:val="single" w:color="auto" w:sz="4" w:space="0"/>
            </w:tcBorders>
            <w:noWrap/>
            <w:vAlign w:val="center"/>
          </w:tcPr>
          <w:p w14:paraId="457CBD0F">
            <w:pPr>
              <w:jc w:val="center"/>
              <w:rPr>
                <w:rFonts w:ascii="宋体" w:hAnsi="宋体"/>
                <w:color w:val="auto"/>
                <w:highlight w:val="none"/>
              </w:rPr>
            </w:pPr>
            <w:r>
              <w:rPr>
                <w:rFonts w:hint="eastAsia" w:ascii="宋体" w:hAnsi="宋体"/>
                <w:color w:val="auto"/>
                <w:highlight w:val="none"/>
              </w:rPr>
              <w:t>八</w:t>
            </w:r>
          </w:p>
        </w:tc>
        <w:tc>
          <w:tcPr>
            <w:tcW w:w="1080" w:type="dxa"/>
            <w:tcBorders>
              <w:top w:val="single" w:color="auto" w:sz="4" w:space="0"/>
              <w:left w:val="nil"/>
              <w:bottom w:val="single" w:color="auto" w:sz="4" w:space="0"/>
              <w:right w:val="single" w:color="auto" w:sz="4" w:space="0"/>
            </w:tcBorders>
            <w:noWrap/>
            <w:vAlign w:val="center"/>
          </w:tcPr>
          <w:p w14:paraId="75C3713B">
            <w:pPr>
              <w:jc w:val="center"/>
              <w:rPr>
                <w:rFonts w:ascii="宋体" w:hAnsi="宋体"/>
                <w:color w:val="auto"/>
                <w:highlight w:val="none"/>
              </w:rPr>
            </w:pPr>
            <w:r>
              <w:rPr>
                <w:rFonts w:hint="eastAsia" w:ascii="宋体" w:hAnsi="宋体"/>
                <w:color w:val="auto"/>
                <w:highlight w:val="none"/>
              </w:rPr>
              <w:t>环境卫生</w:t>
            </w:r>
          </w:p>
        </w:tc>
        <w:tc>
          <w:tcPr>
            <w:tcW w:w="6999" w:type="dxa"/>
            <w:tcBorders>
              <w:top w:val="single" w:color="auto" w:sz="4" w:space="0"/>
              <w:left w:val="nil"/>
              <w:bottom w:val="single" w:color="auto" w:sz="4" w:space="0"/>
              <w:right w:val="single" w:color="auto" w:sz="12" w:space="0"/>
            </w:tcBorders>
            <w:noWrap/>
            <w:vAlign w:val="center"/>
          </w:tcPr>
          <w:p w14:paraId="063A4D9A">
            <w:pPr>
              <w:ind w:firstLine="420" w:firstLineChars="200"/>
              <w:rPr>
                <w:rFonts w:ascii="宋体" w:hAnsi="宋体"/>
                <w:color w:val="auto"/>
                <w:highlight w:val="none"/>
              </w:rPr>
            </w:pPr>
            <w:r>
              <w:rPr>
                <w:rFonts w:hint="eastAsia" w:ascii="宋体" w:hAnsi="宋体"/>
                <w:color w:val="auto"/>
                <w:highlight w:val="none"/>
              </w:rPr>
              <w:t>建筑小品、辅助设施整洁无损；水池无悬浮物，水体清洁；无死树、残桩头、堆积物；无明显垃圾，基本无果皮、烟头、瓜子壳、纸屑等垃圾。达标率＞95</w:t>
            </w:r>
            <w:r>
              <w:rPr>
                <w:rFonts w:hint="eastAsia" w:ascii="宋体" w:hAnsi="宋体"/>
                <w:color w:val="auto"/>
                <w:spacing w:val="-30"/>
                <w:highlight w:val="none"/>
              </w:rPr>
              <w:t>％</w:t>
            </w:r>
            <w:r>
              <w:rPr>
                <w:rFonts w:hint="eastAsia" w:ascii="宋体" w:hAnsi="宋体"/>
                <w:color w:val="auto"/>
                <w:highlight w:val="none"/>
              </w:rPr>
              <w:t>。</w:t>
            </w:r>
          </w:p>
        </w:tc>
      </w:tr>
      <w:tr w14:paraId="3DA56443">
        <w:tblPrEx>
          <w:tblCellMar>
            <w:top w:w="0" w:type="dxa"/>
            <w:left w:w="108" w:type="dxa"/>
            <w:bottom w:w="0" w:type="dxa"/>
            <w:right w:w="108" w:type="dxa"/>
          </w:tblCellMar>
        </w:tblPrEx>
        <w:trPr>
          <w:cantSplit/>
          <w:trHeight w:val="896" w:hRule="atLeast"/>
          <w:jc w:val="center"/>
        </w:trPr>
        <w:tc>
          <w:tcPr>
            <w:tcW w:w="8708" w:type="dxa"/>
            <w:gridSpan w:val="3"/>
            <w:tcBorders>
              <w:top w:val="single" w:color="auto" w:sz="4" w:space="0"/>
              <w:left w:val="single" w:color="auto" w:sz="12" w:space="0"/>
              <w:bottom w:val="single" w:color="auto" w:sz="12" w:space="0"/>
              <w:right w:val="single" w:color="auto" w:sz="12" w:space="0"/>
            </w:tcBorders>
            <w:noWrap/>
            <w:vAlign w:val="center"/>
          </w:tcPr>
          <w:p w14:paraId="621E4F18">
            <w:pPr>
              <w:ind w:firstLine="420" w:firstLineChars="200"/>
              <w:rPr>
                <w:rFonts w:ascii="宋体" w:hAnsi="宋体"/>
                <w:color w:val="auto"/>
                <w:highlight w:val="none"/>
              </w:rPr>
            </w:pPr>
            <w:r>
              <w:rPr>
                <w:rFonts w:hint="eastAsia" w:ascii="宋体" w:hAnsi="宋体"/>
                <w:color w:val="auto"/>
                <w:highlight w:val="none"/>
              </w:rPr>
              <w:t>注：达标率指乔木、灌木、地被、草坪等被检目标达到相应要求的植株数（或面积）占总株数（或总面积）的百分比。</w:t>
            </w:r>
          </w:p>
        </w:tc>
      </w:tr>
    </w:tbl>
    <w:p w14:paraId="28320894">
      <w:pPr>
        <w:rPr>
          <w:rFonts w:ascii="Calibri" w:hAnsi="Calibri"/>
          <w:color w:val="auto"/>
          <w:highlight w:val="none"/>
        </w:rPr>
      </w:pPr>
    </w:p>
    <w:p w14:paraId="520B5D29">
      <w:pPr>
        <w:rPr>
          <w:rFonts w:ascii="Calibri" w:hAnsi="Calibri"/>
          <w:color w:val="auto"/>
          <w:highlight w:val="none"/>
        </w:rPr>
      </w:pPr>
    </w:p>
    <w:p w14:paraId="3A94E49B">
      <w:pPr>
        <w:spacing w:after="120"/>
        <w:rPr>
          <w:color w:val="auto"/>
          <w:highlight w:val="none"/>
        </w:rPr>
      </w:pPr>
    </w:p>
    <w:p w14:paraId="5816B8F7">
      <w:pPr>
        <w:spacing w:after="120"/>
        <w:rPr>
          <w:color w:val="auto"/>
          <w:highlight w:val="none"/>
        </w:rPr>
      </w:pPr>
    </w:p>
    <w:p w14:paraId="1CC71857">
      <w:pPr>
        <w:spacing w:after="120"/>
        <w:rPr>
          <w:color w:val="auto"/>
          <w:highlight w:val="none"/>
        </w:rPr>
      </w:pPr>
    </w:p>
    <w:p w14:paraId="1B6430A7">
      <w:pPr>
        <w:spacing w:after="120"/>
        <w:rPr>
          <w:color w:val="auto"/>
          <w:highlight w:val="none"/>
        </w:rPr>
      </w:pPr>
    </w:p>
    <w:p w14:paraId="61E31C42">
      <w:pPr>
        <w:pStyle w:val="20"/>
        <w:ind w:firstLine="210"/>
        <w:rPr>
          <w:color w:val="auto"/>
          <w:highlight w:val="none"/>
        </w:rPr>
      </w:pPr>
    </w:p>
    <w:p w14:paraId="7E117738">
      <w:pPr>
        <w:spacing w:after="120"/>
        <w:rPr>
          <w:color w:val="auto"/>
          <w:highlight w:val="none"/>
        </w:rPr>
      </w:pPr>
      <w:r>
        <w:rPr>
          <w:rFonts w:hint="eastAsia"/>
          <w:b/>
          <w:bCs/>
          <w:color w:val="auto"/>
          <w:highlight w:val="none"/>
        </w:rPr>
        <w:br w:type="page"/>
      </w:r>
      <w:r>
        <w:rPr>
          <w:rFonts w:hint="eastAsia"/>
          <w:b/>
          <w:bCs/>
          <w:color w:val="auto"/>
          <w:highlight w:val="none"/>
        </w:rPr>
        <w:t>（2）花卉、花镜养护质量要求</w:t>
      </w:r>
    </w:p>
    <w:tbl>
      <w:tblPr>
        <w:tblStyle w:val="22"/>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22"/>
        <w:gridCol w:w="6915"/>
      </w:tblGrid>
      <w:tr w14:paraId="45058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654C1989">
            <w:pPr>
              <w:jc w:val="center"/>
              <w:rPr>
                <w:rFonts w:ascii="宋体" w:hAnsi="宋体"/>
                <w:b/>
                <w:bCs/>
                <w:color w:val="auto"/>
                <w:highlight w:val="none"/>
              </w:rPr>
            </w:pPr>
            <w:r>
              <w:rPr>
                <w:rFonts w:hint="eastAsia" w:ascii="宋体" w:hAnsi="宋体"/>
                <w:b/>
                <w:bCs/>
                <w:color w:val="auto"/>
                <w:highlight w:val="none"/>
              </w:rPr>
              <w:t>序号</w:t>
            </w:r>
          </w:p>
        </w:tc>
        <w:tc>
          <w:tcPr>
            <w:tcW w:w="1321" w:type="dxa"/>
            <w:tcBorders>
              <w:top w:val="single" w:color="auto" w:sz="4" w:space="0"/>
              <w:left w:val="single" w:color="auto" w:sz="4" w:space="0"/>
              <w:bottom w:val="single" w:color="auto" w:sz="4" w:space="0"/>
              <w:right w:val="single" w:color="auto" w:sz="4" w:space="0"/>
            </w:tcBorders>
            <w:noWrap/>
            <w:vAlign w:val="center"/>
          </w:tcPr>
          <w:p w14:paraId="5E9E0268">
            <w:pPr>
              <w:jc w:val="center"/>
              <w:rPr>
                <w:rFonts w:ascii="宋体" w:hAnsi="宋体"/>
                <w:b/>
                <w:bCs/>
                <w:color w:val="auto"/>
                <w:highlight w:val="none"/>
              </w:rPr>
            </w:pPr>
            <w:r>
              <w:rPr>
                <w:rFonts w:hint="eastAsia" w:ascii="宋体" w:hAnsi="宋体"/>
                <w:b/>
                <w:bCs/>
                <w:color w:val="auto"/>
                <w:highlight w:val="none"/>
              </w:rPr>
              <w:t>项目</w:t>
            </w:r>
          </w:p>
        </w:tc>
        <w:tc>
          <w:tcPr>
            <w:tcW w:w="6910" w:type="dxa"/>
            <w:tcBorders>
              <w:top w:val="single" w:color="auto" w:sz="4" w:space="0"/>
              <w:left w:val="single" w:color="auto" w:sz="4" w:space="0"/>
              <w:bottom w:val="single" w:color="auto" w:sz="4" w:space="0"/>
              <w:right w:val="single" w:color="auto" w:sz="4" w:space="0"/>
            </w:tcBorders>
            <w:noWrap/>
            <w:vAlign w:val="center"/>
          </w:tcPr>
          <w:p w14:paraId="6892B58F">
            <w:pPr>
              <w:jc w:val="center"/>
              <w:rPr>
                <w:rFonts w:ascii="宋体" w:hAnsi="宋体"/>
                <w:b/>
                <w:bCs/>
                <w:color w:val="auto"/>
                <w:highlight w:val="none"/>
              </w:rPr>
            </w:pPr>
            <w:r>
              <w:rPr>
                <w:rFonts w:hint="eastAsia" w:ascii="宋体" w:hAnsi="宋体"/>
                <w:b/>
                <w:bCs/>
                <w:color w:val="auto"/>
                <w:highlight w:val="none"/>
              </w:rPr>
              <w:t>质量要求</w:t>
            </w:r>
          </w:p>
        </w:tc>
      </w:tr>
      <w:tr w14:paraId="6FE1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569A4B17">
            <w:pPr>
              <w:jc w:val="center"/>
              <w:rPr>
                <w:rFonts w:ascii="宋体" w:hAnsi="宋体"/>
                <w:color w:val="auto"/>
                <w:highlight w:val="none"/>
              </w:rPr>
            </w:pPr>
            <w:r>
              <w:rPr>
                <w:rFonts w:hint="eastAsia" w:ascii="宋体" w:hAnsi="宋体"/>
                <w:color w:val="auto"/>
                <w:highlight w:val="none"/>
              </w:rPr>
              <w:t>一</w:t>
            </w:r>
          </w:p>
        </w:tc>
        <w:tc>
          <w:tcPr>
            <w:tcW w:w="1321" w:type="dxa"/>
            <w:tcBorders>
              <w:top w:val="single" w:color="auto" w:sz="4" w:space="0"/>
              <w:left w:val="single" w:color="auto" w:sz="4" w:space="0"/>
              <w:bottom w:val="single" w:color="auto" w:sz="4" w:space="0"/>
              <w:right w:val="single" w:color="auto" w:sz="4" w:space="0"/>
            </w:tcBorders>
            <w:noWrap/>
            <w:vAlign w:val="center"/>
          </w:tcPr>
          <w:p w14:paraId="39AFA947">
            <w:pPr>
              <w:jc w:val="center"/>
              <w:rPr>
                <w:rFonts w:ascii="宋体" w:hAnsi="宋体"/>
                <w:color w:val="auto"/>
                <w:highlight w:val="none"/>
              </w:rPr>
            </w:pPr>
            <w:r>
              <w:rPr>
                <w:rFonts w:hint="eastAsia" w:ascii="宋体" w:hAnsi="宋体"/>
                <w:color w:val="auto"/>
                <w:highlight w:val="none"/>
              </w:rPr>
              <w:t>整体效果</w:t>
            </w:r>
          </w:p>
        </w:tc>
        <w:tc>
          <w:tcPr>
            <w:tcW w:w="6910" w:type="dxa"/>
            <w:tcBorders>
              <w:top w:val="single" w:color="auto" w:sz="4" w:space="0"/>
              <w:left w:val="single" w:color="auto" w:sz="4" w:space="0"/>
              <w:bottom w:val="single" w:color="auto" w:sz="4" w:space="0"/>
              <w:right w:val="single" w:color="auto" w:sz="4" w:space="0"/>
            </w:tcBorders>
            <w:noWrap/>
            <w:vAlign w:val="center"/>
          </w:tcPr>
          <w:p w14:paraId="38C9D802">
            <w:pPr>
              <w:ind w:firstLine="420" w:firstLineChars="200"/>
              <w:rPr>
                <w:rFonts w:ascii="宋体" w:hAnsi="宋体"/>
                <w:color w:val="auto"/>
                <w:highlight w:val="none"/>
              </w:rPr>
            </w:pPr>
            <w:r>
              <w:rPr>
                <w:rFonts w:hint="eastAsia" w:ascii="宋体" w:hAnsi="宋体"/>
                <w:color w:val="auto"/>
                <w:highlight w:val="none"/>
              </w:rPr>
              <w:t>花卉、饰物、设施、环境等配置相互协调，整体效果良好。花卉种植时边缘土面低于路缘石顶5～7cm，色块花卉分界明显，线条流畅，花期、花色、株型、株高整齐；花境花卉色彩搭配自然，层次处理得当，充分体现植物的个体美和群体美。</w:t>
            </w:r>
          </w:p>
        </w:tc>
      </w:tr>
      <w:tr w14:paraId="11BA2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20C7151C">
            <w:pPr>
              <w:jc w:val="center"/>
              <w:rPr>
                <w:rFonts w:ascii="宋体" w:hAnsi="宋体"/>
                <w:color w:val="auto"/>
                <w:highlight w:val="none"/>
              </w:rPr>
            </w:pPr>
            <w:r>
              <w:rPr>
                <w:rFonts w:hint="eastAsia" w:ascii="宋体" w:hAnsi="宋体"/>
                <w:color w:val="auto"/>
                <w:highlight w:val="none"/>
              </w:rPr>
              <w:t>二</w:t>
            </w:r>
          </w:p>
        </w:tc>
        <w:tc>
          <w:tcPr>
            <w:tcW w:w="1321" w:type="dxa"/>
            <w:tcBorders>
              <w:top w:val="single" w:color="auto" w:sz="4" w:space="0"/>
              <w:left w:val="single" w:color="auto" w:sz="4" w:space="0"/>
              <w:bottom w:val="single" w:color="auto" w:sz="4" w:space="0"/>
              <w:right w:val="single" w:color="auto" w:sz="4" w:space="0"/>
            </w:tcBorders>
            <w:noWrap/>
            <w:vAlign w:val="center"/>
          </w:tcPr>
          <w:p w14:paraId="7AE27FEB">
            <w:pPr>
              <w:jc w:val="center"/>
              <w:rPr>
                <w:rFonts w:ascii="宋体" w:hAnsi="宋体"/>
                <w:color w:val="auto"/>
                <w:highlight w:val="none"/>
              </w:rPr>
            </w:pPr>
            <w:r>
              <w:rPr>
                <w:rFonts w:hint="eastAsia" w:ascii="宋体" w:hAnsi="宋体"/>
                <w:color w:val="auto"/>
                <w:highlight w:val="none"/>
              </w:rPr>
              <w:t>土壤要求</w:t>
            </w:r>
          </w:p>
        </w:tc>
        <w:tc>
          <w:tcPr>
            <w:tcW w:w="6910" w:type="dxa"/>
            <w:tcBorders>
              <w:top w:val="single" w:color="auto" w:sz="4" w:space="0"/>
              <w:left w:val="single" w:color="auto" w:sz="4" w:space="0"/>
              <w:bottom w:val="single" w:color="auto" w:sz="4" w:space="0"/>
              <w:right w:val="single" w:color="auto" w:sz="4" w:space="0"/>
            </w:tcBorders>
            <w:noWrap/>
            <w:vAlign w:val="center"/>
          </w:tcPr>
          <w:p w14:paraId="0A6118EE">
            <w:pPr>
              <w:ind w:firstLine="420" w:firstLineChars="200"/>
              <w:rPr>
                <w:rFonts w:ascii="宋体" w:hAnsi="宋体"/>
                <w:color w:val="auto"/>
                <w:highlight w:val="none"/>
              </w:rPr>
            </w:pPr>
            <w:r>
              <w:rPr>
                <w:rFonts w:hint="eastAsia" w:ascii="宋体" w:hAnsi="宋体"/>
                <w:color w:val="auto"/>
                <w:highlight w:val="none"/>
              </w:rPr>
              <w:t>种植土表层（30cm）必须采用疏松、肥沃、富含有机质的培养土。翻土深度内土壤必须清除杂草根、碎砖、石块等杂物，严禁含有有害物质和大于1cm以上的石子等杂物，对于不利于花卉生长的土壤必须用富含有机物质的培养土进行更换改良。</w:t>
            </w:r>
          </w:p>
        </w:tc>
      </w:tr>
      <w:tr w14:paraId="6386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0FDC2BD8">
            <w:pPr>
              <w:jc w:val="center"/>
              <w:rPr>
                <w:rFonts w:ascii="宋体" w:hAnsi="宋体"/>
                <w:color w:val="auto"/>
                <w:highlight w:val="none"/>
              </w:rPr>
            </w:pPr>
            <w:r>
              <w:rPr>
                <w:rFonts w:hint="eastAsia" w:ascii="宋体" w:hAnsi="宋体"/>
                <w:color w:val="auto"/>
                <w:highlight w:val="none"/>
              </w:rPr>
              <w:t>三</w:t>
            </w:r>
          </w:p>
        </w:tc>
        <w:tc>
          <w:tcPr>
            <w:tcW w:w="1321" w:type="dxa"/>
            <w:tcBorders>
              <w:top w:val="single" w:color="auto" w:sz="4" w:space="0"/>
              <w:left w:val="single" w:color="auto" w:sz="4" w:space="0"/>
              <w:bottom w:val="single" w:color="auto" w:sz="4" w:space="0"/>
              <w:right w:val="single" w:color="auto" w:sz="4" w:space="0"/>
            </w:tcBorders>
            <w:noWrap/>
            <w:vAlign w:val="center"/>
          </w:tcPr>
          <w:p w14:paraId="6E34F8E0">
            <w:pPr>
              <w:jc w:val="center"/>
              <w:rPr>
                <w:rFonts w:ascii="宋体" w:hAnsi="宋体"/>
                <w:color w:val="auto"/>
                <w:highlight w:val="none"/>
              </w:rPr>
            </w:pPr>
            <w:r>
              <w:rPr>
                <w:rFonts w:hint="eastAsia" w:ascii="宋体" w:hAnsi="宋体"/>
                <w:color w:val="auto"/>
                <w:highlight w:val="none"/>
              </w:rPr>
              <w:t>植物生长</w:t>
            </w:r>
          </w:p>
        </w:tc>
        <w:tc>
          <w:tcPr>
            <w:tcW w:w="6910" w:type="dxa"/>
            <w:tcBorders>
              <w:top w:val="single" w:color="auto" w:sz="4" w:space="0"/>
              <w:left w:val="single" w:color="auto" w:sz="4" w:space="0"/>
              <w:bottom w:val="single" w:color="auto" w:sz="4" w:space="0"/>
              <w:right w:val="single" w:color="auto" w:sz="4" w:space="0"/>
            </w:tcBorders>
            <w:noWrap/>
            <w:vAlign w:val="center"/>
          </w:tcPr>
          <w:p w14:paraId="5021215B">
            <w:pPr>
              <w:ind w:firstLine="420" w:firstLineChars="200"/>
              <w:rPr>
                <w:rFonts w:ascii="宋体" w:hAnsi="宋体"/>
                <w:color w:val="auto"/>
                <w:highlight w:val="none"/>
              </w:rPr>
            </w:pPr>
            <w:r>
              <w:rPr>
                <w:rFonts w:hint="eastAsia" w:ascii="宋体" w:hAnsi="宋体"/>
                <w:color w:val="auto"/>
                <w:highlight w:val="none"/>
              </w:rPr>
              <w:t>生长健壮，花型正，花色艳，花期达到规定要求，达标率＞95</w:t>
            </w:r>
            <w:r>
              <w:rPr>
                <w:rFonts w:hint="eastAsia" w:hAnsi="宋体"/>
                <w:color w:val="auto"/>
                <w:spacing w:val="-30"/>
                <w:highlight w:val="none"/>
              </w:rPr>
              <w:t>％；</w:t>
            </w:r>
            <w:r>
              <w:rPr>
                <w:rFonts w:hint="eastAsia" w:ascii="宋体" w:hAnsi="宋体"/>
                <w:color w:val="auto"/>
                <w:highlight w:val="none"/>
              </w:rPr>
              <w:t>无残花、枯枝、黄叶，基本无杂草，无倒伏现象。</w:t>
            </w:r>
          </w:p>
        </w:tc>
      </w:tr>
      <w:tr w14:paraId="5B268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3EC31C4A">
            <w:pPr>
              <w:jc w:val="center"/>
              <w:rPr>
                <w:rFonts w:ascii="宋体" w:hAnsi="宋体"/>
                <w:color w:val="auto"/>
                <w:highlight w:val="none"/>
              </w:rPr>
            </w:pPr>
            <w:r>
              <w:rPr>
                <w:rFonts w:hint="eastAsia" w:ascii="宋体" w:hAnsi="宋体"/>
                <w:color w:val="auto"/>
                <w:highlight w:val="none"/>
              </w:rPr>
              <w:t>四</w:t>
            </w:r>
          </w:p>
        </w:tc>
        <w:tc>
          <w:tcPr>
            <w:tcW w:w="1321" w:type="dxa"/>
            <w:tcBorders>
              <w:top w:val="single" w:color="auto" w:sz="4" w:space="0"/>
              <w:left w:val="single" w:color="auto" w:sz="4" w:space="0"/>
              <w:bottom w:val="single" w:color="auto" w:sz="4" w:space="0"/>
              <w:right w:val="single" w:color="auto" w:sz="4" w:space="0"/>
            </w:tcBorders>
            <w:noWrap/>
            <w:vAlign w:val="center"/>
          </w:tcPr>
          <w:p w14:paraId="76219908">
            <w:pPr>
              <w:jc w:val="center"/>
              <w:rPr>
                <w:rFonts w:ascii="宋体" w:hAnsi="宋体"/>
                <w:color w:val="auto"/>
                <w:highlight w:val="none"/>
              </w:rPr>
            </w:pPr>
            <w:r>
              <w:rPr>
                <w:rFonts w:hint="eastAsia" w:ascii="宋体" w:hAnsi="宋体"/>
                <w:color w:val="auto"/>
                <w:highlight w:val="none"/>
              </w:rPr>
              <w:t>整形修剪</w:t>
            </w:r>
          </w:p>
        </w:tc>
        <w:tc>
          <w:tcPr>
            <w:tcW w:w="6910" w:type="dxa"/>
            <w:tcBorders>
              <w:top w:val="single" w:color="auto" w:sz="4" w:space="0"/>
              <w:left w:val="single" w:color="auto" w:sz="4" w:space="0"/>
              <w:bottom w:val="single" w:color="auto" w:sz="4" w:space="0"/>
              <w:right w:val="single" w:color="auto" w:sz="4" w:space="0"/>
            </w:tcBorders>
            <w:noWrap/>
            <w:vAlign w:val="center"/>
          </w:tcPr>
          <w:p w14:paraId="07392476">
            <w:pPr>
              <w:ind w:firstLine="420" w:firstLineChars="200"/>
              <w:rPr>
                <w:rFonts w:ascii="宋体" w:hAnsi="宋体"/>
                <w:color w:val="auto"/>
                <w:highlight w:val="none"/>
              </w:rPr>
            </w:pPr>
            <w:r>
              <w:rPr>
                <w:rFonts w:hint="eastAsia" w:ascii="宋体" w:hAnsi="宋体"/>
                <w:color w:val="auto"/>
                <w:highlight w:val="none"/>
              </w:rPr>
              <w:t>及时摘心、修剪枯叶残枝、残花进行整形。色块花卉保持顶面高度基本一致；花境花卉保持自然生长，高低错落的自然形态。</w:t>
            </w:r>
          </w:p>
        </w:tc>
      </w:tr>
      <w:tr w14:paraId="5BED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7FBFFECF">
            <w:pPr>
              <w:jc w:val="center"/>
              <w:rPr>
                <w:rFonts w:ascii="宋体" w:hAnsi="宋体"/>
                <w:color w:val="auto"/>
                <w:highlight w:val="none"/>
              </w:rPr>
            </w:pPr>
            <w:r>
              <w:rPr>
                <w:rFonts w:hint="eastAsia" w:ascii="宋体" w:hAnsi="宋体"/>
                <w:color w:val="auto"/>
                <w:highlight w:val="none"/>
              </w:rPr>
              <w:t>五</w:t>
            </w:r>
          </w:p>
        </w:tc>
        <w:tc>
          <w:tcPr>
            <w:tcW w:w="1321" w:type="dxa"/>
            <w:tcBorders>
              <w:top w:val="single" w:color="auto" w:sz="4" w:space="0"/>
              <w:left w:val="single" w:color="auto" w:sz="4" w:space="0"/>
              <w:bottom w:val="single" w:color="auto" w:sz="4" w:space="0"/>
              <w:right w:val="single" w:color="auto" w:sz="4" w:space="0"/>
            </w:tcBorders>
            <w:noWrap/>
            <w:vAlign w:val="center"/>
          </w:tcPr>
          <w:p w14:paraId="28917843">
            <w:pPr>
              <w:rPr>
                <w:rFonts w:hint="eastAsia" w:ascii="宋体" w:hAnsi="宋体" w:eastAsia="宋体" w:cs="Times New Roman"/>
                <w:color w:val="auto"/>
                <w:highlight w:val="none"/>
              </w:rPr>
            </w:pPr>
            <w:r>
              <w:rPr>
                <w:rFonts w:hint="eastAsia" w:ascii="宋体" w:hAnsi="宋体" w:eastAsia="宋体" w:cs="Times New Roman"/>
                <w:color w:val="auto"/>
                <w:highlight w:val="none"/>
              </w:rPr>
              <w:t>病虫害控制</w:t>
            </w:r>
          </w:p>
        </w:tc>
        <w:tc>
          <w:tcPr>
            <w:tcW w:w="6910" w:type="dxa"/>
            <w:tcBorders>
              <w:top w:val="single" w:color="auto" w:sz="4" w:space="0"/>
              <w:left w:val="single" w:color="auto" w:sz="4" w:space="0"/>
              <w:bottom w:val="single" w:color="auto" w:sz="4" w:space="0"/>
              <w:right w:val="single" w:color="auto" w:sz="4" w:space="0"/>
            </w:tcBorders>
            <w:noWrap/>
            <w:vAlign w:val="center"/>
          </w:tcPr>
          <w:p w14:paraId="2B35B69E">
            <w:pPr>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无明显危害迹象，总的病虫</w:t>
            </w:r>
            <w:r>
              <w:rPr>
                <w:rFonts w:hint="eastAsia" w:ascii="宋体" w:hAnsi="宋体" w:eastAsia="宋体" w:cs="Times New Roman"/>
                <w:color w:val="auto"/>
                <w:highlight w:val="none"/>
                <w:lang w:val="en-US" w:eastAsia="zh-CN"/>
              </w:rPr>
              <w:t>危</w:t>
            </w:r>
            <w:r>
              <w:rPr>
                <w:rFonts w:hint="eastAsia" w:ascii="宋体" w:hAnsi="宋体" w:eastAsia="宋体" w:cs="Times New Roman"/>
                <w:color w:val="auto"/>
                <w:highlight w:val="none"/>
              </w:rPr>
              <w:t>害率＜5％。</w:t>
            </w:r>
          </w:p>
        </w:tc>
      </w:tr>
      <w:tr w14:paraId="5A43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69FFC5A5">
            <w:pPr>
              <w:jc w:val="center"/>
              <w:rPr>
                <w:rFonts w:ascii="宋体" w:hAnsi="宋体"/>
                <w:color w:val="auto"/>
                <w:highlight w:val="none"/>
              </w:rPr>
            </w:pPr>
            <w:r>
              <w:rPr>
                <w:rFonts w:hint="eastAsia" w:ascii="宋体" w:hAnsi="宋体"/>
                <w:color w:val="auto"/>
                <w:highlight w:val="none"/>
              </w:rPr>
              <w:t>六</w:t>
            </w:r>
          </w:p>
        </w:tc>
        <w:tc>
          <w:tcPr>
            <w:tcW w:w="1321" w:type="dxa"/>
            <w:tcBorders>
              <w:top w:val="single" w:color="auto" w:sz="4" w:space="0"/>
              <w:left w:val="single" w:color="auto" w:sz="4" w:space="0"/>
              <w:bottom w:val="single" w:color="auto" w:sz="4" w:space="0"/>
              <w:right w:val="single" w:color="auto" w:sz="4" w:space="0"/>
            </w:tcBorders>
            <w:noWrap/>
            <w:vAlign w:val="center"/>
          </w:tcPr>
          <w:p w14:paraId="2052E0F5">
            <w:pPr>
              <w:jc w:val="center"/>
              <w:rPr>
                <w:rFonts w:ascii="宋体" w:hAnsi="宋体"/>
                <w:color w:val="auto"/>
                <w:highlight w:val="none"/>
              </w:rPr>
            </w:pPr>
            <w:r>
              <w:rPr>
                <w:rFonts w:hint="eastAsia" w:ascii="宋体" w:hAnsi="宋体"/>
                <w:color w:val="auto"/>
                <w:highlight w:val="none"/>
              </w:rPr>
              <w:t>补种与</w:t>
            </w:r>
          </w:p>
          <w:p w14:paraId="55B5FE1F">
            <w:pPr>
              <w:jc w:val="center"/>
              <w:rPr>
                <w:rFonts w:ascii="宋体" w:hAnsi="宋体"/>
                <w:color w:val="auto"/>
                <w:highlight w:val="none"/>
              </w:rPr>
            </w:pPr>
            <w:r>
              <w:rPr>
                <w:rFonts w:hint="eastAsia" w:ascii="宋体" w:hAnsi="宋体"/>
                <w:color w:val="auto"/>
                <w:highlight w:val="none"/>
              </w:rPr>
              <w:t>更换</w:t>
            </w:r>
          </w:p>
        </w:tc>
        <w:tc>
          <w:tcPr>
            <w:tcW w:w="6910" w:type="dxa"/>
            <w:tcBorders>
              <w:top w:val="single" w:color="auto" w:sz="4" w:space="0"/>
              <w:left w:val="single" w:color="auto" w:sz="4" w:space="0"/>
              <w:bottom w:val="single" w:color="auto" w:sz="4" w:space="0"/>
              <w:right w:val="single" w:color="auto" w:sz="4" w:space="0"/>
            </w:tcBorders>
            <w:noWrap/>
            <w:vAlign w:val="center"/>
          </w:tcPr>
          <w:p w14:paraId="09D16ED8">
            <w:pPr>
              <w:ind w:firstLine="315" w:firstLineChars="150"/>
              <w:rPr>
                <w:rFonts w:ascii="宋体" w:hAnsi="宋体"/>
                <w:color w:val="auto"/>
                <w:highlight w:val="none"/>
              </w:rPr>
            </w:pPr>
            <w:r>
              <w:rPr>
                <w:rFonts w:hint="eastAsia" w:ascii="宋体" w:hAnsi="宋体"/>
                <w:color w:val="auto"/>
                <w:highlight w:val="none"/>
              </w:rPr>
              <w:t>无黄土裸露、缺株和死株现象，缺株和死株及时补种和更换。</w:t>
            </w:r>
          </w:p>
        </w:tc>
      </w:tr>
      <w:tr w14:paraId="7395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03943C23">
            <w:pPr>
              <w:jc w:val="center"/>
              <w:rPr>
                <w:rFonts w:ascii="宋体" w:hAnsi="宋体"/>
                <w:color w:val="auto"/>
                <w:highlight w:val="none"/>
              </w:rPr>
            </w:pPr>
            <w:r>
              <w:rPr>
                <w:rFonts w:hint="eastAsia" w:ascii="宋体" w:hAnsi="宋体"/>
                <w:color w:val="auto"/>
                <w:highlight w:val="none"/>
              </w:rPr>
              <w:t>七</w:t>
            </w:r>
          </w:p>
        </w:tc>
        <w:tc>
          <w:tcPr>
            <w:tcW w:w="1321" w:type="dxa"/>
            <w:tcBorders>
              <w:top w:val="single" w:color="auto" w:sz="4" w:space="0"/>
              <w:left w:val="single" w:color="auto" w:sz="4" w:space="0"/>
              <w:bottom w:val="single" w:color="auto" w:sz="4" w:space="0"/>
              <w:right w:val="single" w:color="auto" w:sz="4" w:space="0"/>
            </w:tcBorders>
            <w:noWrap/>
            <w:vAlign w:val="center"/>
          </w:tcPr>
          <w:p w14:paraId="7689C4A1">
            <w:pPr>
              <w:jc w:val="center"/>
              <w:rPr>
                <w:rFonts w:ascii="宋体" w:hAnsi="宋体"/>
                <w:color w:val="auto"/>
                <w:highlight w:val="none"/>
              </w:rPr>
            </w:pPr>
            <w:r>
              <w:rPr>
                <w:rFonts w:hint="eastAsia" w:ascii="宋体" w:hAnsi="宋体"/>
                <w:color w:val="auto"/>
                <w:highlight w:val="none"/>
              </w:rPr>
              <w:t>防护设施</w:t>
            </w:r>
          </w:p>
        </w:tc>
        <w:tc>
          <w:tcPr>
            <w:tcW w:w="6910" w:type="dxa"/>
            <w:tcBorders>
              <w:top w:val="single" w:color="auto" w:sz="4" w:space="0"/>
              <w:left w:val="single" w:color="auto" w:sz="4" w:space="0"/>
              <w:bottom w:val="single" w:color="auto" w:sz="4" w:space="0"/>
              <w:right w:val="single" w:color="auto" w:sz="4" w:space="0"/>
            </w:tcBorders>
            <w:noWrap/>
            <w:vAlign w:val="center"/>
          </w:tcPr>
          <w:p w14:paraId="1338686A">
            <w:pPr>
              <w:rPr>
                <w:rFonts w:ascii="宋体" w:hAnsi="宋体"/>
                <w:color w:val="auto"/>
                <w:highlight w:val="none"/>
              </w:rPr>
            </w:pPr>
            <w:r>
              <w:rPr>
                <w:rFonts w:hint="eastAsia" w:ascii="宋体" w:hAnsi="宋体"/>
                <w:color w:val="auto"/>
                <w:highlight w:val="none"/>
              </w:rPr>
              <w:t>设施稳固、整洁、完好，与花卉协调美观；饰物和雕塑等应安全、美观，达标率＞95</w:t>
            </w:r>
            <w:r>
              <w:rPr>
                <w:rFonts w:hint="eastAsia" w:hAnsi="宋体"/>
                <w:color w:val="auto"/>
                <w:spacing w:val="-30"/>
                <w:highlight w:val="none"/>
              </w:rPr>
              <w:t>％</w:t>
            </w:r>
            <w:r>
              <w:rPr>
                <w:rFonts w:hint="eastAsia" w:ascii="宋体" w:hAnsi="宋体"/>
                <w:color w:val="auto"/>
                <w:highlight w:val="none"/>
              </w:rPr>
              <w:t>。</w:t>
            </w:r>
          </w:p>
        </w:tc>
      </w:tr>
      <w:tr w14:paraId="0681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747" w:type="dxa"/>
            <w:tcBorders>
              <w:top w:val="single" w:color="auto" w:sz="4" w:space="0"/>
              <w:left w:val="single" w:color="auto" w:sz="4" w:space="0"/>
              <w:bottom w:val="single" w:color="auto" w:sz="4" w:space="0"/>
              <w:right w:val="single" w:color="auto" w:sz="4" w:space="0"/>
            </w:tcBorders>
            <w:noWrap/>
            <w:vAlign w:val="center"/>
          </w:tcPr>
          <w:p w14:paraId="57090CE0">
            <w:pPr>
              <w:jc w:val="center"/>
              <w:rPr>
                <w:rFonts w:ascii="宋体" w:hAnsi="宋体"/>
                <w:color w:val="auto"/>
                <w:highlight w:val="none"/>
              </w:rPr>
            </w:pPr>
            <w:r>
              <w:rPr>
                <w:rFonts w:hint="eastAsia" w:ascii="宋体" w:hAnsi="宋体"/>
                <w:color w:val="auto"/>
                <w:highlight w:val="none"/>
              </w:rPr>
              <w:t>八</w:t>
            </w:r>
          </w:p>
        </w:tc>
        <w:tc>
          <w:tcPr>
            <w:tcW w:w="1321" w:type="dxa"/>
            <w:tcBorders>
              <w:top w:val="single" w:color="auto" w:sz="4" w:space="0"/>
              <w:left w:val="single" w:color="auto" w:sz="4" w:space="0"/>
              <w:bottom w:val="single" w:color="auto" w:sz="4" w:space="0"/>
              <w:right w:val="single" w:color="auto" w:sz="4" w:space="0"/>
            </w:tcBorders>
            <w:noWrap/>
            <w:vAlign w:val="center"/>
          </w:tcPr>
          <w:p w14:paraId="32C43B4C">
            <w:pPr>
              <w:jc w:val="center"/>
              <w:rPr>
                <w:rFonts w:ascii="宋体" w:hAnsi="宋体"/>
                <w:color w:val="auto"/>
                <w:highlight w:val="none"/>
              </w:rPr>
            </w:pPr>
            <w:r>
              <w:rPr>
                <w:rFonts w:hint="eastAsia" w:ascii="宋体" w:hAnsi="宋体"/>
                <w:color w:val="auto"/>
                <w:highlight w:val="none"/>
              </w:rPr>
              <w:t>环境卫生</w:t>
            </w:r>
          </w:p>
        </w:tc>
        <w:tc>
          <w:tcPr>
            <w:tcW w:w="6910" w:type="dxa"/>
            <w:tcBorders>
              <w:top w:val="single" w:color="auto" w:sz="4" w:space="0"/>
              <w:left w:val="single" w:color="auto" w:sz="4" w:space="0"/>
              <w:bottom w:val="single" w:color="auto" w:sz="4" w:space="0"/>
              <w:right w:val="single" w:color="auto" w:sz="4" w:space="0"/>
            </w:tcBorders>
            <w:noWrap/>
            <w:vAlign w:val="center"/>
          </w:tcPr>
          <w:p w14:paraId="2C2FEC39">
            <w:pPr>
              <w:rPr>
                <w:rFonts w:ascii="宋体" w:hAnsi="宋体"/>
                <w:color w:val="auto"/>
                <w:highlight w:val="none"/>
              </w:rPr>
            </w:pPr>
            <w:r>
              <w:rPr>
                <w:rFonts w:hint="eastAsia" w:ascii="宋体" w:hAnsi="宋体"/>
                <w:color w:val="auto"/>
                <w:highlight w:val="none"/>
              </w:rPr>
              <w:t>无垃圾，无泥土散落、弄脏道路及周围环境现象，达标率＞98</w:t>
            </w:r>
            <w:r>
              <w:rPr>
                <w:rFonts w:hint="eastAsia" w:hAnsi="宋体"/>
                <w:color w:val="auto"/>
                <w:spacing w:val="-30"/>
                <w:highlight w:val="none"/>
              </w:rPr>
              <w:t>％</w:t>
            </w:r>
            <w:r>
              <w:rPr>
                <w:rFonts w:hint="eastAsia" w:ascii="宋体" w:hAnsi="宋体"/>
                <w:color w:val="auto"/>
                <w:highlight w:val="none"/>
              </w:rPr>
              <w:t>。</w:t>
            </w:r>
          </w:p>
        </w:tc>
      </w:tr>
      <w:tr w14:paraId="6B81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8978" w:type="dxa"/>
            <w:gridSpan w:val="3"/>
            <w:tcBorders>
              <w:top w:val="single" w:color="auto" w:sz="4" w:space="0"/>
              <w:left w:val="single" w:color="auto" w:sz="4" w:space="0"/>
              <w:bottom w:val="single" w:color="auto" w:sz="4" w:space="0"/>
              <w:right w:val="single" w:color="auto" w:sz="4" w:space="0"/>
            </w:tcBorders>
            <w:noWrap/>
            <w:vAlign w:val="center"/>
          </w:tcPr>
          <w:p w14:paraId="44881E4A">
            <w:pPr>
              <w:ind w:firstLine="420" w:firstLineChars="200"/>
              <w:rPr>
                <w:rFonts w:ascii="宋体" w:hAnsi="宋体"/>
                <w:color w:val="auto"/>
                <w:highlight w:val="none"/>
              </w:rPr>
            </w:pPr>
            <w:r>
              <w:rPr>
                <w:rFonts w:hint="eastAsia" w:ascii="宋体" w:hAnsi="宋体"/>
                <w:color w:val="auto"/>
                <w:highlight w:val="none"/>
              </w:rPr>
              <w:t>注：达标率指花卉被检目标达到相应要求的植株数（或面积）占总株数（或总面积）的百分比。</w:t>
            </w:r>
          </w:p>
        </w:tc>
      </w:tr>
      <w:tr w14:paraId="16AA7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8978" w:type="dxa"/>
            <w:gridSpan w:val="3"/>
            <w:tcBorders>
              <w:top w:val="single" w:color="auto" w:sz="4" w:space="0"/>
              <w:left w:val="nil"/>
              <w:bottom w:val="nil"/>
              <w:right w:val="nil"/>
            </w:tcBorders>
            <w:noWrap/>
            <w:vAlign w:val="center"/>
          </w:tcPr>
          <w:p w14:paraId="57432C83">
            <w:pPr>
              <w:ind w:firstLine="482" w:firstLineChars="200"/>
              <w:rPr>
                <w:rFonts w:ascii="宋体" w:hAnsi="宋体"/>
                <w:color w:val="auto"/>
                <w:highlight w:val="none"/>
              </w:rPr>
            </w:pPr>
            <w:r>
              <w:rPr>
                <w:rFonts w:hint="eastAsia" w:ascii="宋体" w:hAnsi="宋体"/>
                <w:b/>
                <w:color w:val="auto"/>
                <w:kern w:val="0"/>
                <w:sz w:val="24"/>
                <w:highlight w:val="none"/>
              </w:rPr>
              <w:t>注：在执行以上养护规范过程中，如出现指标验证为不合理或相关部门提高管理要求等情况下，</w:t>
            </w:r>
            <w:r>
              <w:rPr>
                <w:rFonts w:hint="eastAsia" w:ascii="宋体" w:hAnsi="宋体"/>
                <w:b/>
                <w:color w:val="auto"/>
                <w:kern w:val="0"/>
                <w:sz w:val="24"/>
                <w:highlight w:val="none"/>
                <w:lang w:val="en-US" w:eastAsia="zh-CN"/>
              </w:rPr>
              <w:t>公园</w:t>
            </w:r>
            <w:r>
              <w:rPr>
                <w:rFonts w:hint="eastAsia" w:ascii="宋体" w:hAnsi="宋体"/>
                <w:b/>
                <w:color w:val="auto"/>
                <w:kern w:val="0"/>
                <w:sz w:val="24"/>
                <w:highlight w:val="none"/>
              </w:rPr>
              <w:t>可对该养护规范进行适度调整。</w:t>
            </w:r>
          </w:p>
        </w:tc>
      </w:tr>
    </w:tbl>
    <w:p w14:paraId="0B4440DA">
      <w:pPr>
        <w:pageBreakBefore/>
        <w:ind w:right="-334" w:rightChars="-159"/>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2-3：</w:t>
      </w:r>
    </w:p>
    <w:p w14:paraId="1A153FC7">
      <w:pPr>
        <w:ind w:firstLine="1606" w:firstLineChars="500"/>
        <w:rPr>
          <w:rFonts w:ascii="Calibri" w:hAnsi="宋体"/>
          <w:color w:val="auto"/>
          <w:sz w:val="32"/>
          <w:szCs w:val="32"/>
          <w:highlight w:val="none"/>
        </w:rPr>
      </w:pPr>
      <w:r>
        <w:rPr>
          <w:rFonts w:hint="eastAsia" w:ascii="宋体" w:hAnsi="宋体"/>
          <w:b/>
          <w:bCs/>
          <w:color w:val="auto"/>
          <w:sz w:val="32"/>
          <w:szCs w:val="32"/>
          <w:highlight w:val="none"/>
        </w:rPr>
        <w:t>南宁市南湖公园绿化养护考核细则</w:t>
      </w:r>
    </w:p>
    <w:tbl>
      <w:tblPr>
        <w:tblStyle w:val="22"/>
        <w:tblW w:w="9873" w:type="dxa"/>
        <w:tblInd w:w="-6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404"/>
        <w:gridCol w:w="1146"/>
        <w:gridCol w:w="5836"/>
        <w:gridCol w:w="2062"/>
      </w:tblGrid>
      <w:tr w14:paraId="12AE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noWrap/>
            <w:vAlign w:val="top"/>
          </w:tcPr>
          <w:p w14:paraId="68E16A03">
            <w:pPr>
              <w:jc w:val="center"/>
              <w:rPr>
                <w:rFonts w:ascii="宋体" w:hAnsi="宋体"/>
                <w:b/>
                <w:bCs/>
                <w:color w:val="auto"/>
                <w:sz w:val="18"/>
                <w:szCs w:val="18"/>
                <w:highlight w:val="none"/>
              </w:rPr>
            </w:pPr>
            <w:r>
              <w:rPr>
                <w:rFonts w:hint="eastAsia" w:ascii="宋体" w:hAnsi="宋体"/>
                <w:b/>
                <w:bCs/>
                <w:color w:val="auto"/>
                <w:sz w:val="18"/>
                <w:szCs w:val="18"/>
                <w:highlight w:val="none"/>
              </w:rPr>
              <w:t>序</w:t>
            </w:r>
          </w:p>
          <w:p w14:paraId="1777E44A">
            <w:pPr>
              <w:jc w:val="center"/>
              <w:rPr>
                <w:rFonts w:ascii="宋体" w:hAnsi="宋体"/>
                <w:b/>
                <w:bCs/>
                <w:color w:val="auto"/>
                <w:sz w:val="18"/>
                <w:szCs w:val="18"/>
                <w:highlight w:val="none"/>
              </w:rPr>
            </w:pPr>
            <w:r>
              <w:rPr>
                <w:rFonts w:hint="eastAsia" w:ascii="宋体" w:hAnsi="宋体"/>
                <w:b/>
                <w:bCs/>
                <w:color w:val="auto"/>
                <w:sz w:val="18"/>
                <w:szCs w:val="18"/>
                <w:highlight w:val="none"/>
              </w:rPr>
              <w:t>号</w:t>
            </w:r>
          </w:p>
        </w:tc>
        <w:tc>
          <w:tcPr>
            <w:tcW w:w="1550" w:type="dxa"/>
            <w:gridSpan w:val="2"/>
            <w:noWrap/>
            <w:vAlign w:val="center"/>
          </w:tcPr>
          <w:p w14:paraId="4A86EAAF">
            <w:pPr>
              <w:jc w:val="center"/>
              <w:rPr>
                <w:rFonts w:ascii="宋体" w:hAnsi="宋体"/>
                <w:b/>
                <w:bCs/>
                <w:color w:val="auto"/>
                <w:sz w:val="18"/>
                <w:szCs w:val="18"/>
                <w:highlight w:val="none"/>
              </w:rPr>
            </w:pPr>
            <w:r>
              <w:rPr>
                <w:rFonts w:hint="eastAsia" w:ascii="宋体" w:hAnsi="宋体"/>
                <w:b/>
                <w:bCs/>
                <w:color w:val="auto"/>
                <w:sz w:val="18"/>
                <w:szCs w:val="18"/>
                <w:highlight w:val="none"/>
              </w:rPr>
              <w:t>考核内容</w:t>
            </w:r>
          </w:p>
        </w:tc>
        <w:tc>
          <w:tcPr>
            <w:tcW w:w="5836" w:type="dxa"/>
            <w:noWrap/>
            <w:vAlign w:val="center"/>
          </w:tcPr>
          <w:p w14:paraId="2E320D2B">
            <w:pPr>
              <w:jc w:val="center"/>
              <w:rPr>
                <w:rFonts w:ascii="宋体" w:hAnsi="宋体"/>
                <w:b/>
                <w:bCs/>
                <w:color w:val="auto"/>
                <w:sz w:val="18"/>
                <w:szCs w:val="18"/>
                <w:highlight w:val="none"/>
              </w:rPr>
            </w:pPr>
            <w:r>
              <w:rPr>
                <w:rFonts w:hint="eastAsia" w:ascii="宋体" w:hAnsi="宋体"/>
                <w:b/>
                <w:bCs/>
                <w:color w:val="auto"/>
                <w:sz w:val="18"/>
                <w:szCs w:val="18"/>
                <w:highlight w:val="none"/>
              </w:rPr>
              <w:t>扣分标准</w:t>
            </w:r>
          </w:p>
        </w:tc>
        <w:tc>
          <w:tcPr>
            <w:tcW w:w="2062" w:type="dxa"/>
            <w:noWrap/>
            <w:vAlign w:val="center"/>
          </w:tcPr>
          <w:p w14:paraId="5B282C95">
            <w:pPr>
              <w:jc w:val="center"/>
              <w:rPr>
                <w:rFonts w:ascii="宋体" w:hAnsi="宋体"/>
                <w:b/>
                <w:bCs/>
                <w:color w:val="auto"/>
                <w:sz w:val="18"/>
                <w:szCs w:val="18"/>
                <w:highlight w:val="none"/>
              </w:rPr>
            </w:pPr>
            <w:r>
              <w:rPr>
                <w:rFonts w:hint="eastAsia" w:ascii="宋体" w:hAnsi="宋体"/>
                <w:b/>
                <w:bCs/>
                <w:color w:val="auto"/>
                <w:kern w:val="0"/>
                <w:sz w:val="18"/>
                <w:szCs w:val="18"/>
                <w:highlight w:val="none"/>
              </w:rPr>
              <w:t>扣款标准</w:t>
            </w:r>
          </w:p>
        </w:tc>
      </w:tr>
      <w:tr w14:paraId="0640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425" w:type="dxa"/>
            <w:vMerge w:val="restart"/>
            <w:noWrap/>
            <w:vAlign w:val="center"/>
          </w:tcPr>
          <w:p w14:paraId="58706C99">
            <w:pPr>
              <w:jc w:val="center"/>
              <w:rPr>
                <w:rFonts w:ascii="宋体" w:hAnsi="宋体"/>
                <w:color w:val="auto"/>
                <w:sz w:val="18"/>
                <w:szCs w:val="18"/>
                <w:highlight w:val="none"/>
              </w:rPr>
            </w:pPr>
            <w:r>
              <w:rPr>
                <w:rFonts w:hint="eastAsia" w:ascii="宋体" w:hAnsi="宋体"/>
                <w:color w:val="auto"/>
                <w:sz w:val="18"/>
                <w:szCs w:val="18"/>
                <w:highlight w:val="none"/>
              </w:rPr>
              <w:t>1</w:t>
            </w:r>
          </w:p>
        </w:tc>
        <w:tc>
          <w:tcPr>
            <w:tcW w:w="404" w:type="dxa"/>
            <w:vMerge w:val="restart"/>
            <w:noWrap/>
            <w:vAlign w:val="center"/>
          </w:tcPr>
          <w:p w14:paraId="544FF984">
            <w:pPr>
              <w:rPr>
                <w:rFonts w:ascii="宋体" w:hAnsi="宋体" w:cs="宋体"/>
                <w:color w:val="auto"/>
                <w:sz w:val="18"/>
                <w:szCs w:val="18"/>
                <w:highlight w:val="none"/>
              </w:rPr>
            </w:pPr>
            <w:r>
              <w:rPr>
                <w:rFonts w:hint="eastAsia" w:ascii="宋体" w:hAnsi="宋体"/>
                <w:color w:val="auto"/>
                <w:sz w:val="18"/>
                <w:szCs w:val="18"/>
                <w:highlight w:val="none"/>
              </w:rPr>
              <w:t>人员管理</w:t>
            </w:r>
          </w:p>
        </w:tc>
        <w:tc>
          <w:tcPr>
            <w:tcW w:w="1146" w:type="dxa"/>
            <w:noWrap/>
            <w:vAlign w:val="center"/>
          </w:tcPr>
          <w:p w14:paraId="698202D8">
            <w:pPr>
              <w:rPr>
                <w:rFonts w:ascii="宋体" w:hAnsi="宋体" w:cs="宋体"/>
                <w:color w:val="auto"/>
                <w:sz w:val="18"/>
                <w:szCs w:val="18"/>
                <w:highlight w:val="none"/>
              </w:rPr>
            </w:pPr>
            <w:r>
              <w:rPr>
                <w:rFonts w:hint="eastAsia" w:ascii="宋体" w:hAnsi="宋体" w:cs="宋体"/>
                <w:color w:val="auto"/>
                <w:sz w:val="18"/>
                <w:szCs w:val="18"/>
                <w:highlight w:val="none"/>
              </w:rPr>
              <w:t>出勤及变动</w:t>
            </w:r>
          </w:p>
        </w:tc>
        <w:tc>
          <w:tcPr>
            <w:tcW w:w="5836" w:type="dxa"/>
            <w:noWrap/>
            <w:vAlign w:val="center"/>
          </w:tcPr>
          <w:p w14:paraId="45A57676">
            <w:pPr>
              <w:rPr>
                <w:rFonts w:ascii="宋体" w:hAnsi="宋体" w:cs="宋体"/>
                <w:color w:val="auto"/>
                <w:sz w:val="18"/>
                <w:szCs w:val="18"/>
                <w:highlight w:val="none"/>
              </w:rPr>
            </w:pPr>
            <w:r>
              <w:rPr>
                <w:rFonts w:hint="eastAsia" w:ascii="宋体" w:hAnsi="宋体" w:cs="宋体"/>
                <w:color w:val="auto"/>
                <w:sz w:val="18"/>
                <w:szCs w:val="18"/>
                <w:highlight w:val="none"/>
              </w:rPr>
              <w:t>缺岗扣2分/人次；30分钟以内的迟到、早退扣0.5分/人次，30分钟以上按缺岗扣分；擅自更换管理人员的，扣5分/人次。</w:t>
            </w:r>
          </w:p>
        </w:tc>
        <w:tc>
          <w:tcPr>
            <w:tcW w:w="2062" w:type="dxa"/>
            <w:noWrap/>
            <w:vAlign w:val="center"/>
          </w:tcPr>
          <w:p w14:paraId="0045DDE2">
            <w:pPr>
              <w:rPr>
                <w:rFonts w:ascii="宋体" w:hAnsi="宋体" w:cs="宋体"/>
                <w:color w:val="auto"/>
                <w:sz w:val="18"/>
                <w:szCs w:val="18"/>
                <w:highlight w:val="none"/>
              </w:rPr>
            </w:pPr>
            <w:r>
              <w:rPr>
                <w:rFonts w:hint="eastAsia" w:ascii="宋体" w:hAnsi="宋体"/>
                <w:bCs/>
                <w:color w:val="auto"/>
                <w:sz w:val="18"/>
                <w:szCs w:val="18"/>
                <w:highlight w:val="none"/>
              </w:rPr>
              <w:t>缺岗扣300元/人次；擅自更换管理人员，扣500元/人次。</w:t>
            </w:r>
          </w:p>
        </w:tc>
      </w:tr>
      <w:tr w14:paraId="3331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5" w:type="dxa"/>
            <w:vMerge w:val="continue"/>
            <w:noWrap/>
            <w:vAlign w:val="center"/>
          </w:tcPr>
          <w:p w14:paraId="51BB0B8C">
            <w:pPr>
              <w:jc w:val="center"/>
              <w:rPr>
                <w:rFonts w:ascii="宋体" w:hAnsi="宋体"/>
                <w:color w:val="auto"/>
                <w:sz w:val="18"/>
                <w:szCs w:val="18"/>
                <w:highlight w:val="none"/>
              </w:rPr>
            </w:pPr>
          </w:p>
        </w:tc>
        <w:tc>
          <w:tcPr>
            <w:tcW w:w="404" w:type="dxa"/>
            <w:vMerge w:val="continue"/>
            <w:noWrap/>
            <w:vAlign w:val="center"/>
          </w:tcPr>
          <w:p w14:paraId="1162036F">
            <w:pPr>
              <w:rPr>
                <w:rFonts w:ascii="宋体" w:hAnsi="宋体" w:cs="宋体"/>
                <w:color w:val="auto"/>
                <w:sz w:val="18"/>
                <w:szCs w:val="18"/>
                <w:highlight w:val="none"/>
              </w:rPr>
            </w:pPr>
          </w:p>
        </w:tc>
        <w:tc>
          <w:tcPr>
            <w:tcW w:w="1146" w:type="dxa"/>
            <w:noWrap/>
            <w:vAlign w:val="center"/>
          </w:tcPr>
          <w:p w14:paraId="51EB6259">
            <w:pPr>
              <w:rPr>
                <w:rFonts w:ascii="宋体" w:hAnsi="宋体" w:cs="宋体"/>
                <w:color w:val="auto"/>
                <w:sz w:val="18"/>
                <w:szCs w:val="18"/>
                <w:highlight w:val="none"/>
              </w:rPr>
            </w:pPr>
            <w:r>
              <w:rPr>
                <w:rFonts w:hint="eastAsia" w:ascii="宋体" w:hAnsi="宋体" w:cs="宋体"/>
                <w:color w:val="auto"/>
                <w:sz w:val="18"/>
                <w:szCs w:val="18"/>
                <w:highlight w:val="none"/>
              </w:rPr>
              <w:t>作业时着装及安全防护</w:t>
            </w:r>
          </w:p>
        </w:tc>
        <w:tc>
          <w:tcPr>
            <w:tcW w:w="5836" w:type="dxa"/>
            <w:noWrap/>
            <w:vAlign w:val="center"/>
          </w:tcPr>
          <w:p w14:paraId="33D33042">
            <w:pPr>
              <w:jc w:val="left"/>
              <w:rPr>
                <w:rFonts w:ascii="宋体" w:hAnsi="宋体" w:cs="宋体"/>
                <w:color w:val="auto"/>
                <w:sz w:val="18"/>
                <w:szCs w:val="18"/>
                <w:highlight w:val="none"/>
              </w:rPr>
            </w:pPr>
            <w:r>
              <w:rPr>
                <w:rFonts w:hint="eastAsia" w:ascii="宋体" w:hAnsi="宋体" w:cs="宋体"/>
                <w:color w:val="auto"/>
                <w:sz w:val="18"/>
                <w:szCs w:val="18"/>
                <w:highlight w:val="none"/>
              </w:rPr>
              <w:t>未统一工作服，扣0.2分/人次；未穿戴必要安全防护用具，扣0.1-0.5分/人次。</w:t>
            </w:r>
          </w:p>
        </w:tc>
        <w:tc>
          <w:tcPr>
            <w:tcW w:w="2062" w:type="dxa"/>
            <w:noWrap/>
            <w:vAlign w:val="center"/>
          </w:tcPr>
          <w:p w14:paraId="380598D8">
            <w:pPr>
              <w:rPr>
                <w:rFonts w:ascii="宋体" w:hAnsi="宋体" w:cs="宋体"/>
                <w:color w:val="auto"/>
                <w:sz w:val="18"/>
                <w:szCs w:val="18"/>
                <w:highlight w:val="none"/>
              </w:rPr>
            </w:pPr>
          </w:p>
        </w:tc>
      </w:tr>
      <w:tr w14:paraId="6387D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noWrap/>
            <w:vAlign w:val="center"/>
          </w:tcPr>
          <w:p w14:paraId="4CDAD273">
            <w:pPr>
              <w:jc w:val="center"/>
              <w:rPr>
                <w:rFonts w:ascii="宋体" w:hAnsi="宋体"/>
                <w:color w:val="auto"/>
                <w:sz w:val="18"/>
                <w:szCs w:val="18"/>
                <w:highlight w:val="none"/>
              </w:rPr>
            </w:pPr>
          </w:p>
        </w:tc>
        <w:tc>
          <w:tcPr>
            <w:tcW w:w="404" w:type="dxa"/>
            <w:vMerge w:val="continue"/>
            <w:noWrap/>
            <w:vAlign w:val="center"/>
          </w:tcPr>
          <w:p w14:paraId="76BFC054">
            <w:pPr>
              <w:rPr>
                <w:rFonts w:ascii="宋体" w:hAnsi="宋体" w:cs="宋体"/>
                <w:color w:val="auto"/>
                <w:sz w:val="18"/>
                <w:szCs w:val="18"/>
                <w:highlight w:val="none"/>
              </w:rPr>
            </w:pPr>
          </w:p>
        </w:tc>
        <w:tc>
          <w:tcPr>
            <w:tcW w:w="1146" w:type="dxa"/>
            <w:noWrap/>
            <w:vAlign w:val="center"/>
          </w:tcPr>
          <w:p w14:paraId="759D8362">
            <w:pPr>
              <w:rPr>
                <w:rFonts w:ascii="宋体" w:hAnsi="宋体" w:cs="宋体"/>
                <w:color w:val="auto"/>
                <w:sz w:val="18"/>
                <w:szCs w:val="18"/>
                <w:highlight w:val="none"/>
              </w:rPr>
            </w:pPr>
            <w:r>
              <w:rPr>
                <w:rFonts w:hint="eastAsia" w:ascii="宋体" w:hAnsi="宋体" w:cs="宋体"/>
                <w:color w:val="auto"/>
                <w:sz w:val="18"/>
                <w:szCs w:val="18"/>
                <w:highlight w:val="none"/>
              </w:rPr>
              <w:t>工作纪律</w:t>
            </w:r>
          </w:p>
        </w:tc>
        <w:tc>
          <w:tcPr>
            <w:tcW w:w="5836" w:type="dxa"/>
            <w:noWrap/>
            <w:vAlign w:val="center"/>
          </w:tcPr>
          <w:p w14:paraId="7B915A67">
            <w:pPr>
              <w:rPr>
                <w:rFonts w:ascii="宋体" w:hAnsi="宋体" w:cs="宋体"/>
                <w:color w:val="auto"/>
                <w:sz w:val="18"/>
                <w:szCs w:val="18"/>
                <w:highlight w:val="none"/>
              </w:rPr>
            </w:pPr>
            <w:r>
              <w:rPr>
                <w:rFonts w:hint="eastAsia" w:ascii="宋体" w:hAnsi="宋体" w:cs="宋体"/>
                <w:color w:val="auto"/>
                <w:sz w:val="18"/>
                <w:szCs w:val="18"/>
                <w:highlight w:val="none"/>
              </w:rPr>
              <w:t>不遵守纪律、不服从安排、不文明礼貌的，扣0.1-0.5分/人次；上班时间做与工作无关的事情，扣0.5分/人次；与他人发生冲突，造成不良后果的，扣1-5分/人次。</w:t>
            </w:r>
          </w:p>
        </w:tc>
        <w:tc>
          <w:tcPr>
            <w:tcW w:w="2062" w:type="dxa"/>
            <w:noWrap/>
            <w:vAlign w:val="center"/>
          </w:tcPr>
          <w:p w14:paraId="0D93E525">
            <w:pPr>
              <w:rPr>
                <w:rFonts w:ascii="宋体" w:hAnsi="宋体" w:cs="宋体"/>
                <w:color w:val="auto"/>
                <w:sz w:val="18"/>
                <w:szCs w:val="18"/>
                <w:highlight w:val="none"/>
              </w:rPr>
            </w:pPr>
          </w:p>
        </w:tc>
      </w:tr>
      <w:tr w14:paraId="0D72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25" w:type="dxa"/>
            <w:vMerge w:val="continue"/>
            <w:noWrap/>
            <w:vAlign w:val="center"/>
          </w:tcPr>
          <w:p w14:paraId="72A50843">
            <w:pPr>
              <w:jc w:val="center"/>
              <w:rPr>
                <w:rFonts w:ascii="宋体" w:hAnsi="宋体"/>
                <w:color w:val="auto"/>
                <w:sz w:val="18"/>
                <w:szCs w:val="18"/>
                <w:highlight w:val="none"/>
              </w:rPr>
            </w:pPr>
          </w:p>
        </w:tc>
        <w:tc>
          <w:tcPr>
            <w:tcW w:w="404" w:type="dxa"/>
            <w:vMerge w:val="continue"/>
            <w:noWrap/>
            <w:vAlign w:val="center"/>
          </w:tcPr>
          <w:p w14:paraId="1167EFFE">
            <w:pPr>
              <w:rPr>
                <w:rFonts w:ascii="宋体" w:hAnsi="宋体" w:cs="宋体"/>
                <w:color w:val="auto"/>
                <w:sz w:val="18"/>
                <w:szCs w:val="18"/>
                <w:highlight w:val="none"/>
              </w:rPr>
            </w:pPr>
          </w:p>
        </w:tc>
        <w:tc>
          <w:tcPr>
            <w:tcW w:w="1146" w:type="dxa"/>
            <w:noWrap/>
            <w:vAlign w:val="center"/>
          </w:tcPr>
          <w:p w14:paraId="1FE38CA4">
            <w:pPr>
              <w:rPr>
                <w:rFonts w:ascii="宋体" w:hAnsi="宋体" w:cs="宋体"/>
                <w:color w:val="auto"/>
                <w:sz w:val="18"/>
                <w:szCs w:val="18"/>
                <w:highlight w:val="none"/>
              </w:rPr>
            </w:pPr>
            <w:r>
              <w:rPr>
                <w:rFonts w:hint="eastAsia" w:ascii="宋体" w:hAnsi="宋体" w:cs="宋体"/>
                <w:color w:val="auto"/>
                <w:sz w:val="18"/>
                <w:szCs w:val="18"/>
                <w:highlight w:val="none"/>
              </w:rPr>
              <w:t>学习和培训</w:t>
            </w:r>
          </w:p>
        </w:tc>
        <w:tc>
          <w:tcPr>
            <w:tcW w:w="5836" w:type="dxa"/>
            <w:noWrap/>
            <w:vAlign w:val="center"/>
          </w:tcPr>
          <w:p w14:paraId="1D6060B8">
            <w:pPr>
              <w:jc w:val="left"/>
              <w:rPr>
                <w:rFonts w:ascii="宋体" w:hAnsi="宋体" w:cs="宋体"/>
                <w:color w:val="auto"/>
                <w:sz w:val="18"/>
                <w:szCs w:val="18"/>
                <w:highlight w:val="none"/>
              </w:rPr>
            </w:pPr>
            <w:r>
              <w:rPr>
                <w:rFonts w:hint="eastAsia" w:ascii="宋体" w:hAnsi="宋体" w:cs="宋体"/>
                <w:color w:val="auto"/>
                <w:sz w:val="18"/>
                <w:szCs w:val="18"/>
                <w:highlight w:val="none"/>
              </w:rPr>
              <w:t>未按要求开展或参与相关学习及培训的，扣0.5分/次；迟到或早退的，扣0.1分/人次；无故缺席的，0.3分/人次。</w:t>
            </w:r>
          </w:p>
        </w:tc>
        <w:tc>
          <w:tcPr>
            <w:tcW w:w="2062" w:type="dxa"/>
            <w:noWrap/>
            <w:vAlign w:val="center"/>
          </w:tcPr>
          <w:p w14:paraId="45BA614B">
            <w:pPr>
              <w:jc w:val="left"/>
              <w:rPr>
                <w:rFonts w:ascii="宋体" w:hAnsi="宋体" w:cs="宋体"/>
                <w:color w:val="auto"/>
                <w:sz w:val="18"/>
                <w:szCs w:val="18"/>
                <w:highlight w:val="none"/>
              </w:rPr>
            </w:pPr>
          </w:p>
        </w:tc>
      </w:tr>
      <w:tr w14:paraId="33AD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5" w:type="dxa"/>
            <w:noWrap/>
            <w:vAlign w:val="center"/>
          </w:tcPr>
          <w:p w14:paraId="275A7953">
            <w:pPr>
              <w:jc w:val="center"/>
              <w:rPr>
                <w:rFonts w:ascii="宋体" w:hAnsi="宋体"/>
                <w:color w:val="auto"/>
                <w:sz w:val="18"/>
                <w:szCs w:val="18"/>
                <w:highlight w:val="none"/>
              </w:rPr>
            </w:pPr>
            <w:r>
              <w:rPr>
                <w:rFonts w:hint="eastAsia" w:ascii="宋体" w:hAnsi="宋体"/>
                <w:color w:val="auto"/>
                <w:sz w:val="18"/>
                <w:szCs w:val="18"/>
                <w:highlight w:val="none"/>
              </w:rPr>
              <w:t>2</w:t>
            </w:r>
          </w:p>
        </w:tc>
        <w:tc>
          <w:tcPr>
            <w:tcW w:w="1550" w:type="dxa"/>
            <w:gridSpan w:val="2"/>
            <w:noWrap/>
            <w:vAlign w:val="center"/>
          </w:tcPr>
          <w:p w14:paraId="18A4B2E5">
            <w:pPr>
              <w:rPr>
                <w:rFonts w:ascii="宋体" w:hAnsi="宋体" w:cs="宋体"/>
                <w:color w:val="auto"/>
                <w:sz w:val="18"/>
                <w:szCs w:val="18"/>
                <w:highlight w:val="none"/>
              </w:rPr>
            </w:pPr>
            <w:r>
              <w:rPr>
                <w:rFonts w:hint="eastAsia" w:ascii="宋体" w:hAnsi="宋体" w:cs="宋体"/>
                <w:color w:val="auto"/>
                <w:sz w:val="18"/>
                <w:szCs w:val="18"/>
                <w:highlight w:val="none"/>
              </w:rPr>
              <w:t>土肥管理</w:t>
            </w:r>
          </w:p>
        </w:tc>
        <w:tc>
          <w:tcPr>
            <w:tcW w:w="5836" w:type="dxa"/>
            <w:noWrap/>
            <w:vAlign w:val="center"/>
          </w:tcPr>
          <w:p w14:paraId="119EB703">
            <w:pPr>
              <w:jc w:val="left"/>
              <w:rPr>
                <w:rFonts w:ascii="宋体" w:hAnsi="宋体" w:cs="宋体"/>
                <w:color w:val="auto"/>
                <w:sz w:val="18"/>
                <w:szCs w:val="18"/>
                <w:highlight w:val="none"/>
              </w:rPr>
            </w:pPr>
            <w:r>
              <w:rPr>
                <w:rFonts w:hint="eastAsia" w:ascii="宋体" w:hAnsi="宋体" w:cs="宋体"/>
                <w:color w:val="auto"/>
                <w:sz w:val="18"/>
                <w:szCs w:val="18"/>
                <w:highlight w:val="none"/>
              </w:rPr>
              <w:t>未按规范及要求开展施肥工作，扣0.1-1分/次；造成不良后果的，扣1-5分/次。</w:t>
            </w:r>
          </w:p>
        </w:tc>
        <w:tc>
          <w:tcPr>
            <w:tcW w:w="2062" w:type="dxa"/>
            <w:noWrap/>
            <w:vAlign w:val="center"/>
          </w:tcPr>
          <w:p w14:paraId="138C64F6">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视情节扣0-5000元/次</w:t>
            </w:r>
          </w:p>
        </w:tc>
      </w:tr>
      <w:tr w14:paraId="3DDF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425" w:type="dxa"/>
            <w:noWrap/>
            <w:vAlign w:val="center"/>
          </w:tcPr>
          <w:p w14:paraId="43B3ED84">
            <w:pPr>
              <w:jc w:val="center"/>
              <w:rPr>
                <w:rFonts w:ascii="宋体" w:hAnsi="宋体"/>
                <w:color w:val="auto"/>
                <w:sz w:val="18"/>
                <w:szCs w:val="18"/>
                <w:highlight w:val="none"/>
              </w:rPr>
            </w:pPr>
            <w:r>
              <w:rPr>
                <w:rFonts w:hint="eastAsia" w:ascii="宋体" w:hAnsi="宋体"/>
                <w:color w:val="auto"/>
                <w:sz w:val="18"/>
                <w:szCs w:val="18"/>
                <w:highlight w:val="none"/>
              </w:rPr>
              <w:t>3</w:t>
            </w:r>
          </w:p>
        </w:tc>
        <w:tc>
          <w:tcPr>
            <w:tcW w:w="1550" w:type="dxa"/>
            <w:gridSpan w:val="2"/>
            <w:noWrap/>
            <w:vAlign w:val="center"/>
          </w:tcPr>
          <w:p w14:paraId="7124069C">
            <w:pPr>
              <w:rPr>
                <w:rFonts w:ascii="宋体" w:hAnsi="宋体" w:cs="宋体"/>
                <w:color w:val="auto"/>
                <w:sz w:val="18"/>
                <w:szCs w:val="18"/>
                <w:highlight w:val="none"/>
              </w:rPr>
            </w:pPr>
            <w:r>
              <w:rPr>
                <w:rFonts w:hint="eastAsia" w:ascii="宋体" w:hAnsi="宋体" w:cs="宋体"/>
                <w:color w:val="auto"/>
                <w:sz w:val="18"/>
                <w:szCs w:val="18"/>
                <w:highlight w:val="none"/>
              </w:rPr>
              <w:t>水分管理</w:t>
            </w:r>
          </w:p>
        </w:tc>
        <w:tc>
          <w:tcPr>
            <w:tcW w:w="5836" w:type="dxa"/>
            <w:noWrap/>
            <w:vAlign w:val="center"/>
          </w:tcPr>
          <w:p w14:paraId="112DDCC9">
            <w:pPr>
              <w:jc w:val="left"/>
              <w:rPr>
                <w:rFonts w:ascii="宋体" w:hAnsi="宋体" w:cs="宋体"/>
                <w:color w:val="auto"/>
                <w:sz w:val="18"/>
                <w:szCs w:val="18"/>
                <w:highlight w:val="none"/>
              </w:rPr>
            </w:pPr>
            <w:r>
              <w:rPr>
                <w:rFonts w:hint="eastAsia" w:ascii="宋体" w:hAnsi="宋体" w:cs="宋体"/>
                <w:color w:val="auto"/>
                <w:sz w:val="18"/>
                <w:szCs w:val="18"/>
                <w:highlight w:val="none"/>
              </w:rPr>
              <w:t>未按规范及要求开展淋水作业的，扣0.1-1分/次；造成植物出现干旱缺水现象，扣1-5分/处；未按要求处理绿地积水，造成植物泡水的，扣0.1-5分/处。</w:t>
            </w:r>
          </w:p>
        </w:tc>
        <w:tc>
          <w:tcPr>
            <w:tcW w:w="2062" w:type="dxa"/>
            <w:noWrap/>
            <w:vAlign w:val="center"/>
          </w:tcPr>
          <w:p w14:paraId="3D7D80D9">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w:t>
            </w:r>
          </w:p>
        </w:tc>
      </w:tr>
      <w:tr w14:paraId="2C6AA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5" w:type="dxa"/>
            <w:noWrap/>
            <w:vAlign w:val="center"/>
          </w:tcPr>
          <w:p w14:paraId="07976E55">
            <w:pPr>
              <w:jc w:val="center"/>
              <w:rPr>
                <w:rFonts w:ascii="宋体" w:hAnsi="宋体"/>
                <w:color w:val="auto"/>
                <w:sz w:val="18"/>
                <w:szCs w:val="18"/>
                <w:highlight w:val="none"/>
              </w:rPr>
            </w:pPr>
            <w:r>
              <w:rPr>
                <w:rFonts w:hint="eastAsia" w:ascii="宋体" w:hAnsi="宋体"/>
                <w:color w:val="auto"/>
                <w:sz w:val="18"/>
                <w:szCs w:val="18"/>
                <w:highlight w:val="none"/>
              </w:rPr>
              <w:t>4</w:t>
            </w:r>
          </w:p>
        </w:tc>
        <w:tc>
          <w:tcPr>
            <w:tcW w:w="1550" w:type="dxa"/>
            <w:gridSpan w:val="2"/>
            <w:noWrap/>
            <w:vAlign w:val="center"/>
          </w:tcPr>
          <w:p w14:paraId="318F7ABE">
            <w:pPr>
              <w:rPr>
                <w:rFonts w:ascii="宋体" w:hAnsi="宋体" w:cs="宋体"/>
                <w:color w:val="auto"/>
                <w:sz w:val="18"/>
                <w:szCs w:val="18"/>
                <w:highlight w:val="none"/>
              </w:rPr>
            </w:pPr>
            <w:r>
              <w:rPr>
                <w:rFonts w:hint="eastAsia" w:ascii="宋体" w:hAnsi="宋体" w:cs="宋体"/>
                <w:color w:val="auto"/>
                <w:sz w:val="18"/>
                <w:szCs w:val="18"/>
                <w:highlight w:val="none"/>
              </w:rPr>
              <w:t>植物修剪工作</w:t>
            </w:r>
          </w:p>
        </w:tc>
        <w:tc>
          <w:tcPr>
            <w:tcW w:w="5836" w:type="dxa"/>
            <w:noWrap/>
            <w:vAlign w:val="center"/>
          </w:tcPr>
          <w:p w14:paraId="3708B1EC">
            <w:pPr>
              <w:jc w:val="left"/>
              <w:rPr>
                <w:rFonts w:ascii="宋体" w:hAnsi="宋体" w:cs="宋体"/>
                <w:color w:val="auto"/>
                <w:sz w:val="18"/>
                <w:szCs w:val="18"/>
                <w:highlight w:val="none"/>
              </w:rPr>
            </w:pPr>
            <w:r>
              <w:rPr>
                <w:rFonts w:hint="eastAsia" w:ascii="宋体" w:hAnsi="宋体" w:cs="宋体"/>
                <w:color w:val="auto"/>
                <w:sz w:val="18"/>
                <w:szCs w:val="18"/>
                <w:highlight w:val="none"/>
              </w:rPr>
              <w:t>未按规范或要求进行修剪的，扣0.1-1分/处；修剪不当造成不良后果的，扣1-5分/处；不及时修剪影响通行、设施设备正常使用的，扣0.1-0.5分/处。</w:t>
            </w:r>
          </w:p>
        </w:tc>
        <w:tc>
          <w:tcPr>
            <w:tcW w:w="2062" w:type="dxa"/>
            <w:noWrap/>
            <w:vAlign w:val="center"/>
          </w:tcPr>
          <w:p w14:paraId="265D67FD">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视情节扣0-5000元/次</w:t>
            </w:r>
          </w:p>
        </w:tc>
      </w:tr>
      <w:tr w14:paraId="39C25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25" w:type="dxa"/>
            <w:noWrap/>
            <w:vAlign w:val="center"/>
          </w:tcPr>
          <w:p w14:paraId="6493FEF5">
            <w:pPr>
              <w:jc w:val="center"/>
              <w:rPr>
                <w:rFonts w:ascii="宋体" w:hAnsi="宋体"/>
                <w:color w:val="auto"/>
                <w:sz w:val="18"/>
                <w:szCs w:val="18"/>
                <w:highlight w:val="none"/>
              </w:rPr>
            </w:pPr>
            <w:r>
              <w:rPr>
                <w:rFonts w:hint="eastAsia" w:ascii="宋体" w:hAnsi="宋体"/>
                <w:color w:val="auto"/>
                <w:sz w:val="18"/>
                <w:szCs w:val="18"/>
                <w:highlight w:val="none"/>
              </w:rPr>
              <w:t>5</w:t>
            </w:r>
          </w:p>
        </w:tc>
        <w:tc>
          <w:tcPr>
            <w:tcW w:w="1550" w:type="dxa"/>
            <w:gridSpan w:val="2"/>
            <w:noWrap/>
            <w:vAlign w:val="center"/>
          </w:tcPr>
          <w:p w14:paraId="700E1073">
            <w:pPr>
              <w:rPr>
                <w:rFonts w:ascii="宋体" w:hAnsi="宋体" w:cs="宋体"/>
                <w:color w:val="auto"/>
                <w:sz w:val="18"/>
                <w:szCs w:val="18"/>
                <w:highlight w:val="none"/>
              </w:rPr>
            </w:pPr>
            <w:r>
              <w:rPr>
                <w:rFonts w:hint="eastAsia" w:ascii="宋体" w:hAnsi="宋体"/>
                <w:color w:val="auto"/>
                <w:sz w:val="18"/>
                <w:szCs w:val="18"/>
                <w:highlight w:val="none"/>
              </w:rPr>
              <w:t>松土除杂</w:t>
            </w:r>
          </w:p>
        </w:tc>
        <w:tc>
          <w:tcPr>
            <w:tcW w:w="5836" w:type="dxa"/>
            <w:noWrap/>
            <w:vAlign w:val="center"/>
          </w:tcPr>
          <w:p w14:paraId="36C0EAC6">
            <w:pPr>
              <w:jc w:val="left"/>
              <w:rPr>
                <w:rFonts w:ascii="宋体" w:hAnsi="宋体" w:cs="宋体"/>
                <w:color w:val="auto"/>
                <w:sz w:val="18"/>
                <w:szCs w:val="18"/>
                <w:highlight w:val="none"/>
              </w:rPr>
            </w:pPr>
            <w:r>
              <w:rPr>
                <w:rFonts w:hint="eastAsia" w:ascii="宋体" w:hAnsi="宋体" w:cs="宋体"/>
                <w:color w:val="auto"/>
                <w:sz w:val="18"/>
                <w:szCs w:val="18"/>
                <w:highlight w:val="none"/>
              </w:rPr>
              <w:t>未按规范或要求松土，做树盘，扣0.1-1分/次；未按规范或要求清理杂草，扣0.1-3分/处。</w:t>
            </w:r>
          </w:p>
        </w:tc>
        <w:tc>
          <w:tcPr>
            <w:tcW w:w="2062" w:type="dxa"/>
            <w:noWrap/>
            <w:vAlign w:val="center"/>
          </w:tcPr>
          <w:p w14:paraId="38D87E57">
            <w:pPr>
              <w:jc w:val="left"/>
              <w:rPr>
                <w:rFonts w:ascii="宋体" w:hAnsi="宋体" w:cs="宋体"/>
                <w:color w:val="auto"/>
                <w:sz w:val="18"/>
                <w:szCs w:val="18"/>
                <w:highlight w:val="none"/>
              </w:rPr>
            </w:pPr>
          </w:p>
        </w:tc>
      </w:tr>
      <w:tr w14:paraId="0EF5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atLeast"/>
        </w:trPr>
        <w:tc>
          <w:tcPr>
            <w:tcW w:w="425" w:type="dxa"/>
            <w:noWrap/>
            <w:vAlign w:val="center"/>
          </w:tcPr>
          <w:p w14:paraId="606AC8F1">
            <w:pPr>
              <w:jc w:val="center"/>
              <w:rPr>
                <w:rFonts w:ascii="宋体" w:hAnsi="宋体"/>
                <w:color w:val="auto"/>
                <w:sz w:val="18"/>
                <w:szCs w:val="18"/>
                <w:highlight w:val="none"/>
              </w:rPr>
            </w:pPr>
            <w:r>
              <w:rPr>
                <w:rFonts w:hint="eastAsia" w:ascii="宋体" w:hAnsi="宋体"/>
                <w:color w:val="auto"/>
                <w:sz w:val="18"/>
                <w:szCs w:val="18"/>
                <w:highlight w:val="none"/>
              </w:rPr>
              <w:t>6</w:t>
            </w:r>
          </w:p>
        </w:tc>
        <w:tc>
          <w:tcPr>
            <w:tcW w:w="1550" w:type="dxa"/>
            <w:gridSpan w:val="2"/>
            <w:noWrap/>
            <w:vAlign w:val="center"/>
          </w:tcPr>
          <w:p w14:paraId="389F577B">
            <w:pPr>
              <w:rPr>
                <w:rFonts w:ascii="宋体" w:hAnsi="宋体" w:cs="宋体"/>
                <w:color w:val="auto"/>
                <w:sz w:val="18"/>
                <w:szCs w:val="18"/>
                <w:highlight w:val="none"/>
              </w:rPr>
            </w:pPr>
            <w:r>
              <w:rPr>
                <w:rFonts w:hint="eastAsia" w:ascii="宋体" w:hAnsi="宋体"/>
                <w:color w:val="auto"/>
                <w:sz w:val="18"/>
                <w:szCs w:val="18"/>
                <w:highlight w:val="none"/>
              </w:rPr>
              <w:t>病虫害防治</w:t>
            </w:r>
          </w:p>
        </w:tc>
        <w:tc>
          <w:tcPr>
            <w:tcW w:w="5836" w:type="dxa"/>
            <w:noWrap/>
            <w:vAlign w:val="center"/>
          </w:tcPr>
          <w:p w14:paraId="3B965C0D">
            <w:pPr>
              <w:jc w:val="left"/>
              <w:rPr>
                <w:rFonts w:ascii="宋体" w:hAnsi="宋体" w:cs="宋体"/>
                <w:color w:val="auto"/>
                <w:sz w:val="18"/>
                <w:szCs w:val="18"/>
                <w:highlight w:val="none"/>
              </w:rPr>
            </w:pPr>
            <w:r>
              <w:rPr>
                <w:rFonts w:hint="eastAsia" w:ascii="宋体" w:hAnsi="宋体" w:cs="宋体"/>
                <w:color w:val="auto"/>
                <w:sz w:val="18"/>
                <w:szCs w:val="18"/>
                <w:highlight w:val="none"/>
              </w:rPr>
              <w:t>未按规范或要求开展病虫害防治，扣0.1-2分/次；大面积病虫害</w:t>
            </w:r>
            <w:r>
              <w:rPr>
                <w:rFonts w:hint="eastAsia" w:ascii="宋体" w:hAnsi="宋体" w:cs="宋体"/>
                <w:color w:val="auto"/>
                <w:sz w:val="18"/>
                <w:szCs w:val="18"/>
                <w:highlight w:val="none"/>
                <w:lang w:val="en-US" w:eastAsia="zh-CN"/>
              </w:rPr>
              <w:t>爆发</w:t>
            </w:r>
            <w:r>
              <w:rPr>
                <w:rFonts w:hint="eastAsia" w:ascii="宋体" w:hAnsi="宋体" w:cs="宋体"/>
                <w:color w:val="auto"/>
                <w:sz w:val="18"/>
                <w:szCs w:val="18"/>
                <w:highlight w:val="none"/>
              </w:rPr>
              <w:t>或药害，扣2-5分/处；违规使用禁药、限药、高毒农药，扣2分/种。</w:t>
            </w:r>
          </w:p>
        </w:tc>
        <w:tc>
          <w:tcPr>
            <w:tcW w:w="2062" w:type="dxa"/>
            <w:noWrap/>
            <w:vAlign w:val="center"/>
          </w:tcPr>
          <w:p w14:paraId="1207CB97">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视情节扣0-5000元/次</w:t>
            </w:r>
          </w:p>
        </w:tc>
      </w:tr>
      <w:tr w14:paraId="2972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25" w:type="dxa"/>
            <w:noWrap/>
            <w:vAlign w:val="center"/>
          </w:tcPr>
          <w:p w14:paraId="4BA13D34">
            <w:pPr>
              <w:jc w:val="center"/>
              <w:rPr>
                <w:rFonts w:ascii="宋体" w:hAnsi="宋体"/>
                <w:color w:val="auto"/>
                <w:sz w:val="18"/>
                <w:szCs w:val="18"/>
                <w:highlight w:val="none"/>
              </w:rPr>
            </w:pPr>
            <w:r>
              <w:rPr>
                <w:rFonts w:hint="eastAsia" w:ascii="宋体" w:hAnsi="宋体"/>
                <w:color w:val="auto"/>
                <w:sz w:val="18"/>
                <w:szCs w:val="18"/>
                <w:highlight w:val="none"/>
              </w:rPr>
              <w:t>7</w:t>
            </w:r>
          </w:p>
        </w:tc>
        <w:tc>
          <w:tcPr>
            <w:tcW w:w="1550" w:type="dxa"/>
            <w:gridSpan w:val="2"/>
            <w:noWrap/>
            <w:vAlign w:val="center"/>
          </w:tcPr>
          <w:p w14:paraId="01D05292">
            <w:pPr>
              <w:rPr>
                <w:rFonts w:ascii="宋体" w:hAnsi="宋体" w:cs="宋体"/>
                <w:color w:val="auto"/>
                <w:sz w:val="18"/>
                <w:szCs w:val="18"/>
                <w:highlight w:val="none"/>
              </w:rPr>
            </w:pPr>
            <w:r>
              <w:rPr>
                <w:rFonts w:hint="eastAsia" w:ascii="宋体" w:hAnsi="宋体"/>
                <w:color w:val="auto"/>
                <w:sz w:val="18"/>
                <w:szCs w:val="18"/>
                <w:highlight w:val="none"/>
              </w:rPr>
              <w:t>植物防护</w:t>
            </w:r>
          </w:p>
        </w:tc>
        <w:tc>
          <w:tcPr>
            <w:tcW w:w="5836" w:type="dxa"/>
            <w:noWrap/>
            <w:vAlign w:val="center"/>
          </w:tcPr>
          <w:p w14:paraId="2F0062A6">
            <w:pPr>
              <w:jc w:val="left"/>
              <w:rPr>
                <w:rFonts w:ascii="宋体" w:hAnsi="宋体" w:cs="宋体"/>
                <w:color w:val="auto"/>
                <w:sz w:val="18"/>
                <w:szCs w:val="18"/>
                <w:highlight w:val="none"/>
              </w:rPr>
            </w:pPr>
            <w:r>
              <w:rPr>
                <w:rFonts w:hint="eastAsia" w:ascii="宋体" w:hAnsi="宋体" w:cs="宋体"/>
                <w:color w:val="auto"/>
                <w:sz w:val="18"/>
                <w:szCs w:val="18"/>
                <w:highlight w:val="none"/>
              </w:rPr>
              <w:t>未按要求开展植物防护工作（包括支撑、防寒等），造成植物不良后果的，扣1-3分/处。</w:t>
            </w:r>
          </w:p>
        </w:tc>
        <w:tc>
          <w:tcPr>
            <w:tcW w:w="2062" w:type="dxa"/>
            <w:noWrap/>
            <w:vAlign w:val="center"/>
          </w:tcPr>
          <w:p w14:paraId="6C610E53">
            <w:pPr>
              <w:jc w:val="left"/>
              <w:rPr>
                <w:rFonts w:ascii="宋体" w:hAnsi="宋体" w:cs="宋体"/>
                <w:color w:val="auto"/>
                <w:sz w:val="18"/>
                <w:szCs w:val="18"/>
                <w:highlight w:val="none"/>
              </w:rPr>
            </w:pPr>
          </w:p>
        </w:tc>
      </w:tr>
      <w:tr w14:paraId="28CA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5" w:hRule="atLeast"/>
        </w:trPr>
        <w:tc>
          <w:tcPr>
            <w:tcW w:w="425" w:type="dxa"/>
            <w:noWrap/>
            <w:vAlign w:val="center"/>
          </w:tcPr>
          <w:p w14:paraId="5542CA2B">
            <w:pPr>
              <w:jc w:val="center"/>
              <w:rPr>
                <w:rFonts w:ascii="宋体" w:hAnsi="宋体"/>
                <w:color w:val="auto"/>
                <w:sz w:val="18"/>
                <w:szCs w:val="18"/>
                <w:highlight w:val="none"/>
              </w:rPr>
            </w:pPr>
            <w:r>
              <w:rPr>
                <w:rFonts w:hint="eastAsia" w:ascii="宋体" w:hAnsi="宋体"/>
                <w:color w:val="auto"/>
                <w:sz w:val="18"/>
                <w:szCs w:val="18"/>
                <w:highlight w:val="none"/>
              </w:rPr>
              <w:t>8</w:t>
            </w:r>
          </w:p>
        </w:tc>
        <w:tc>
          <w:tcPr>
            <w:tcW w:w="1550" w:type="dxa"/>
            <w:gridSpan w:val="2"/>
            <w:noWrap/>
            <w:vAlign w:val="center"/>
          </w:tcPr>
          <w:p w14:paraId="2DDFE181">
            <w:pPr>
              <w:rPr>
                <w:rFonts w:ascii="宋体" w:hAnsi="宋体" w:cs="宋体"/>
                <w:color w:val="auto"/>
                <w:sz w:val="18"/>
                <w:szCs w:val="18"/>
                <w:highlight w:val="none"/>
              </w:rPr>
            </w:pPr>
            <w:r>
              <w:rPr>
                <w:rFonts w:hint="eastAsia" w:ascii="宋体" w:hAnsi="宋体"/>
                <w:color w:val="auto"/>
                <w:sz w:val="18"/>
                <w:szCs w:val="18"/>
                <w:highlight w:val="none"/>
              </w:rPr>
              <w:t>清理工作</w:t>
            </w:r>
          </w:p>
        </w:tc>
        <w:tc>
          <w:tcPr>
            <w:tcW w:w="5836" w:type="dxa"/>
            <w:noWrap/>
            <w:vAlign w:val="center"/>
          </w:tcPr>
          <w:p w14:paraId="3A18C752">
            <w:pPr>
              <w:jc w:val="left"/>
              <w:rPr>
                <w:rFonts w:ascii="宋体" w:hAnsi="宋体" w:cs="宋体"/>
                <w:color w:val="auto"/>
                <w:sz w:val="18"/>
                <w:szCs w:val="18"/>
                <w:highlight w:val="none"/>
              </w:rPr>
            </w:pPr>
            <w:r>
              <w:rPr>
                <w:rFonts w:hint="eastAsia" w:ascii="宋体" w:hAnsi="宋体" w:cs="宋体"/>
                <w:color w:val="auto"/>
                <w:sz w:val="18"/>
                <w:szCs w:val="18"/>
                <w:highlight w:val="none"/>
              </w:rPr>
              <w:t>有寄生、钉挂物、缠绕杂物,扣0.1-0.5分/处；未清理存在安全隐患的枝叶，扣0.1-0.5分/处；未及时清理死树及树桩，扣0.1-0.5分/处；不按要求处置和清理绿化垃圾，扣0.1-0.5分/处。</w:t>
            </w:r>
          </w:p>
        </w:tc>
        <w:tc>
          <w:tcPr>
            <w:tcW w:w="2062" w:type="dxa"/>
            <w:noWrap/>
            <w:vAlign w:val="center"/>
          </w:tcPr>
          <w:p w14:paraId="226B48FD">
            <w:pPr>
              <w:jc w:val="left"/>
              <w:rPr>
                <w:rFonts w:ascii="宋体" w:hAnsi="宋体" w:cs="宋体"/>
                <w:color w:val="auto"/>
                <w:sz w:val="18"/>
                <w:szCs w:val="18"/>
                <w:highlight w:val="none"/>
              </w:rPr>
            </w:pPr>
          </w:p>
        </w:tc>
      </w:tr>
      <w:tr w14:paraId="5338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9" w:hRule="atLeast"/>
        </w:trPr>
        <w:tc>
          <w:tcPr>
            <w:tcW w:w="425" w:type="dxa"/>
            <w:vMerge w:val="restart"/>
            <w:noWrap/>
            <w:vAlign w:val="center"/>
          </w:tcPr>
          <w:p w14:paraId="40521B83">
            <w:pPr>
              <w:jc w:val="center"/>
              <w:rPr>
                <w:rFonts w:ascii="宋体" w:hAnsi="宋体"/>
                <w:color w:val="auto"/>
                <w:sz w:val="18"/>
                <w:szCs w:val="18"/>
                <w:highlight w:val="none"/>
              </w:rPr>
            </w:pPr>
            <w:r>
              <w:rPr>
                <w:rFonts w:hint="eastAsia" w:ascii="宋体" w:hAnsi="宋体"/>
                <w:color w:val="auto"/>
                <w:sz w:val="18"/>
                <w:szCs w:val="18"/>
                <w:highlight w:val="none"/>
              </w:rPr>
              <w:t>9</w:t>
            </w:r>
          </w:p>
        </w:tc>
        <w:tc>
          <w:tcPr>
            <w:tcW w:w="404" w:type="dxa"/>
            <w:vMerge w:val="restart"/>
            <w:noWrap/>
            <w:vAlign w:val="center"/>
          </w:tcPr>
          <w:p w14:paraId="41733706">
            <w:pPr>
              <w:rPr>
                <w:rFonts w:ascii="宋体" w:hAnsi="宋体" w:cs="宋体"/>
                <w:color w:val="auto"/>
                <w:sz w:val="18"/>
                <w:szCs w:val="18"/>
                <w:highlight w:val="none"/>
              </w:rPr>
            </w:pPr>
            <w:r>
              <w:rPr>
                <w:rFonts w:hint="eastAsia" w:ascii="宋体" w:hAnsi="宋体"/>
                <w:color w:val="auto"/>
                <w:sz w:val="18"/>
                <w:szCs w:val="18"/>
                <w:highlight w:val="none"/>
              </w:rPr>
              <w:t>景观效果</w:t>
            </w:r>
          </w:p>
        </w:tc>
        <w:tc>
          <w:tcPr>
            <w:tcW w:w="1146" w:type="dxa"/>
            <w:noWrap/>
            <w:vAlign w:val="center"/>
          </w:tcPr>
          <w:p w14:paraId="1689EE78">
            <w:pPr>
              <w:rPr>
                <w:rFonts w:ascii="宋体" w:hAnsi="宋体"/>
                <w:color w:val="auto"/>
                <w:sz w:val="18"/>
                <w:szCs w:val="18"/>
                <w:highlight w:val="none"/>
              </w:rPr>
            </w:pPr>
            <w:r>
              <w:rPr>
                <w:rFonts w:hint="eastAsia" w:ascii="宋体" w:hAnsi="宋体"/>
                <w:color w:val="auto"/>
                <w:sz w:val="18"/>
                <w:szCs w:val="18"/>
                <w:highlight w:val="none"/>
              </w:rPr>
              <w:t>补种</w:t>
            </w:r>
          </w:p>
        </w:tc>
        <w:tc>
          <w:tcPr>
            <w:tcW w:w="5836" w:type="dxa"/>
            <w:noWrap/>
            <w:vAlign w:val="center"/>
          </w:tcPr>
          <w:p w14:paraId="1668D1EC">
            <w:pPr>
              <w:jc w:val="left"/>
              <w:rPr>
                <w:rFonts w:ascii="宋体" w:hAnsi="宋体" w:cs="宋体"/>
                <w:color w:val="auto"/>
                <w:sz w:val="18"/>
                <w:szCs w:val="18"/>
                <w:highlight w:val="none"/>
              </w:rPr>
            </w:pPr>
            <w:r>
              <w:rPr>
                <w:rFonts w:hint="eastAsia" w:ascii="宋体" w:hAnsi="宋体" w:cs="宋体"/>
                <w:color w:val="auto"/>
                <w:sz w:val="18"/>
                <w:szCs w:val="18"/>
                <w:highlight w:val="none"/>
              </w:rPr>
              <w:t>绿地内出现缺株、死株，黄土裸露现象，扣0.1-3分/处；补植苗木不符合要求的，扣0.1-2分/处；零星施工绿化不及时恢复的，扣0.1-1分。</w:t>
            </w:r>
          </w:p>
        </w:tc>
        <w:tc>
          <w:tcPr>
            <w:tcW w:w="2062" w:type="dxa"/>
            <w:noWrap/>
            <w:vAlign w:val="center"/>
          </w:tcPr>
          <w:p w14:paraId="2153E911">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w:t>
            </w:r>
          </w:p>
        </w:tc>
      </w:tr>
      <w:tr w14:paraId="2447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425" w:type="dxa"/>
            <w:vMerge w:val="continue"/>
            <w:noWrap/>
            <w:vAlign w:val="center"/>
          </w:tcPr>
          <w:p w14:paraId="3EB8BAB3">
            <w:pPr>
              <w:jc w:val="center"/>
              <w:rPr>
                <w:rFonts w:ascii="宋体" w:hAnsi="宋体"/>
                <w:color w:val="auto"/>
                <w:sz w:val="18"/>
                <w:szCs w:val="18"/>
                <w:highlight w:val="none"/>
              </w:rPr>
            </w:pPr>
          </w:p>
        </w:tc>
        <w:tc>
          <w:tcPr>
            <w:tcW w:w="404" w:type="dxa"/>
            <w:vMerge w:val="continue"/>
            <w:noWrap/>
            <w:vAlign w:val="center"/>
          </w:tcPr>
          <w:p w14:paraId="62D64229">
            <w:pPr>
              <w:rPr>
                <w:rFonts w:ascii="宋体" w:hAnsi="宋体"/>
                <w:color w:val="auto"/>
                <w:sz w:val="18"/>
                <w:szCs w:val="18"/>
                <w:highlight w:val="none"/>
              </w:rPr>
            </w:pPr>
          </w:p>
        </w:tc>
        <w:tc>
          <w:tcPr>
            <w:tcW w:w="1146" w:type="dxa"/>
            <w:noWrap/>
            <w:vAlign w:val="center"/>
          </w:tcPr>
          <w:p w14:paraId="664768F9">
            <w:pPr>
              <w:rPr>
                <w:rFonts w:ascii="宋体" w:hAnsi="宋体"/>
                <w:color w:val="auto"/>
                <w:sz w:val="18"/>
                <w:szCs w:val="18"/>
                <w:highlight w:val="none"/>
              </w:rPr>
            </w:pPr>
            <w:r>
              <w:rPr>
                <w:rFonts w:hint="eastAsia" w:ascii="宋体" w:hAnsi="宋体"/>
                <w:color w:val="auto"/>
                <w:sz w:val="18"/>
                <w:szCs w:val="18"/>
                <w:highlight w:val="none"/>
              </w:rPr>
              <w:t>草地更新</w:t>
            </w:r>
          </w:p>
        </w:tc>
        <w:tc>
          <w:tcPr>
            <w:tcW w:w="5836" w:type="dxa"/>
            <w:noWrap/>
            <w:vAlign w:val="center"/>
          </w:tcPr>
          <w:p w14:paraId="2951C121">
            <w:pPr>
              <w:jc w:val="left"/>
              <w:rPr>
                <w:rFonts w:ascii="宋体" w:hAnsi="宋体" w:cs="宋体"/>
                <w:color w:val="auto"/>
                <w:sz w:val="18"/>
                <w:szCs w:val="18"/>
                <w:highlight w:val="none"/>
              </w:rPr>
            </w:pPr>
            <w:r>
              <w:rPr>
                <w:rFonts w:hint="eastAsia" w:ascii="宋体" w:hAnsi="宋体"/>
                <w:bCs/>
                <w:color w:val="auto"/>
                <w:kern w:val="0"/>
                <w:sz w:val="18"/>
                <w:szCs w:val="18"/>
                <w:highlight w:val="none"/>
              </w:rPr>
              <w:t>不按要求开展工作的，扣0.1-2分/次。</w:t>
            </w:r>
          </w:p>
        </w:tc>
        <w:tc>
          <w:tcPr>
            <w:tcW w:w="2062" w:type="dxa"/>
            <w:noWrap/>
            <w:vAlign w:val="center"/>
          </w:tcPr>
          <w:p w14:paraId="178EF917">
            <w:pPr>
              <w:spacing w:line="280" w:lineRule="exact"/>
              <w:jc w:val="left"/>
              <w:rPr>
                <w:rFonts w:ascii="宋体" w:hAnsi="宋体" w:cs="宋体"/>
                <w:color w:val="auto"/>
                <w:sz w:val="18"/>
                <w:szCs w:val="18"/>
                <w:highlight w:val="none"/>
              </w:rPr>
            </w:pPr>
            <w:r>
              <w:rPr>
                <w:rFonts w:hint="eastAsia" w:ascii="宋体" w:hAnsi="宋体"/>
                <w:bCs/>
                <w:color w:val="auto"/>
                <w:sz w:val="18"/>
                <w:szCs w:val="18"/>
                <w:highlight w:val="none"/>
              </w:rPr>
              <w:t>视情节扣0-20000元</w:t>
            </w:r>
          </w:p>
        </w:tc>
      </w:tr>
      <w:tr w14:paraId="6DFE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5" w:hRule="atLeast"/>
        </w:trPr>
        <w:tc>
          <w:tcPr>
            <w:tcW w:w="425" w:type="dxa"/>
            <w:noWrap/>
            <w:vAlign w:val="center"/>
          </w:tcPr>
          <w:p w14:paraId="4E963F44">
            <w:pPr>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1550" w:type="dxa"/>
            <w:gridSpan w:val="2"/>
            <w:noWrap/>
            <w:vAlign w:val="center"/>
          </w:tcPr>
          <w:p w14:paraId="76D93CEA">
            <w:pPr>
              <w:rPr>
                <w:rFonts w:ascii="宋体" w:hAnsi="宋体" w:cs="宋体"/>
                <w:color w:val="auto"/>
                <w:sz w:val="18"/>
                <w:szCs w:val="18"/>
                <w:highlight w:val="none"/>
              </w:rPr>
            </w:pPr>
            <w:r>
              <w:rPr>
                <w:rFonts w:hint="eastAsia" w:ascii="宋体" w:hAnsi="宋体"/>
                <w:color w:val="auto"/>
                <w:sz w:val="18"/>
                <w:szCs w:val="18"/>
                <w:highlight w:val="none"/>
              </w:rPr>
              <w:t>设备设施</w:t>
            </w:r>
          </w:p>
        </w:tc>
        <w:tc>
          <w:tcPr>
            <w:tcW w:w="5836" w:type="dxa"/>
            <w:noWrap/>
            <w:vAlign w:val="center"/>
          </w:tcPr>
          <w:p w14:paraId="3A085B35">
            <w:pPr>
              <w:jc w:val="left"/>
              <w:rPr>
                <w:rFonts w:ascii="宋体" w:hAnsi="宋体" w:cs="宋体"/>
                <w:color w:val="auto"/>
                <w:sz w:val="18"/>
                <w:szCs w:val="18"/>
                <w:highlight w:val="none"/>
              </w:rPr>
            </w:pPr>
            <w:r>
              <w:rPr>
                <w:rFonts w:hint="eastAsia" w:ascii="宋体" w:hAnsi="宋体" w:cs="宋体"/>
                <w:color w:val="auto"/>
                <w:sz w:val="18"/>
                <w:szCs w:val="18"/>
                <w:highlight w:val="none"/>
              </w:rPr>
              <w:t>配套设施设备（如灌溉系统、工具房等）损坏，维修维护不到位的，扣0.1-2分/次；园林及绿化配套设施设备等损坏未及时上报扣0.1-1分/处；作业工具、机械设施设备不定期保养，影响正常养护作业的，扣0.1-1分/次；投入设备设施不足，扣0.5-5分；作业车辆外观不整洁、标识不规范，扣0.1-0.5分/辆。</w:t>
            </w:r>
          </w:p>
        </w:tc>
        <w:tc>
          <w:tcPr>
            <w:tcW w:w="2062" w:type="dxa"/>
            <w:noWrap/>
            <w:vAlign w:val="center"/>
          </w:tcPr>
          <w:p w14:paraId="7D2E14A7">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w:t>
            </w:r>
          </w:p>
        </w:tc>
      </w:tr>
      <w:tr w14:paraId="5A8F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425" w:type="dxa"/>
            <w:noWrap/>
            <w:vAlign w:val="center"/>
          </w:tcPr>
          <w:p w14:paraId="4CF35890">
            <w:pPr>
              <w:jc w:val="center"/>
              <w:rPr>
                <w:rFonts w:ascii="宋体" w:hAnsi="宋体"/>
                <w:color w:val="auto"/>
                <w:sz w:val="18"/>
                <w:szCs w:val="18"/>
                <w:highlight w:val="none"/>
              </w:rPr>
            </w:pPr>
            <w:r>
              <w:rPr>
                <w:rFonts w:hint="eastAsia" w:ascii="宋体" w:hAnsi="宋体"/>
                <w:color w:val="auto"/>
                <w:sz w:val="18"/>
                <w:szCs w:val="18"/>
                <w:highlight w:val="none"/>
              </w:rPr>
              <w:t>11</w:t>
            </w:r>
          </w:p>
        </w:tc>
        <w:tc>
          <w:tcPr>
            <w:tcW w:w="1550" w:type="dxa"/>
            <w:gridSpan w:val="2"/>
            <w:noWrap/>
            <w:vAlign w:val="center"/>
          </w:tcPr>
          <w:p w14:paraId="2FB83DEF">
            <w:pPr>
              <w:rPr>
                <w:rFonts w:ascii="宋体" w:hAnsi="宋体" w:cs="宋体"/>
                <w:color w:val="auto"/>
                <w:sz w:val="18"/>
                <w:szCs w:val="18"/>
                <w:highlight w:val="none"/>
              </w:rPr>
            </w:pPr>
            <w:r>
              <w:rPr>
                <w:rFonts w:hint="eastAsia" w:ascii="宋体" w:hAnsi="宋体" w:cs="宋体"/>
                <w:color w:val="auto"/>
                <w:sz w:val="18"/>
                <w:szCs w:val="18"/>
                <w:highlight w:val="none"/>
              </w:rPr>
              <w:t>内业管理</w:t>
            </w:r>
          </w:p>
        </w:tc>
        <w:tc>
          <w:tcPr>
            <w:tcW w:w="5836" w:type="dxa"/>
            <w:noWrap/>
            <w:vAlign w:val="center"/>
          </w:tcPr>
          <w:p w14:paraId="31422B84">
            <w:pPr>
              <w:jc w:val="left"/>
              <w:rPr>
                <w:rFonts w:ascii="宋体" w:hAnsi="宋体" w:cs="宋体"/>
                <w:color w:val="auto"/>
                <w:sz w:val="18"/>
                <w:szCs w:val="18"/>
                <w:highlight w:val="none"/>
              </w:rPr>
            </w:pPr>
            <w:r>
              <w:rPr>
                <w:rFonts w:hint="eastAsia" w:ascii="宋体" w:hAnsi="宋体" w:cs="宋体"/>
                <w:color w:val="auto"/>
                <w:sz w:val="18"/>
                <w:szCs w:val="18"/>
                <w:highlight w:val="none"/>
              </w:rPr>
              <w:t>不按要求报送各类台</w:t>
            </w:r>
            <w:r>
              <w:rPr>
                <w:rFonts w:hint="eastAsia" w:ascii="宋体" w:hAnsi="宋体" w:cs="宋体"/>
                <w:color w:val="auto"/>
                <w:sz w:val="18"/>
                <w:szCs w:val="18"/>
                <w:highlight w:val="none"/>
                <w:lang w:val="en-US" w:eastAsia="zh-CN"/>
              </w:rPr>
              <w:t>账</w:t>
            </w:r>
            <w:r>
              <w:rPr>
                <w:rFonts w:hint="eastAsia" w:ascii="宋体" w:hAnsi="宋体" w:cs="宋体"/>
                <w:color w:val="auto"/>
                <w:sz w:val="18"/>
                <w:szCs w:val="18"/>
                <w:highlight w:val="none"/>
              </w:rPr>
              <w:t>资料的，扣0.1-2分/次。</w:t>
            </w:r>
          </w:p>
        </w:tc>
        <w:tc>
          <w:tcPr>
            <w:tcW w:w="2062" w:type="dxa"/>
            <w:noWrap/>
            <w:vAlign w:val="center"/>
          </w:tcPr>
          <w:p w14:paraId="4234ED45">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视情节扣0-5000元/次</w:t>
            </w:r>
          </w:p>
        </w:tc>
      </w:tr>
      <w:tr w14:paraId="3BBB2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425" w:type="dxa"/>
            <w:noWrap/>
            <w:vAlign w:val="center"/>
          </w:tcPr>
          <w:p w14:paraId="4015B5AC">
            <w:pPr>
              <w:jc w:val="center"/>
              <w:rPr>
                <w:rFonts w:ascii="宋体" w:hAnsi="宋体"/>
                <w:color w:val="auto"/>
                <w:sz w:val="18"/>
                <w:szCs w:val="18"/>
                <w:highlight w:val="none"/>
              </w:rPr>
            </w:pPr>
            <w:r>
              <w:rPr>
                <w:rFonts w:hint="eastAsia" w:ascii="宋体" w:hAnsi="宋体"/>
                <w:color w:val="auto"/>
                <w:sz w:val="18"/>
                <w:szCs w:val="18"/>
                <w:highlight w:val="none"/>
              </w:rPr>
              <w:t>12</w:t>
            </w:r>
          </w:p>
        </w:tc>
        <w:tc>
          <w:tcPr>
            <w:tcW w:w="1550" w:type="dxa"/>
            <w:gridSpan w:val="2"/>
            <w:noWrap/>
            <w:vAlign w:val="center"/>
          </w:tcPr>
          <w:p w14:paraId="40C71207">
            <w:pPr>
              <w:rPr>
                <w:rFonts w:ascii="宋体" w:hAnsi="宋体" w:cs="宋体"/>
                <w:color w:val="auto"/>
                <w:sz w:val="18"/>
                <w:szCs w:val="18"/>
                <w:highlight w:val="none"/>
              </w:rPr>
            </w:pPr>
            <w:r>
              <w:rPr>
                <w:rFonts w:hint="eastAsia" w:ascii="宋体" w:hAnsi="宋体" w:cs="宋体"/>
                <w:color w:val="auto"/>
                <w:sz w:val="18"/>
                <w:szCs w:val="18"/>
                <w:highlight w:val="none"/>
              </w:rPr>
              <w:t>应急处置</w:t>
            </w:r>
          </w:p>
        </w:tc>
        <w:tc>
          <w:tcPr>
            <w:tcW w:w="5836" w:type="dxa"/>
            <w:noWrap/>
            <w:vAlign w:val="center"/>
          </w:tcPr>
          <w:p w14:paraId="52E27194">
            <w:pPr>
              <w:jc w:val="left"/>
              <w:rPr>
                <w:rFonts w:ascii="宋体" w:hAnsi="宋体" w:cs="宋体"/>
                <w:color w:val="auto"/>
                <w:sz w:val="18"/>
                <w:szCs w:val="18"/>
                <w:highlight w:val="none"/>
              </w:rPr>
            </w:pPr>
            <w:r>
              <w:rPr>
                <w:rFonts w:hint="eastAsia" w:ascii="宋体" w:hAnsi="宋体"/>
                <w:bCs/>
                <w:color w:val="auto"/>
                <w:kern w:val="0"/>
                <w:sz w:val="18"/>
                <w:szCs w:val="18"/>
                <w:highlight w:val="none"/>
              </w:rPr>
              <w:t>出现台风预警、长时间低温、洪涝等极端恶劣天气灾害，不按要求开展工作的，扣0.5-1分/次。</w:t>
            </w:r>
          </w:p>
        </w:tc>
        <w:tc>
          <w:tcPr>
            <w:tcW w:w="2062" w:type="dxa"/>
            <w:noWrap/>
            <w:vAlign w:val="center"/>
          </w:tcPr>
          <w:p w14:paraId="57EF657F">
            <w:pPr>
              <w:jc w:val="left"/>
              <w:rPr>
                <w:rFonts w:ascii="宋体" w:hAnsi="宋体"/>
                <w:bCs/>
                <w:color w:val="auto"/>
                <w:sz w:val="18"/>
                <w:szCs w:val="18"/>
                <w:highlight w:val="none"/>
              </w:rPr>
            </w:pPr>
            <w:r>
              <w:rPr>
                <w:rFonts w:hint="eastAsia" w:ascii="宋体" w:hAnsi="宋体"/>
                <w:bCs/>
                <w:color w:val="auto"/>
                <w:sz w:val="18"/>
                <w:szCs w:val="18"/>
                <w:highlight w:val="none"/>
              </w:rPr>
              <w:t>视情节扣0-5000元/次</w:t>
            </w:r>
          </w:p>
        </w:tc>
      </w:tr>
      <w:tr w14:paraId="5507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5" w:type="dxa"/>
            <w:vMerge w:val="restart"/>
            <w:noWrap/>
            <w:vAlign w:val="center"/>
          </w:tcPr>
          <w:p w14:paraId="5657F8E9">
            <w:pPr>
              <w:jc w:val="center"/>
              <w:rPr>
                <w:rFonts w:ascii="宋体" w:hAnsi="宋体"/>
                <w:color w:val="auto"/>
                <w:sz w:val="18"/>
                <w:szCs w:val="18"/>
                <w:highlight w:val="none"/>
              </w:rPr>
            </w:pPr>
            <w:r>
              <w:rPr>
                <w:rFonts w:hint="eastAsia" w:ascii="宋体" w:hAnsi="宋体"/>
                <w:color w:val="auto"/>
                <w:sz w:val="18"/>
                <w:szCs w:val="18"/>
                <w:highlight w:val="none"/>
              </w:rPr>
              <w:t>13</w:t>
            </w:r>
          </w:p>
        </w:tc>
        <w:tc>
          <w:tcPr>
            <w:tcW w:w="404" w:type="dxa"/>
            <w:vMerge w:val="restart"/>
            <w:noWrap/>
            <w:vAlign w:val="center"/>
          </w:tcPr>
          <w:p w14:paraId="52E4A99C">
            <w:pPr>
              <w:rPr>
                <w:rFonts w:ascii="宋体" w:hAnsi="宋体" w:cs="宋体"/>
                <w:color w:val="auto"/>
                <w:sz w:val="18"/>
                <w:szCs w:val="18"/>
                <w:highlight w:val="none"/>
              </w:rPr>
            </w:pPr>
            <w:r>
              <w:rPr>
                <w:rFonts w:hint="eastAsia" w:ascii="宋体" w:hAnsi="宋体"/>
                <w:color w:val="auto"/>
                <w:sz w:val="18"/>
                <w:szCs w:val="18"/>
                <w:highlight w:val="none"/>
              </w:rPr>
              <w:t>安全生产</w:t>
            </w:r>
          </w:p>
        </w:tc>
        <w:tc>
          <w:tcPr>
            <w:tcW w:w="1146" w:type="dxa"/>
            <w:noWrap/>
            <w:vAlign w:val="center"/>
          </w:tcPr>
          <w:p w14:paraId="66FB4379">
            <w:pPr>
              <w:rPr>
                <w:rFonts w:ascii="宋体" w:hAnsi="宋体" w:cs="宋体"/>
                <w:color w:val="auto"/>
                <w:sz w:val="18"/>
                <w:szCs w:val="18"/>
                <w:highlight w:val="none"/>
              </w:rPr>
            </w:pPr>
            <w:r>
              <w:rPr>
                <w:rFonts w:hint="eastAsia" w:ascii="宋体" w:hAnsi="宋体" w:cs="宋体"/>
                <w:color w:val="auto"/>
                <w:sz w:val="18"/>
                <w:szCs w:val="18"/>
                <w:highlight w:val="none"/>
              </w:rPr>
              <w:t>安全文明作业</w:t>
            </w:r>
          </w:p>
        </w:tc>
        <w:tc>
          <w:tcPr>
            <w:tcW w:w="5836" w:type="dxa"/>
            <w:noWrap/>
            <w:vAlign w:val="center"/>
          </w:tcPr>
          <w:p w14:paraId="79E547F2">
            <w:pPr>
              <w:tabs>
                <w:tab w:val="left" w:pos="0"/>
              </w:tabs>
              <w:spacing w:line="280" w:lineRule="exact"/>
              <w:rPr>
                <w:rFonts w:ascii="宋体" w:hAnsi="宋体" w:cs="宋体"/>
                <w:color w:val="auto"/>
                <w:sz w:val="18"/>
                <w:szCs w:val="18"/>
                <w:highlight w:val="none"/>
              </w:rPr>
            </w:pPr>
            <w:r>
              <w:rPr>
                <w:rFonts w:hint="eastAsia" w:ascii="宋体" w:hAnsi="宋体" w:cs="宋体"/>
                <w:color w:val="auto"/>
                <w:sz w:val="18"/>
                <w:szCs w:val="18"/>
                <w:highlight w:val="none"/>
              </w:rPr>
              <w:t>违反公园安全文明作业管理规定及要求，扣0.1-5分/次；</w:t>
            </w:r>
            <w:r>
              <w:rPr>
                <w:rFonts w:hint="eastAsia" w:ascii="宋体" w:hAnsi="宋体"/>
                <w:bCs/>
                <w:color w:val="auto"/>
                <w:kern w:val="0"/>
                <w:sz w:val="18"/>
                <w:szCs w:val="18"/>
                <w:highlight w:val="none"/>
              </w:rPr>
              <w:t>轻微伤事故：造成人员损伤，构成《人体损伤程度鉴定标准》中的“轻微伤”的，扣2-5分/次；轻伤事故：造成人员损伤，构成《人体损伤程度鉴定标准》中的“轻伤二级”及以上的，扣5-10分/次；重伤及以上事故：造成人员重伤或死亡，重伤以上触发《生产安全事故报告和调查处理条例》（国务院令第493号）的，扣15分及以上/次；财产损失：根据损失价值评估扣2-10分/次。</w:t>
            </w:r>
          </w:p>
        </w:tc>
        <w:tc>
          <w:tcPr>
            <w:tcW w:w="2062" w:type="dxa"/>
            <w:vMerge w:val="restart"/>
            <w:noWrap/>
            <w:vAlign w:val="center"/>
          </w:tcPr>
          <w:p w14:paraId="3AD63189">
            <w:pPr>
              <w:spacing w:line="280" w:lineRule="exact"/>
              <w:jc w:val="left"/>
              <w:rPr>
                <w:rFonts w:ascii="宋体" w:hAnsi="宋体"/>
                <w:bCs/>
                <w:color w:val="auto"/>
                <w:kern w:val="0"/>
                <w:sz w:val="18"/>
                <w:szCs w:val="18"/>
                <w:highlight w:val="none"/>
              </w:rPr>
            </w:pPr>
            <w:r>
              <w:rPr>
                <w:rFonts w:hint="eastAsia" w:ascii="宋体" w:hAnsi="宋体"/>
                <w:bCs/>
                <w:color w:val="auto"/>
                <w:sz w:val="18"/>
                <w:szCs w:val="18"/>
                <w:highlight w:val="none"/>
              </w:rPr>
              <w:t>视情节扣0-20000元/次</w:t>
            </w:r>
          </w:p>
          <w:p w14:paraId="6A5F2667">
            <w:pPr>
              <w:jc w:val="left"/>
              <w:rPr>
                <w:rFonts w:ascii="宋体" w:hAnsi="宋体" w:cs="宋体"/>
                <w:color w:val="auto"/>
                <w:sz w:val="18"/>
                <w:szCs w:val="18"/>
                <w:highlight w:val="none"/>
              </w:rPr>
            </w:pPr>
          </w:p>
        </w:tc>
      </w:tr>
      <w:tr w14:paraId="0C37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5" w:type="dxa"/>
            <w:vMerge w:val="continue"/>
            <w:noWrap/>
            <w:vAlign w:val="center"/>
          </w:tcPr>
          <w:p w14:paraId="025E4480">
            <w:pPr>
              <w:jc w:val="center"/>
              <w:rPr>
                <w:rFonts w:ascii="宋体" w:hAnsi="宋体"/>
                <w:color w:val="auto"/>
                <w:sz w:val="18"/>
                <w:szCs w:val="18"/>
                <w:highlight w:val="none"/>
              </w:rPr>
            </w:pPr>
          </w:p>
        </w:tc>
        <w:tc>
          <w:tcPr>
            <w:tcW w:w="404" w:type="dxa"/>
            <w:vMerge w:val="continue"/>
            <w:noWrap/>
            <w:vAlign w:val="center"/>
          </w:tcPr>
          <w:p w14:paraId="19E628C0">
            <w:pPr>
              <w:rPr>
                <w:rFonts w:ascii="宋体" w:hAnsi="宋体" w:cs="宋体"/>
                <w:color w:val="auto"/>
                <w:sz w:val="18"/>
                <w:szCs w:val="18"/>
                <w:highlight w:val="none"/>
              </w:rPr>
            </w:pPr>
          </w:p>
        </w:tc>
        <w:tc>
          <w:tcPr>
            <w:tcW w:w="1146" w:type="dxa"/>
            <w:noWrap/>
            <w:vAlign w:val="center"/>
          </w:tcPr>
          <w:p w14:paraId="765A0995">
            <w:pPr>
              <w:rPr>
                <w:rFonts w:ascii="宋体" w:hAnsi="宋体" w:cs="宋体"/>
                <w:color w:val="auto"/>
                <w:sz w:val="18"/>
                <w:szCs w:val="18"/>
                <w:highlight w:val="none"/>
              </w:rPr>
            </w:pPr>
            <w:r>
              <w:rPr>
                <w:rFonts w:hint="eastAsia" w:ascii="宋体" w:hAnsi="宋体" w:cs="宋体"/>
                <w:color w:val="auto"/>
                <w:sz w:val="18"/>
                <w:szCs w:val="18"/>
                <w:highlight w:val="none"/>
              </w:rPr>
              <w:t>工具房管理</w:t>
            </w:r>
          </w:p>
        </w:tc>
        <w:tc>
          <w:tcPr>
            <w:tcW w:w="5836" w:type="dxa"/>
            <w:noWrap/>
            <w:vAlign w:val="center"/>
          </w:tcPr>
          <w:p w14:paraId="546BD593">
            <w:pPr>
              <w:jc w:val="left"/>
              <w:rPr>
                <w:rFonts w:ascii="宋体" w:hAnsi="宋体" w:cs="宋体"/>
                <w:color w:val="auto"/>
                <w:sz w:val="18"/>
                <w:szCs w:val="18"/>
                <w:highlight w:val="none"/>
              </w:rPr>
            </w:pPr>
            <w:r>
              <w:rPr>
                <w:rFonts w:hint="eastAsia" w:ascii="宋体" w:hAnsi="宋体" w:cs="宋体"/>
                <w:color w:val="auto"/>
                <w:sz w:val="18"/>
                <w:szCs w:val="18"/>
                <w:highlight w:val="none"/>
              </w:rPr>
              <w:t>违反公园工具房管理规定及要求，扣0.1-5分/次。</w:t>
            </w:r>
          </w:p>
        </w:tc>
        <w:tc>
          <w:tcPr>
            <w:tcW w:w="2062" w:type="dxa"/>
            <w:vMerge w:val="continue"/>
            <w:noWrap/>
            <w:vAlign w:val="center"/>
          </w:tcPr>
          <w:p w14:paraId="3D615504">
            <w:pPr>
              <w:jc w:val="left"/>
              <w:rPr>
                <w:rFonts w:ascii="宋体" w:hAnsi="宋体" w:cs="宋体"/>
                <w:color w:val="auto"/>
                <w:sz w:val="18"/>
                <w:szCs w:val="18"/>
                <w:highlight w:val="none"/>
              </w:rPr>
            </w:pPr>
          </w:p>
        </w:tc>
      </w:tr>
      <w:tr w14:paraId="5937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5" w:type="dxa"/>
            <w:vMerge w:val="continue"/>
            <w:noWrap/>
            <w:vAlign w:val="center"/>
          </w:tcPr>
          <w:p w14:paraId="11F719B0">
            <w:pPr>
              <w:jc w:val="center"/>
              <w:rPr>
                <w:rFonts w:ascii="宋体" w:hAnsi="宋体"/>
                <w:color w:val="auto"/>
                <w:sz w:val="18"/>
                <w:szCs w:val="18"/>
                <w:highlight w:val="none"/>
              </w:rPr>
            </w:pPr>
          </w:p>
        </w:tc>
        <w:tc>
          <w:tcPr>
            <w:tcW w:w="404" w:type="dxa"/>
            <w:vMerge w:val="continue"/>
            <w:noWrap/>
            <w:vAlign w:val="center"/>
          </w:tcPr>
          <w:p w14:paraId="64C7FCC1">
            <w:pPr>
              <w:rPr>
                <w:rFonts w:ascii="宋体" w:hAnsi="宋体" w:cs="宋体"/>
                <w:color w:val="auto"/>
                <w:sz w:val="18"/>
                <w:szCs w:val="18"/>
                <w:highlight w:val="none"/>
              </w:rPr>
            </w:pPr>
          </w:p>
        </w:tc>
        <w:tc>
          <w:tcPr>
            <w:tcW w:w="1146" w:type="dxa"/>
            <w:noWrap/>
            <w:vAlign w:val="center"/>
          </w:tcPr>
          <w:p w14:paraId="0D46348F">
            <w:pPr>
              <w:rPr>
                <w:rFonts w:ascii="宋体" w:hAnsi="宋体" w:cs="宋体"/>
                <w:color w:val="auto"/>
                <w:sz w:val="18"/>
                <w:szCs w:val="18"/>
                <w:highlight w:val="none"/>
              </w:rPr>
            </w:pPr>
            <w:r>
              <w:rPr>
                <w:rFonts w:hint="eastAsia" w:ascii="宋体" w:hAnsi="宋体" w:cs="宋体"/>
                <w:color w:val="auto"/>
                <w:sz w:val="18"/>
                <w:szCs w:val="18"/>
                <w:highlight w:val="none"/>
              </w:rPr>
              <w:t>车辆入园</w:t>
            </w:r>
          </w:p>
        </w:tc>
        <w:tc>
          <w:tcPr>
            <w:tcW w:w="5836" w:type="dxa"/>
            <w:noWrap/>
            <w:vAlign w:val="center"/>
          </w:tcPr>
          <w:p w14:paraId="55F2859B">
            <w:pPr>
              <w:jc w:val="left"/>
              <w:rPr>
                <w:rFonts w:ascii="宋体" w:hAnsi="宋体" w:cs="宋体"/>
                <w:color w:val="auto"/>
                <w:sz w:val="18"/>
                <w:szCs w:val="18"/>
                <w:highlight w:val="none"/>
              </w:rPr>
            </w:pPr>
            <w:r>
              <w:rPr>
                <w:rFonts w:hint="eastAsia" w:ascii="宋体" w:hAnsi="宋体" w:cs="宋体"/>
                <w:color w:val="auto"/>
                <w:sz w:val="18"/>
                <w:szCs w:val="18"/>
                <w:highlight w:val="none"/>
              </w:rPr>
              <w:t>违反公园车辆入园管理规定的，扣0.1-5分/次。</w:t>
            </w:r>
          </w:p>
        </w:tc>
        <w:tc>
          <w:tcPr>
            <w:tcW w:w="2062" w:type="dxa"/>
            <w:vMerge w:val="continue"/>
            <w:noWrap/>
            <w:vAlign w:val="center"/>
          </w:tcPr>
          <w:p w14:paraId="674AB656">
            <w:pPr>
              <w:jc w:val="left"/>
              <w:rPr>
                <w:rFonts w:ascii="宋体" w:hAnsi="宋体" w:cs="宋体"/>
                <w:color w:val="auto"/>
                <w:sz w:val="18"/>
                <w:szCs w:val="18"/>
                <w:highlight w:val="none"/>
              </w:rPr>
            </w:pPr>
          </w:p>
        </w:tc>
      </w:tr>
      <w:tr w14:paraId="5451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25" w:type="dxa"/>
            <w:vMerge w:val="continue"/>
            <w:noWrap/>
            <w:vAlign w:val="center"/>
          </w:tcPr>
          <w:p w14:paraId="0FC32815">
            <w:pPr>
              <w:jc w:val="center"/>
              <w:rPr>
                <w:rFonts w:ascii="宋体" w:hAnsi="宋体"/>
                <w:color w:val="auto"/>
                <w:sz w:val="18"/>
                <w:szCs w:val="18"/>
                <w:highlight w:val="none"/>
              </w:rPr>
            </w:pPr>
          </w:p>
        </w:tc>
        <w:tc>
          <w:tcPr>
            <w:tcW w:w="404" w:type="dxa"/>
            <w:vMerge w:val="continue"/>
            <w:noWrap/>
            <w:vAlign w:val="center"/>
          </w:tcPr>
          <w:p w14:paraId="715DD596">
            <w:pPr>
              <w:rPr>
                <w:rFonts w:ascii="宋体" w:hAnsi="宋体" w:cs="宋体"/>
                <w:color w:val="auto"/>
                <w:sz w:val="18"/>
                <w:szCs w:val="18"/>
                <w:highlight w:val="none"/>
              </w:rPr>
            </w:pPr>
          </w:p>
        </w:tc>
        <w:tc>
          <w:tcPr>
            <w:tcW w:w="1146" w:type="dxa"/>
            <w:noWrap/>
            <w:vAlign w:val="center"/>
          </w:tcPr>
          <w:p w14:paraId="064831CA">
            <w:pPr>
              <w:rPr>
                <w:rFonts w:ascii="宋体" w:hAnsi="宋体" w:cs="宋体"/>
                <w:color w:val="auto"/>
                <w:sz w:val="18"/>
                <w:szCs w:val="18"/>
                <w:highlight w:val="none"/>
              </w:rPr>
            </w:pPr>
            <w:r>
              <w:rPr>
                <w:rFonts w:hint="eastAsia" w:ascii="宋体" w:hAnsi="宋体" w:cs="宋体"/>
                <w:color w:val="auto"/>
                <w:sz w:val="18"/>
                <w:szCs w:val="18"/>
                <w:highlight w:val="none"/>
              </w:rPr>
              <w:t>作业车辆人员管理</w:t>
            </w:r>
          </w:p>
        </w:tc>
        <w:tc>
          <w:tcPr>
            <w:tcW w:w="5836" w:type="dxa"/>
            <w:noWrap/>
            <w:vAlign w:val="center"/>
          </w:tcPr>
          <w:p w14:paraId="407ED20E">
            <w:pPr>
              <w:spacing w:before="100" w:beforeAutospacing="1"/>
              <w:rPr>
                <w:rFonts w:ascii="宋体" w:hAnsi="宋体" w:cs="宋体"/>
                <w:color w:val="auto"/>
                <w:sz w:val="18"/>
                <w:szCs w:val="18"/>
                <w:highlight w:val="none"/>
              </w:rPr>
            </w:pPr>
            <w:r>
              <w:rPr>
                <w:rFonts w:hint="eastAsia" w:ascii="宋体" w:hAnsi="宋体" w:cs="宋体"/>
                <w:color w:val="auto"/>
                <w:sz w:val="18"/>
                <w:szCs w:val="18"/>
                <w:highlight w:val="none"/>
              </w:rPr>
              <w:t>违法违规驾驶作业车辆，扣1-10分/次。</w:t>
            </w:r>
          </w:p>
        </w:tc>
        <w:tc>
          <w:tcPr>
            <w:tcW w:w="2062" w:type="dxa"/>
            <w:vMerge w:val="continue"/>
            <w:noWrap/>
            <w:vAlign w:val="center"/>
          </w:tcPr>
          <w:p w14:paraId="70851F6E">
            <w:pPr>
              <w:spacing w:before="100" w:beforeAutospacing="1"/>
              <w:rPr>
                <w:rFonts w:ascii="宋体" w:hAnsi="宋体" w:cs="宋体"/>
                <w:color w:val="auto"/>
                <w:sz w:val="18"/>
                <w:szCs w:val="18"/>
                <w:highlight w:val="none"/>
              </w:rPr>
            </w:pPr>
          </w:p>
        </w:tc>
      </w:tr>
      <w:tr w14:paraId="2563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5" w:type="dxa"/>
            <w:vMerge w:val="continue"/>
            <w:noWrap/>
            <w:vAlign w:val="center"/>
          </w:tcPr>
          <w:p w14:paraId="1FA3FAD7">
            <w:pPr>
              <w:jc w:val="center"/>
              <w:rPr>
                <w:rFonts w:ascii="宋体" w:hAnsi="宋体"/>
                <w:color w:val="auto"/>
                <w:sz w:val="18"/>
                <w:szCs w:val="18"/>
                <w:highlight w:val="none"/>
              </w:rPr>
            </w:pPr>
          </w:p>
        </w:tc>
        <w:tc>
          <w:tcPr>
            <w:tcW w:w="404" w:type="dxa"/>
            <w:vMerge w:val="continue"/>
            <w:noWrap/>
            <w:vAlign w:val="center"/>
          </w:tcPr>
          <w:p w14:paraId="7328DE20">
            <w:pPr>
              <w:rPr>
                <w:rFonts w:ascii="宋体" w:hAnsi="宋体" w:cs="宋体"/>
                <w:color w:val="auto"/>
                <w:sz w:val="18"/>
                <w:szCs w:val="18"/>
                <w:highlight w:val="none"/>
              </w:rPr>
            </w:pPr>
          </w:p>
        </w:tc>
        <w:tc>
          <w:tcPr>
            <w:tcW w:w="1146" w:type="dxa"/>
            <w:noWrap/>
            <w:vAlign w:val="center"/>
          </w:tcPr>
          <w:p w14:paraId="44CD4C30">
            <w:pPr>
              <w:rPr>
                <w:rFonts w:ascii="宋体" w:hAnsi="宋体" w:cs="宋体"/>
                <w:color w:val="auto"/>
                <w:sz w:val="18"/>
                <w:szCs w:val="18"/>
                <w:highlight w:val="none"/>
              </w:rPr>
            </w:pPr>
            <w:r>
              <w:rPr>
                <w:rFonts w:hint="eastAsia" w:ascii="宋体" w:hAnsi="宋体" w:cs="宋体"/>
                <w:color w:val="auto"/>
                <w:sz w:val="18"/>
                <w:szCs w:val="18"/>
                <w:highlight w:val="none"/>
              </w:rPr>
              <w:t>安全隐患</w:t>
            </w:r>
          </w:p>
        </w:tc>
        <w:tc>
          <w:tcPr>
            <w:tcW w:w="5836" w:type="dxa"/>
            <w:noWrap/>
            <w:vAlign w:val="center"/>
          </w:tcPr>
          <w:p w14:paraId="62A92108">
            <w:pPr>
              <w:jc w:val="left"/>
              <w:rPr>
                <w:rFonts w:ascii="宋体" w:hAnsi="宋体" w:cs="宋体"/>
                <w:color w:val="auto"/>
                <w:sz w:val="18"/>
                <w:szCs w:val="18"/>
                <w:highlight w:val="none"/>
              </w:rPr>
            </w:pPr>
            <w:r>
              <w:rPr>
                <w:rFonts w:hint="eastAsia" w:ascii="宋体" w:hAnsi="宋体" w:cs="宋体"/>
                <w:color w:val="auto"/>
                <w:sz w:val="18"/>
                <w:szCs w:val="18"/>
                <w:highlight w:val="none"/>
              </w:rPr>
              <w:t>不按要求开展安全隐患排查或处置，扣0.2-5分/次。</w:t>
            </w:r>
          </w:p>
        </w:tc>
        <w:tc>
          <w:tcPr>
            <w:tcW w:w="2062" w:type="dxa"/>
            <w:vMerge w:val="continue"/>
            <w:noWrap/>
            <w:vAlign w:val="center"/>
          </w:tcPr>
          <w:p w14:paraId="4306AB53">
            <w:pPr>
              <w:jc w:val="left"/>
              <w:rPr>
                <w:rFonts w:ascii="宋体" w:hAnsi="宋体" w:cs="宋体"/>
                <w:color w:val="auto"/>
                <w:sz w:val="18"/>
                <w:szCs w:val="18"/>
                <w:highlight w:val="none"/>
              </w:rPr>
            </w:pPr>
          </w:p>
        </w:tc>
      </w:tr>
      <w:tr w14:paraId="305D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trPr>
        <w:tc>
          <w:tcPr>
            <w:tcW w:w="425" w:type="dxa"/>
            <w:vMerge w:val="continue"/>
            <w:noWrap/>
            <w:vAlign w:val="center"/>
          </w:tcPr>
          <w:p w14:paraId="7DB98C77">
            <w:pPr>
              <w:jc w:val="center"/>
              <w:rPr>
                <w:rFonts w:ascii="宋体" w:hAnsi="宋体"/>
                <w:color w:val="auto"/>
                <w:sz w:val="18"/>
                <w:szCs w:val="18"/>
                <w:highlight w:val="none"/>
              </w:rPr>
            </w:pPr>
          </w:p>
        </w:tc>
        <w:tc>
          <w:tcPr>
            <w:tcW w:w="404" w:type="dxa"/>
            <w:vMerge w:val="continue"/>
            <w:noWrap/>
            <w:vAlign w:val="center"/>
          </w:tcPr>
          <w:p w14:paraId="6AD3C266">
            <w:pPr>
              <w:rPr>
                <w:rFonts w:ascii="宋体" w:hAnsi="宋体" w:cs="宋体"/>
                <w:color w:val="auto"/>
                <w:sz w:val="18"/>
                <w:szCs w:val="18"/>
                <w:highlight w:val="none"/>
              </w:rPr>
            </w:pPr>
          </w:p>
        </w:tc>
        <w:tc>
          <w:tcPr>
            <w:tcW w:w="1146" w:type="dxa"/>
            <w:noWrap/>
            <w:vAlign w:val="center"/>
          </w:tcPr>
          <w:p w14:paraId="4E855DA8">
            <w:pPr>
              <w:rPr>
                <w:rFonts w:ascii="宋体" w:hAnsi="宋体" w:cs="宋体"/>
                <w:color w:val="auto"/>
                <w:sz w:val="18"/>
                <w:szCs w:val="18"/>
                <w:highlight w:val="none"/>
              </w:rPr>
            </w:pPr>
            <w:r>
              <w:rPr>
                <w:rFonts w:hint="eastAsia" w:ascii="宋体" w:hAnsi="宋体" w:cs="宋体"/>
                <w:color w:val="auto"/>
                <w:sz w:val="18"/>
                <w:szCs w:val="18"/>
                <w:highlight w:val="none"/>
              </w:rPr>
              <w:t>危险废弃物</w:t>
            </w:r>
          </w:p>
        </w:tc>
        <w:tc>
          <w:tcPr>
            <w:tcW w:w="5836" w:type="dxa"/>
            <w:noWrap/>
            <w:vAlign w:val="center"/>
          </w:tcPr>
          <w:p w14:paraId="7190FFB8">
            <w:pPr>
              <w:jc w:val="left"/>
              <w:rPr>
                <w:rFonts w:ascii="宋体" w:hAnsi="宋体" w:cs="宋体"/>
                <w:color w:val="auto"/>
                <w:sz w:val="18"/>
                <w:szCs w:val="18"/>
                <w:highlight w:val="none"/>
              </w:rPr>
            </w:pPr>
            <w:r>
              <w:rPr>
                <w:rFonts w:hint="eastAsia" w:ascii="宋体" w:hAnsi="宋体" w:cs="宋体"/>
                <w:color w:val="auto"/>
                <w:sz w:val="18"/>
                <w:szCs w:val="18"/>
                <w:highlight w:val="none"/>
              </w:rPr>
              <w:t>作业中产生的危险废弃物未规范收集和处置，扣0.5-2分/次。</w:t>
            </w:r>
          </w:p>
        </w:tc>
        <w:tc>
          <w:tcPr>
            <w:tcW w:w="2062" w:type="dxa"/>
            <w:vMerge w:val="continue"/>
            <w:noWrap/>
            <w:vAlign w:val="center"/>
          </w:tcPr>
          <w:p w14:paraId="3825CA97">
            <w:pPr>
              <w:jc w:val="left"/>
              <w:rPr>
                <w:rFonts w:ascii="宋体" w:hAnsi="宋体" w:cs="宋体"/>
                <w:color w:val="auto"/>
                <w:sz w:val="18"/>
                <w:szCs w:val="18"/>
                <w:highlight w:val="none"/>
              </w:rPr>
            </w:pPr>
          </w:p>
        </w:tc>
      </w:tr>
      <w:tr w14:paraId="318A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25" w:type="dxa"/>
            <w:noWrap/>
            <w:vAlign w:val="center"/>
          </w:tcPr>
          <w:p w14:paraId="1F88DB8A">
            <w:pPr>
              <w:jc w:val="center"/>
              <w:rPr>
                <w:rFonts w:ascii="宋体" w:hAnsi="宋体"/>
                <w:color w:val="auto"/>
                <w:sz w:val="18"/>
                <w:szCs w:val="18"/>
                <w:highlight w:val="none"/>
              </w:rPr>
            </w:pPr>
            <w:r>
              <w:rPr>
                <w:rFonts w:hint="eastAsia" w:ascii="宋体" w:hAnsi="宋体"/>
                <w:color w:val="auto"/>
                <w:sz w:val="18"/>
                <w:szCs w:val="18"/>
                <w:highlight w:val="none"/>
              </w:rPr>
              <w:t>14</w:t>
            </w:r>
          </w:p>
        </w:tc>
        <w:tc>
          <w:tcPr>
            <w:tcW w:w="1550" w:type="dxa"/>
            <w:gridSpan w:val="2"/>
            <w:noWrap/>
            <w:vAlign w:val="center"/>
          </w:tcPr>
          <w:p w14:paraId="137C880F">
            <w:pPr>
              <w:rPr>
                <w:rFonts w:ascii="宋体" w:hAnsi="宋体" w:cs="宋体"/>
                <w:color w:val="auto"/>
                <w:sz w:val="18"/>
                <w:szCs w:val="18"/>
                <w:highlight w:val="none"/>
              </w:rPr>
            </w:pPr>
            <w:r>
              <w:rPr>
                <w:rFonts w:hint="eastAsia" w:ascii="宋体" w:hAnsi="宋体" w:cs="宋体"/>
                <w:color w:val="auto"/>
                <w:sz w:val="18"/>
                <w:szCs w:val="18"/>
                <w:highlight w:val="none"/>
              </w:rPr>
              <w:t>投诉工单</w:t>
            </w:r>
          </w:p>
        </w:tc>
        <w:tc>
          <w:tcPr>
            <w:tcW w:w="5836" w:type="dxa"/>
            <w:noWrap/>
            <w:vAlign w:val="center"/>
          </w:tcPr>
          <w:p w14:paraId="1A16318C">
            <w:pPr>
              <w:jc w:val="left"/>
              <w:rPr>
                <w:rFonts w:ascii="宋体" w:hAnsi="宋体" w:cs="宋体"/>
                <w:color w:val="auto"/>
                <w:sz w:val="18"/>
                <w:szCs w:val="18"/>
                <w:highlight w:val="none"/>
              </w:rPr>
            </w:pPr>
            <w:r>
              <w:rPr>
                <w:rFonts w:hint="eastAsia" w:ascii="宋体" w:hAnsi="宋体"/>
                <w:bCs/>
                <w:color w:val="auto"/>
                <w:kern w:val="0"/>
                <w:sz w:val="18"/>
                <w:szCs w:val="18"/>
                <w:highlight w:val="none"/>
              </w:rPr>
              <w:t>各类投诉案件经核查属服务单位责任的，扣0.1-1分/件；</w:t>
            </w:r>
            <w:r>
              <w:rPr>
                <w:rFonts w:hint="eastAsia" w:ascii="宋体" w:hAnsi="宋体" w:cs="宋体"/>
                <w:color w:val="auto"/>
                <w:sz w:val="18"/>
                <w:szCs w:val="18"/>
                <w:highlight w:val="none"/>
              </w:rPr>
              <w:t>案件整改不及时扣0.1-1分/件；</w:t>
            </w:r>
            <w:r>
              <w:rPr>
                <w:rFonts w:hint="eastAsia" w:ascii="宋体" w:hAnsi="宋体"/>
                <w:bCs/>
                <w:color w:val="auto"/>
                <w:kern w:val="0"/>
                <w:sz w:val="18"/>
                <w:szCs w:val="18"/>
                <w:highlight w:val="none"/>
              </w:rPr>
              <w:t>假结案扣10分/件。</w:t>
            </w:r>
          </w:p>
        </w:tc>
        <w:tc>
          <w:tcPr>
            <w:tcW w:w="2062" w:type="dxa"/>
            <w:noWrap/>
            <w:vAlign w:val="center"/>
          </w:tcPr>
          <w:p w14:paraId="34668373">
            <w:pPr>
              <w:jc w:val="left"/>
              <w:rPr>
                <w:rFonts w:ascii="宋体" w:hAnsi="宋体"/>
                <w:bCs/>
                <w:color w:val="auto"/>
                <w:sz w:val="18"/>
                <w:szCs w:val="18"/>
                <w:highlight w:val="none"/>
              </w:rPr>
            </w:pPr>
            <w:r>
              <w:rPr>
                <w:rFonts w:hint="eastAsia" w:ascii="宋体" w:hAnsi="宋体"/>
                <w:bCs/>
                <w:color w:val="auto"/>
                <w:sz w:val="18"/>
                <w:szCs w:val="18"/>
                <w:highlight w:val="none"/>
              </w:rPr>
              <w:t>视情节扣0-5000元/件</w:t>
            </w:r>
          </w:p>
        </w:tc>
      </w:tr>
      <w:tr w14:paraId="11DF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trPr>
        <w:tc>
          <w:tcPr>
            <w:tcW w:w="425" w:type="dxa"/>
            <w:noWrap/>
            <w:vAlign w:val="center"/>
          </w:tcPr>
          <w:p w14:paraId="22612123">
            <w:pPr>
              <w:jc w:val="center"/>
              <w:rPr>
                <w:rFonts w:ascii="宋体" w:hAnsi="宋体"/>
                <w:color w:val="auto"/>
                <w:sz w:val="18"/>
                <w:szCs w:val="18"/>
                <w:highlight w:val="none"/>
              </w:rPr>
            </w:pPr>
            <w:r>
              <w:rPr>
                <w:rFonts w:hint="eastAsia" w:ascii="宋体" w:hAnsi="宋体"/>
                <w:color w:val="auto"/>
                <w:sz w:val="18"/>
                <w:szCs w:val="18"/>
                <w:highlight w:val="none"/>
              </w:rPr>
              <w:t>15</w:t>
            </w:r>
          </w:p>
        </w:tc>
        <w:tc>
          <w:tcPr>
            <w:tcW w:w="1550" w:type="dxa"/>
            <w:gridSpan w:val="2"/>
            <w:noWrap/>
            <w:vAlign w:val="center"/>
          </w:tcPr>
          <w:p w14:paraId="1D18EBED">
            <w:pPr>
              <w:rPr>
                <w:rFonts w:ascii="宋体" w:hAnsi="宋体" w:cs="宋体"/>
                <w:color w:val="auto"/>
                <w:sz w:val="18"/>
                <w:szCs w:val="18"/>
                <w:highlight w:val="none"/>
              </w:rPr>
            </w:pPr>
            <w:r>
              <w:rPr>
                <w:rFonts w:hint="eastAsia" w:ascii="宋体" w:hAnsi="宋体"/>
                <w:bCs/>
                <w:color w:val="auto"/>
                <w:kern w:val="0"/>
                <w:sz w:val="18"/>
                <w:szCs w:val="18"/>
                <w:highlight w:val="none"/>
              </w:rPr>
              <w:t>舆情控制</w:t>
            </w:r>
          </w:p>
        </w:tc>
        <w:tc>
          <w:tcPr>
            <w:tcW w:w="5836" w:type="dxa"/>
            <w:noWrap/>
            <w:vAlign w:val="center"/>
          </w:tcPr>
          <w:p w14:paraId="1348F30F">
            <w:pPr>
              <w:jc w:val="left"/>
              <w:rPr>
                <w:rFonts w:ascii="宋体" w:hAnsi="宋体"/>
                <w:bCs/>
                <w:color w:val="auto"/>
                <w:kern w:val="0"/>
                <w:sz w:val="18"/>
                <w:szCs w:val="18"/>
                <w:highlight w:val="none"/>
              </w:rPr>
            </w:pPr>
            <w:r>
              <w:rPr>
                <w:rFonts w:hint="eastAsia" w:ascii="宋体" w:hAnsi="宋体"/>
                <w:bCs/>
                <w:color w:val="auto"/>
                <w:kern w:val="0"/>
                <w:sz w:val="18"/>
                <w:szCs w:val="18"/>
                <w:highlight w:val="none"/>
              </w:rPr>
              <w:t>因劳资纠纷、人员工伤等事件引起舆情，造成公园名誉受损的，扣2-10分/起。</w:t>
            </w:r>
          </w:p>
        </w:tc>
        <w:tc>
          <w:tcPr>
            <w:tcW w:w="2062" w:type="dxa"/>
            <w:noWrap/>
            <w:vAlign w:val="center"/>
          </w:tcPr>
          <w:p w14:paraId="6C14925F">
            <w:pPr>
              <w:jc w:val="left"/>
              <w:rPr>
                <w:rFonts w:ascii="宋体" w:hAnsi="宋体"/>
                <w:bCs/>
                <w:color w:val="auto"/>
                <w:sz w:val="18"/>
                <w:szCs w:val="18"/>
                <w:highlight w:val="none"/>
              </w:rPr>
            </w:pPr>
            <w:r>
              <w:rPr>
                <w:rFonts w:hint="eastAsia" w:ascii="宋体" w:hAnsi="宋体"/>
                <w:bCs/>
                <w:color w:val="auto"/>
                <w:sz w:val="18"/>
                <w:szCs w:val="18"/>
                <w:highlight w:val="none"/>
              </w:rPr>
              <w:t>视情节扣0-10000元/起</w:t>
            </w:r>
          </w:p>
        </w:tc>
      </w:tr>
      <w:tr w14:paraId="70BA9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425" w:type="dxa"/>
            <w:noWrap/>
            <w:vAlign w:val="center"/>
          </w:tcPr>
          <w:p w14:paraId="7B90E01D">
            <w:pPr>
              <w:jc w:val="center"/>
              <w:rPr>
                <w:rFonts w:ascii="宋体" w:hAnsi="宋体"/>
                <w:color w:val="auto"/>
                <w:sz w:val="18"/>
                <w:szCs w:val="18"/>
                <w:highlight w:val="none"/>
              </w:rPr>
            </w:pPr>
            <w:r>
              <w:rPr>
                <w:rFonts w:hint="eastAsia" w:ascii="宋体" w:hAnsi="宋体"/>
                <w:color w:val="auto"/>
                <w:sz w:val="18"/>
                <w:szCs w:val="18"/>
                <w:highlight w:val="none"/>
              </w:rPr>
              <w:t>16</w:t>
            </w:r>
          </w:p>
        </w:tc>
        <w:tc>
          <w:tcPr>
            <w:tcW w:w="1550" w:type="dxa"/>
            <w:gridSpan w:val="2"/>
            <w:noWrap/>
            <w:vAlign w:val="center"/>
          </w:tcPr>
          <w:p w14:paraId="30D44E16">
            <w:pPr>
              <w:rPr>
                <w:rFonts w:ascii="宋体" w:hAnsi="宋体"/>
                <w:bCs/>
                <w:color w:val="auto"/>
                <w:kern w:val="0"/>
                <w:sz w:val="18"/>
                <w:szCs w:val="18"/>
                <w:highlight w:val="none"/>
              </w:rPr>
            </w:pPr>
            <w:r>
              <w:rPr>
                <w:rFonts w:hint="eastAsia" w:ascii="宋体" w:hAnsi="宋体"/>
                <w:bCs/>
                <w:color w:val="auto"/>
                <w:kern w:val="0"/>
                <w:sz w:val="18"/>
                <w:szCs w:val="18"/>
                <w:highlight w:val="none"/>
              </w:rPr>
              <w:t>考核迎检</w:t>
            </w:r>
          </w:p>
        </w:tc>
        <w:tc>
          <w:tcPr>
            <w:tcW w:w="5836" w:type="dxa"/>
            <w:noWrap/>
            <w:vAlign w:val="center"/>
          </w:tcPr>
          <w:p w14:paraId="3EA88074">
            <w:pPr>
              <w:jc w:val="left"/>
              <w:rPr>
                <w:rFonts w:ascii="宋体" w:hAnsi="宋体"/>
                <w:bCs/>
                <w:color w:val="auto"/>
                <w:kern w:val="0"/>
                <w:sz w:val="18"/>
                <w:szCs w:val="18"/>
                <w:highlight w:val="none"/>
              </w:rPr>
            </w:pPr>
            <w:r>
              <w:rPr>
                <w:rFonts w:hint="eastAsia" w:ascii="宋体" w:hAnsi="宋体"/>
                <w:bCs/>
                <w:color w:val="auto"/>
                <w:kern w:val="0"/>
                <w:sz w:val="18"/>
                <w:szCs w:val="18"/>
                <w:highlight w:val="none"/>
              </w:rPr>
              <w:t>不配合公园做好各类考核迎检工作，扣0.5-3分/次。</w:t>
            </w:r>
          </w:p>
        </w:tc>
        <w:tc>
          <w:tcPr>
            <w:tcW w:w="2062" w:type="dxa"/>
            <w:noWrap/>
            <w:vAlign w:val="center"/>
          </w:tcPr>
          <w:p w14:paraId="3C33B911">
            <w:pPr>
              <w:jc w:val="left"/>
              <w:rPr>
                <w:rFonts w:ascii="宋体" w:hAnsi="宋体"/>
                <w:bCs/>
                <w:color w:val="auto"/>
                <w:sz w:val="18"/>
                <w:szCs w:val="18"/>
                <w:highlight w:val="none"/>
              </w:rPr>
            </w:pPr>
            <w:r>
              <w:rPr>
                <w:rFonts w:hint="eastAsia" w:ascii="宋体" w:hAnsi="宋体"/>
                <w:bCs/>
                <w:color w:val="auto"/>
                <w:sz w:val="18"/>
                <w:szCs w:val="18"/>
                <w:highlight w:val="none"/>
              </w:rPr>
              <w:t>视情节扣0-10000元/次</w:t>
            </w:r>
          </w:p>
        </w:tc>
      </w:tr>
      <w:tr w14:paraId="4186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425" w:type="dxa"/>
            <w:vMerge w:val="restart"/>
            <w:noWrap/>
            <w:vAlign w:val="center"/>
          </w:tcPr>
          <w:p w14:paraId="4A826C41">
            <w:pPr>
              <w:jc w:val="center"/>
              <w:rPr>
                <w:rFonts w:ascii="宋体" w:hAnsi="宋体"/>
                <w:color w:val="auto"/>
                <w:sz w:val="18"/>
                <w:szCs w:val="18"/>
                <w:highlight w:val="none"/>
              </w:rPr>
            </w:pPr>
            <w:r>
              <w:rPr>
                <w:rFonts w:hint="eastAsia" w:ascii="宋体" w:hAnsi="宋体"/>
                <w:color w:val="auto"/>
                <w:sz w:val="18"/>
                <w:szCs w:val="18"/>
                <w:highlight w:val="none"/>
              </w:rPr>
              <w:t>17</w:t>
            </w:r>
          </w:p>
        </w:tc>
        <w:tc>
          <w:tcPr>
            <w:tcW w:w="1550" w:type="dxa"/>
            <w:gridSpan w:val="2"/>
            <w:vMerge w:val="restart"/>
            <w:noWrap/>
            <w:vAlign w:val="center"/>
          </w:tcPr>
          <w:p w14:paraId="2E1690A6">
            <w:pPr>
              <w:rPr>
                <w:rFonts w:ascii="宋体" w:hAnsi="宋体" w:cs="宋体"/>
                <w:color w:val="auto"/>
                <w:sz w:val="18"/>
                <w:szCs w:val="18"/>
                <w:highlight w:val="none"/>
              </w:rPr>
            </w:pPr>
            <w:r>
              <w:rPr>
                <w:rFonts w:hint="eastAsia" w:ascii="宋体" w:hAnsi="宋体" w:cs="宋体"/>
                <w:color w:val="auto"/>
                <w:sz w:val="18"/>
                <w:szCs w:val="18"/>
                <w:highlight w:val="none"/>
              </w:rPr>
              <w:t>其他</w:t>
            </w:r>
          </w:p>
        </w:tc>
        <w:tc>
          <w:tcPr>
            <w:tcW w:w="5836" w:type="dxa"/>
            <w:noWrap/>
            <w:vAlign w:val="center"/>
          </w:tcPr>
          <w:p w14:paraId="7D3CDFA3">
            <w:pPr>
              <w:jc w:val="left"/>
              <w:rPr>
                <w:rFonts w:ascii="宋体" w:hAnsi="宋体" w:cs="宋体"/>
                <w:color w:val="auto"/>
                <w:sz w:val="18"/>
                <w:szCs w:val="18"/>
                <w:highlight w:val="none"/>
              </w:rPr>
            </w:pPr>
            <w:r>
              <w:rPr>
                <w:rFonts w:hint="eastAsia" w:ascii="宋体" w:hAnsi="宋体" w:cs="宋体"/>
                <w:color w:val="auto"/>
                <w:sz w:val="18"/>
                <w:szCs w:val="18"/>
                <w:highlight w:val="none"/>
              </w:rPr>
              <w:t>违反《南宁市公园条例》相关规定，扣0.1-5分/次。</w:t>
            </w:r>
          </w:p>
        </w:tc>
        <w:tc>
          <w:tcPr>
            <w:tcW w:w="2062" w:type="dxa"/>
            <w:noWrap/>
            <w:vAlign w:val="center"/>
          </w:tcPr>
          <w:p w14:paraId="1FB32648">
            <w:pPr>
              <w:jc w:val="left"/>
              <w:rPr>
                <w:rFonts w:ascii="宋体" w:hAnsi="宋体" w:cs="宋体"/>
                <w:color w:val="auto"/>
                <w:sz w:val="18"/>
                <w:szCs w:val="18"/>
                <w:highlight w:val="none"/>
              </w:rPr>
            </w:pPr>
          </w:p>
        </w:tc>
      </w:tr>
      <w:tr w14:paraId="5D7F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trPr>
        <w:tc>
          <w:tcPr>
            <w:tcW w:w="425" w:type="dxa"/>
            <w:vMerge w:val="continue"/>
            <w:noWrap/>
            <w:vAlign w:val="center"/>
          </w:tcPr>
          <w:p w14:paraId="3ED06B43">
            <w:pPr>
              <w:jc w:val="center"/>
              <w:rPr>
                <w:rFonts w:ascii="宋体" w:hAnsi="宋体"/>
                <w:color w:val="auto"/>
                <w:sz w:val="18"/>
                <w:szCs w:val="18"/>
                <w:highlight w:val="none"/>
              </w:rPr>
            </w:pPr>
          </w:p>
        </w:tc>
        <w:tc>
          <w:tcPr>
            <w:tcW w:w="1550" w:type="dxa"/>
            <w:gridSpan w:val="2"/>
            <w:vMerge w:val="continue"/>
            <w:noWrap/>
            <w:vAlign w:val="center"/>
          </w:tcPr>
          <w:p w14:paraId="3293B685">
            <w:pPr>
              <w:rPr>
                <w:rFonts w:ascii="宋体" w:hAnsi="宋体" w:cs="宋体"/>
                <w:color w:val="auto"/>
                <w:sz w:val="18"/>
                <w:szCs w:val="18"/>
                <w:highlight w:val="none"/>
              </w:rPr>
            </w:pPr>
          </w:p>
        </w:tc>
        <w:tc>
          <w:tcPr>
            <w:tcW w:w="5836" w:type="dxa"/>
            <w:noWrap/>
            <w:vAlign w:val="center"/>
          </w:tcPr>
          <w:p w14:paraId="52CD7B3C">
            <w:pPr>
              <w:jc w:val="left"/>
              <w:rPr>
                <w:rFonts w:ascii="宋体" w:hAnsi="宋体" w:cs="宋体"/>
                <w:color w:val="auto"/>
                <w:sz w:val="18"/>
                <w:szCs w:val="18"/>
                <w:highlight w:val="none"/>
              </w:rPr>
            </w:pPr>
            <w:r>
              <w:rPr>
                <w:rFonts w:hint="eastAsia" w:ascii="宋体" w:hAnsi="宋体" w:cs="宋体"/>
                <w:color w:val="auto"/>
                <w:sz w:val="18"/>
                <w:szCs w:val="18"/>
                <w:highlight w:val="none"/>
              </w:rPr>
              <w:t>违反《南宁市城市绿化条例》行为不劝阻、不制止的，扣0.1-3分/次。</w:t>
            </w:r>
          </w:p>
        </w:tc>
        <w:tc>
          <w:tcPr>
            <w:tcW w:w="2062" w:type="dxa"/>
            <w:noWrap/>
            <w:vAlign w:val="center"/>
          </w:tcPr>
          <w:p w14:paraId="5265D463">
            <w:pPr>
              <w:jc w:val="left"/>
              <w:rPr>
                <w:rFonts w:ascii="宋体" w:hAnsi="宋体" w:cs="宋体"/>
                <w:color w:val="auto"/>
                <w:sz w:val="18"/>
                <w:szCs w:val="18"/>
                <w:highlight w:val="none"/>
              </w:rPr>
            </w:pPr>
          </w:p>
        </w:tc>
      </w:tr>
      <w:tr w14:paraId="47E8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425" w:type="dxa"/>
            <w:vMerge w:val="continue"/>
            <w:noWrap/>
            <w:vAlign w:val="center"/>
          </w:tcPr>
          <w:p w14:paraId="2F6C2DB7">
            <w:pPr>
              <w:jc w:val="center"/>
              <w:rPr>
                <w:rFonts w:ascii="宋体" w:hAnsi="宋体"/>
                <w:color w:val="auto"/>
                <w:sz w:val="18"/>
                <w:szCs w:val="18"/>
                <w:highlight w:val="none"/>
              </w:rPr>
            </w:pPr>
          </w:p>
        </w:tc>
        <w:tc>
          <w:tcPr>
            <w:tcW w:w="1550" w:type="dxa"/>
            <w:gridSpan w:val="2"/>
            <w:vMerge w:val="continue"/>
            <w:noWrap/>
            <w:vAlign w:val="center"/>
          </w:tcPr>
          <w:p w14:paraId="33846897">
            <w:pPr>
              <w:rPr>
                <w:rFonts w:ascii="宋体" w:hAnsi="宋体" w:cs="宋体"/>
                <w:color w:val="auto"/>
                <w:sz w:val="18"/>
                <w:szCs w:val="18"/>
                <w:highlight w:val="none"/>
              </w:rPr>
            </w:pPr>
          </w:p>
        </w:tc>
        <w:tc>
          <w:tcPr>
            <w:tcW w:w="5836" w:type="dxa"/>
            <w:noWrap/>
            <w:vAlign w:val="center"/>
          </w:tcPr>
          <w:p w14:paraId="570390CB">
            <w:pPr>
              <w:jc w:val="left"/>
              <w:rPr>
                <w:rFonts w:ascii="宋体" w:hAnsi="宋体" w:cs="宋体"/>
                <w:color w:val="auto"/>
                <w:sz w:val="18"/>
                <w:szCs w:val="18"/>
                <w:highlight w:val="none"/>
              </w:rPr>
            </w:pPr>
            <w:r>
              <w:rPr>
                <w:rFonts w:hint="eastAsia" w:ascii="宋体" w:hAnsi="宋体" w:cs="宋体"/>
                <w:color w:val="auto"/>
                <w:sz w:val="18"/>
                <w:szCs w:val="18"/>
                <w:highlight w:val="none"/>
              </w:rPr>
              <w:t>不遵守公园噪音管理等相关规定，扣0.1-5分/次；不配合公园各项工作任务，扣0.1-5分/次。</w:t>
            </w:r>
          </w:p>
        </w:tc>
        <w:tc>
          <w:tcPr>
            <w:tcW w:w="2062" w:type="dxa"/>
            <w:noWrap/>
            <w:vAlign w:val="center"/>
          </w:tcPr>
          <w:p w14:paraId="54CD03F8">
            <w:pPr>
              <w:jc w:val="left"/>
              <w:rPr>
                <w:rFonts w:ascii="宋体" w:hAnsi="宋体" w:cs="宋体"/>
                <w:color w:val="auto"/>
                <w:sz w:val="18"/>
                <w:szCs w:val="18"/>
                <w:highlight w:val="none"/>
              </w:rPr>
            </w:pPr>
            <w:r>
              <w:rPr>
                <w:rFonts w:hint="eastAsia" w:ascii="宋体" w:hAnsi="宋体"/>
                <w:bCs/>
                <w:color w:val="auto"/>
                <w:sz w:val="18"/>
                <w:szCs w:val="18"/>
                <w:highlight w:val="none"/>
              </w:rPr>
              <w:t>视情节扣0-5000元/次</w:t>
            </w:r>
          </w:p>
        </w:tc>
      </w:tr>
      <w:tr w14:paraId="0124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 w:hRule="atLeast"/>
        </w:trPr>
        <w:tc>
          <w:tcPr>
            <w:tcW w:w="425" w:type="dxa"/>
            <w:vMerge w:val="continue"/>
            <w:noWrap/>
            <w:vAlign w:val="center"/>
          </w:tcPr>
          <w:p w14:paraId="4065FAC8">
            <w:pPr>
              <w:jc w:val="center"/>
              <w:rPr>
                <w:rFonts w:ascii="宋体" w:hAnsi="宋体"/>
                <w:color w:val="auto"/>
                <w:sz w:val="18"/>
                <w:szCs w:val="18"/>
                <w:highlight w:val="none"/>
              </w:rPr>
            </w:pPr>
          </w:p>
        </w:tc>
        <w:tc>
          <w:tcPr>
            <w:tcW w:w="1550" w:type="dxa"/>
            <w:gridSpan w:val="2"/>
            <w:vMerge w:val="continue"/>
            <w:noWrap/>
            <w:vAlign w:val="center"/>
          </w:tcPr>
          <w:p w14:paraId="3D8D6988">
            <w:pPr>
              <w:rPr>
                <w:rFonts w:ascii="宋体" w:hAnsi="宋体" w:cs="宋体"/>
                <w:color w:val="auto"/>
                <w:sz w:val="18"/>
                <w:szCs w:val="18"/>
                <w:highlight w:val="none"/>
              </w:rPr>
            </w:pPr>
          </w:p>
        </w:tc>
        <w:tc>
          <w:tcPr>
            <w:tcW w:w="5836" w:type="dxa"/>
            <w:noWrap/>
            <w:vAlign w:val="center"/>
          </w:tcPr>
          <w:p w14:paraId="50B95B20">
            <w:pPr>
              <w:jc w:val="left"/>
              <w:rPr>
                <w:rFonts w:ascii="宋体" w:hAnsi="宋体" w:cs="宋体"/>
                <w:color w:val="auto"/>
                <w:sz w:val="18"/>
                <w:szCs w:val="18"/>
                <w:highlight w:val="none"/>
              </w:rPr>
            </w:pPr>
            <w:r>
              <w:rPr>
                <w:rFonts w:hint="eastAsia" w:ascii="宋体" w:hAnsi="宋体" w:cs="宋体"/>
                <w:color w:val="auto"/>
                <w:kern w:val="0"/>
                <w:sz w:val="18"/>
                <w:szCs w:val="18"/>
                <w:highlight w:val="none"/>
              </w:rPr>
              <w:t>诱蛇笼数量未达标的，每缺少一个扣0.5分；未按要求开展蛇笼检查及维护，扣0.1-3分/次；诱获蛇类未按相关监管规定及时移送指定部门处置的，扣1-3分/次</w:t>
            </w:r>
            <w:r>
              <w:rPr>
                <w:rFonts w:hint="eastAsia" w:ascii="宋体" w:hAnsi="宋体" w:cs="宋体"/>
                <w:color w:val="auto"/>
                <w:kern w:val="0"/>
                <w:sz w:val="20"/>
                <w:szCs w:val="20"/>
                <w:highlight w:val="none"/>
              </w:rPr>
              <w:t>。</w:t>
            </w:r>
          </w:p>
        </w:tc>
        <w:tc>
          <w:tcPr>
            <w:tcW w:w="2062" w:type="dxa"/>
            <w:noWrap/>
            <w:vAlign w:val="center"/>
          </w:tcPr>
          <w:p w14:paraId="051806A9">
            <w:pPr>
              <w:jc w:val="left"/>
              <w:rPr>
                <w:rFonts w:ascii="宋体" w:hAnsi="宋体"/>
                <w:bCs/>
                <w:color w:val="auto"/>
                <w:sz w:val="18"/>
                <w:szCs w:val="18"/>
                <w:highlight w:val="none"/>
              </w:rPr>
            </w:pPr>
            <w:r>
              <w:rPr>
                <w:rFonts w:hint="eastAsia" w:ascii="宋体" w:hAnsi="宋体"/>
                <w:bCs/>
                <w:color w:val="auto"/>
                <w:sz w:val="18"/>
                <w:szCs w:val="18"/>
                <w:highlight w:val="none"/>
              </w:rPr>
              <w:t>视情节扣0-5000元/次</w:t>
            </w:r>
          </w:p>
        </w:tc>
      </w:tr>
      <w:tr w14:paraId="290F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425" w:type="dxa"/>
            <w:vMerge w:val="continue"/>
            <w:noWrap/>
            <w:vAlign w:val="center"/>
          </w:tcPr>
          <w:p w14:paraId="230208BE">
            <w:pPr>
              <w:jc w:val="center"/>
              <w:rPr>
                <w:rFonts w:ascii="宋体" w:hAnsi="宋体"/>
                <w:color w:val="auto"/>
                <w:sz w:val="18"/>
                <w:szCs w:val="18"/>
                <w:highlight w:val="none"/>
              </w:rPr>
            </w:pPr>
          </w:p>
        </w:tc>
        <w:tc>
          <w:tcPr>
            <w:tcW w:w="1550" w:type="dxa"/>
            <w:gridSpan w:val="2"/>
            <w:vMerge w:val="continue"/>
            <w:noWrap/>
            <w:vAlign w:val="center"/>
          </w:tcPr>
          <w:p w14:paraId="1D98B7DD">
            <w:pPr>
              <w:rPr>
                <w:rFonts w:ascii="宋体" w:hAnsi="宋体" w:cs="宋体"/>
                <w:color w:val="auto"/>
                <w:sz w:val="18"/>
                <w:szCs w:val="18"/>
                <w:highlight w:val="none"/>
              </w:rPr>
            </w:pPr>
          </w:p>
        </w:tc>
        <w:tc>
          <w:tcPr>
            <w:tcW w:w="5836" w:type="dxa"/>
            <w:noWrap/>
            <w:vAlign w:val="center"/>
          </w:tcPr>
          <w:p w14:paraId="4F289291">
            <w:pPr>
              <w:jc w:val="left"/>
              <w:rPr>
                <w:rFonts w:ascii="宋体" w:hAnsi="宋体" w:cs="宋体"/>
                <w:color w:val="auto"/>
                <w:sz w:val="18"/>
                <w:szCs w:val="18"/>
                <w:highlight w:val="none"/>
              </w:rPr>
            </w:pPr>
            <w:r>
              <w:rPr>
                <w:rFonts w:hint="eastAsia" w:ascii="宋体" w:hAnsi="宋体" w:cs="宋体"/>
                <w:color w:val="auto"/>
                <w:sz w:val="18"/>
                <w:szCs w:val="18"/>
                <w:highlight w:val="none"/>
              </w:rPr>
              <w:t>本细则未列明的工作事项，未按公园要求完成或落实的，根据事项重要程度、影响范围及后果，每项扣 0.2-10 分。</w:t>
            </w:r>
          </w:p>
        </w:tc>
        <w:tc>
          <w:tcPr>
            <w:tcW w:w="2062" w:type="dxa"/>
            <w:noWrap/>
            <w:vAlign w:val="center"/>
          </w:tcPr>
          <w:p w14:paraId="7D175EAD">
            <w:pPr>
              <w:jc w:val="left"/>
              <w:rPr>
                <w:rFonts w:ascii="宋体" w:hAnsi="宋体" w:cs="宋体"/>
                <w:color w:val="auto"/>
                <w:sz w:val="18"/>
                <w:szCs w:val="18"/>
                <w:highlight w:val="none"/>
              </w:rPr>
            </w:pPr>
            <w:r>
              <w:rPr>
                <w:rFonts w:hint="eastAsia" w:ascii="宋体" w:hAnsi="宋体"/>
                <w:bCs/>
                <w:color w:val="auto"/>
                <w:sz w:val="18"/>
                <w:szCs w:val="18"/>
                <w:highlight w:val="none"/>
              </w:rPr>
              <w:t>视情节扣0-20000元/次</w:t>
            </w:r>
          </w:p>
        </w:tc>
      </w:tr>
    </w:tbl>
    <w:p w14:paraId="67DADA4D">
      <w:pPr>
        <w:rPr>
          <w:rFonts w:ascii="宋体" w:hAnsi="宋体"/>
          <w:b/>
          <w:bCs/>
          <w:color w:val="auto"/>
          <w:szCs w:val="21"/>
          <w:highlight w:val="none"/>
        </w:rPr>
      </w:pPr>
    </w:p>
    <w:p w14:paraId="6D2E58ED">
      <w:pPr>
        <w:ind w:left="-619" w:leftChars="-295" w:firstLine="211" w:firstLineChars="100"/>
        <w:rPr>
          <w:rFonts w:hint="eastAsia" w:ascii="宋体" w:hAnsi="宋体" w:eastAsia="宋体" w:cs="宋体"/>
          <w:color w:val="auto"/>
          <w:sz w:val="21"/>
          <w:szCs w:val="21"/>
          <w:highlight w:val="none"/>
        </w:rPr>
      </w:pPr>
      <w:r>
        <w:rPr>
          <w:rFonts w:ascii="宋体" w:hAnsi="宋体"/>
          <w:b/>
          <w:bCs/>
          <w:color w:val="auto"/>
          <w:szCs w:val="21"/>
          <w:highlight w:val="none"/>
        </w:rPr>
        <w:t>说明：</w:t>
      </w:r>
      <w:r>
        <w:rPr>
          <w:rFonts w:hint="eastAsia" w:ascii="宋体" w:hAnsi="宋体"/>
          <w:b/>
          <w:bCs/>
          <w:color w:val="auto"/>
          <w:szCs w:val="21"/>
          <w:highlight w:val="none"/>
          <w:lang w:val="en-US" w:eastAsia="zh-CN"/>
        </w:rPr>
        <w:t xml:space="preserve"> </w:t>
      </w:r>
      <w:r>
        <w:rPr>
          <w:rFonts w:hint="eastAsia" w:ascii="宋体" w:hAnsi="宋体" w:eastAsia="宋体" w:cs="宋体"/>
          <w:color w:val="auto"/>
          <w:sz w:val="21"/>
          <w:szCs w:val="21"/>
          <w:highlight w:val="none"/>
        </w:rPr>
        <w:t>1.违反安全操作规程、有安全隐患的情况立即整改；</w:t>
      </w:r>
    </w:p>
    <w:p w14:paraId="08A1AAE2">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2.水电设施损坏整改时限为</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个小时至1天；</w:t>
      </w:r>
    </w:p>
    <w:p w14:paraId="1699BFEC">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3.倒伏树木的整改时限为</w:t>
      </w:r>
      <w:r>
        <w:rPr>
          <w:rFonts w:hint="eastAsia" w:ascii="宋体" w:hAnsi="宋体" w:eastAsia="宋体" w:cs="宋体"/>
          <w:color w:val="auto"/>
          <w:sz w:val="21"/>
          <w:szCs w:val="21"/>
          <w:highlight w:val="none"/>
          <w:lang w:val="en-US" w:eastAsia="zh-CN"/>
        </w:rPr>
        <w:t>0.5-3</w:t>
      </w:r>
      <w:r>
        <w:rPr>
          <w:rFonts w:hint="eastAsia" w:ascii="宋体" w:hAnsi="宋体" w:eastAsia="宋体" w:cs="宋体"/>
          <w:color w:val="auto"/>
          <w:sz w:val="21"/>
          <w:szCs w:val="21"/>
          <w:highlight w:val="none"/>
        </w:rPr>
        <w:t>天，但重要节点位置的，须立即整改；</w:t>
      </w:r>
    </w:p>
    <w:p w14:paraId="74E227C9">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4.病虫害防治的整改时限为</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天；</w:t>
      </w:r>
    </w:p>
    <w:p w14:paraId="0D69450C">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5.杂草整改时限为</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-3天；</w:t>
      </w:r>
    </w:p>
    <w:p w14:paraId="4504C92E">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6.非自然倾斜树木、死株的整改时限为</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-5天；</w:t>
      </w:r>
    </w:p>
    <w:p w14:paraId="0C1CB53E">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7.园林设施破损整改时限为</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-5天；</w:t>
      </w:r>
    </w:p>
    <w:p w14:paraId="63DA8773">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8.黄土裸露整改时限为</w:t>
      </w:r>
      <w:r>
        <w:rPr>
          <w:rFonts w:hint="eastAsia" w:ascii="宋体" w:hAnsi="宋体" w:eastAsia="宋体" w:cs="宋体"/>
          <w:color w:val="auto"/>
          <w:sz w:val="21"/>
          <w:szCs w:val="21"/>
          <w:highlight w:val="none"/>
          <w:lang w:val="en-US" w:eastAsia="zh-CN"/>
        </w:rPr>
        <w:t>0.5</w:t>
      </w:r>
      <w:r>
        <w:rPr>
          <w:rFonts w:hint="eastAsia" w:ascii="宋体" w:hAnsi="宋体" w:eastAsia="宋体" w:cs="宋体"/>
          <w:color w:val="auto"/>
          <w:sz w:val="21"/>
          <w:szCs w:val="21"/>
          <w:highlight w:val="none"/>
        </w:rPr>
        <w:t>-7天；</w:t>
      </w:r>
    </w:p>
    <w:p w14:paraId="588ACE94">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9.工具房、管理用房整改时限</w:t>
      </w:r>
      <w:r>
        <w:rPr>
          <w:rFonts w:hint="eastAsia" w:ascii="宋体" w:hAnsi="宋体" w:eastAsia="宋体" w:cs="宋体"/>
          <w:b w:val="0"/>
          <w:bCs w:val="0"/>
          <w:color w:val="auto"/>
          <w:sz w:val="21"/>
          <w:szCs w:val="21"/>
          <w:highlight w:val="none"/>
        </w:rPr>
        <w:t>为</w:t>
      </w:r>
      <w:r>
        <w:rPr>
          <w:rFonts w:hint="eastAsia" w:ascii="宋体" w:hAnsi="宋体" w:eastAsia="宋体" w:cs="宋体"/>
          <w:b w:val="0"/>
          <w:bCs w:val="0"/>
          <w:color w:val="auto"/>
          <w:sz w:val="21"/>
          <w:szCs w:val="21"/>
          <w:highlight w:val="none"/>
          <w:lang w:val="en-US" w:eastAsia="zh-CN"/>
        </w:rPr>
        <w:t>0.5</w:t>
      </w:r>
      <w:r>
        <w:rPr>
          <w:rFonts w:hint="eastAsia" w:ascii="宋体" w:hAnsi="宋体" w:eastAsia="宋体" w:cs="宋体"/>
          <w:b w:val="0"/>
          <w:bCs w:val="0"/>
          <w:color w:val="auto"/>
          <w:sz w:val="21"/>
          <w:szCs w:val="21"/>
          <w:highlight w:val="none"/>
        </w:rPr>
        <w:t>-</w:t>
      </w:r>
      <w:r>
        <w:rPr>
          <w:rFonts w:hint="eastAsia" w:ascii="宋体" w:hAnsi="宋体" w:eastAsia="宋体" w:cs="宋体"/>
          <w:color w:val="auto"/>
          <w:sz w:val="21"/>
          <w:szCs w:val="21"/>
          <w:highlight w:val="none"/>
        </w:rPr>
        <w:t>10天。</w:t>
      </w:r>
    </w:p>
    <w:p w14:paraId="1823D9DB">
      <w:pPr>
        <w:spacing w:line="24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以上整改时限检查人员可视具体时间、具体位置及工作量进行调整</w:t>
      </w:r>
      <w:r>
        <w:rPr>
          <w:rFonts w:hint="eastAsia" w:ascii="宋体" w:hAnsi="宋体" w:cs="宋体"/>
          <w:color w:val="auto"/>
          <w:sz w:val="21"/>
          <w:szCs w:val="21"/>
          <w:highlight w:val="none"/>
          <w:lang w:eastAsia="zh-CN"/>
        </w:rPr>
        <w:t>，</w:t>
      </w:r>
      <w:r>
        <w:rPr>
          <w:rFonts w:hint="eastAsia" w:ascii="宋体" w:hAnsi="宋体"/>
          <w:color w:val="auto"/>
          <w:szCs w:val="21"/>
          <w:highlight w:val="none"/>
        </w:rPr>
        <w:t>未列明的整改事项可根据实际情况确定。</w:t>
      </w:r>
    </w:p>
    <w:p w14:paraId="5505603E">
      <w:pPr>
        <w:ind w:left="-617" w:leftChars="-294" w:right="-733" w:rightChars="-349" w:firstLine="420" w:firstLineChars="200"/>
        <w:rPr>
          <w:rFonts w:hint="eastAsia" w:ascii="宋体" w:hAnsi="宋体"/>
          <w:color w:val="auto"/>
          <w:szCs w:val="21"/>
          <w:highlight w:val="none"/>
        </w:rPr>
      </w:pPr>
    </w:p>
    <w:p w14:paraId="4624B25F">
      <w:pPr>
        <w:pageBreakBefore/>
        <w:spacing w:line="500" w:lineRule="exac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1</w:t>
      </w:r>
      <w:r>
        <w:rPr>
          <w:rFonts w:hint="eastAsia" w:ascii="宋体" w:hAnsi="宋体" w:eastAsia="宋体" w:cs="宋体"/>
          <w:b/>
          <w:bCs/>
          <w:color w:val="auto"/>
          <w:sz w:val="28"/>
          <w:szCs w:val="28"/>
          <w:highlight w:val="none"/>
        </w:rPr>
        <w:t>-</w:t>
      </w:r>
      <w:r>
        <w:rPr>
          <w:rFonts w:hint="eastAsia" w:ascii="宋体" w:hAnsi="宋体" w:eastAsia="宋体" w:cs="宋体"/>
          <w:b/>
          <w:bCs/>
          <w:color w:val="auto"/>
          <w:sz w:val="28"/>
          <w:szCs w:val="28"/>
          <w:highlight w:val="none"/>
          <w:lang w:val="en-US" w:eastAsia="zh-CN"/>
        </w:rPr>
        <w:t>2-</w:t>
      </w:r>
      <w:r>
        <w:rPr>
          <w:rFonts w:hint="eastAsia" w:ascii="宋体" w:hAnsi="宋体" w:eastAsia="宋体" w:cs="宋体"/>
          <w:b/>
          <w:bCs/>
          <w:color w:val="auto"/>
          <w:sz w:val="28"/>
          <w:szCs w:val="28"/>
          <w:highlight w:val="none"/>
        </w:rPr>
        <w:t>4：</w:t>
      </w:r>
    </w:p>
    <w:p w14:paraId="45DC0556">
      <w:pPr>
        <w:widowControl/>
        <w:jc w:val="center"/>
        <w:rPr>
          <w:rFonts w:ascii="宋体" w:hAnsi="宋体"/>
          <w:b/>
          <w:bCs/>
          <w:color w:val="auto"/>
          <w:sz w:val="36"/>
          <w:szCs w:val="36"/>
          <w:highlight w:val="none"/>
        </w:rPr>
      </w:pPr>
      <w:r>
        <w:rPr>
          <w:rFonts w:hint="eastAsia" w:ascii="宋体" w:hAnsi="宋体"/>
          <w:b/>
          <w:bCs/>
          <w:color w:val="auto"/>
          <w:sz w:val="36"/>
          <w:szCs w:val="36"/>
          <w:highlight w:val="none"/>
        </w:rPr>
        <w:t>南宁市南湖公园绿化养护月度考核通报表</w:t>
      </w:r>
    </w:p>
    <w:p w14:paraId="2E33EB5B">
      <w:pPr>
        <w:widowControl/>
        <w:spacing w:line="300" w:lineRule="exact"/>
        <w:rPr>
          <w:b/>
          <w:bCs/>
          <w:color w:val="auto"/>
          <w:szCs w:val="21"/>
          <w:highlight w:val="none"/>
        </w:rPr>
      </w:pPr>
      <w:r>
        <w:rPr>
          <w:rFonts w:hint="eastAsia"/>
          <w:b/>
          <w:bCs/>
          <w:color w:val="auto"/>
          <w:szCs w:val="21"/>
          <w:highlight w:val="none"/>
        </w:rPr>
        <w:t>项目名称：</w:t>
      </w:r>
    </w:p>
    <w:p w14:paraId="65C0BF15">
      <w:pPr>
        <w:widowControl/>
        <w:spacing w:line="300" w:lineRule="exact"/>
        <w:rPr>
          <w:b/>
          <w:bCs/>
          <w:color w:val="auto"/>
          <w:szCs w:val="21"/>
          <w:highlight w:val="none"/>
        </w:rPr>
      </w:pPr>
      <w:r>
        <w:rPr>
          <w:rFonts w:hint="eastAsia"/>
          <w:b/>
          <w:bCs/>
          <w:color w:val="auto"/>
          <w:szCs w:val="21"/>
          <w:highlight w:val="none"/>
        </w:rPr>
        <w:t>中标单位：</w:t>
      </w:r>
    </w:p>
    <w:p w14:paraId="09565966">
      <w:pPr>
        <w:widowControl/>
        <w:spacing w:line="300" w:lineRule="exact"/>
        <w:rPr>
          <w:b/>
          <w:bCs/>
          <w:color w:val="auto"/>
          <w:szCs w:val="21"/>
          <w:highlight w:val="none"/>
        </w:rPr>
      </w:pPr>
      <w:r>
        <w:rPr>
          <w:rFonts w:hint="eastAsia"/>
          <w:b/>
          <w:bCs/>
          <w:color w:val="auto"/>
          <w:szCs w:val="21"/>
          <w:highlight w:val="none"/>
        </w:rPr>
        <w:t>合同总价：</w:t>
      </w:r>
    </w:p>
    <w:p w14:paraId="2E428C4C">
      <w:pPr>
        <w:widowControl/>
        <w:spacing w:line="300" w:lineRule="exact"/>
        <w:rPr>
          <w:color w:val="auto"/>
          <w:highlight w:val="none"/>
        </w:rPr>
      </w:pPr>
      <w:r>
        <w:rPr>
          <w:rFonts w:hint="eastAsia"/>
          <w:b/>
          <w:bCs/>
          <w:color w:val="auto"/>
          <w:szCs w:val="21"/>
          <w:highlight w:val="none"/>
        </w:rPr>
        <w:t>考核日期：年月日—年月日</w:t>
      </w:r>
    </w:p>
    <w:p w14:paraId="50B8E36A">
      <w:pPr>
        <w:widowControl/>
        <w:rPr>
          <w:color w:val="auto"/>
          <w:highlight w:val="none"/>
        </w:rPr>
      </w:pPr>
    </w:p>
    <w:tbl>
      <w:tblPr>
        <w:tblStyle w:val="22"/>
        <w:tblpPr w:leftFromText="180" w:rightFromText="180" w:vertAnchor="text" w:horzAnchor="margin" w:tblpX="120" w:tblpY="-74"/>
        <w:tblOverlap w:val="never"/>
        <w:tblW w:w="96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818"/>
        <w:gridCol w:w="1593"/>
        <w:gridCol w:w="1123"/>
        <w:gridCol w:w="1048"/>
        <w:gridCol w:w="2879"/>
        <w:gridCol w:w="1113"/>
      </w:tblGrid>
      <w:tr w14:paraId="10B9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93" w:type="dxa"/>
            <w:tcBorders>
              <w:top w:val="single" w:color="auto" w:sz="4" w:space="0"/>
              <w:left w:val="single" w:color="auto" w:sz="4" w:space="0"/>
              <w:bottom w:val="single" w:color="auto" w:sz="4" w:space="0"/>
              <w:right w:val="single" w:color="auto" w:sz="4" w:space="0"/>
            </w:tcBorders>
            <w:noWrap/>
            <w:vAlign w:val="center"/>
          </w:tcPr>
          <w:p w14:paraId="0FF42FE6">
            <w:pPr>
              <w:spacing w:line="280" w:lineRule="exact"/>
              <w:jc w:val="center"/>
              <w:rPr>
                <w:color w:val="auto"/>
                <w:szCs w:val="21"/>
                <w:highlight w:val="none"/>
              </w:rPr>
            </w:pPr>
            <w:r>
              <w:rPr>
                <w:rFonts w:hint="eastAsia"/>
                <w:color w:val="auto"/>
                <w:szCs w:val="21"/>
                <w:highlight w:val="none"/>
              </w:rPr>
              <w:t>满分分值</w:t>
            </w:r>
          </w:p>
        </w:tc>
        <w:tc>
          <w:tcPr>
            <w:tcW w:w="818" w:type="dxa"/>
            <w:tcBorders>
              <w:top w:val="single" w:color="auto" w:sz="4" w:space="0"/>
              <w:left w:val="single" w:color="auto" w:sz="4" w:space="0"/>
              <w:bottom w:val="single" w:color="auto" w:sz="4" w:space="0"/>
              <w:right w:val="single" w:color="auto" w:sz="4" w:space="0"/>
            </w:tcBorders>
            <w:noWrap/>
            <w:vAlign w:val="center"/>
          </w:tcPr>
          <w:p w14:paraId="01913E80">
            <w:pPr>
              <w:spacing w:line="280" w:lineRule="exact"/>
              <w:jc w:val="center"/>
              <w:rPr>
                <w:color w:val="auto"/>
                <w:szCs w:val="21"/>
                <w:highlight w:val="none"/>
              </w:rPr>
            </w:pPr>
            <w:r>
              <w:rPr>
                <w:rFonts w:hint="eastAsia"/>
                <w:color w:val="auto"/>
                <w:szCs w:val="21"/>
                <w:highlight w:val="none"/>
              </w:rPr>
              <w:t>扣分项目</w:t>
            </w:r>
          </w:p>
        </w:tc>
        <w:tc>
          <w:tcPr>
            <w:tcW w:w="1593" w:type="dxa"/>
            <w:tcBorders>
              <w:top w:val="single" w:color="auto" w:sz="4" w:space="0"/>
              <w:left w:val="single" w:color="auto" w:sz="4" w:space="0"/>
              <w:bottom w:val="single" w:color="auto" w:sz="4" w:space="0"/>
              <w:right w:val="single" w:color="auto" w:sz="4" w:space="0"/>
            </w:tcBorders>
            <w:noWrap/>
            <w:vAlign w:val="center"/>
          </w:tcPr>
          <w:p w14:paraId="0CC62826">
            <w:pPr>
              <w:spacing w:line="280" w:lineRule="exact"/>
              <w:jc w:val="center"/>
              <w:rPr>
                <w:color w:val="auto"/>
                <w:szCs w:val="21"/>
                <w:highlight w:val="none"/>
              </w:rPr>
            </w:pPr>
            <w:r>
              <w:rPr>
                <w:rFonts w:hint="eastAsia"/>
                <w:color w:val="auto"/>
                <w:szCs w:val="21"/>
                <w:highlight w:val="none"/>
              </w:rPr>
              <w:t>扣分情况</w:t>
            </w:r>
          </w:p>
        </w:tc>
        <w:tc>
          <w:tcPr>
            <w:tcW w:w="1123" w:type="dxa"/>
            <w:tcBorders>
              <w:top w:val="single" w:color="auto" w:sz="4" w:space="0"/>
              <w:left w:val="single" w:color="auto" w:sz="4" w:space="0"/>
              <w:bottom w:val="single" w:color="auto" w:sz="4" w:space="0"/>
              <w:right w:val="single" w:color="auto" w:sz="4" w:space="0"/>
            </w:tcBorders>
            <w:noWrap/>
            <w:vAlign w:val="center"/>
          </w:tcPr>
          <w:p w14:paraId="63C3CCE1">
            <w:pPr>
              <w:spacing w:line="280" w:lineRule="exact"/>
              <w:jc w:val="center"/>
              <w:rPr>
                <w:color w:val="auto"/>
                <w:szCs w:val="21"/>
                <w:highlight w:val="none"/>
              </w:rPr>
            </w:pPr>
            <w:r>
              <w:rPr>
                <w:rFonts w:hint="eastAsia"/>
                <w:color w:val="auto"/>
                <w:szCs w:val="21"/>
                <w:highlight w:val="none"/>
              </w:rPr>
              <w:t>扣分小计</w:t>
            </w:r>
          </w:p>
        </w:tc>
        <w:tc>
          <w:tcPr>
            <w:tcW w:w="1048" w:type="dxa"/>
            <w:tcBorders>
              <w:top w:val="single" w:color="auto" w:sz="4" w:space="0"/>
              <w:left w:val="single" w:color="auto" w:sz="4" w:space="0"/>
              <w:bottom w:val="single" w:color="auto" w:sz="4" w:space="0"/>
              <w:right w:val="single" w:color="auto" w:sz="4" w:space="0"/>
            </w:tcBorders>
            <w:noWrap/>
            <w:vAlign w:val="center"/>
          </w:tcPr>
          <w:p w14:paraId="66D321AC">
            <w:pPr>
              <w:spacing w:line="280" w:lineRule="exact"/>
              <w:jc w:val="center"/>
              <w:rPr>
                <w:color w:val="auto"/>
                <w:szCs w:val="21"/>
                <w:highlight w:val="none"/>
              </w:rPr>
            </w:pPr>
            <w:r>
              <w:rPr>
                <w:rFonts w:hint="eastAsia"/>
                <w:color w:val="auto"/>
                <w:szCs w:val="21"/>
                <w:highlight w:val="none"/>
              </w:rPr>
              <w:t>总评分</w:t>
            </w:r>
          </w:p>
        </w:tc>
        <w:tc>
          <w:tcPr>
            <w:tcW w:w="2879" w:type="dxa"/>
            <w:tcBorders>
              <w:top w:val="single" w:color="auto" w:sz="4" w:space="0"/>
              <w:left w:val="single" w:color="auto" w:sz="4" w:space="0"/>
              <w:bottom w:val="single" w:color="auto" w:sz="4" w:space="0"/>
              <w:right w:val="single" w:color="auto" w:sz="4" w:space="0"/>
            </w:tcBorders>
            <w:noWrap/>
            <w:vAlign w:val="center"/>
          </w:tcPr>
          <w:p w14:paraId="714A104E">
            <w:pPr>
              <w:spacing w:line="280" w:lineRule="exact"/>
              <w:jc w:val="center"/>
              <w:rPr>
                <w:color w:val="auto"/>
                <w:szCs w:val="21"/>
                <w:highlight w:val="none"/>
              </w:rPr>
            </w:pPr>
            <w:r>
              <w:rPr>
                <w:rFonts w:hint="eastAsia"/>
                <w:color w:val="auto"/>
                <w:szCs w:val="21"/>
                <w:highlight w:val="none"/>
              </w:rPr>
              <w:t>扣款项目和金额</w:t>
            </w:r>
          </w:p>
        </w:tc>
        <w:tc>
          <w:tcPr>
            <w:tcW w:w="1113" w:type="dxa"/>
            <w:tcBorders>
              <w:top w:val="single" w:color="auto" w:sz="4" w:space="0"/>
              <w:left w:val="single" w:color="auto" w:sz="4" w:space="0"/>
              <w:bottom w:val="single" w:color="auto" w:sz="4" w:space="0"/>
              <w:right w:val="single" w:color="auto" w:sz="4" w:space="0"/>
            </w:tcBorders>
            <w:noWrap/>
            <w:vAlign w:val="center"/>
          </w:tcPr>
          <w:p w14:paraId="7B14E37C">
            <w:pPr>
              <w:spacing w:line="280" w:lineRule="exact"/>
              <w:jc w:val="center"/>
              <w:rPr>
                <w:color w:val="auto"/>
                <w:szCs w:val="21"/>
                <w:highlight w:val="none"/>
              </w:rPr>
            </w:pPr>
            <w:r>
              <w:rPr>
                <w:rFonts w:hint="eastAsia"/>
                <w:color w:val="auto"/>
                <w:szCs w:val="21"/>
                <w:highlight w:val="none"/>
              </w:rPr>
              <w:t>扣款合计（元）</w:t>
            </w:r>
          </w:p>
        </w:tc>
      </w:tr>
      <w:tr w14:paraId="5FEC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93" w:type="dxa"/>
            <w:vMerge w:val="restart"/>
            <w:tcBorders>
              <w:top w:val="single" w:color="auto" w:sz="4" w:space="0"/>
              <w:left w:val="single" w:color="auto" w:sz="4" w:space="0"/>
              <w:right w:val="single" w:color="auto" w:sz="4" w:space="0"/>
            </w:tcBorders>
            <w:noWrap/>
            <w:vAlign w:val="center"/>
          </w:tcPr>
          <w:p w14:paraId="5DD97625">
            <w:pPr>
              <w:spacing w:line="280" w:lineRule="exact"/>
              <w:jc w:val="center"/>
              <w:rPr>
                <w:color w:val="auto"/>
                <w:szCs w:val="21"/>
                <w:highlight w:val="none"/>
              </w:rPr>
            </w:pPr>
            <w:r>
              <w:rPr>
                <w:rFonts w:hint="eastAsia"/>
                <w:color w:val="auto"/>
                <w:szCs w:val="21"/>
                <w:highlight w:val="none"/>
              </w:rPr>
              <w:t>100</w:t>
            </w:r>
          </w:p>
        </w:tc>
        <w:tc>
          <w:tcPr>
            <w:tcW w:w="818" w:type="dxa"/>
            <w:tcBorders>
              <w:top w:val="single" w:color="auto" w:sz="4" w:space="0"/>
              <w:left w:val="single" w:color="auto" w:sz="4" w:space="0"/>
              <w:right w:val="single" w:color="auto" w:sz="4" w:space="0"/>
            </w:tcBorders>
            <w:noWrap/>
            <w:vAlign w:val="center"/>
          </w:tcPr>
          <w:p w14:paraId="788D82F2">
            <w:pPr>
              <w:spacing w:line="280" w:lineRule="exact"/>
              <w:jc w:val="center"/>
              <w:rPr>
                <w:color w:val="auto"/>
                <w:szCs w:val="21"/>
                <w:highlight w:val="none"/>
              </w:rPr>
            </w:pPr>
            <w:r>
              <w:rPr>
                <w:rFonts w:hint="eastAsia"/>
                <w:color w:val="auto"/>
                <w:szCs w:val="21"/>
                <w:highlight w:val="none"/>
              </w:rPr>
              <w:t>日常检查</w:t>
            </w:r>
          </w:p>
        </w:tc>
        <w:tc>
          <w:tcPr>
            <w:tcW w:w="1593" w:type="dxa"/>
            <w:tcBorders>
              <w:top w:val="single" w:color="auto" w:sz="4" w:space="0"/>
              <w:left w:val="single" w:color="auto" w:sz="4" w:space="0"/>
              <w:right w:val="single" w:color="auto" w:sz="4" w:space="0"/>
            </w:tcBorders>
            <w:noWrap/>
            <w:vAlign w:val="center"/>
          </w:tcPr>
          <w:p w14:paraId="345319C5">
            <w:pPr>
              <w:spacing w:line="280" w:lineRule="exact"/>
              <w:jc w:val="center"/>
              <w:rPr>
                <w:color w:val="auto"/>
                <w:szCs w:val="21"/>
                <w:highlight w:val="none"/>
              </w:rPr>
            </w:pPr>
          </w:p>
        </w:tc>
        <w:tc>
          <w:tcPr>
            <w:tcW w:w="1123" w:type="dxa"/>
            <w:tcBorders>
              <w:top w:val="single" w:color="auto" w:sz="4" w:space="0"/>
              <w:left w:val="single" w:color="auto" w:sz="4" w:space="0"/>
              <w:right w:val="single" w:color="auto" w:sz="4" w:space="0"/>
            </w:tcBorders>
            <w:noWrap/>
            <w:vAlign w:val="center"/>
          </w:tcPr>
          <w:p w14:paraId="776311EB">
            <w:pPr>
              <w:spacing w:line="280" w:lineRule="exact"/>
              <w:jc w:val="center"/>
              <w:rPr>
                <w:color w:val="auto"/>
                <w:szCs w:val="21"/>
                <w:highlight w:val="none"/>
              </w:rPr>
            </w:pPr>
          </w:p>
        </w:tc>
        <w:tc>
          <w:tcPr>
            <w:tcW w:w="1048" w:type="dxa"/>
            <w:vMerge w:val="restart"/>
            <w:tcBorders>
              <w:top w:val="single" w:color="auto" w:sz="4" w:space="0"/>
              <w:left w:val="single" w:color="auto" w:sz="4" w:space="0"/>
              <w:right w:val="single" w:color="auto" w:sz="4" w:space="0"/>
            </w:tcBorders>
            <w:noWrap/>
            <w:vAlign w:val="center"/>
          </w:tcPr>
          <w:p w14:paraId="7F36D661">
            <w:pPr>
              <w:spacing w:line="280" w:lineRule="exact"/>
              <w:jc w:val="center"/>
              <w:rPr>
                <w:color w:val="auto"/>
                <w:szCs w:val="21"/>
                <w:highlight w:val="none"/>
              </w:rPr>
            </w:pPr>
          </w:p>
        </w:tc>
        <w:tc>
          <w:tcPr>
            <w:tcW w:w="2879" w:type="dxa"/>
            <w:vMerge w:val="restart"/>
            <w:tcBorders>
              <w:top w:val="single" w:color="auto" w:sz="4" w:space="0"/>
              <w:left w:val="single" w:color="auto" w:sz="4" w:space="0"/>
              <w:right w:val="single" w:color="auto" w:sz="4" w:space="0"/>
            </w:tcBorders>
            <w:noWrap/>
            <w:vAlign w:val="center"/>
          </w:tcPr>
          <w:p w14:paraId="58E35233">
            <w:pPr>
              <w:spacing w:line="280" w:lineRule="exact"/>
              <w:jc w:val="center"/>
              <w:rPr>
                <w:color w:val="auto"/>
                <w:szCs w:val="21"/>
                <w:highlight w:val="none"/>
              </w:rPr>
            </w:pPr>
          </w:p>
        </w:tc>
        <w:tc>
          <w:tcPr>
            <w:tcW w:w="1113" w:type="dxa"/>
            <w:vMerge w:val="restart"/>
            <w:tcBorders>
              <w:top w:val="single" w:color="auto" w:sz="4" w:space="0"/>
              <w:left w:val="single" w:color="auto" w:sz="4" w:space="0"/>
              <w:right w:val="single" w:color="auto" w:sz="4" w:space="0"/>
            </w:tcBorders>
            <w:noWrap/>
            <w:vAlign w:val="center"/>
          </w:tcPr>
          <w:p w14:paraId="3C9BFB58">
            <w:pPr>
              <w:spacing w:line="280" w:lineRule="exact"/>
              <w:jc w:val="center"/>
              <w:rPr>
                <w:color w:val="auto"/>
                <w:szCs w:val="21"/>
                <w:highlight w:val="none"/>
              </w:rPr>
            </w:pPr>
          </w:p>
        </w:tc>
      </w:tr>
      <w:tr w14:paraId="139C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0" w:hRule="atLeast"/>
        </w:trPr>
        <w:tc>
          <w:tcPr>
            <w:tcW w:w="1093" w:type="dxa"/>
            <w:vMerge w:val="continue"/>
            <w:tcBorders>
              <w:left w:val="single" w:color="auto" w:sz="4" w:space="0"/>
              <w:bottom w:val="single" w:color="auto" w:sz="4" w:space="0"/>
              <w:right w:val="single" w:color="auto" w:sz="4" w:space="0"/>
            </w:tcBorders>
            <w:noWrap/>
            <w:vAlign w:val="center"/>
          </w:tcPr>
          <w:p w14:paraId="560F6AD9">
            <w:pPr>
              <w:spacing w:line="280" w:lineRule="exact"/>
              <w:jc w:val="center"/>
              <w:rPr>
                <w:color w:val="auto"/>
                <w:highlight w:val="none"/>
              </w:rPr>
            </w:pPr>
          </w:p>
        </w:tc>
        <w:tc>
          <w:tcPr>
            <w:tcW w:w="818" w:type="dxa"/>
            <w:tcBorders>
              <w:top w:val="single" w:color="auto" w:sz="4" w:space="0"/>
              <w:left w:val="single" w:color="auto" w:sz="4" w:space="0"/>
              <w:right w:val="single" w:color="auto" w:sz="4" w:space="0"/>
            </w:tcBorders>
            <w:noWrap/>
            <w:vAlign w:val="center"/>
          </w:tcPr>
          <w:p w14:paraId="3B4E06E6">
            <w:pPr>
              <w:spacing w:line="280" w:lineRule="exact"/>
              <w:jc w:val="center"/>
              <w:rPr>
                <w:color w:val="auto"/>
                <w:szCs w:val="21"/>
                <w:highlight w:val="none"/>
              </w:rPr>
            </w:pPr>
            <w:r>
              <w:rPr>
                <w:rFonts w:hint="eastAsia"/>
                <w:color w:val="auto"/>
                <w:szCs w:val="21"/>
                <w:highlight w:val="none"/>
              </w:rPr>
              <w:t>月度检查</w:t>
            </w:r>
          </w:p>
        </w:tc>
        <w:tc>
          <w:tcPr>
            <w:tcW w:w="1593" w:type="dxa"/>
            <w:tcBorders>
              <w:left w:val="single" w:color="auto" w:sz="4" w:space="0"/>
              <w:right w:val="single" w:color="auto" w:sz="4" w:space="0"/>
            </w:tcBorders>
            <w:noWrap/>
            <w:vAlign w:val="center"/>
          </w:tcPr>
          <w:p w14:paraId="0A1F4448">
            <w:pPr>
              <w:spacing w:line="280" w:lineRule="exact"/>
              <w:jc w:val="center"/>
              <w:rPr>
                <w:color w:val="auto"/>
                <w:szCs w:val="21"/>
                <w:highlight w:val="none"/>
              </w:rPr>
            </w:pPr>
          </w:p>
        </w:tc>
        <w:tc>
          <w:tcPr>
            <w:tcW w:w="1123" w:type="dxa"/>
            <w:tcBorders>
              <w:left w:val="single" w:color="auto" w:sz="4" w:space="0"/>
              <w:bottom w:val="single" w:color="auto" w:sz="4" w:space="0"/>
              <w:right w:val="single" w:color="auto" w:sz="4" w:space="0"/>
            </w:tcBorders>
            <w:noWrap/>
            <w:vAlign w:val="center"/>
          </w:tcPr>
          <w:p w14:paraId="45C534BE">
            <w:pPr>
              <w:spacing w:line="280" w:lineRule="exact"/>
              <w:jc w:val="center"/>
              <w:rPr>
                <w:color w:val="auto"/>
                <w:szCs w:val="21"/>
                <w:highlight w:val="none"/>
              </w:rPr>
            </w:pPr>
          </w:p>
        </w:tc>
        <w:tc>
          <w:tcPr>
            <w:tcW w:w="1048" w:type="dxa"/>
            <w:vMerge w:val="continue"/>
            <w:tcBorders>
              <w:left w:val="single" w:color="auto" w:sz="4" w:space="0"/>
              <w:bottom w:val="single" w:color="auto" w:sz="4" w:space="0"/>
              <w:right w:val="single" w:color="auto" w:sz="4" w:space="0"/>
            </w:tcBorders>
            <w:noWrap/>
            <w:vAlign w:val="center"/>
          </w:tcPr>
          <w:p w14:paraId="47B4BDF4">
            <w:pPr>
              <w:spacing w:line="280" w:lineRule="exact"/>
              <w:jc w:val="center"/>
              <w:rPr>
                <w:color w:val="auto"/>
                <w:szCs w:val="21"/>
                <w:highlight w:val="none"/>
              </w:rPr>
            </w:pPr>
          </w:p>
        </w:tc>
        <w:tc>
          <w:tcPr>
            <w:tcW w:w="2879" w:type="dxa"/>
            <w:vMerge w:val="continue"/>
            <w:tcBorders>
              <w:left w:val="single" w:color="auto" w:sz="4" w:space="0"/>
              <w:bottom w:val="single" w:color="auto" w:sz="4" w:space="0"/>
              <w:right w:val="single" w:color="auto" w:sz="4" w:space="0"/>
            </w:tcBorders>
            <w:noWrap/>
            <w:vAlign w:val="center"/>
          </w:tcPr>
          <w:p w14:paraId="1DAFF4CD">
            <w:pPr>
              <w:spacing w:line="280" w:lineRule="exact"/>
              <w:jc w:val="center"/>
              <w:rPr>
                <w:color w:val="auto"/>
                <w:szCs w:val="21"/>
                <w:highlight w:val="none"/>
              </w:rPr>
            </w:pPr>
          </w:p>
        </w:tc>
        <w:tc>
          <w:tcPr>
            <w:tcW w:w="1113" w:type="dxa"/>
            <w:vMerge w:val="continue"/>
            <w:tcBorders>
              <w:left w:val="single" w:color="auto" w:sz="4" w:space="0"/>
              <w:bottom w:val="single" w:color="auto" w:sz="4" w:space="0"/>
              <w:right w:val="single" w:color="auto" w:sz="4" w:space="0"/>
            </w:tcBorders>
            <w:noWrap/>
            <w:vAlign w:val="center"/>
          </w:tcPr>
          <w:p w14:paraId="23D6B02B">
            <w:pPr>
              <w:spacing w:line="280" w:lineRule="exact"/>
              <w:jc w:val="center"/>
              <w:rPr>
                <w:color w:val="auto"/>
                <w:szCs w:val="21"/>
                <w:highlight w:val="none"/>
              </w:rPr>
            </w:pPr>
          </w:p>
        </w:tc>
      </w:tr>
      <w:tr w14:paraId="293B0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093" w:type="dxa"/>
            <w:tcBorders>
              <w:top w:val="single" w:color="auto" w:sz="4" w:space="0"/>
              <w:left w:val="single" w:color="auto" w:sz="4" w:space="0"/>
              <w:bottom w:val="single" w:color="auto" w:sz="4" w:space="0"/>
              <w:right w:val="single" w:color="auto" w:sz="4" w:space="0"/>
            </w:tcBorders>
            <w:noWrap/>
            <w:vAlign w:val="center"/>
          </w:tcPr>
          <w:p w14:paraId="3EB8A350">
            <w:pPr>
              <w:spacing w:line="280" w:lineRule="exact"/>
              <w:jc w:val="center"/>
              <w:rPr>
                <w:color w:val="auto"/>
                <w:szCs w:val="21"/>
                <w:highlight w:val="none"/>
              </w:rPr>
            </w:pPr>
            <w:r>
              <w:rPr>
                <w:rFonts w:hint="eastAsia"/>
                <w:color w:val="auto"/>
                <w:szCs w:val="21"/>
                <w:highlight w:val="none"/>
              </w:rPr>
              <w:t>考核等次</w:t>
            </w:r>
          </w:p>
        </w:tc>
        <w:tc>
          <w:tcPr>
            <w:tcW w:w="8574" w:type="dxa"/>
            <w:gridSpan w:val="6"/>
            <w:tcBorders>
              <w:top w:val="single" w:color="auto" w:sz="4" w:space="0"/>
              <w:left w:val="single" w:color="auto" w:sz="4" w:space="0"/>
              <w:bottom w:val="single" w:color="auto" w:sz="4" w:space="0"/>
              <w:right w:val="single" w:color="auto" w:sz="4" w:space="0"/>
            </w:tcBorders>
            <w:noWrap/>
            <w:vAlign w:val="center"/>
          </w:tcPr>
          <w:p w14:paraId="36809415">
            <w:pPr>
              <w:spacing w:line="280" w:lineRule="exact"/>
              <w:jc w:val="center"/>
              <w:rPr>
                <w:color w:val="auto"/>
                <w:szCs w:val="21"/>
                <w:highlight w:val="none"/>
              </w:rPr>
            </w:pPr>
          </w:p>
        </w:tc>
      </w:tr>
      <w:tr w14:paraId="58AE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93" w:type="dxa"/>
            <w:tcBorders>
              <w:top w:val="single" w:color="auto" w:sz="4" w:space="0"/>
              <w:left w:val="single" w:color="auto" w:sz="4" w:space="0"/>
              <w:bottom w:val="single" w:color="auto" w:sz="4" w:space="0"/>
              <w:right w:val="single" w:color="auto" w:sz="4" w:space="0"/>
            </w:tcBorders>
            <w:noWrap/>
            <w:vAlign w:val="center"/>
          </w:tcPr>
          <w:p w14:paraId="2FBA70E0">
            <w:pPr>
              <w:spacing w:line="280" w:lineRule="exact"/>
              <w:jc w:val="center"/>
              <w:rPr>
                <w:color w:val="auto"/>
                <w:szCs w:val="21"/>
                <w:highlight w:val="none"/>
              </w:rPr>
            </w:pPr>
            <w:r>
              <w:rPr>
                <w:rFonts w:hint="eastAsia"/>
                <w:color w:val="auto"/>
                <w:szCs w:val="21"/>
                <w:highlight w:val="none"/>
              </w:rPr>
              <w:t>当月服务费（元）</w:t>
            </w:r>
          </w:p>
        </w:tc>
        <w:tc>
          <w:tcPr>
            <w:tcW w:w="8574" w:type="dxa"/>
            <w:gridSpan w:val="6"/>
            <w:tcBorders>
              <w:top w:val="single" w:color="auto" w:sz="4" w:space="0"/>
              <w:left w:val="single" w:color="auto" w:sz="4" w:space="0"/>
              <w:bottom w:val="single" w:color="auto" w:sz="4" w:space="0"/>
              <w:right w:val="single" w:color="auto" w:sz="4" w:space="0"/>
            </w:tcBorders>
            <w:noWrap/>
            <w:vAlign w:val="center"/>
          </w:tcPr>
          <w:p w14:paraId="19574F3E">
            <w:pPr>
              <w:spacing w:line="280" w:lineRule="exact"/>
              <w:jc w:val="center"/>
              <w:rPr>
                <w:color w:val="auto"/>
                <w:szCs w:val="21"/>
                <w:highlight w:val="none"/>
              </w:rPr>
            </w:pPr>
          </w:p>
        </w:tc>
      </w:tr>
    </w:tbl>
    <w:p w14:paraId="0A26091B">
      <w:pPr>
        <w:widowControl/>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1.总评分=100-月度检查扣分分值-日常检查累计总扣分分值。</w:t>
      </w:r>
    </w:p>
    <w:p w14:paraId="4832AAAC">
      <w:pPr>
        <w:widowControl/>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2.考核等次：分为优秀、合格、基本合格、不合格四个等级：总评分≥95分为优秀；90分≤总评分</w:t>
      </w:r>
      <w:r>
        <w:rPr>
          <w:rFonts w:hint="eastAsia" w:ascii="宋体" w:hAnsi="宋体" w:cs="宋体"/>
          <w:b/>
          <w:bCs/>
          <w:color w:val="auto"/>
          <w:szCs w:val="21"/>
          <w:highlight w:val="none"/>
        </w:rPr>
        <w:t>＜</w:t>
      </w:r>
      <w:r>
        <w:rPr>
          <w:rFonts w:hint="eastAsia" w:ascii="宋体" w:hAnsi="宋体" w:cs="宋体"/>
          <w:color w:val="auto"/>
          <w:szCs w:val="21"/>
          <w:highlight w:val="none"/>
        </w:rPr>
        <w:t>95分为合格；85分≤总评分＜90分为基本合格；总评分＜85分为不合格。</w:t>
      </w:r>
    </w:p>
    <w:p w14:paraId="02F3A1A2">
      <w:pPr>
        <w:widowControl/>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3.扣款基数=合同总价÷12个月÷100分。</w:t>
      </w:r>
    </w:p>
    <w:p w14:paraId="58A7910D">
      <w:pPr>
        <w:ind w:firstLine="420" w:firstLineChars="200"/>
        <w:rPr>
          <w:rFonts w:ascii="宋体" w:hAnsi="宋体" w:cs="宋体"/>
          <w:color w:val="auto"/>
          <w:szCs w:val="21"/>
          <w:highlight w:val="none"/>
        </w:rPr>
      </w:pPr>
      <w:r>
        <w:rPr>
          <w:rFonts w:hint="eastAsia" w:ascii="宋体" w:hAnsi="宋体" w:cs="宋体"/>
          <w:color w:val="auto"/>
          <w:szCs w:val="21"/>
          <w:highlight w:val="none"/>
        </w:rPr>
        <w:t>4.月服务费计算方式如下：</w:t>
      </w:r>
    </w:p>
    <w:p w14:paraId="25DC7D6A">
      <w:pPr>
        <w:ind w:firstLine="420" w:firstLineChars="200"/>
        <w:rPr>
          <w:rFonts w:ascii="宋体" w:hAnsi="宋体" w:cs="宋体"/>
          <w:color w:val="auto"/>
          <w:szCs w:val="21"/>
          <w:highlight w:val="none"/>
        </w:rPr>
      </w:pPr>
      <w:r>
        <w:rPr>
          <w:rFonts w:hint="eastAsia" w:ascii="宋体" w:hAnsi="宋体" w:cs="宋体"/>
          <w:color w:val="auto"/>
          <w:szCs w:val="21"/>
          <w:highlight w:val="none"/>
        </w:rPr>
        <w:t>（1）当月考核分数为</w:t>
      </w:r>
      <w:r>
        <w:rPr>
          <w:rFonts w:hint="eastAsia" w:ascii="宋体" w:hAnsi="宋体" w:cs="宋体"/>
          <w:b/>
          <w:bCs/>
          <w:color w:val="auto"/>
          <w:szCs w:val="21"/>
          <w:highlight w:val="none"/>
        </w:rPr>
        <w:t>≥</w:t>
      </w:r>
      <w:r>
        <w:rPr>
          <w:rFonts w:hint="eastAsia" w:ascii="宋体" w:hAnsi="宋体" w:cs="宋体"/>
          <w:color w:val="auto"/>
          <w:szCs w:val="21"/>
          <w:highlight w:val="none"/>
        </w:rPr>
        <w:t xml:space="preserve">90分的服务费计算公式如下： </w:t>
      </w:r>
    </w:p>
    <w:p w14:paraId="0088A76A">
      <w:pPr>
        <w:ind w:firstLine="420" w:firstLineChars="200"/>
        <w:rPr>
          <w:rFonts w:ascii="宋体" w:hAnsi="宋体" w:cs="宋体"/>
          <w:color w:val="auto"/>
          <w:szCs w:val="21"/>
          <w:highlight w:val="none"/>
        </w:rPr>
      </w:pPr>
      <w:r>
        <w:rPr>
          <w:rFonts w:hint="eastAsia" w:ascii="宋体" w:hAnsi="宋体" w:cs="宋体"/>
          <w:color w:val="auto"/>
          <w:szCs w:val="21"/>
          <w:highlight w:val="none"/>
        </w:rPr>
        <w:t>当月服务费=合同总价÷12个月-扣款金额。</w:t>
      </w:r>
    </w:p>
    <w:p w14:paraId="1744983E">
      <w:pPr>
        <w:ind w:firstLine="420" w:firstLineChars="200"/>
        <w:rPr>
          <w:rFonts w:ascii="宋体" w:hAnsi="宋体" w:cs="宋体"/>
          <w:color w:val="auto"/>
          <w:szCs w:val="21"/>
          <w:highlight w:val="none"/>
        </w:rPr>
      </w:pPr>
      <w:r>
        <w:rPr>
          <w:rFonts w:hint="eastAsia" w:ascii="宋体" w:hAnsi="宋体" w:cs="宋体"/>
          <w:color w:val="auto"/>
          <w:szCs w:val="21"/>
          <w:highlight w:val="none"/>
        </w:rPr>
        <w:t>（2）85分≤当月考核总评分＜90分的服务费计算公式如下：</w:t>
      </w:r>
    </w:p>
    <w:p w14:paraId="1D5E8FAF">
      <w:pPr>
        <w:ind w:firstLine="420" w:firstLineChars="200"/>
        <w:rPr>
          <w:rFonts w:ascii="宋体" w:hAnsi="宋体" w:cs="宋体"/>
          <w:color w:val="auto"/>
          <w:szCs w:val="21"/>
          <w:highlight w:val="none"/>
        </w:rPr>
      </w:pPr>
      <w:r>
        <w:rPr>
          <w:rFonts w:hint="eastAsia" w:ascii="宋体" w:hAnsi="宋体" w:cs="宋体"/>
          <w:color w:val="auto"/>
          <w:szCs w:val="21"/>
          <w:highlight w:val="none"/>
        </w:rPr>
        <w:t>当月服务费=合同总价÷12个月－（90分－当月考核得分）×扣款基数-扣款金额。</w:t>
      </w:r>
    </w:p>
    <w:p w14:paraId="71C9CE9F">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（3）当月考核分数为＜85分的服务费计算公式如下： </w:t>
      </w:r>
    </w:p>
    <w:p w14:paraId="36F3AEA3">
      <w:pPr>
        <w:widowControl/>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当月服务费=合同总价÷12个月－（100分－当月考核得分）×扣款基数-扣款金额。</w:t>
      </w:r>
    </w:p>
    <w:p w14:paraId="4EAF3B28">
      <w:pPr>
        <w:widowControl/>
        <w:jc w:val="left"/>
        <w:rPr>
          <w:b/>
          <w:bCs/>
          <w:color w:val="auto"/>
          <w:highlight w:val="none"/>
        </w:rPr>
      </w:pPr>
    </w:p>
    <w:p w14:paraId="2A0FF1D5">
      <w:pPr>
        <w:widowControl/>
        <w:ind w:firstLine="422" w:firstLineChars="200"/>
        <w:jc w:val="left"/>
        <w:rPr>
          <w:b/>
          <w:bCs/>
          <w:color w:val="auto"/>
          <w:highlight w:val="none"/>
        </w:rPr>
      </w:pPr>
    </w:p>
    <w:p w14:paraId="32B05083">
      <w:pPr>
        <w:widowControl/>
        <w:ind w:firstLine="422" w:firstLineChars="200"/>
        <w:jc w:val="left"/>
        <w:rPr>
          <w:b/>
          <w:bCs/>
          <w:color w:val="auto"/>
          <w:highlight w:val="none"/>
        </w:rPr>
      </w:pPr>
      <w:r>
        <w:rPr>
          <w:rFonts w:hint="eastAsia"/>
          <w:b/>
          <w:bCs/>
          <w:color w:val="auto"/>
          <w:highlight w:val="none"/>
        </w:rPr>
        <w:t>被考核人：</w:t>
      </w:r>
      <w:r>
        <w:rPr>
          <w:rFonts w:hint="eastAsia"/>
          <w:b/>
          <w:bCs/>
          <w:color w:val="auto"/>
          <w:highlight w:val="none"/>
          <w:lang w:val="en-US" w:eastAsia="zh-CN"/>
        </w:rPr>
        <w:t xml:space="preserve">       </w:t>
      </w:r>
      <w:r>
        <w:rPr>
          <w:rFonts w:hint="eastAsia"/>
          <w:b/>
          <w:bCs/>
          <w:color w:val="auto"/>
          <w:highlight w:val="none"/>
        </w:rPr>
        <w:t>制表人：</w:t>
      </w:r>
      <w:r>
        <w:rPr>
          <w:rFonts w:hint="eastAsia"/>
          <w:b/>
          <w:bCs/>
          <w:color w:val="auto"/>
          <w:highlight w:val="none"/>
          <w:lang w:val="en-US" w:eastAsia="zh-CN"/>
        </w:rPr>
        <w:t xml:space="preserve">       </w:t>
      </w:r>
      <w:r>
        <w:rPr>
          <w:rFonts w:hint="eastAsia"/>
          <w:b/>
          <w:bCs/>
          <w:color w:val="auto"/>
          <w:highlight w:val="none"/>
        </w:rPr>
        <w:t>审核：</w:t>
      </w:r>
      <w:r>
        <w:rPr>
          <w:rFonts w:hint="eastAsia"/>
          <w:b/>
          <w:bCs/>
          <w:color w:val="auto"/>
          <w:highlight w:val="none"/>
          <w:lang w:val="en-US" w:eastAsia="zh-CN"/>
        </w:rPr>
        <w:t xml:space="preserve">        </w:t>
      </w:r>
      <w:r>
        <w:rPr>
          <w:rFonts w:hint="eastAsia"/>
          <w:b/>
          <w:bCs/>
          <w:color w:val="auto"/>
          <w:highlight w:val="none"/>
        </w:rPr>
        <w:t>复核：</w:t>
      </w:r>
    </w:p>
    <w:p w14:paraId="6D548BCB">
      <w:pPr>
        <w:rPr>
          <w:color w:val="auto"/>
          <w:highlight w:val="none"/>
        </w:rPr>
      </w:pPr>
    </w:p>
    <w:p w14:paraId="526BA810">
      <w:pPr>
        <w:rPr>
          <w:color w:val="auto"/>
          <w:highlight w:val="none"/>
        </w:rPr>
      </w:pPr>
    </w:p>
    <w:p w14:paraId="7D8140E9">
      <w:pPr>
        <w:rPr>
          <w:color w:val="auto"/>
          <w:highlight w:val="none"/>
        </w:rPr>
      </w:pPr>
    </w:p>
    <w:p w14:paraId="6C891FAF">
      <w:pPr>
        <w:ind w:right="-334" w:rightChars="-159"/>
        <w:jc w:val="left"/>
        <w:outlineLvl w:val="1"/>
        <w:rPr>
          <w:rFonts w:hint="eastAsia" w:ascii="宋体" w:hAnsi="宋体" w:eastAsia="宋体" w:cs="宋体"/>
          <w:b/>
          <w:bCs/>
          <w:color w:val="auto"/>
          <w:sz w:val="28"/>
          <w:szCs w:val="28"/>
          <w:highlight w:val="none"/>
          <w:lang w:val="en-US" w:eastAsia="zh-CN"/>
        </w:rPr>
      </w:pPr>
      <w:r>
        <w:rPr>
          <w:rFonts w:hint="eastAsia" w:ascii="宋体" w:hAnsi="宋体" w:eastAsia="宋体" w:cs="宋体"/>
          <w:b/>
          <w:color w:val="auto"/>
          <w:sz w:val="32"/>
          <w:szCs w:val="32"/>
          <w:highlight w:val="none"/>
        </w:rPr>
        <w:br w:type="page"/>
      </w:r>
      <w:r>
        <w:rPr>
          <w:rFonts w:hint="eastAsia" w:ascii="宋体" w:hAnsi="宋体" w:eastAsia="宋体" w:cs="宋体"/>
          <w:b/>
          <w:bCs/>
          <w:color w:val="auto"/>
          <w:sz w:val="28"/>
          <w:szCs w:val="28"/>
          <w:highlight w:val="none"/>
          <w:lang w:eastAsia="zh-CN"/>
        </w:rPr>
        <w:t>附件2：</w:t>
      </w:r>
      <w:r>
        <w:rPr>
          <w:rFonts w:hint="eastAsia" w:ascii="宋体" w:hAnsi="宋体" w:eastAsia="宋体" w:cs="宋体"/>
          <w:b/>
          <w:bCs/>
          <w:color w:val="auto"/>
          <w:sz w:val="28"/>
          <w:szCs w:val="28"/>
          <w:highlight w:val="none"/>
          <w:lang w:val="en-US" w:eastAsia="zh-CN"/>
        </w:rPr>
        <w:t>南宁市人民公园绿化养护服务范围图及考核办法</w:t>
      </w:r>
    </w:p>
    <w:p w14:paraId="2D90364E">
      <w:pPr>
        <w:spacing w:line="240" w:lineRule="auto"/>
        <w:ind w:right="-334" w:rightChars="-159"/>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附件2-1</w:t>
      </w:r>
    </w:p>
    <w:p w14:paraId="14F7BC88">
      <w:pPr>
        <w:spacing w:line="240" w:lineRule="auto"/>
        <w:ind w:right="-334" w:rightChars="-159"/>
        <w:jc w:val="both"/>
        <w:rPr>
          <w:rFonts w:hint="eastAsia" w:ascii="宋体" w:hAnsi="宋体" w:eastAsia="宋体" w:cs="Times New Roman"/>
          <w:b w:val="0"/>
          <w:bCs w:val="0"/>
          <w:color w:val="auto"/>
          <w:sz w:val="28"/>
          <w:szCs w:val="28"/>
          <w:highlight w:val="none"/>
        </w:rPr>
      </w:pPr>
      <w:r>
        <w:rPr>
          <w:rFonts w:hint="eastAsia" w:ascii="宋体" w:hAnsi="宋体" w:eastAsia="宋体" w:cs="Times New Roman"/>
          <w:b w:val="0"/>
          <w:bCs w:val="0"/>
          <w:color w:val="auto"/>
          <w:sz w:val="28"/>
          <w:szCs w:val="28"/>
          <w:highlight w:val="none"/>
        </w:rPr>
        <w:t>南宁市人民公园</w:t>
      </w:r>
      <w:r>
        <w:rPr>
          <w:rFonts w:hint="eastAsia" w:ascii="宋体" w:hAnsi="宋体" w:eastAsia="宋体" w:cs="Times New Roman"/>
          <w:b w:val="0"/>
          <w:bCs w:val="0"/>
          <w:color w:val="auto"/>
          <w:sz w:val="28"/>
          <w:szCs w:val="28"/>
          <w:highlight w:val="none"/>
          <w:lang w:eastAsia="zh-CN"/>
        </w:rPr>
        <w:t>绿化</w:t>
      </w:r>
      <w:r>
        <w:rPr>
          <w:rFonts w:hint="eastAsia" w:ascii="宋体" w:hAnsi="宋体" w:eastAsia="宋体" w:cs="Times New Roman"/>
          <w:b w:val="0"/>
          <w:bCs w:val="0"/>
          <w:color w:val="auto"/>
          <w:sz w:val="28"/>
          <w:szCs w:val="28"/>
          <w:highlight w:val="none"/>
        </w:rPr>
        <w:t>养护</w:t>
      </w:r>
      <w:r>
        <w:rPr>
          <w:rFonts w:hint="eastAsia" w:ascii="宋体" w:hAnsi="宋体" w:eastAsia="宋体" w:cs="Times New Roman"/>
          <w:b w:val="0"/>
          <w:bCs w:val="0"/>
          <w:color w:val="auto"/>
          <w:sz w:val="28"/>
          <w:szCs w:val="28"/>
          <w:highlight w:val="none"/>
          <w:lang w:val="en-US" w:eastAsia="zh-CN"/>
        </w:rPr>
        <w:t>服务</w:t>
      </w:r>
      <w:r>
        <w:rPr>
          <w:rFonts w:hint="eastAsia" w:ascii="宋体" w:hAnsi="宋体" w:eastAsia="宋体" w:cs="Times New Roman"/>
          <w:b w:val="0"/>
          <w:bCs w:val="0"/>
          <w:color w:val="auto"/>
          <w:sz w:val="28"/>
          <w:szCs w:val="28"/>
          <w:highlight w:val="none"/>
        </w:rPr>
        <w:t>范围图</w:t>
      </w:r>
    </w:p>
    <w:p w14:paraId="0879B830">
      <w:pPr>
        <w:spacing w:line="240" w:lineRule="auto"/>
        <w:ind w:right="-334" w:rightChars="-159"/>
        <w:jc w:val="both"/>
        <w:rPr>
          <w:rFonts w:hint="eastAsia" w:ascii="宋体" w:hAnsi="宋体" w:eastAsia="宋体" w:cs="Times New Roman"/>
          <w:b w:val="0"/>
          <w:bCs w:val="0"/>
          <w:color w:val="auto"/>
          <w:sz w:val="28"/>
          <w:szCs w:val="28"/>
          <w:highlight w:val="none"/>
        </w:rPr>
      </w:pPr>
      <w:r>
        <w:rPr>
          <w:rFonts w:hint="eastAsia"/>
          <w:color w:val="auto"/>
          <w:highlight w:val="none"/>
        </w:rPr>
        <w:drawing>
          <wp:anchor distT="0" distB="0" distL="114300" distR="114300" simplePos="0" relativeHeight="251663360" behindDoc="1" locked="0" layoutInCell="1" allowOverlap="1">
            <wp:simplePos x="0" y="0"/>
            <wp:positionH relativeFrom="column">
              <wp:posOffset>-109855</wp:posOffset>
            </wp:positionH>
            <wp:positionV relativeFrom="paragraph">
              <wp:posOffset>36195</wp:posOffset>
            </wp:positionV>
            <wp:extent cx="5759450" cy="6910070"/>
            <wp:effectExtent l="0" t="0" r="12700" b="5080"/>
            <wp:wrapNone/>
            <wp:docPr id="22" name="图片 10" descr="一级养护区域标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一级养护区域标注"/>
                    <pic:cNvPicPr>
                      <a:picLocks noChangeAspect="1"/>
                    </pic:cNvPicPr>
                  </pic:nvPicPr>
                  <pic:blipFill>
                    <a:blip r:embed="rId19"/>
                    <a:stretch>
                      <a:fillRect/>
                    </a:stretch>
                  </pic:blipFill>
                  <pic:spPr>
                    <a:xfrm>
                      <a:off x="0" y="0"/>
                      <a:ext cx="5759450" cy="6910070"/>
                    </a:xfrm>
                    <a:prstGeom prst="rect">
                      <a:avLst/>
                    </a:prstGeom>
                    <a:noFill/>
                    <a:ln>
                      <a:noFill/>
                    </a:ln>
                  </pic:spPr>
                </pic:pic>
              </a:graphicData>
            </a:graphic>
          </wp:anchor>
        </w:drawing>
      </w:r>
    </w:p>
    <w:p w14:paraId="649BA961">
      <w:pPr>
        <w:spacing w:line="240" w:lineRule="auto"/>
        <w:ind w:right="-334" w:rightChars="-159"/>
        <w:jc w:val="both"/>
        <w:rPr>
          <w:rFonts w:hint="eastAsia" w:ascii="宋体" w:hAnsi="宋体" w:eastAsia="宋体" w:cs="Times New Roman"/>
          <w:b w:val="0"/>
          <w:bCs w:val="0"/>
          <w:color w:val="auto"/>
          <w:sz w:val="28"/>
          <w:szCs w:val="28"/>
          <w:highlight w:val="none"/>
        </w:rPr>
      </w:pPr>
    </w:p>
    <w:p w14:paraId="48EECDD2">
      <w:pPr>
        <w:spacing w:line="240" w:lineRule="auto"/>
        <w:ind w:right="-334" w:rightChars="-159"/>
        <w:jc w:val="both"/>
        <w:rPr>
          <w:rFonts w:hint="eastAsia" w:ascii="宋体" w:hAnsi="宋体" w:eastAsia="宋体" w:cs="Times New Roman"/>
          <w:b w:val="0"/>
          <w:bCs w:val="0"/>
          <w:color w:val="auto"/>
          <w:sz w:val="28"/>
          <w:szCs w:val="28"/>
          <w:highlight w:val="none"/>
        </w:rPr>
      </w:pPr>
    </w:p>
    <w:p w14:paraId="6D80DB3F">
      <w:pPr>
        <w:spacing w:line="240" w:lineRule="auto"/>
        <w:ind w:right="-334" w:rightChars="-159"/>
        <w:jc w:val="both"/>
        <w:rPr>
          <w:rFonts w:hint="eastAsia" w:ascii="宋体" w:hAnsi="宋体" w:eastAsia="宋体" w:cs="Times New Roman"/>
          <w:b w:val="0"/>
          <w:bCs w:val="0"/>
          <w:color w:val="auto"/>
          <w:sz w:val="28"/>
          <w:szCs w:val="28"/>
          <w:highlight w:val="none"/>
        </w:rPr>
      </w:pPr>
    </w:p>
    <w:p w14:paraId="7B1A0205">
      <w:pPr>
        <w:spacing w:line="240" w:lineRule="auto"/>
        <w:ind w:right="-334" w:rightChars="-159"/>
        <w:jc w:val="both"/>
        <w:rPr>
          <w:rFonts w:hint="eastAsia" w:ascii="宋体" w:hAnsi="宋体" w:eastAsia="宋体" w:cs="Times New Roman"/>
          <w:b w:val="0"/>
          <w:bCs w:val="0"/>
          <w:color w:val="auto"/>
          <w:sz w:val="28"/>
          <w:szCs w:val="28"/>
          <w:highlight w:val="none"/>
        </w:rPr>
      </w:pPr>
    </w:p>
    <w:p w14:paraId="51C2A374">
      <w:pPr>
        <w:spacing w:line="240" w:lineRule="auto"/>
        <w:ind w:right="-334" w:rightChars="-159"/>
        <w:jc w:val="both"/>
        <w:rPr>
          <w:rFonts w:hint="eastAsia" w:ascii="宋体" w:hAnsi="宋体" w:eastAsia="宋体" w:cs="Times New Roman"/>
          <w:b w:val="0"/>
          <w:bCs w:val="0"/>
          <w:color w:val="auto"/>
          <w:sz w:val="28"/>
          <w:szCs w:val="28"/>
          <w:highlight w:val="none"/>
        </w:rPr>
      </w:pPr>
    </w:p>
    <w:p w14:paraId="423B3CA6">
      <w:pPr>
        <w:spacing w:line="240" w:lineRule="auto"/>
        <w:ind w:right="-334" w:rightChars="-159"/>
        <w:jc w:val="both"/>
        <w:rPr>
          <w:rFonts w:hint="eastAsia" w:ascii="宋体" w:hAnsi="宋体" w:eastAsia="宋体" w:cs="Times New Roman"/>
          <w:b w:val="0"/>
          <w:bCs w:val="0"/>
          <w:color w:val="auto"/>
          <w:sz w:val="28"/>
          <w:szCs w:val="28"/>
          <w:highlight w:val="none"/>
        </w:rPr>
      </w:pPr>
    </w:p>
    <w:p w14:paraId="13C63E8B">
      <w:pPr>
        <w:spacing w:line="240" w:lineRule="auto"/>
        <w:ind w:right="-334" w:rightChars="-159"/>
        <w:jc w:val="both"/>
        <w:rPr>
          <w:rFonts w:hint="eastAsia" w:ascii="宋体" w:hAnsi="宋体" w:eastAsia="宋体" w:cs="Times New Roman"/>
          <w:b w:val="0"/>
          <w:bCs w:val="0"/>
          <w:color w:val="auto"/>
          <w:sz w:val="28"/>
          <w:szCs w:val="28"/>
          <w:highlight w:val="none"/>
        </w:rPr>
      </w:pPr>
    </w:p>
    <w:p w14:paraId="0D8E9988">
      <w:pPr>
        <w:spacing w:line="240" w:lineRule="auto"/>
        <w:ind w:right="-334" w:rightChars="-159"/>
        <w:jc w:val="both"/>
        <w:rPr>
          <w:rFonts w:hint="eastAsia" w:ascii="宋体" w:hAnsi="宋体" w:eastAsia="宋体" w:cs="Times New Roman"/>
          <w:b w:val="0"/>
          <w:bCs w:val="0"/>
          <w:color w:val="auto"/>
          <w:sz w:val="28"/>
          <w:szCs w:val="28"/>
          <w:highlight w:val="none"/>
        </w:rPr>
      </w:pPr>
    </w:p>
    <w:p w14:paraId="3388DBEF">
      <w:pPr>
        <w:spacing w:line="240" w:lineRule="auto"/>
        <w:ind w:right="-334" w:rightChars="-159"/>
        <w:jc w:val="both"/>
        <w:rPr>
          <w:rFonts w:hint="eastAsia" w:ascii="宋体" w:hAnsi="宋体" w:eastAsia="宋体" w:cs="Times New Roman"/>
          <w:b w:val="0"/>
          <w:bCs w:val="0"/>
          <w:color w:val="auto"/>
          <w:sz w:val="28"/>
          <w:szCs w:val="28"/>
          <w:highlight w:val="none"/>
        </w:rPr>
      </w:pPr>
    </w:p>
    <w:p w14:paraId="6A94CD96">
      <w:pPr>
        <w:spacing w:line="240" w:lineRule="auto"/>
        <w:ind w:right="-334" w:rightChars="-159"/>
        <w:jc w:val="both"/>
        <w:rPr>
          <w:rFonts w:hint="eastAsia" w:ascii="宋体" w:hAnsi="宋体" w:eastAsia="宋体" w:cs="Times New Roman"/>
          <w:b w:val="0"/>
          <w:bCs w:val="0"/>
          <w:color w:val="auto"/>
          <w:sz w:val="28"/>
          <w:szCs w:val="28"/>
          <w:highlight w:val="none"/>
        </w:rPr>
      </w:pPr>
    </w:p>
    <w:p w14:paraId="1E03F6D9">
      <w:pPr>
        <w:spacing w:line="240" w:lineRule="auto"/>
        <w:ind w:right="-334" w:rightChars="-159"/>
        <w:jc w:val="both"/>
        <w:rPr>
          <w:rFonts w:hint="eastAsia" w:ascii="宋体" w:hAnsi="宋体" w:eastAsia="宋体" w:cs="Times New Roman"/>
          <w:b w:val="0"/>
          <w:bCs w:val="0"/>
          <w:color w:val="auto"/>
          <w:sz w:val="28"/>
          <w:szCs w:val="28"/>
          <w:highlight w:val="none"/>
        </w:rPr>
      </w:pPr>
    </w:p>
    <w:p w14:paraId="7CC604AA">
      <w:pPr>
        <w:spacing w:line="240" w:lineRule="auto"/>
        <w:ind w:right="-334" w:rightChars="-159"/>
        <w:jc w:val="both"/>
        <w:rPr>
          <w:rFonts w:hint="eastAsia" w:ascii="宋体" w:hAnsi="宋体" w:eastAsia="宋体" w:cs="Times New Roman"/>
          <w:b w:val="0"/>
          <w:bCs w:val="0"/>
          <w:color w:val="auto"/>
          <w:sz w:val="28"/>
          <w:szCs w:val="28"/>
          <w:highlight w:val="none"/>
        </w:rPr>
      </w:pPr>
    </w:p>
    <w:p w14:paraId="66BAFEA0">
      <w:pPr>
        <w:spacing w:line="240" w:lineRule="auto"/>
        <w:ind w:right="-334" w:rightChars="-159"/>
        <w:jc w:val="both"/>
        <w:rPr>
          <w:rFonts w:hint="eastAsia" w:ascii="宋体" w:hAnsi="宋体" w:eastAsia="宋体" w:cs="Times New Roman"/>
          <w:b w:val="0"/>
          <w:bCs w:val="0"/>
          <w:color w:val="auto"/>
          <w:sz w:val="28"/>
          <w:szCs w:val="28"/>
          <w:highlight w:val="none"/>
        </w:rPr>
      </w:pPr>
    </w:p>
    <w:p w14:paraId="5B78C1B2">
      <w:pPr>
        <w:spacing w:line="240" w:lineRule="auto"/>
        <w:ind w:right="-334" w:rightChars="-159"/>
        <w:jc w:val="both"/>
        <w:rPr>
          <w:rFonts w:hint="eastAsia" w:ascii="宋体" w:hAnsi="宋体" w:eastAsia="宋体" w:cs="Times New Roman"/>
          <w:b w:val="0"/>
          <w:bCs w:val="0"/>
          <w:color w:val="auto"/>
          <w:sz w:val="28"/>
          <w:szCs w:val="28"/>
          <w:highlight w:val="none"/>
        </w:rPr>
      </w:pPr>
    </w:p>
    <w:p w14:paraId="7D242E2B">
      <w:pPr>
        <w:spacing w:line="240" w:lineRule="auto"/>
        <w:ind w:right="-334" w:rightChars="-159"/>
        <w:jc w:val="both"/>
        <w:rPr>
          <w:rFonts w:hint="eastAsia" w:ascii="宋体" w:hAnsi="宋体" w:eastAsia="宋体" w:cs="Times New Roman"/>
          <w:b w:val="0"/>
          <w:bCs w:val="0"/>
          <w:color w:val="auto"/>
          <w:sz w:val="28"/>
          <w:szCs w:val="28"/>
          <w:highlight w:val="none"/>
        </w:rPr>
      </w:pPr>
    </w:p>
    <w:p w14:paraId="61AD0FEA">
      <w:pPr>
        <w:spacing w:line="240" w:lineRule="auto"/>
        <w:ind w:right="-334" w:rightChars="-159"/>
        <w:jc w:val="both"/>
        <w:rPr>
          <w:rFonts w:hint="eastAsia" w:ascii="宋体" w:hAnsi="宋体" w:eastAsia="宋体" w:cs="Times New Roman"/>
          <w:b w:val="0"/>
          <w:bCs w:val="0"/>
          <w:color w:val="auto"/>
          <w:sz w:val="28"/>
          <w:szCs w:val="28"/>
          <w:highlight w:val="none"/>
        </w:rPr>
      </w:pPr>
    </w:p>
    <w:p w14:paraId="6AA2F634">
      <w:pPr>
        <w:spacing w:line="240" w:lineRule="auto"/>
        <w:ind w:right="-334" w:rightChars="-159"/>
        <w:jc w:val="both"/>
        <w:rPr>
          <w:rFonts w:hint="eastAsia" w:ascii="宋体" w:hAnsi="宋体" w:eastAsia="宋体" w:cs="Times New Roman"/>
          <w:b w:val="0"/>
          <w:bCs w:val="0"/>
          <w:color w:val="auto"/>
          <w:sz w:val="28"/>
          <w:szCs w:val="28"/>
          <w:highlight w:val="none"/>
        </w:rPr>
      </w:pPr>
    </w:p>
    <w:p w14:paraId="08A8690F">
      <w:pPr>
        <w:spacing w:line="400" w:lineRule="exact"/>
        <w:ind w:firstLine="420" w:firstLineChars="200"/>
        <w:jc w:val="left"/>
        <w:rPr>
          <w:rFonts w:hint="eastAsia" w:ascii="宋体" w:hAnsi="宋体" w:eastAsia="宋体" w:cs="Times New Roman"/>
          <w:color w:val="auto"/>
          <w:sz w:val="21"/>
          <w:highlight w:val="none"/>
        </w:rPr>
      </w:pPr>
    </w:p>
    <w:p w14:paraId="4837D944">
      <w:pPr>
        <w:spacing w:line="400" w:lineRule="exact"/>
        <w:ind w:firstLine="420" w:firstLineChars="200"/>
        <w:jc w:val="left"/>
        <w:rPr>
          <w:rFonts w:hint="eastAsia" w:ascii="宋体" w:hAnsi="宋体" w:eastAsia="宋体" w:cs="Times New Roman"/>
          <w:color w:val="auto"/>
          <w:sz w:val="21"/>
          <w:highlight w:val="none"/>
        </w:rPr>
      </w:pPr>
    </w:p>
    <w:p w14:paraId="26D76AE7">
      <w:pPr>
        <w:spacing w:line="400" w:lineRule="exact"/>
        <w:ind w:firstLine="420" w:firstLineChars="200"/>
        <w:jc w:val="left"/>
        <w:rPr>
          <w:rFonts w:hint="eastAsia" w:ascii="宋体" w:hAnsi="宋体" w:eastAsia="宋体" w:cs="Times New Roman"/>
          <w:color w:val="auto"/>
          <w:sz w:val="21"/>
          <w:highlight w:val="none"/>
        </w:rPr>
      </w:pPr>
    </w:p>
    <w:p w14:paraId="13175A3F">
      <w:pPr>
        <w:spacing w:line="400" w:lineRule="exact"/>
        <w:ind w:firstLine="420" w:firstLineChars="200"/>
        <w:jc w:val="left"/>
        <w:rPr>
          <w:rFonts w:hint="eastAsia" w:ascii="宋体" w:hAnsi="宋体" w:eastAsia="宋体" w:cs="Times New Roman"/>
          <w:color w:val="auto"/>
          <w:sz w:val="21"/>
          <w:highlight w:val="none"/>
        </w:rPr>
      </w:pPr>
    </w:p>
    <w:p w14:paraId="5FAFB4A0">
      <w:pPr>
        <w:spacing w:line="400" w:lineRule="exact"/>
        <w:ind w:firstLine="420" w:firstLineChars="200"/>
        <w:jc w:val="left"/>
        <w:rPr>
          <w:rFonts w:hint="eastAsia" w:ascii="宋体" w:hAnsi="宋体" w:eastAsia="宋体" w:cs="Times New Roman"/>
          <w:color w:val="auto"/>
          <w:sz w:val="21"/>
          <w:highlight w:val="none"/>
        </w:rPr>
      </w:pPr>
    </w:p>
    <w:p w14:paraId="387B015D">
      <w:pPr>
        <w:spacing w:line="400" w:lineRule="exact"/>
        <w:ind w:firstLine="420" w:firstLineChars="200"/>
        <w:jc w:val="left"/>
        <w:rPr>
          <w:rFonts w:hint="eastAsia" w:ascii="宋体" w:hAnsi="宋体" w:eastAsia="宋体" w:cs="Times New Roman"/>
          <w:color w:val="auto"/>
          <w:sz w:val="21"/>
          <w:highlight w:val="none"/>
        </w:rPr>
      </w:pPr>
    </w:p>
    <w:p w14:paraId="1FB8D4A7">
      <w:pPr>
        <w:spacing w:line="400" w:lineRule="exact"/>
        <w:ind w:firstLine="420" w:firstLineChars="200"/>
        <w:jc w:val="left"/>
        <w:rPr>
          <w:rFonts w:hint="eastAsia" w:ascii="宋体" w:hAnsi="宋体" w:eastAsia="宋体" w:cs="Times New Roman"/>
          <w:color w:val="auto"/>
          <w:sz w:val="21"/>
          <w:highlight w:val="none"/>
        </w:rPr>
      </w:pPr>
    </w:p>
    <w:p w14:paraId="04339AFC">
      <w:pPr>
        <w:spacing w:line="400" w:lineRule="exact"/>
        <w:ind w:firstLine="420" w:firstLineChars="200"/>
        <w:jc w:val="left"/>
        <w:rPr>
          <w:rFonts w:hint="eastAsia" w:ascii="宋体" w:hAnsi="宋体" w:eastAsia="宋体" w:cs="Times New Roman"/>
          <w:color w:val="auto"/>
          <w:sz w:val="21"/>
          <w:highlight w:val="none"/>
        </w:rPr>
      </w:pPr>
    </w:p>
    <w:p w14:paraId="4339F4E0">
      <w:pPr>
        <w:spacing w:line="400" w:lineRule="exact"/>
        <w:ind w:firstLine="420" w:firstLineChars="200"/>
        <w:jc w:val="left"/>
        <w:rPr>
          <w:rFonts w:hint="eastAsia" w:ascii="宋体" w:hAnsi="宋体" w:eastAsia="宋体" w:cs="Times New Roman"/>
          <w:color w:val="auto"/>
          <w:sz w:val="21"/>
          <w:highlight w:val="none"/>
        </w:rPr>
      </w:pPr>
    </w:p>
    <w:p w14:paraId="2529ACC9">
      <w:pPr>
        <w:spacing w:line="400" w:lineRule="exact"/>
        <w:ind w:firstLine="420" w:firstLineChars="200"/>
        <w:jc w:val="left"/>
        <w:rPr>
          <w:rFonts w:hint="eastAsia" w:ascii="宋体" w:hAnsi="宋体" w:eastAsia="宋体" w:cs="Times New Roman"/>
          <w:color w:val="auto"/>
          <w:sz w:val="21"/>
          <w:highlight w:val="none"/>
        </w:rPr>
      </w:pPr>
    </w:p>
    <w:p w14:paraId="559705A0">
      <w:pPr>
        <w:spacing w:line="400" w:lineRule="exact"/>
        <w:ind w:firstLine="420" w:firstLineChars="200"/>
        <w:jc w:val="left"/>
        <w:rPr>
          <w:rFonts w:hint="eastAsia" w:ascii="宋体" w:hAnsi="宋体" w:eastAsia="宋体" w:cs="Times New Roman"/>
          <w:color w:val="auto"/>
          <w:sz w:val="21"/>
          <w:highlight w:val="none"/>
        </w:rPr>
      </w:pPr>
    </w:p>
    <w:p w14:paraId="022B0449">
      <w:pPr>
        <w:spacing w:line="400" w:lineRule="exact"/>
        <w:ind w:firstLine="420" w:firstLineChars="200"/>
        <w:jc w:val="left"/>
        <w:rPr>
          <w:rFonts w:hint="eastAsia" w:ascii="宋体" w:hAnsi="宋体" w:eastAsia="宋体" w:cs="Times New Roman"/>
          <w:color w:val="auto"/>
          <w:sz w:val="21"/>
          <w:highlight w:val="none"/>
        </w:rPr>
      </w:pPr>
    </w:p>
    <w:p w14:paraId="610BFC05">
      <w:pPr>
        <w:spacing w:line="400" w:lineRule="exact"/>
        <w:ind w:firstLine="420" w:firstLineChars="200"/>
        <w:jc w:val="left"/>
        <w:rPr>
          <w:rFonts w:hint="eastAsia" w:ascii="宋体" w:hAnsi="宋体"/>
          <w:b/>
          <w:bCs/>
          <w:color w:val="auto"/>
          <w:sz w:val="32"/>
          <w:szCs w:val="32"/>
          <w:highlight w:val="none"/>
          <w:lang w:eastAsia="zh-CN"/>
        </w:rPr>
      </w:pPr>
      <w:r>
        <w:rPr>
          <w:rFonts w:hint="eastAsia" w:ascii="宋体" w:hAnsi="宋体" w:eastAsia="宋体" w:cs="Times New Roman"/>
          <w:color w:val="auto"/>
          <w:sz w:val="21"/>
          <w:highlight w:val="none"/>
        </w:rPr>
        <w:t>备注：橙色标注范围为一级养护标准，面积6.41万平方米；其余范围为二级养护标准，面积约27.53万平方米。</w:t>
      </w:r>
    </w:p>
    <w:p w14:paraId="76573D0D">
      <w:pPr>
        <w:ind w:right="-334" w:rightChars="-159"/>
        <w:jc w:val="left"/>
        <w:rPr>
          <w:rFonts w:hint="eastAsia" w:ascii="宋体" w:hAnsi="宋体"/>
          <w:b/>
          <w:bCs/>
          <w:color w:val="auto"/>
          <w:sz w:val="32"/>
          <w:szCs w:val="32"/>
          <w:highlight w:val="none"/>
          <w:lang w:eastAsia="zh-CN"/>
        </w:rPr>
      </w:pPr>
    </w:p>
    <w:p w14:paraId="7E35D947">
      <w:pPr>
        <w:ind w:right="-334" w:rightChars="-159"/>
        <w:jc w:val="left"/>
        <w:rPr>
          <w:rFonts w:hint="eastAsia" w:ascii="宋体" w:hAnsi="宋体" w:eastAsia="宋体" w:cs="宋体"/>
          <w:b/>
          <w:bCs/>
          <w:color w:val="auto"/>
          <w:sz w:val="28"/>
          <w:szCs w:val="28"/>
          <w:highlight w:val="none"/>
          <w:lang w:eastAsia="zh-CN"/>
        </w:rPr>
      </w:pPr>
    </w:p>
    <w:p w14:paraId="122B124A">
      <w:pPr>
        <w:ind w:right="-334" w:rightChars="-159"/>
        <w:jc w:val="left"/>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eastAsia="zh-CN"/>
        </w:rPr>
        <w:t>附件2–</w:t>
      </w:r>
      <w:r>
        <w:rPr>
          <w:rFonts w:hint="eastAsia" w:ascii="宋体" w:hAnsi="宋体" w:eastAsia="宋体" w:cs="宋体"/>
          <w:b/>
          <w:bCs/>
          <w:color w:val="auto"/>
          <w:sz w:val="28"/>
          <w:szCs w:val="28"/>
          <w:highlight w:val="none"/>
          <w:lang w:val="en-US" w:eastAsia="zh-CN"/>
        </w:rPr>
        <w:t>2</w:t>
      </w:r>
    </w:p>
    <w:p w14:paraId="5344A5F8">
      <w:pPr>
        <w:ind w:right="-334" w:rightChars="-159"/>
        <w:jc w:val="center"/>
        <w:rPr>
          <w:rFonts w:ascii="宋体"/>
          <w:b/>
          <w:bCs/>
          <w:color w:val="auto"/>
          <w:sz w:val="32"/>
          <w:szCs w:val="32"/>
          <w:highlight w:val="none"/>
        </w:rPr>
      </w:pPr>
      <w:r>
        <w:rPr>
          <w:rFonts w:hint="eastAsia" w:ascii="宋体" w:hAnsi="宋体"/>
          <w:b/>
          <w:bCs/>
          <w:color w:val="auto"/>
          <w:sz w:val="32"/>
          <w:szCs w:val="32"/>
          <w:highlight w:val="none"/>
        </w:rPr>
        <w:t>南宁市人民公园绿化养护</w:t>
      </w:r>
      <w:r>
        <w:rPr>
          <w:rFonts w:hint="eastAsia" w:ascii="宋体" w:hAnsi="宋体"/>
          <w:b/>
          <w:bCs/>
          <w:color w:val="auto"/>
          <w:sz w:val="32"/>
          <w:szCs w:val="32"/>
          <w:highlight w:val="none"/>
          <w:lang w:eastAsia="zh-CN"/>
        </w:rPr>
        <w:t>服务考核</w:t>
      </w:r>
      <w:r>
        <w:rPr>
          <w:rFonts w:hint="eastAsia" w:ascii="宋体" w:hAnsi="宋体"/>
          <w:b/>
          <w:bCs/>
          <w:color w:val="auto"/>
          <w:sz w:val="32"/>
          <w:szCs w:val="32"/>
          <w:highlight w:val="none"/>
        </w:rPr>
        <w:t>办法</w:t>
      </w:r>
    </w:p>
    <w:p w14:paraId="51A77F22">
      <w:pPr>
        <w:spacing w:line="520" w:lineRule="exact"/>
        <w:jc w:val="center"/>
        <w:rPr>
          <w:rFonts w:ascii="宋体"/>
          <w:b/>
          <w:bCs/>
          <w:color w:val="auto"/>
          <w:sz w:val="28"/>
          <w:szCs w:val="28"/>
          <w:highlight w:val="none"/>
        </w:rPr>
      </w:pPr>
      <w:r>
        <w:rPr>
          <w:rFonts w:hint="eastAsia" w:ascii="宋体" w:hAnsi="宋体"/>
          <w:b/>
          <w:bCs/>
          <w:color w:val="auto"/>
          <w:sz w:val="28"/>
          <w:szCs w:val="28"/>
          <w:highlight w:val="none"/>
        </w:rPr>
        <w:t>第一章    总则</w:t>
      </w:r>
    </w:p>
    <w:p w14:paraId="66865109">
      <w:pPr>
        <w:spacing w:line="400" w:lineRule="exact"/>
        <w:ind w:firstLine="420" w:firstLineChars="200"/>
        <w:rPr>
          <w:rFonts w:ascii="宋体"/>
          <w:color w:val="auto"/>
          <w:szCs w:val="21"/>
          <w:highlight w:val="none"/>
        </w:rPr>
      </w:pPr>
      <w:r>
        <w:rPr>
          <w:rFonts w:hint="eastAsia" w:ascii="宋体" w:hAnsi="宋体"/>
          <w:color w:val="auto"/>
          <w:highlight w:val="none"/>
        </w:rPr>
        <w:t>为加强南宁市人民公园绿化养护服务管理的监督考核，维护公园良好的游园秩序和景观环境，使养护工作实现制度化、规范化、程序化，根据</w:t>
      </w:r>
      <w:r>
        <w:rPr>
          <w:rFonts w:hint="eastAsia" w:ascii="宋体" w:hAnsi="宋体"/>
          <w:color w:val="auto"/>
          <w:szCs w:val="21"/>
          <w:highlight w:val="none"/>
          <w:lang w:eastAsia="zh-CN"/>
        </w:rPr>
        <w:t>《城市公园管理办法》</w:t>
      </w:r>
      <w:r>
        <w:rPr>
          <w:rFonts w:hint="eastAsia" w:ascii="宋体" w:hAnsi="宋体"/>
          <w:color w:val="auto"/>
          <w:szCs w:val="21"/>
          <w:highlight w:val="none"/>
        </w:rPr>
        <w:t>《南宁市公园条例》</w:t>
      </w:r>
      <w:r>
        <w:rPr>
          <w:rFonts w:hint="eastAsia" w:ascii="宋体" w:hAnsi="宋体"/>
          <w:color w:val="auto"/>
          <w:highlight w:val="none"/>
        </w:rPr>
        <w:t>《南宁市公园管理规定》及绿化养护有关工作要求，结合公园实际</w:t>
      </w:r>
      <w:r>
        <w:rPr>
          <w:rFonts w:hint="eastAsia" w:ascii="宋体" w:hAnsi="宋体"/>
          <w:color w:val="auto"/>
          <w:highlight w:val="none"/>
          <w:lang w:eastAsia="zh-CN"/>
        </w:rPr>
        <w:t>，特</w:t>
      </w:r>
      <w:r>
        <w:rPr>
          <w:rFonts w:hint="eastAsia" w:ascii="宋体" w:hAnsi="宋体"/>
          <w:color w:val="auto"/>
          <w:highlight w:val="none"/>
        </w:rPr>
        <w:t>制定本办法。</w:t>
      </w:r>
    </w:p>
    <w:p w14:paraId="6292732F">
      <w:pPr>
        <w:spacing w:line="520" w:lineRule="exact"/>
        <w:jc w:val="center"/>
        <w:rPr>
          <w:rFonts w:ascii="宋体"/>
          <w:color w:val="auto"/>
          <w:sz w:val="28"/>
          <w:szCs w:val="28"/>
          <w:highlight w:val="none"/>
        </w:rPr>
      </w:pPr>
      <w:r>
        <w:rPr>
          <w:rFonts w:hint="eastAsia" w:ascii="宋体" w:hAnsi="宋体"/>
          <w:b/>
          <w:bCs/>
          <w:color w:val="auto"/>
          <w:sz w:val="28"/>
          <w:szCs w:val="28"/>
          <w:highlight w:val="none"/>
        </w:rPr>
        <w:t xml:space="preserve">   第二章    管理内容</w:t>
      </w:r>
    </w:p>
    <w:p w14:paraId="125FD91C">
      <w:pPr>
        <w:spacing w:line="400" w:lineRule="exact"/>
        <w:ind w:firstLine="420" w:firstLineChars="200"/>
        <w:rPr>
          <w:rFonts w:hint="eastAsia" w:ascii="宋体" w:hAnsi="宋体"/>
          <w:color w:val="auto"/>
          <w:highlight w:val="none"/>
        </w:rPr>
      </w:pPr>
      <w:r>
        <w:rPr>
          <w:rFonts w:hint="eastAsia" w:ascii="宋体" w:hAnsi="宋体"/>
          <w:color w:val="auto"/>
          <w:highlight w:val="none"/>
        </w:rPr>
        <w:t>公园招投标范围内绿化养护工作和配合做好全园范围内的突击性工作、上级迎检各项工作等。</w:t>
      </w:r>
    </w:p>
    <w:p w14:paraId="47C14F4B">
      <w:pPr>
        <w:spacing w:line="400" w:lineRule="exact"/>
        <w:ind w:firstLine="420" w:firstLineChars="200"/>
        <w:rPr>
          <w:rFonts w:hint="eastAsia" w:ascii="宋体" w:hAnsi="宋体"/>
          <w:color w:val="auto"/>
          <w:highlight w:val="none"/>
        </w:rPr>
      </w:pPr>
      <w:r>
        <w:rPr>
          <w:rFonts w:hint="eastAsia" w:ascii="宋体" w:hAnsi="宋体"/>
          <w:color w:val="auto"/>
          <w:highlight w:val="none"/>
        </w:rPr>
        <w:t>1.全年养护管理工作内容主要有日常巡查管理，乔木、灌木、草坪、地被、垂直绿化、时令草花等植物的绿化日常养护工作（包括淋水及排水等水分管理、松土除杂、树盘及片植植物边线修整、施肥、植物修剪、勾干枯枝、病虫害防治、灭四害、绿地保洁、补植及移植、消除黄土裸露、大树古树复壮、植物清洗、清理过高土、应急抢险或突发事件处理、重大活动保障等涉及绿化养护、绿地管理等一系列工作）。同时，负责区域内安全生产、绿地保护，防止人为破坏，及时发现，及时上报和修复。</w:t>
      </w:r>
    </w:p>
    <w:p w14:paraId="2F683D5C">
      <w:pPr>
        <w:spacing w:line="400" w:lineRule="exact"/>
        <w:ind w:firstLine="420" w:firstLineChars="200"/>
        <w:rPr>
          <w:rFonts w:hint="eastAsia" w:ascii="宋体" w:hAnsi="宋体"/>
          <w:color w:val="auto"/>
          <w:highlight w:val="none"/>
        </w:rPr>
      </w:pPr>
      <w:r>
        <w:rPr>
          <w:rFonts w:hint="eastAsia" w:ascii="宋体" w:hAnsi="宋体"/>
          <w:color w:val="auto"/>
          <w:highlight w:val="none"/>
        </w:rPr>
        <w:t>2.中标单位根据养护任务制定的工作计划和工作完成汇总报表等管理工作情况。</w:t>
      </w:r>
    </w:p>
    <w:p w14:paraId="3F04DE70">
      <w:pPr>
        <w:spacing w:line="400" w:lineRule="exact"/>
        <w:ind w:firstLine="420" w:firstLineChars="200"/>
        <w:rPr>
          <w:rFonts w:hint="eastAsia" w:ascii="宋体" w:hAnsi="宋体"/>
          <w:color w:val="auto"/>
          <w:highlight w:val="none"/>
        </w:rPr>
      </w:pPr>
      <w:r>
        <w:rPr>
          <w:rFonts w:hint="eastAsia" w:ascii="宋体" w:hAnsi="宋体"/>
          <w:color w:val="auto"/>
          <w:highlight w:val="none"/>
        </w:rPr>
        <w:t>3.公园专项突击、社会投诉、网上信访、媒体曝光、市长热线投诉、“美丽南宁”案件以及被有关部门督办等情况，临时安排的其它绿化养护工作的有关情况。</w:t>
      </w:r>
    </w:p>
    <w:p w14:paraId="26CD68FA">
      <w:pPr>
        <w:spacing w:line="400" w:lineRule="exact"/>
        <w:ind w:firstLine="420" w:firstLineChars="200"/>
        <w:rPr>
          <w:rFonts w:hint="eastAsia" w:ascii="宋体" w:hAnsi="宋体"/>
          <w:color w:val="auto"/>
          <w:highlight w:val="none"/>
        </w:rPr>
      </w:pPr>
      <w:r>
        <w:rPr>
          <w:rFonts w:hint="eastAsia" w:ascii="宋体" w:hAnsi="宋体"/>
          <w:color w:val="auto"/>
          <w:highlight w:val="none"/>
        </w:rPr>
        <w:t>4.承包单位投标文件承诺投入的人员、车辆及园林机械设备、设施、生产物</w:t>
      </w:r>
      <w:r>
        <w:rPr>
          <w:rFonts w:hint="eastAsia" w:ascii="宋体" w:hAnsi="宋体"/>
          <w:color w:val="auto"/>
          <w:highlight w:val="none"/>
          <w:lang w:val="en-US" w:eastAsia="zh-CN"/>
        </w:rPr>
        <w:t>资</w:t>
      </w:r>
      <w:r>
        <w:rPr>
          <w:rFonts w:hint="eastAsia" w:ascii="宋体" w:hAnsi="宋体"/>
          <w:color w:val="auto"/>
          <w:highlight w:val="none"/>
        </w:rPr>
        <w:t>及其他要求等响应投入情况的考核。</w:t>
      </w:r>
    </w:p>
    <w:p w14:paraId="30431D30">
      <w:pPr>
        <w:spacing w:line="520" w:lineRule="exact"/>
        <w:jc w:val="center"/>
        <w:rPr>
          <w:rFonts w:ascii="宋体"/>
          <w:b/>
          <w:bCs/>
          <w:color w:val="auto"/>
          <w:sz w:val="28"/>
          <w:szCs w:val="28"/>
          <w:highlight w:val="none"/>
        </w:rPr>
      </w:pPr>
      <w:r>
        <w:rPr>
          <w:rFonts w:hint="eastAsia" w:ascii="宋体" w:hAnsi="宋体"/>
          <w:b/>
          <w:bCs/>
          <w:color w:val="auto"/>
          <w:sz w:val="28"/>
          <w:szCs w:val="28"/>
          <w:highlight w:val="none"/>
        </w:rPr>
        <w:t>第三章    养护标准</w:t>
      </w:r>
    </w:p>
    <w:p w14:paraId="7B5E0FF2">
      <w:pPr>
        <w:spacing w:line="400" w:lineRule="exact"/>
        <w:ind w:firstLine="420" w:firstLineChars="200"/>
        <w:rPr>
          <w:rFonts w:ascii="宋体" w:hAnsi="宋体"/>
          <w:color w:val="auto"/>
          <w:highlight w:val="none"/>
        </w:rPr>
      </w:pPr>
      <w:r>
        <w:rPr>
          <w:rFonts w:hint="eastAsia" w:ascii="宋体" w:hAnsi="宋体"/>
          <w:color w:val="auto"/>
          <w:highlight w:val="none"/>
        </w:rPr>
        <w:t>绿化养护各级养护标准及质量要求执行《园林绿化养护标准》（CJJ/T287—2018）《南宁市人民公园绿化养护检查标准》。</w:t>
      </w:r>
    </w:p>
    <w:p w14:paraId="2F428AD4">
      <w:pPr>
        <w:spacing w:line="52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 xml:space="preserve">      第四章    考核标准和依据</w:t>
      </w:r>
    </w:p>
    <w:p w14:paraId="6D84EBF2">
      <w:pPr>
        <w:spacing w:line="400" w:lineRule="exact"/>
        <w:ind w:firstLine="420" w:firstLineChars="200"/>
        <w:rPr>
          <w:rFonts w:hint="eastAsia" w:ascii="宋体" w:hAnsi="宋体"/>
          <w:color w:val="auto"/>
          <w:highlight w:val="none"/>
        </w:rPr>
      </w:pPr>
      <w:r>
        <w:rPr>
          <w:rFonts w:hint="eastAsia" w:ascii="宋体" w:hAnsi="宋体"/>
          <w:color w:val="auto"/>
          <w:highlight w:val="none"/>
        </w:rPr>
        <w:t>1.中标单位与公园签订的绿化养护管理合同；</w:t>
      </w:r>
    </w:p>
    <w:p w14:paraId="203E11E3">
      <w:pPr>
        <w:spacing w:line="400" w:lineRule="exact"/>
        <w:ind w:firstLine="420" w:firstLineChars="200"/>
        <w:rPr>
          <w:rFonts w:hint="eastAsia" w:ascii="宋体" w:hAnsi="宋体"/>
          <w:color w:val="auto"/>
          <w:highlight w:val="none"/>
        </w:rPr>
      </w:pPr>
      <w:r>
        <w:rPr>
          <w:rFonts w:hint="eastAsia" w:ascii="宋体" w:hAnsi="宋体"/>
          <w:color w:val="auto"/>
          <w:highlight w:val="none"/>
        </w:rPr>
        <w:t>2.招标文件中规定的技术规范、标准、要求；</w:t>
      </w:r>
    </w:p>
    <w:p w14:paraId="57D081FE">
      <w:pPr>
        <w:spacing w:line="400" w:lineRule="exact"/>
        <w:ind w:firstLine="420" w:firstLineChars="200"/>
        <w:rPr>
          <w:rFonts w:hint="eastAsia" w:ascii="宋体" w:hAnsi="宋体"/>
          <w:color w:val="auto"/>
          <w:highlight w:val="none"/>
        </w:rPr>
      </w:pPr>
      <w:r>
        <w:rPr>
          <w:rFonts w:hint="eastAsia" w:ascii="宋体" w:hAnsi="宋体"/>
          <w:color w:val="auto"/>
          <w:highlight w:val="none"/>
        </w:rPr>
        <w:t>3.中标单位在其投标时的各种资料及承诺；</w:t>
      </w:r>
    </w:p>
    <w:p w14:paraId="689803B4">
      <w:pPr>
        <w:spacing w:line="400" w:lineRule="exact"/>
        <w:ind w:firstLine="420" w:firstLineChars="200"/>
        <w:rPr>
          <w:rFonts w:hint="eastAsia" w:ascii="宋体" w:hAnsi="宋体"/>
          <w:color w:val="auto"/>
          <w:highlight w:val="none"/>
        </w:rPr>
      </w:pPr>
      <w:r>
        <w:rPr>
          <w:rFonts w:hint="eastAsia" w:ascii="宋体" w:hAnsi="宋体"/>
          <w:color w:val="auto"/>
          <w:highlight w:val="none"/>
        </w:rPr>
        <w:t>4.《园林绿化养护标准》（CJJ/T287—2018）；</w:t>
      </w:r>
    </w:p>
    <w:p w14:paraId="5E5CF5E4">
      <w:pPr>
        <w:spacing w:line="400" w:lineRule="exact"/>
        <w:ind w:firstLine="420" w:firstLineChars="200"/>
        <w:rPr>
          <w:rFonts w:hint="eastAsia" w:ascii="宋体" w:hAnsi="宋体"/>
          <w:color w:val="auto"/>
          <w:highlight w:val="none"/>
        </w:rPr>
      </w:pPr>
      <w:r>
        <w:rPr>
          <w:rFonts w:hint="eastAsia" w:ascii="宋体" w:hAnsi="宋体"/>
          <w:color w:val="auto"/>
          <w:highlight w:val="none"/>
        </w:rPr>
        <w:t>5.公园制定的安全生产操作规程等有关养护工作的规定；</w:t>
      </w:r>
    </w:p>
    <w:p w14:paraId="3BCD3485">
      <w:pPr>
        <w:spacing w:line="400" w:lineRule="exact"/>
        <w:ind w:firstLine="420" w:firstLineChars="200"/>
        <w:rPr>
          <w:rFonts w:hint="eastAsia" w:ascii="宋体" w:hAnsi="宋体"/>
          <w:color w:val="auto"/>
          <w:highlight w:val="none"/>
        </w:rPr>
      </w:pPr>
      <w:r>
        <w:rPr>
          <w:rFonts w:hint="eastAsia" w:ascii="宋体" w:hAnsi="宋体"/>
          <w:color w:val="auto"/>
          <w:highlight w:val="none"/>
        </w:rPr>
        <w:t>6.公园园容科会议纪要以及临时安排工作通知要求；</w:t>
      </w:r>
    </w:p>
    <w:p w14:paraId="2EA2449A">
      <w:pPr>
        <w:spacing w:line="400" w:lineRule="exact"/>
        <w:ind w:firstLine="420" w:firstLineChars="200"/>
        <w:rPr>
          <w:rFonts w:hint="eastAsia" w:ascii="宋体" w:hAnsi="宋体"/>
          <w:color w:val="auto"/>
          <w:highlight w:val="none"/>
        </w:rPr>
      </w:pPr>
      <w:r>
        <w:rPr>
          <w:rFonts w:hint="eastAsia" w:ascii="宋体" w:hAnsi="宋体"/>
          <w:color w:val="auto"/>
          <w:highlight w:val="none"/>
        </w:rPr>
        <w:t>7.公园及其他相关单位等涉及公园绿化管理工作的相关文件和精神。</w:t>
      </w:r>
    </w:p>
    <w:p w14:paraId="1D2E4B27">
      <w:pPr>
        <w:spacing w:line="520" w:lineRule="exact"/>
        <w:jc w:val="center"/>
        <w:rPr>
          <w:rFonts w:ascii="宋体"/>
          <w:b/>
          <w:bCs/>
          <w:color w:val="auto"/>
          <w:sz w:val="28"/>
          <w:szCs w:val="28"/>
          <w:highlight w:val="none"/>
        </w:rPr>
      </w:pPr>
      <w:r>
        <w:rPr>
          <w:rFonts w:hint="eastAsia" w:ascii="宋体" w:hAnsi="宋体"/>
          <w:b/>
          <w:bCs/>
          <w:color w:val="auto"/>
          <w:sz w:val="28"/>
          <w:szCs w:val="28"/>
          <w:highlight w:val="none"/>
        </w:rPr>
        <w:t>第五章    实施与监督</w:t>
      </w:r>
    </w:p>
    <w:p w14:paraId="7FCF706C">
      <w:pPr>
        <w:spacing w:line="400" w:lineRule="exact"/>
        <w:ind w:firstLine="420" w:firstLineChars="200"/>
        <w:rPr>
          <w:rFonts w:ascii="宋体"/>
          <w:color w:val="auto"/>
          <w:szCs w:val="21"/>
          <w:highlight w:val="none"/>
        </w:rPr>
      </w:pPr>
      <w:r>
        <w:rPr>
          <w:rFonts w:hint="eastAsia" w:ascii="宋体" w:hAnsi="宋体"/>
          <w:color w:val="auto"/>
          <w:highlight w:val="none"/>
        </w:rPr>
        <w:t>一、考核实施机构</w:t>
      </w:r>
    </w:p>
    <w:p w14:paraId="5E9D7E94">
      <w:pPr>
        <w:spacing w:line="400" w:lineRule="exact"/>
        <w:ind w:firstLine="420" w:firstLineChars="200"/>
        <w:rPr>
          <w:rFonts w:hint="eastAsia" w:ascii="宋体" w:hAnsi="宋体"/>
          <w:color w:val="auto"/>
          <w:highlight w:val="none"/>
        </w:rPr>
      </w:pPr>
      <w:r>
        <w:rPr>
          <w:rFonts w:hint="eastAsia" w:ascii="宋体" w:hAnsi="宋体"/>
          <w:color w:val="auto"/>
          <w:highlight w:val="none"/>
        </w:rPr>
        <w:t>为确保园区绿化养护管理各项规范能贯彻执行，维护公园良好的游园景观环境，南宁市人民公园负责对全园绿地养护工作进行直接管理，具体工作由公园园容管理科负责实施。</w:t>
      </w:r>
    </w:p>
    <w:p w14:paraId="3CB2114A">
      <w:pPr>
        <w:spacing w:line="400" w:lineRule="exact"/>
        <w:ind w:firstLine="420" w:firstLineChars="200"/>
        <w:rPr>
          <w:rFonts w:hint="eastAsia" w:ascii="宋体" w:hAnsi="宋体"/>
          <w:color w:val="auto"/>
          <w:highlight w:val="none"/>
        </w:rPr>
      </w:pPr>
      <w:r>
        <w:rPr>
          <w:rFonts w:hint="eastAsia" w:ascii="宋体" w:hAnsi="宋体"/>
          <w:color w:val="auto"/>
          <w:highlight w:val="none"/>
        </w:rPr>
        <w:t>二、考核责任分工</w:t>
      </w:r>
    </w:p>
    <w:p w14:paraId="67A945DA">
      <w:pPr>
        <w:spacing w:line="400" w:lineRule="exact"/>
        <w:ind w:firstLine="420" w:firstLineChars="200"/>
        <w:rPr>
          <w:rFonts w:hint="eastAsia" w:ascii="宋体" w:hAnsi="宋体"/>
          <w:color w:val="auto"/>
          <w:highlight w:val="none"/>
        </w:rPr>
      </w:pPr>
      <w:r>
        <w:rPr>
          <w:rFonts w:hint="eastAsia" w:ascii="宋体" w:hAnsi="宋体"/>
          <w:color w:val="auto"/>
          <w:highlight w:val="none"/>
        </w:rPr>
        <w:t>检查考核采取日常检查、月度检查及专项检查相结合办法，考核评分结果作为养护工作质量评价、费用核拨及其它奖惩的重要依据。</w:t>
      </w:r>
    </w:p>
    <w:p w14:paraId="0D0720B7">
      <w:pPr>
        <w:spacing w:line="400" w:lineRule="exact"/>
        <w:ind w:firstLine="420" w:firstLineChars="200"/>
        <w:rPr>
          <w:rFonts w:hint="eastAsia" w:ascii="宋体" w:hAnsi="宋体"/>
          <w:color w:val="auto"/>
          <w:highlight w:val="none"/>
        </w:rPr>
      </w:pPr>
      <w:r>
        <w:rPr>
          <w:rFonts w:hint="eastAsia" w:ascii="宋体" w:hAnsi="宋体"/>
          <w:color w:val="auto"/>
          <w:highlight w:val="none"/>
        </w:rPr>
        <w:t>（一）（定期或不定期）公园成立日常检查工作小组，小组成员由公园园容管理科技术员、绿化检查员组成。具体职责包括：组织人员、日常检查记录、下发整改通知、根据检查结果评分、结果整理保存、上报。中标单位在做好本项目的日常检查工作、填写检查记录表外，应积极参加公园组织的日常检查工作，并在公园日常检查前提供中标单位的当日自我检查记录。</w:t>
      </w:r>
    </w:p>
    <w:p w14:paraId="449BD9C1">
      <w:pPr>
        <w:spacing w:line="400" w:lineRule="exact"/>
        <w:ind w:firstLine="420" w:firstLineChars="200"/>
        <w:rPr>
          <w:rFonts w:hint="eastAsia" w:ascii="宋体" w:hAnsi="宋体"/>
          <w:color w:val="auto"/>
          <w:highlight w:val="none"/>
        </w:rPr>
      </w:pPr>
      <w:r>
        <w:rPr>
          <w:rFonts w:hint="eastAsia" w:ascii="宋体" w:hAnsi="宋体"/>
          <w:color w:val="auto"/>
          <w:highlight w:val="none"/>
        </w:rPr>
        <w:t>（二）绿化养护月度检查工作由公园及中标单位现场负责人等人员组成月度考核小组，具体职责包括：组织人员、检查记录、月度检查评分、月度考核综合评分、经费核拨。</w:t>
      </w:r>
    </w:p>
    <w:p w14:paraId="73C30DE3">
      <w:pPr>
        <w:spacing w:line="400" w:lineRule="exact"/>
        <w:ind w:firstLine="420" w:firstLineChars="200"/>
        <w:rPr>
          <w:rFonts w:hint="eastAsia" w:ascii="宋体" w:hAnsi="宋体"/>
          <w:color w:val="auto"/>
          <w:highlight w:val="none"/>
        </w:rPr>
      </w:pPr>
      <w:r>
        <w:rPr>
          <w:rFonts w:hint="eastAsia" w:ascii="宋体" w:hAnsi="宋体"/>
          <w:color w:val="auto"/>
          <w:highlight w:val="none"/>
        </w:rPr>
        <w:t>（三）专项考评按照实际工作情况安排，由中标单位上报专项工作计划，经公园及园容管理科相关领导审批后，指派技术员现场监督及指导工作计划开展，同时公园安排相关领导及园容管理科工作人员、中标单位现场负责人等人员组成专项考评小组就专项工作执行情况进行考核并评分。</w:t>
      </w:r>
    </w:p>
    <w:p w14:paraId="43F71494">
      <w:pPr>
        <w:spacing w:line="400" w:lineRule="exact"/>
        <w:ind w:firstLine="420" w:firstLineChars="200"/>
        <w:rPr>
          <w:rFonts w:hint="eastAsia" w:ascii="宋体" w:hAnsi="宋体"/>
          <w:color w:val="auto"/>
          <w:highlight w:val="none"/>
        </w:rPr>
      </w:pPr>
      <w:r>
        <w:rPr>
          <w:rFonts w:hint="eastAsia" w:ascii="宋体" w:hAnsi="宋体"/>
          <w:color w:val="auto"/>
          <w:highlight w:val="none"/>
        </w:rPr>
        <w:t>（四）中标单位要按“服务需求一览表”中的服务项目的具体内容和考核标准做好日常管理和养护工作，并积极配合人民公园开展日常巡查及月度考核、专项考评工作。</w:t>
      </w:r>
    </w:p>
    <w:p w14:paraId="2B73C8BF">
      <w:pPr>
        <w:spacing w:line="520" w:lineRule="exact"/>
        <w:jc w:val="center"/>
        <w:rPr>
          <w:rFonts w:ascii="宋体"/>
          <w:b/>
          <w:bCs/>
          <w:color w:val="auto"/>
          <w:sz w:val="28"/>
          <w:szCs w:val="28"/>
          <w:highlight w:val="none"/>
        </w:rPr>
      </w:pPr>
      <w:r>
        <w:rPr>
          <w:rFonts w:hint="eastAsia" w:ascii="宋体" w:hAnsi="宋体"/>
          <w:b/>
          <w:bCs/>
          <w:color w:val="auto"/>
          <w:sz w:val="28"/>
          <w:szCs w:val="28"/>
          <w:highlight w:val="none"/>
        </w:rPr>
        <w:t>第六章    考核实施办法</w:t>
      </w:r>
    </w:p>
    <w:p w14:paraId="71890AFA">
      <w:pPr>
        <w:spacing w:line="400" w:lineRule="exact"/>
        <w:ind w:firstLine="420" w:firstLineChars="200"/>
        <w:rPr>
          <w:rFonts w:hint="eastAsia" w:ascii="宋体" w:hAnsi="宋体"/>
          <w:color w:val="auto"/>
          <w:highlight w:val="none"/>
        </w:rPr>
      </w:pPr>
      <w:r>
        <w:rPr>
          <w:rFonts w:hint="eastAsia" w:ascii="宋体" w:hAnsi="宋体"/>
          <w:color w:val="auto"/>
          <w:highlight w:val="none"/>
        </w:rPr>
        <w:t>一、考勤管理办法</w:t>
      </w:r>
    </w:p>
    <w:p w14:paraId="5871D0FF">
      <w:pPr>
        <w:spacing w:line="400" w:lineRule="exact"/>
        <w:ind w:firstLine="420" w:firstLineChars="200"/>
        <w:rPr>
          <w:rFonts w:hint="eastAsia" w:ascii="宋体" w:hAnsi="宋体"/>
          <w:color w:val="auto"/>
          <w:highlight w:val="none"/>
        </w:rPr>
      </w:pPr>
      <w:r>
        <w:rPr>
          <w:rFonts w:hint="eastAsia" w:ascii="宋体" w:hAnsi="宋体"/>
          <w:color w:val="auto"/>
          <w:highlight w:val="none"/>
        </w:rPr>
        <w:t>（一）每日工作时段为早上8:00-12:00，下午15:00-18:00，需指纹或人脸识别考勤；特殊情况可根据公园要求调整工作时间，但需保证能及时处理突发事件；</w:t>
      </w:r>
    </w:p>
    <w:p w14:paraId="409E4C27">
      <w:pPr>
        <w:spacing w:line="400" w:lineRule="exact"/>
        <w:ind w:firstLine="420" w:firstLineChars="200"/>
        <w:rPr>
          <w:rFonts w:hint="eastAsia" w:ascii="宋体" w:hAnsi="宋体"/>
          <w:color w:val="auto"/>
          <w:highlight w:val="none"/>
        </w:rPr>
      </w:pPr>
      <w:r>
        <w:rPr>
          <w:rFonts w:hint="eastAsia" w:ascii="宋体" w:hAnsi="宋体"/>
          <w:color w:val="auto"/>
          <w:highlight w:val="none"/>
        </w:rPr>
        <w:t>（二）中标单位的现场管理人员电话保持24小时开机畅通。中标单位月度考核综合得分如不合格，公园有权要求中标单位撤换现场管理人员。</w:t>
      </w:r>
    </w:p>
    <w:p w14:paraId="1BB51636">
      <w:pPr>
        <w:spacing w:line="400" w:lineRule="exact"/>
        <w:ind w:firstLine="420" w:firstLineChars="200"/>
        <w:rPr>
          <w:rFonts w:hint="eastAsia" w:ascii="宋体" w:hAnsi="宋体"/>
          <w:color w:val="auto"/>
          <w:highlight w:val="none"/>
        </w:rPr>
      </w:pPr>
      <w:r>
        <w:rPr>
          <w:rFonts w:hint="eastAsia" w:ascii="宋体" w:hAnsi="宋体"/>
          <w:color w:val="auto"/>
          <w:highlight w:val="none"/>
        </w:rPr>
        <w:t>（三）公园需使用季节性用工时，中标单位需提供人员安排表，根据安排表考勤。</w:t>
      </w:r>
    </w:p>
    <w:p w14:paraId="0DBC3BCE">
      <w:pPr>
        <w:spacing w:line="400" w:lineRule="exact"/>
        <w:ind w:firstLine="420" w:firstLineChars="200"/>
        <w:rPr>
          <w:rFonts w:hint="eastAsia" w:ascii="宋体" w:hAnsi="宋体"/>
          <w:color w:val="auto"/>
          <w:highlight w:val="none"/>
        </w:rPr>
      </w:pPr>
      <w:r>
        <w:rPr>
          <w:rFonts w:hint="eastAsia" w:ascii="宋体" w:hAnsi="宋体"/>
          <w:color w:val="auto"/>
          <w:highlight w:val="none"/>
        </w:rPr>
        <w:t>（四）公园对以上工作实施监督及检查。</w:t>
      </w:r>
    </w:p>
    <w:p w14:paraId="59F577D5">
      <w:pPr>
        <w:spacing w:line="400" w:lineRule="exact"/>
        <w:ind w:firstLine="420" w:firstLineChars="200"/>
        <w:rPr>
          <w:rFonts w:hint="eastAsia" w:ascii="宋体" w:hAnsi="宋体"/>
          <w:color w:val="auto"/>
          <w:highlight w:val="none"/>
        </w:rPr>
      </w:pPr>
      <w:r>
        <w:rPr>
          <w:rFonts w:hint="eastAsia" w:ascii="宋体" w:hAnsi="宋体"/>
          <w:color w:val="auto"/>
          <w:highlight w:val="none"/>
        </w:rPr>
        <w:t>二、绿化养护考核办法</w:t>
      </w:r>
    </w:p>
    <w:p w14:paraId="62F63AF4">
      <w:pPr>
        <w:spacing w:line="400" w:lineRule="exact"/>
        <w:ind w:firstLine="420" w:firstLineChars="200"/>
        <w:rPr>
          <w:rFonts w:hint="eastAsia" w:ascii="宋体" w:hAnsi="宋体"/>
          <w:color w:val="auto"/>
          <w:highlight w:val="none"/>
        </w:rPr>
      </w:pPr>
      <w:r>
        <w:rPr>
          <w:rFonts w:hint="eastAsia" w:ascii="宋体" w:hAnsi="宋体"/>
          <w:color w:val="auto"/>
          <w:highlight w:val="none"/>
        </w:rPr>
        <w:t>分为日常检查、月度检查、专项工作考核、月度考核综合评分。</w:t>
      </w:r>
    </w:p>
    <w:p w14:paraId="4D054CDF">
      <w:pPr>
        <w:spacing w:line="400" w:lineRule="exact"/>
        <w:ind w:firstLine="420" w:firstLineChars="200"/>
        <w:rPr>
          <w:rFonts w:hint="eastAsia" w:ascii="宋体" w:hAnsi="宋体"/>
          <w:color w:val="auto"/>
          <w:highlight w:val="none"/>
        </w:rPr>
      </w:pPr>
      <w:r>
        <w:rPr>
          <w:rFonts w:hint="eastAsia" w:ascii="宋体" w:hAnsi="宋体"/>
          <w:color w:val="auto"/>
          <w:highlight w:val="none"/>
        </w:rPr>
        <w:t>（一）检查时间</w:t>
      </w:r>
    </w:p>
    <w:p w14:paraId="13489809">
      <w:pPr>
        <w:spacing w:line="400" w:lineRule="exact"/>
        <w:ind w:firstLine="420" w:firstLineChars="200"/>
        <w:rPr>
          <w:rFonts w:hint="eastAsia" w:ascii="宋体" w:hAnsi="宋体"/>
          <w:color w:val="auto"/>
          <w:highlight w:val="none"/>
        </w:rPr>
      </w:pPr>
      <w:r>
        <w:rPr>
          <w:rFonts w:hint="eastAsia" w:ascii="宋体" w:hAnsi="宋体"/>
          <w:color w:val="auto"/>
          <w:highlight w:val="none"/>
        </w:rPr>
        <w:t>日常检查安排每天进行，月度检查为每月一次全面检查，专项考评根据工作实际情况进行安排。月度考核综合评分将以上检查及考核进行综合评分。</w:t>
      </w:r>
    </w:p>
    <w:p w14:paraId="2CEB1968">
      <w:pPr>
        <w:spacing w:line="400" w:lineRule="exact"/>
        <w:ind w:firstLine="420" w:firstLineChars="200"/>
        <w:rPr>
          <w:rFonts w:hint="eastAsia" w:ascii="宋体" w:hAnsi="宋体"/>
          <w:color w:val="auto"/>
          <w:highlight w:val="none"/>
        </w:rPr>
      </w:pPr>
      <w:r>
        <w:rPr>
          <w:rFonts w:hint="eastAsia" w:ascii="宋体" w:hAnsi="宋体"/>
          <w:color w:val="auto"/>
          <w:highlight w:val="none"/>
        </w:rPr>
        <w:t>（二）检查程序</w:t>
      </w:r>
    </w:p>
    <w:p w14:paraId="7F0A5BFB">
      <w:pPr>
        <w:spacing w:line="400" w:lineRule="exact"/>
        <w:ind w:firstLine="420" w:firstLineChars="200"/>
        <w:rPr>
          <w:rFonts w:hint="eastAsia" w:ascii="宋体" w:hAnsi="宋体" w:eastAsia="宋体"/>
          <w:color w:val="auto"/>
          <w:highlight w:val="none"/>
          <w:lang w:eastAsia="zh-CN"/>
        </w:rPr>
      </w:pPr>
      <w:r>
        <w:rPr>
          <w:rFonts w:hint="eastAsia" w:ascii="宋体" w:hAnsi="宋体"/>
          <w:color w:val="auto"/>
          <w:highlight w:val="none"/>
        </w:rPr>
        <w:t>1.日常检查</w:t>
      </w:r>
    </w:p>
    <w:p w14:paraId="4455166F">
      <w:pPr>
        <w:spacing w:line="400" w:lineRule="exact"/>
        <w:ind w:firstLine="420" w:firstLineChars="200"/>
        <w:rPr>
          <w:rFonts w:hint="eastAsia" w:ascii="宋体" w:hAnsi="宋体"/>
          <w:color w:val="auto"/>
          <w:highlight w:val="none"/>
        </w:rPr>
      </w:pPr>
      <w:r>
        <w:rPr>
          <w:rFonts w:hint="eastAsia" w:ascii="宋体" w:hAnsi="宋体"/>
          <w:color w:val="auto"/>
          <w:highlight w:val="none"/>
        </w:rPr>
        <w:t>①园容园貌组日常现场检查→下发整改通知→绿化小组复查验收→上报结果→纳入当月月度考核综合评分；</w:t>
      </w:r>
    </w:p>
    <w:p w14:paraId="37D26426">
      <w:pPr>
        <w:spacing w:line="400" w:lineRule="exact"/>
        <w:ind w:firstLine="420" w:firstLineChars="200"/>
        <w:rPr>
          <w:rFonts w:hint="eastAsia" w:ascii="宋体" w:hAnsi="宋体"/>
          <w:color w:val="auto"/>
          <w:highlight w:val="none"/>
        </w:rPr>
      </w:pPr>
      <w:r>
        <w:rPr>
          <w:rFonts w:hint="eastAsia" w:ascii="宋体" w:hAnsi="宋体"/>
          <w:color w:val="auto"/>
          <w:highlight w:val="none"/>
        </w:rPr>
        <w:t>②园容管理科现场检查→下发整改通知→绿化小组复查验收→上报结果→纳入当月月度考核综合评分；</w:t>
      </w:r>
    </w:p>
    <w:p w14:paraId="206514E7">
      <w:pPr>
        <w:spacing w:line="400" w:lineRule="exact"/>
        <w:ind w:firstLine="420" w:firstLineChars="200"/>
        <w:rPr>
          <w:rFonts w:hint="eastAsia" w:ascii="宋体" w:hAnsi="宋体"/>
          <w:color w:val="auto"/>
          <w:highlight w:val="none"/>
        </w:rPr>
      </w:pPr>
      <w:r>
        <w:rPr>
          <w:rFonts w:hint="eastAsia" w:ascii="宋体" w:hAnsi="宋体"/>
          <w:color w:val="auto"/>
          <w:highlight w:val="none"/>
        </w:rPr>
        <w:t>③公园领导班子现场检查→下发整改通知→绿化</w:t>
      </w:r>
      <w:r>
        <w:rPr>
          <w:rFonts w:hint="eastAsia" w:ascii="宋体" w:hAnsi="宋体"/>
          <w:color w:val="auto"/>
          <w:highlight w:val="none"/>
          <w:lang w:eastAsia="zh-CN"/>
        </w:rPr>
        <w:t>小组</w:t>
      </w:r>
      <w:r>
        <w:rPr>
          <w:rFonts w:hint="eastAsia" w:ascii="宋体" w:hAnsi="宋体"/>
          <w:color w:val="auto"/>
          <w:highlight w:val="none"/>
        </w:rPr>
        <w:t>复查验收→上报结果→纳入当月月度考核综合评分；</w:t>
      </w:r>
    </w:p>
    <w:p w14:paraId="04002FA7">
      <w:pPr>
        <w:spacing w:line="400" w:lineRule="exact"/>
        <w:ind w:firstLine="420" w:firstLineChars="200"/>
        <w:rPr>
          <w:rFonts w:hint="eastAsia" w:ascii="宋体" w:hAnsi="宋体"/>
          <w:color w:val="auto"/>
          <w:highlight w:val="none"/>
        </w:rPr>
      </w:pPr>
      <w:r>
        <w:rPr>
          <w:rFonts w:hint="eastAsia" w:ascii="宋体" w:hAnsi="宋体"/>
          <w:color w:val="auto"/>
          <w:highlight w:val="none"/>
        </w:rPr>
        <w:t>④上级检查、各级媒体曝光及市民投诉等问题→下发整改通知→</w:t>
      </w:r>
      <w:r>
        <w:rPr>
          <w:rFonts w:hint="eastAsia" w:ascii="宋体" w:hAnsi="宋体"/>
          <w:color w:val="auto"/>
          <w:highlight w:val="none"/>
          <w:lang w:eastAsia="zh-CN"/>
        </w:rPr>
        <w:t>绿化小组</w:t>
      </w:r>
      <w:r>
        <w:rPr>
          <w:rFonts w:hint="eastAsia" w:ascii="宋体" w:hAnsi="宋体"/>
          <w:color w:val="auto"/>
          <w:highlight w:val="none"/>
        </w:rPr>
        <w:t>复查验收→上报结果→纳入当月月度考核综合评分</w:t>
      </w:r>
    </w:p>
    <w:p w14:paraId="2DADDE1C">
      <w:pPr>
        <w:spacing w:line="400" w:lineRule="exact"/>
        <w:ind w:firstLine="420" w:firstLineChars="200"/>
        <w:rPr>
          <w:rFonts w:hint="eastAsia" w:ascii="宋体" w:hAnsi="宋体" w:eastAsia="宋体"/>
          <w:color w:val="auto"/>
          <w:highlight w:val="none"/>
          <w:lang w:eastAsia="zh-CN"/>
        </w:rPr>
      </w:pPr>
      <w:r>
        <w:rPr>
          <w:rFonts w:hint="eastAsia" w:ascii="宋体" w:hAnsi="宋体"/>
          <w:color w:val="auto"/>
          <w:highlight w:val="none"/>
        </w:rPr>
        <w:t>2.月度检查</w:t>
      </w:r>
    </w:p>
    <w:p w14:paraId="3E96F3AC">
      <w:pPr>
        <w:spacing w:line="400" w:lineRule="exact"/>
        <w:ind w:firstLine="420" w:firstLineChars="200"/>
        <w:rPr>
          <w:rFonts w:hint="eastAsia" w:ascii="宋体" w:hAnsi="宋体"/>
          <w:color w:val="auto"/>
          <w:highlight w:val="none"/>
        </w:rPr>
      </w:pPr>
      <w:r>
        <w:rPr>
          <w:rFonts w:hint="eastAsia" w:ascii="宋体" w:hAnsi="宋体"/>
          <w:color w:val="auto"/>
          <w:highlight w:val="none"/>
        </w:rPr>
        <w:t>通知中标单位→项目经理与公园技术人员现场检查→评分→通报结果→纳入当月月度考核综合评分</w:t>
      </w:r>
    </w:p>
    <w:p w14:paraId="5CEB6060">
      <w:pPr>
        <w:spacing w:line="400" w:lineRule="exact"/>
        <w:ind w:firstLine="420" w:firstLineChars="200"/>
        <w:rPr>
          <w:rFonts w:hint="eastAsia" w:ascii="宋体" w:hAnsi="宋体" w:eastAsia="宋体"/>
          <w:color w:val="auto"/>
          <w:highlight w:val="none"/>
          <w:lang w:eastAsia="zh-CN"/>
        </w:rPr>
      </w:pPr>
      <w:r>
        <w:rPr>
          <w:rFonts w:hint="eastAsia" w:ascii="宋体" w:hAnsi="宋体"/>
          <w:color w:val="auto"/>
          <w:highlight w:val="none"/>
        </w:rPr>
        <w:t>3.专项工作检查</w:t>
      </w:r>
    </w:p>
    <w:p w14:paraId="27F2E564">
      <w:pPr>
        <w:spacing w:line="400" w:lineRule="exact"/>
        <w:ind w:firstLine="420" w:firstLineChars="200"/>
        <w:rPr>
          <w:rFonts w:hint="eastAsia" w:ascii="宋体" w:hAnsi="宋体"/>
          <w:color w:val="auto"/>
          <w:highlight w:val="none"/>
        </w:rPr>
      </w:pPr>
      <w:r>
        <w:rPr>
          <w:rFonts w:hint="eastAsia" w:ascii="宋体" w:hAnsi="宋体"/>
          <w:color w:val="auto"/>
          <w:highlight w:val="none"/>
        </w:rPr>
        <w:t>中标单位上交专项工作计划→公园审批通过→公园指派技术员现场监督及指导工作计划开展→复查验收→上报结果→纳入工作计划完成当月月度考核综合评分。</w:t>
      </w:r>
    </w:p>
    <w:p w14:paraId="744D104A">
      <w:pPr>
        <w:spacing w:line="400" w:lineRule="exact"/>
        <w:ind w:firstLine="420" w:firstLineChars="200"/>
        <w:rPr>
          <w:rFonts w:hint="eastAsia" w:ascii="宋体" w:hAnsi="宋体"/>
          <w:color w:val="auto"/>
          <w:highlight w:val="none"/>
        </w:rPr>
      </w:pPr>
      <w:r>
        <w:rPr>
          <w:rFonts w:hint="eastAsia" w:ascii="宋体" w:hAnsi="宋体"/>
          <w:color w:val="auto"/>
          <w:highlight w:val="none"/>
        </w:rPr>
        <w:t>（三）检查办法</w:t>
      </w:r>
    </w:p>
    <w:p w14:paraId="65FB07B2">
      <w:pPr>
        <w:spacing w:line="400" w:lineRule="exact"/>
        <w:ind w:firstLine="420" w:firstLineChars="200"/>
        <w:rPr>
          <w:rFonts w:hint="eastAsia" w:ascii="宋体" w:hAnsi="宋体"/>
          <w:color w:val="auto"/>
          <w:highlight w:val="none"/>
        </w:rPr>
      </w:pPr>
      <w:r>
        <w:rPr>
          <w:rFonts w:hint="eastAsia" w:ascii="宋体" w:hAnsi="宋体"/>
          <w:color w:val="auto"/>
          <w:highlight w:val="none"/>
        </w:rPr>
        <w:t>1.日常检查办法</w:t>
      </w:r>
    </w:p>
    <w:p w14:paraId="7647E36D">
      <w:pPr>
        <w:spacing w:line="400" w:lineRule="exact"/>
        <w:ind w:firstLine="420" w:firstLineChars="200"/>
        <w:rPr>
          <w:rFonts w:hint="eastAsia" w:ascii="宋体" w:hAnsi="宋体"/>
          <w:color w:val="auto"/>
          <w:highlight w:val="none"/>
        </w:rPr>
      </w:pPr>
      <w:r>
        <w:rPr>
          <w:rFonts w:hint="eastAsia" w:ascii="宋体" w:hAnsi="宋体"/>
          <w:color w:val="auto"/>
          <w:highlight w:val="none"/>
        </w:rPr>
        <w:t>日常检查工作由公园园容管理科根据日常工作需要，对中标单位组织开展的绿化养护工作，进行检查。发现的问题，中标单位应在收到公园下达的日常检查整改反馈表</w:t>
      </w:r>
      <w:r>
        <w:rPr>
          <w:rFonts w:hint="eastAsia" w:ascii="宋体" w:hAnsi="宋体"/>
          <w:color w:val="auto"/>
          <w:highlight w:val="none"/>
          <w:lang w:eastAsia="zh-CN"/>
        </w:rPr>
        <w:t>或（日常巡查记录表）</w:t>
      </w:r>
      <w:r>
        <w:rPr>
          <w:rFonts w:hint="eastAsia" w:ascii="宋体" w:hAnsi="宋体"/>
          <w:color w:val="auto"/>
          <w:highlight w:val="none"/>
        </w:rPr>
        <w:t>后根据整改时限完成整改工作。如情况特殊无法在规定期限内完成存在问题整改工作的，中标单位应及时将实际情况上报公园园容科，由园容科相关领导确定是否延长整改期限。整改工作完成后应将整改结果及相关材料（如现场整改照片）及时反馈至园容科。</w:t>
      </w:r>
    </w:p>
    <w:p w14:paraId="3D6BEF02">
      <w:pPr>
        <w:spacing w:line="400" w:lineRule="exact"/>
        <w:ind w:firstLine="420" w:firstLineChars="200"/>
        <w:rPr>
          <w:rFonts w:hint="eastAsia" w:ascii="宋体" w:hAnsi="宋体"/>
          <w:color w:val="auto"/>
          <w:highlight w:val="none"/>
        </w:rPr>
      </w:pPr>
      <w:r>
        <w:rPr>
          <w:rFonts w:hint="eastAsia" w:ascii="宋体" w:hAnsi="宋体"/>
          <w:color w:val="auto"/>
          <w:highlight w:val="none"/>
        </w:rPr>
        <w:t>若未能按时按质按量完成整改，则按评分细则翻倍计算扣除相应分值，并计入当月月度考核综合评分。</w:t>
      </w:r>
    </w:p>
    <w:p w14:paraId="5F56F8EE">
      <w:pPr>
        <w:numPr>
          <w:ilvl w:val="0"/>
          <w:numId w:val="0"/>
        </w:numPr>
        <w:spacing w:line="400" w:lineRule="exact"/>
        <w:ind w:firstLine="210" w:firstLineChars="100"/>
        <w:rPr>
          <w:rFonts w:hint="eastAsia" w:ascii="宋体" w:hAnsi="宋体"/>
          <w:color w:val="auto"/>
          <w:highlight w:val="none"/>
        </w:rPr>
      </w:pPr>
      <w:r>
        <w:rPr>
          <w:rFonts w:hint="eastAsia" w:ascii="宋体" w:hAnsi="宋体"/>
          <w:color w:val="auto"/>
          <w:highlight w:val="none"/>
          <w:lang w:val="en-US" w:eastAsia="zh-CN"/>
        </w:rPr>
        <w:t>2.</w:t>
      </w:r>
      <w:r>
        <w:rPr>
          <w:rFonts w:hint="eastAsia" w:ascii="宋体" w:hAnsi="宋体"/>
          <w:color w:val="auto"/>
          <w:highlight w:val="none"/>
        </w:rPr>
        <w:t>月度检查办法</w:t>
      </w:r>
    </w:p>
    <w:p w14:paraId="56627D72">
      <w:pPr>
        <w:spacing w:line="400" w:lineRule="exact"/>
        <w:ind w:firstLine="420" w:firstLineChars="200"/>
        <w:rPr>
          <w:rFonts w:hint="eastAsia" w:ascii="宋体" w:hAnsi="宋体"/>
          <w:color w:val="auto"/>
          <w:highlight w:val="none"/>
        </w:rPr>
      </w:pPr>
      <w:r>
        <w:rPr>
          <w:rFonts w:hint="eastAsia" w:ascii="宋体" w:hAnsi="宋体"/>
          <w:color w:val="auto"/>
          <w:highlight w:val="none"/>
        </w:rPr>
        <w:t>月度检查由公园与中标单位负责组织实施，对中标单位当月绿化养护工作进行检查考核，按照《南宁市人民公园绿化养护检查评分标准》内容进行考核评分。</w:t>
      </w:r>
    </w:p>
    <w:p w14:paraId="369F5B60">
      <w:pPr>
        <w:spacing w:line="400" w:lineRule="exact"/>
        <w:ind w:firstLine="210" w:firstLineChars="100"/>
        <w:rPr>
          <w:rFonts w:hint="eastAsia" w:ascii="宋体" w:hAnsi="宋体"/>
          <w:color w:val="auto"/>
          <w:highlight w:val="none"/>
        </w:rPr>
      </w:pPr>
      <w:r>
        <w:rPr>
          <w:rFonts w:hint="eastAsia" w:ascii="宋体" w:hAnsi="宋体"/>
          <w:color w:val="auto"/>
          <w:highlight w:val="none"/>
          <w:lang w:val="en-US" w:eastAsia="zh-CN"/>
        </w:rPr>
        <w:t>3.</w:t>
      </w:r>
      <w:r>
        <w:rPr>
          <w:rFonts w:hint="eastAsia" w:ascii="宋体" w:hAnsi="宋体"/>
          <w:color w:val="auto"/>
          <w:highlight w:val="none"/>
        </w:rPr>
        <w:t>专项检查办法</w:t>
      </w:r>
    </w:p>
    <w:p w14:paraId="7E2E42AD">
      <w:pPr>
        <w:spacing w:line="400" w:lineRule="exact"/>
        <w:ind w:firstLine="420" w:firstLineChars="200"/>
        <w:rPr>
          <w:rFonts w:hint="eastAsia" w:ascii="宋体" w:hAnsi="宋体"/>
          <w:color w:val="auto"/>
          <w:highlight w:val="none"/>
        </w:rPr>
      </w:pPr>
      <w:r>
        <w:rPr>
          <w:rFonts w:hint="eastAsia" w:ascii="宋体" w:hAnsi="宋体"/>
          <w:color w:val="auto"/>
          <w:highlight w:val="none"/>
        </w:rPr>
        <w:t>（1）“创文明城”等系列行动以及国家级、区级、市级迎检工作纳入考核。</w:t>
      </w:r>
    </w:p>
    <w:p w14:paraId="249FE084">
      <w:pPr>
        <w:spacing w:line="400" w:lineRule="exact"/>
        <w:ind w:firstLine="420" w:firstLineChars="200"/>
        <w:rPr>
          <w:rFonts w:hint="eastAsia" w:ascii="宋体" w:hAnsi="宋体"/>
          <w:color w:val="auto"/>
          <w:highlight w:val="none"/>
        </w:rPr>
      </w:pPr>
      <w:r>
        <w:rPr>
          <w:rFonts w:hint="eastAsia" w:ascii="宋体" w:hAnsi="宋体"/>
          <w:color w:val="auto"/>
          <w:highlight w:val="none"/>
        </w:rPr>
        <w:t>（2）中标人应对管养绿地全面施肥至少2次，观花乔灌木有特别施肥需要的（如孕蕾期、花后），应增加施肥次数</w:t>
      </w:r>
      <w:r>
        <w:rPr>
          <w:rFonts w:hint="eastAsia" w:ascii="宋体" w:hAnsi="宋体"/>
          <w:color w:val="auto"/>
          <w:highlight w:val="none"/>
          <w:lang w:eastAsia="zh-CN"/>
        </w:rPr>
        <w:t>，</w:t>
      </w:r>
      <w:r>
        <w:rPr>
          <w:rFonts w:hint="eastAsia" w:ascii="宋体" w:hAnsi="宋体"/>
          <w:color w:val="auto"/>
          <w:highlight w:val="none"/>
        </w:rPr>
        <w:t>工作纳入考核。</w:t>
      </w:r>
    </w:p>
    <w:p w14:paraId="4F3A4B5D">
      <w:pPr>
        <w:spacing w:line="400" w:lineRule="exact"/>
        <w:ind w:firstLine="420" w:firstLineChars="200"/>
        <w:rPr>
          <w:rFonts w:hint="eastAsia" w:ascii="宋体" w:hAnsi="宋体"/>
          <w:color w:val="auto"/>
          <w:highlight w:val="none"/>
        </w:rPr>
      </w:pPr>
      <w:r>
        <w:rPr>
          <w:rFonts w:hint="eastAsia" w:ascii="宋体" w:hAnsi="宋体"/>
          <w:color w:val="auto"/>
          <w:highlight w:val="none"/>
        </w:rPr>
        <w:t>（3）10-12月为旱季，中标单位应根据实际情况对管养绿地开展大面积淋水抗旱工作</w:t>
      </w:r>
      <w:r>
        <w:rPr>
          <w:rFonts w:hint="eastAsia" w:ascii="宋体" w:hAnsi="宋体"/>
          <w:color w:val="auto"/>
          <w:highlight w:val="none"/>
          <w:lang w:eastAsia="zh-CN"/>
        </w:rPr>
        <w:t>，</w:t>
      </w:r>
      <w:r>
        <w:rPr>
          <w:rFonts w:hint="eastAsia" w:ascii="宋体" w:hAnsi="宋体"/>
          <w:color w:val="auto"/>
          <w:highlight w:val="none"/>
        </w:rPr>
        <w:t>工作纳入考核。</w:t>
      </w:r>
    </w:p>
    <w:p w14:paraId="5487F11F">
      <w:pPr>
        <w:spacing w:line="400" w:lineRule="exact"/>
        <w:ind w:firstLine="420" w:firstLineChars="200"/>
        <w:rPr>
          <w:rFonts w:hint="eastAsia" w:ascii="宋体" w:hAnsi="宋体" w:eastAsia="宋体" w:cs="Times New Roman"/>
          <w:b w:val="0"/>
          <w:bCs w:val="0"/>
          <w:color w:val="auto"/>
          <w:highlight w:val="none"/>
        </w:rPr>
      </w:pPr>
      <w:r>
        <w:rPr>
          <w:rFonts w:hint="eastAsia" w:ascii="宋体" w:hAnsi="宋体" w:eastAsia="宋体" w:cs="Times New Roman"/>
          <w:b w:val="0"/>
          <w:bCs w:val="0"/>
          <w:color w:val="auto"/>
          <w:highlight w:val="none"/>
        </w:rPr>
        <w:t>（4）其他专项检查</w:t>
      </w:r>
    </w:p>
    <w:p w14:paraId="141C7FA8">
      <w:pPr>
        <w:spacing w:line="400" w:lineRule="exact"/>
        <w:ind w:firstLine="420" w:firstLineChars="200"/>
        <w:rPr>
          <w:rFonts w:hint="eastAsia" w:ascii="宋体" w:hAnsi="宋体"/>
          <w:color w:val="auto"/>
          <w:highlight w:val="none"/>
        </w:rPr>
      </w:pPr>
      <w:r>
        <w:rPr>
          <w:rFonts w:hint="eastAsia" w:ascii="宋体" w:hAnsi="宋体"/>
          <w:color w:val="auto"/>
          <w:highlight w:val="none"/>
        </w:rPr>
        <w:t>①出现台风预警、长时间低温、洪涝等极端恶劣天气灾害；</w:t>
      </w:r>
    </w:p>
    <w:p w14:paraId="6D3CF2A7">
      <w:pPr>
        <w:spacing w:line="400" w:lineRule="exact"/>
        <w:ind w:firstLine="420" w:firstLineChars="200"/>
        <w:rPr>
          <w:rFonts w:hint="eastAsia" w:ascii="宋体" w:hAnsi="宋体"/>
          <w:color w:val="auto"/>
          <w:highlight w:val="none"/>
        </w:rPr>
      </w:pPr>
      <w:r>
        <w:rPr>
          <w:rFonts w:hint="eastAsia" w:ascii="宋体" w:hAnsi="宋体"/>
          <w:color w:val="auto"/>
          <w:highlight w:val="none"/>
        </w:rPr>
        <w:t>②专项病虫害防治、大面积灭“四害”工作等；</w:t>
      </w:r>
    </w:p>
    <w:p w14:paraId="1F2ADD65">
      <w:pPr>
        <w:spacing w:line="400" w:lineRule="exact"/>
        <w:ind w:firstLine="420" w:firstLineChars="200"/>
        <w:rPr>
          <w:rFonts w:hint="eastAsia" w:ascii="宋体" w:hAnsi="宋体" w:eastAsia="宋体" w:cs="Times New Roman"/>
          <w:color w:val="auto"/>
          <w:highlight w:val="none"/>
        </w:rPr>
      </w:pPr>
      <w:r>
        <w:rPr>
          <w:rFonts w:hint="eastAsia" w:ascii="宋体" w:hAnsi="宋体"/>
          <w:color w:val="auto"/>
          <w:highlight w:val="none"/>
        </w:rPr>
        <w:t>③名木古树保护、白蚁防治、红棕象甲防治、黄土裸露补植、小范围绿化提升等</w:t>
      </w:r>
      <w:r>
        <w:rPr>
          <w:rFonts w:hint="eastAsia" w:ascii="宋体" w:hAnsi="宋体"/>
          <w:color w:val="auto"/>
          <w:highlight w:val="none"/>
          <w:lang w:eastAsia="zh-CN"/>
        </w:rPr>
        <w:t>，</w:t>
      </w:r>
      <w:r>
        <w:rPr>
          <w:rFonts w:hint="eastAsia" w:ascii="宋体" w:hAnsi="宋体" w:eastAsia="宋体" w:cs="Times New Roman"/>
          <w:color w:val="auto"/>
          <w:highlight w:val="none"/>
        </w:rPr>
        <w:t>其中</w:t>
      </w:r>
      <w:r>
        <w:rPr>
          <w:rFonts w:hint="eastAsia" w:ascii="宋体" w:hAnsi="宋体" w:eastAsia="宋体" w:cs="Times New Roman"/>
          <w:color w:val="auto"/>
          <w:highlight w:val="none"/>
          <w:lang w:eastAsia="zh-CN"/>
        </w:rPr>
        <w:t>古树名木保护技术方面，根据</w:t>
      </w:r>
      <w:r>
        <w:rPr>
          <w:rFonts w:hint="eastAsia" w:ascii="宋体" w:hAnsi="宋体"/>
          <w:color w:val="auto"/>
          <w:highlight w:val="none"/>
          <w:lang w:eastAsia="zh-CN"/>
        </w:rPr>
        <w:t>《古树名木养护管理技术规程》（DB45/T 2308-2021）进行养护；</w:t>
      </w:r>
      <w:r>
        <w:rPr>
          <w:rFonts w:hint="eastAsia" w:ascii="宋体" w:hAnsi="宋体" w:eastAsia="宋体" w:cs="Times New Roman"/>
          <w:color w:val="auto"/>
          <w:highlight w:val="none"/>
          <w:lang w:eastAsia="zh-CN"/>
        </w:rPr>
        <w:t>白蚁防治技术方面，设置的</w:t>
      </w:r>
      <w:r>
        <w:rPr>
          <w:rFonts w:hint="eastAsia" w:ascii="宋体" w:hAnsi="宋体" w:eastAsia="宋体" w:cs="Times New Roman"/>
          <w:color w:val="auto"/>
          <w:highlight w:val="none"/>
        </w:rPr>
        <w:t>白蚁监测箱（主要材质为无异味、耐腐蚀的新鲜松木，单个尺寸不小于20cm×20cm×20cm，内部填充松木板，用料不少于0.008立方），定期检查维护和诱杀防治。每月对全部监测箱进行开箱检查、记录、放药、维护，过程需经</w:t>
      </w:r>
      <w:r>
        <w:rPr>
          <w:rFonts w:hint="eastAsia" w:ascii="宋体" w:hAnsi="宋体" w:eastAsia="宋体" w:cs="Times New Roman"/>
          <w:color w:val="auto"/>
          <w:highlight w:val="none"/>
          <w:lang w:val="en-US" w:eastAsia="zh-CN"/>
        </w:rPr>
        <w:t>公园</w:t>
      </w:r>
      <w:r>
        <w:rPr>
          <w:rFonts w:hint="eastAsia" w:ascii="宋体" w:hAnsi="宋体" w:eastAsia="宋体" w:cs="Times New Roman"/>
          <w:color w:val="auto"/>
          <w:highlight w:val="none"/>
        </w:rPr>
        <w:t>确认。发现白蚁活动，须在48小时内采取饵剂诱杀或喷粉处理等专业措施，并跟踪至蚁害清除。红棕象甲防控</w:t>
      </w:r>
      <w:r>
        <w:rPr>
          <w:rFonts w:hint="eastAsia" w:ascii="宋体" w:hAnsi="宋体" w:eastAsia="宋体" w:cs="Times New Roman"/>
          <w:color w:val="auto"/>
          <w:highlight w:val="none"/>
          <w:lang w:eastAsia="zh-CN"/>
        </w:rPr>
        <w:t>技术方面，</w:t>
      </w:r>
      <w:r>
        <w:rPr>
          <w:rFonts w:hint="eastAsia" w:ascii="宋体" w:hAnsi="宋体" w:eastAsia="宋体" w:cs="Times New Roman"/>
          <w:color w:val="auto"/>
          <w:highlight w:val="none"/>
        </w:rPr>
        <w:t>需采用信息素引诱技术措施辅助防控，于4-5月，8-11月成虫高发期，在全园重点区域布置引诱箱不少于10个，每月定期更换信息素药物1次，根据收集成虫数量，精准掌握虫害密度与防治重点。</w:t>
      </w:r>
    </w:p>
    <w:p w14:paraId="54CA5B1D">
      <w:pPr>
        <w:spacing w:line="400" w:lineRule="exact"/>
        <w:ind w:firstLine="420" w:firstLineChars="200"/>
        <w:rPr>
          <w:rFonts w:hint="eastAsia" w:ascii="宋体" w:hAnsi="宋体"/>
          <w:color w:val="auto"/>
          <w:highlight w:val="none"/>
        </w:rPr>
      </w:pPr>
      <w:r>
        <w:rPr>
          <w:rFonts w:hint="eastAsia" w:ascii="宋体" w:hAnsi="宋体"/>
          <w:color w:val="auto"/>
          <w:highlight w:val="none"/>
        </w:rPr>
        <w:t>④其他突发工作。</w:t>
      </w:r>
    </w:p>
    <w:p w14:paraId="5ED4AC51">
      <w:pPr>
        <w:spacing w:line="400" w:lineRule="exact"/>
        <w:ind w:firstLine="420" w:firstLineChars="200"/>
        <w:rPr>
          <w:rFonts w:hint="eastAsia" w:ascii="宋体" w:hAnsi="宋体"/>
          <w:color w:val="auto"/>
          <w:highlight w:val="none"/>
        </w:rPr>
      </w:pPr>
      <w:r>
        <w:rPr>
          <w:rFonts w:hint="eastAsia" w:ascii="宋体" w:hAnsi="宋体"/>
          <w:color w:val="auto"/>
          <w:highlight w:val="none"/>
        </w:rPr>
        <w:t>中标单位按要求上交专项工作计划，经公园及园容管理科相关领导审批后，由园容科指派技术员现场监督及指导中标单位现场负责人按工作计划实施。实施完毕后，根据工作计划内容制表，由专项考评小组复查验收。如专项工作未能按质按量完成，专项考评小组视实际情况及工作完成度进行扣分。当月所有专项考评扣分分值合计后，计入当月月度考核综合评分。</w:t>
      </w:r>
    </w:p>
    <w:p w14:paraId="1A00B185">
      <w:pPr>
        <w:spacing w:line="400" w:lineRule="exact"/>
        <w:ind w:firstLine="420" w:firstLineChars="200"/>
        <w:rPr>
          <w:rFonts w:hint="eastAsia" w:ascii="宋体" w:hAnsi="宋体" w:eastAsia="宋体"/>
          <w:color w:val="auto"/>
          <w:highlight w:val="none"/>
          <w:lang w:eastAsia="zh-CN"/>
        </w:rPr>
      </w:pPr>
      <w:r>
        <w:rPr>
          <w:rFonts w:hint="eastAsia" w:ascii="宋体" w:hAnsi="宋体"/>
          <w:b w:val="0"/>
          <w:bCs w:val="0"/>
          <w:color w:val="auto"/>
          <w:highlight w:val="none"/>
        </w:rPr>
        <w:t>（四）检查及考核结果</w:t>
      </w:r>
    </w:p>
    <w:p w14:paraId="5E19FD84">
      <w:pPr>
        <w:spacing w:line="400" w:lineRule="exact"/>
        <w:ind w:firstLine="420" w:firstLineChars="200"/>
        <w:rPr>
          <w:rFonts w:hint="eastAsia" w:ascii="宋体" w:hAnsi="宋体"/>
          <w:color w:val="auto"/>
          <w:highlight w:val="none"/>
        </w:rPr>
      </w:pPr>
      <w:r>
        <w:rPr>
          <w:rFonts w:hint="eastAsia" w:ascii="宋体" w:hAnsi="宋体"/>
          <w:color w:val="auto"/>
          <w:highlight w:val="none"/>
        </w:rPr>
        <w:t>公园各项检查对应评分或扣分分别为：日常检查评分、月度检查评分、专项工作检查评分、逾期未整改扣分、其它扣分。</w:t>
      </w:r>
    </w:p>
    <w:p w14:paraId="63FACD55">
      <w:pPr>
        <w:spacing w:line="400" w:lineRule="exact"/>
        <w:ind w:firstLine="420" w:firstLineChars="200"/>
        <w:rPr>
          <w:rFonts w:hint="eastAsia" w:ascii="宋体" w:hAnsi="宋体"/>
          <w:color w:val="auto"/>
          <w:highlight w:val="none"/>
        </w:rPr>
      </w:pPr>
      <w:r>
        <w:rPr>
          <w:rFonts w:hint="eastAsia" w:ascii="宋体" w:hAnsi="宋体"/>
          <w:color w:val="auto"/>
          <w:highlight w:val="none"/>
        </w:rPr>
        <w:t>1.每次检查完毕，公园根据检查情况打分并集体讨论决定最后分值，双方签字认可。</w:t>
      </w:r>
    </w:p>
    <w:p w14:paraId="58080C89">
      <w:pPr>
        <w:spacing w:line="400" w:lineRule="exact"/>
        <w:ind w:firstLine="420" w:firstLineChars="200"/>
        <w:rPr>
          <w:rFonts w:hint="eastAsia" w:ascii="宋体" w:hAnsi="宋体"/>
          <w:color w:val="auto"/>
          <w:highlight w:val="none"/>
        </w:rPr>
      </w:pPr>
      <w:r>
        <w:rPr>
          <w:rFonts w:hint="eastAsia" w:ascii="宋体" w:hAnsi="宋体"/>
          <w:color w:val="auto"/>
          <w:highlight w:val="none"/>
        </w:rPr>
        <w:t>2.考核采用百分制，按工作质量考评综合得分评为优秀、合格、不合格三个等级：优秀（得分≥90分）、合格（90分&gt;得分≥85分）、不合格（得分＜85分）。</w:t>
      </w:r>
    </w:p>
    <w:p w14:paraId="2E7D52D1">
      <w:pPr>
        <w:spacing w:line="400" w:lineRule="exact"/>
        <w:ind w:firstLine="420" w:firstLineChars="200"/>
        <w:rPr>
          <w:rFonts w:hint="eastAsia" w:ascii="宋体" w:hAnsi="宋体"/>
          <w:color w:val="auto"/>
          <w:highlight w:val="none"/>
        </w:rPr>
      </w:pPr>
      <w:r>
        <w:rPr>
          <w:rFonts w:hint="eastAsia" w:ascii="宋体" w:hAnsi="宋体"/>
          <w:color w:val="auto"/>
          <w:highlight w:val="none"/>
        </w:rPr>
        <w:t>3.当月的日检查扣分累计值按30%计入当月综合考核分数，当月月度检查扣分值按70%计入当月综合考核分数。专项工作检查扣分，其它扣分计入当月月度考核综合评分。</w:t>
      </w:r>
    </w:p>
    <w:p w14:paraId="6D149F1A">
      <w:pPr>
        <w:spacing w:line="400" w:lineRule="exact"/>
        <w:ind w:firstLine="420" w:firstLineChars="200"/>
        <w:rPr>
          <w:rFonts w:hint="eastAsia" w:ascii="宋体" w:hAnsi="宋体"/>
          <w:color w:val="auto"/>
          <w:highlight w:val="none"/>
        </w:rPr>
      </w:pPr>
      <w:r>
        <w:rPr>
          <w:rFonts w:hint="eastAsia" w:ascii="宋体" w:hAnsi="宋体"/>
          <w:color w:val="auto"/>
          <w:highlight w:val="none"/>
        </w:rPr>
        <w:t>4.以下情况扣除当月的部分或全部合同款：</w:t>
      </w:r>
    </w:p>
    <w:p w14:paraId="5AAE9BD0">
      <w:pPr>
        <w:spacing w:line="400" w:lineRule="exact"/>
        <w:ind w:firstLine="420" w:firstLineChars="200"/>
        <w:rPr>
          <w:rFonts w:hint="eastAsia" w:ascii="宋体" w:hAnsi="宋体"/>
          <w:color w:val="auto"/>
          <w:highlight w:val="none"/>
        </w:rPr>
      </w:pPr>
      <w:r>
        <w:rPr>
          <w:rFonts w:hint="eastAsia" w:ascii="宋体" w:hAnsi="宋体"/>
          <w:color w:val="auto"/>
          <w:highlight w:val="none"/>
        </w:rPr>
        <w:t>①“创文明城”“创卫生城”“生态园林城”等系列行动及上级迎检工作中被通报批评，按每一案件扣款300元计，并对应《南宁市人民公园绿化养护月度检查评分细则》问题进行扣分。</w:t>
      </w:r>
    </w:p>
    <w:p w14:paraId="0516CFC4">
      <w:pPr>
        <w:spacing w:line="400" w:lineRule="exact"/>
        <w:ind w:firstLine="420" w:firstLineChars="200"/>
        <w:rPr>
          <w:rFonts w:hint="eastAsia" w:ascii="宋体" w:hAnsi="宋体"/>
          <w:color w:val="auto"/>
          <w:highlight w:val="none"/>
        </w:rPr>
      </w:pPr>
      <w:r>
        <w:rPr>
          <w:rFonts w:hint="eastAsia" w:ascii="宋体" w:hAnsi="宋体"/>
          <w:color w:val="auto"/>
          <w:highlight w:val="none"/>
        </w:rPr>
        <w:t>②职责工作范围内，遭媒体曝光及相关部门投诉、市民游客投诉的，经核实确认无误，按每一案例扣款500元计，并对应《南宁市人民公园绿化养护月度检查评分细则》问题进行扣分。</w:t>
      </w:r>
    </w:p>
    <w:p w14:paraId="1E0CE256">
      <w:pPr>
        <w:spacing w:line="400" w:lineRule="exact"/>
        <w:ind w:firstLine="422" w:firstLineChars="200"/>
        <w:rPr>
          <w:rFonts w:hint="eastAsia" w:ascii="宋体" w:hAnsi="宋体"/>
          <w:b/>
          <w:bCs/>
          <w:color w:val="auto"/>
          <w:highlight w:val="none"/>
        </w:rPr>
      </w:pPr>
      <w:r>
        <w:rPr>
          <w:rFonts w:hint="eastAsia" w:ascii="宋体" w:hAnsi="宋体"/>
          <w:b/>
          <w:bCs/>
          <w:color w:val="auto"/>
          <w:highlight w:val="none"/>
          <w:lang w:val="en-US" w:eastAsia="zh-CN"/>
        </w:rPr>
        <w:t>5</w:t>
      </w:r>
      <w:r>
        <w:rPr>
          <w:rFonts w:hint="eastAsia" w:ascii="宋体" w:hAnsi="宋体"/>
          <w:b/>
          <w:bCs/>
          <w:color w:val="auto"/>
          <w:highlight w:val="none"/>
        </w:rPr>
        <w:t>.月度考核综合得分的应用</w:t>
      </w:r>
    </w:p>
    <w:p w14:paraId="6F82C902">
      <w:pPr>
        <w:spacing w:line="400" w:lineRule="exact"/>
        <w:ind w:firstLine="420" w:firstLineChars="200"/>
        <w:rPr>
          <w:rFonts w:hint="eastAsia" w:ascii="宋体" w:hAnsi="宋体"/>
          <w:color w:val="auto"/>
          <w:highlight w:val="none"/>
        </w:rPr>
      </w:pPr>
      <w:r>
        <w:rPr>
          <w:rFonts w:hint="eastAsia" w:ascii="宋体" w:hAnsi="宋体"/>
          <w:color w:val="auto"/>
          <w:highlight w:val="none"/>
        </w:rPr>
        <w:t>①月度考核综合评分≥90分以上，服务费计算公式为：</w:t>
      </w:r>
    </w:p>
    <w:p w14:paraId="1FC2B553">
      <w:pPr>
        <w:spacing w:line="400" w:lineRule="exact"/>
        <w:ind w:firstLine="420" w:firstLineChars="200"/>
        <w:rPr>
          <w:rFonts w:ascii="宋体" w:hAnsi="宋体"/>
          <w:color w:val="auto"/>
          <w:highlight w:val="none"/>
        </w:rPr>
      </w:pPr>
      <w:r>
        <w:rPr>
          <w:rFonts w:hint="eastAsia" w:ascii="宋体" w:hAnsi="宋体"/>
          <w:color w:val="auto"/>
          <w:highlight w:val="none"/>
        </w:rPr>
        <w:t>当月养护经费＝</w:t>
      </w:r>
      <w:r>
        <w:rPr>
          <w:rFonts w:ascii="宋体" w:hAnsi="宋体"/>
          <w:color w:val="auto"/>
          <w:highlight w:val="none"/>
        </w:rPr>
        <w:t>全年</w:t>
      </w:r>
      <w:r>
        <w:rPr>
          <w:rFonts w:hint="eastAsia" w:ascii="宋体" w:hAnsi="宋体"/>
          <w:color w:val="auto"/>
          <w:highlight w:val="none"/>
        </w:rPr>
        <w:t>养护经费/</w:t>
      </w:r>
      <w:r>
        <w:rPr>
          <w:rFonts w:ascii="宋体" w:hAnsi="宋体"/>
          <w:color w:val="auto"/>
          <w:highlight w:val="none"/>
        </w:rPr>
        <w:t>12</w:t>
      </w:r>
      <w:r>
        <w:rPr>
          <w:rFonts w:hint="eastAsia" w:ascii="宋体" w:hAnsi="宋体"/>
          <w:color w:val="auto"/>
          <w:highlight w:val="none"/>
        </w:rPr>
        <w:t>个月；无扣款项</w:t>
      </w:r>
    </w:p>
    <w:p w14:paraId="6215EC23">
      <w:pPr>
        <w:spacing w:line="400" w:lineRule="exact"/>
        <w:ind w:firstLine="420" w:firstLineChars="200"/>
        <w:rPr>
          <w:rFonts w:hint="eastAsia" w:ascii="宋体" w:hAnsi="宋体"/>
          <w:color w:val="auto"/>
          <w:highlight w:val="none"/>
        </w:rPr>
      </w:pPr>
      <w:r>
        <w:rPr>
          <w:rFonts w:hint="eastAsia" w:ascii="宋体" w:hAnsi="宋体"/>
          <w:color w:val="auto"/>
          <w:highlight w:val="none"/>
        </w:rPr>
        <w:t>②月度考核综合评分＜90且≥85分，服务费计算公式为：</w:t>
      </w:r>
    </w:p>
    <w:p w14:paraId="1A506403">
      <w:pPr>
        <w:spacing w:line="400" w:lineRule="exact"/>
        <w:ind w:firstLine="420" w:firstLineChars="200"/>
        <w:rPr>
          <w:rFonts w:hint="eastAsia"/>
          <w:color w:val="auto"/>
          <w:highlight w:val="none"/>
        </w:rPr>
      </w:pPr>
      <w:r>
        <w:rPr>
          <w:rFonts w:hint="eastAsia" w:ascii="宋体" w:hAnsi="宋体"/>
          <w:color w:val="auto"/>
          <w:highlight w:val="none"/>
        </w:rPr>
        <w:t>当月养护经费＝</w:t>
      </w:r>
      <w:r>
        <w:rPr>
          <w:rFonts w:ascii="宋体" w:hAnsi="宋体"/>
          <w:color w:val="auto"/>
          <w:highlight w:val="none"/>
        </w:rPr>
        <w:t>全年</w:t>
      </w:r>
      <w:r>
        <w:rPr>
          <w:rFonts w:hint="eastAsia" w:ascii="宋体" w:hAnsi="宋体"/>
          <w:color w:val="auto"/>
          <w:highlight w:val="none"/>
        </w:rPr>
        <w:t>养护经费/</w:t>
      </w:r>
      <w:r>
        <w:rPr>
          <w:rFonts w:ascii="宋体" w:hAnsi="宋体"/>
          <w:color w:val="auto"/>
          <w:highlight w:val="none"/>
        </w:rPr>
        <w:t>12</w:t>
      </w:r>
      <w:r>
        <w:rPr>
          <w:rFonts w:hint="eastAsia" w:ascii="宋体" w:hAnsi="宋体"/>
          <w:color w:val="auto"/>
          <w:highlight w:val="none"/>
        </w:rPr>
        <w:t>个月-各项扣款金额</w:t>
      </w:r>
    </w:p>
    <w:p w14:paraId="27B895EF">
      <w:pPr>
        <w:spacing w:line="400" w:lineRule="exact"/>
        <w:ind w:firstLine="420" w:firstLineChars="200"/>
        <w:rPr>
          <w:rFonts w:hint="eastAsia" w:ascii="宋体" w:hAnsi="宋体"/>
          <w:color w:val="auto"/>
          <w:highlight w:val="none"/>
        </w:rPr>
      </w:pPr>
      <w:r>
        <w:rPr>
          <w:rFonts w:hint="eastAsia" w:ascii="宋体" w:hAnsi="宋体"/>
          <w:color w:val="auto"/>
          <w:highlight w:val="none"/>
        </w:rPr>
        <w:t>③月度考核＜85分，服务费计算公式为：</w:t>
      </w:r>
    </w:p>
    <w:p w14:paraId="3C56EFB4">
      <w:pPr>
        <w:spacing w:line="400" w:lineRule="exact"/>
        <w:ind w:firstLine="420" w:firstLineChars="200"/>
        <w:rPr>
          <w:rFonts w:hint="eastAsia" w:ascii="宋体" w:hAnsi="宋体"/>
          <w:color w:val="auto"/>
          <w:highlight w:val="none"/>
        </w:rPr>
      </w:pPr>
      <w:r>
        <w:rPr>
          <w:rFonts w:hint="eastAsia" w:ascii="宋体" w:hAnsi="宋体"/>
          <w:color w:val="auto"/>
          <w:highlight w:val="none"/>
        </w:rPr>
        <w:t>月实付养护经费＝</w:t>
      </w:r>
      <w:r>
        <w:rPr>
          <w:rFonts w:ascii="宋体" w:hAnsi="宋体"/>
          <w:color w:val="auto"/>
          <w:highlight w:val="none"/>
        </w:rPr>
        <w:t>全年</w:t>
      </w:r>
      <w:r>
        <w:rPr>
          <w:rFonts w:hint="eastAsia" w:ascii="宋体" w:hAnsi="宋体"/>
          <w:color w:val="auto"/>
          <w:highlight w:val="none"/>
        </w:rPr>
        <w:t>养护经费/</w:t>
      </w:r>
      <w:r>
        <w:rPr>
          <w:rFonts w:ascii="宋体" w:hAnsi="宋体"/>
          <w:color w:val="auto"/>
          <w:highlight w:val="none"/>
        </w:rPr>
        <w:t>12</w:t>
      </w:r>
      <w:r>
        <w:rPr>
          <w:rFonts w:hint="eastAsia" w:ascii="宋体" w:hAnsi="宋体"/>
          <w:color w:val="auto"/>
          <w:highlight w:val="none"/>
        </w:rPr>
        <w:t xml:space="preserve">个月-（85-月度考核综合评分）*500元-各项扣款金额。  </w:t>
      </w:r>
    </w:p>
    <w:p w14:paraId="6F456C70">
      <w:pPr>
        <w:spacing w:line="360" w:lineRule="auto"/>
        <w:rPr>
          <w:rFonts w:ascii="仿宋_GB2312" w:eastAsia="仿宋_GB2312"/>
          <w:b/>
          <w:bCs/>
          <w:color w:val="auto"/>
          <w:sz w:val="30"/>
          <w:szCs w:val="30"/>
          <w:highlight w:val="none"/>
        </w:rPr>
      </w:pPr>
    </w:p>
    <w:p w14:paraId="0C78A03B">
      <w:pPr>
        <w:spacing w:line="360" w:lineRule="auto"/>
        <w:rPr>
          <w:rFonts w:ascii="仿宋_GB2312" w:eastAsia="仿宋_GB2312"/>
          <w:b/>
          <w:bCs/>
          <w:color w:val="auto"/>
          <w:sz w:val="30"/>
          <w:szCs w:val="30"/>
          <w:highlight w:val="none"/>
        </w:rPr>
      </w:pPr>
    </w:p>
    <w:p w14:paraId="67F72B1E">
      <w:pPr>
        <w:spacing w:line="360" w:lineRule="auto"/>
        <w:rPr>
          <w:rFonts w:ascii="仿宋_GB2312" w:eastAsia="仿宋_GB2312"/>
          <w:b/>
          <w:bCs/>
          <w:color w:val="auto"/>
          <w:sz w:val="30"/>
          <w:szCs w:val="30"/>
          <w:highlight w:val="none"/>
        </w:rPr>
      </w:pPr>
    </w:p>
    <w:p w14:paraId="5B334297">
      <w:pPr>
        <w:spacing w:line="360" w:lineRule="auto"/>
        <w:rPr>
          <w:rFonts w:ascii="仿宋_GB2312" w:eastAsia="仿宋_GB2312"/>
          <w:b/>
          <w:bCs/>
          <w:color w:val="auto"/>
          <w:sz w:val="30"/>
          <w:szCs w:val="30"/>
          <w:highlight w:val="none"/>
        </w:rPr>
      </w:pPr>
    </w:p>
    <w:p w14:paraId="1CA1B0E6">
      <w:pPr>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eastAsia="zh-CN"/>
        </w:rPr>
        <w:t>2</w:t>
      </w:r>
      <w:r>
        <w:rPr>
          <w:rFonts w:hint="eastAsia" w:ascii="宋体" w:hAnsi="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val="en-US" w:eastAsia="zh-CN"/>
        </w:rPr>
        <w:t>2</w:t>
      </w:r>
      <w:r>
        <w:rPr>
          <w:rFonts w:hint="eastAsia" w:ascii="宋体" w:hAnsi="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val="en-US" w:eastAsia="zh-CN"/>
        </w:rPr>
        <w:t>1</w:t>
      </w:r>
    </w:p>
    <w:p w14:paraId="7AA2921E">
      <w:pPr>
        <w:jc w:val="center"/>
        <w:rPr>
          <w:rFonts w:ascii="黑体" w:hAnsi="黑体" w:eastAsia="黑体"/>
          <w:b/>
          <w:color w:val="auto"/>
          <w:sz w:val="30"/>
          <w:szCs w:val="30"/>
          <w:highlight w:val="none"/>
        </w:rPr>
      </w:pPr>
      <w:r>
        <w:rPr>
          <w:rFonts w:hint="eastAsia" w:ascii="黑体" w:hAnsi="黑体" w:eastAsia="黑体"/>
          <w:b/>
          <w:color w:val="auto"/>
          <w:sz w:val="30"/>
          <w:szCs w:val="30"/>
          <w:highlight w:val="none"/>
        </w:rPr>
        <w:t>南宁市人民公园绿化养护检查标准</w:t>
      </w:r>
    </w:p>
    <w:tbl>
      <w:tblPr>
        <w:tblStyle w:val="22"/>
        <w:tblW w:w="0" w:type="auto"/>
        <w:jc w:val="center"/>
        <w:tblLayout w:type="fixed"/>
        <w:tblCellMar>
          <w:top w:w="0" w:type="dxa"/>
          <w:left w:w="108" w:type="dxa"/>
          <w:bottom w:w="0" w:type="dxa"/>
          <w:right w:w="108" w:type="dxa"/>
        </w:tblCellMar>
      </w:tblPr>
      <w:tblGrid>
        <w:gridCol w:w="1129"/>
        <w:gridCol w:w="993"/>
        <w:gridCol w:w="5670"/>
        <w:gridCol w:w="1004"/>
      </w:tblGrid>
      <w:tr w14:paraId="22692479">
        <w:tblPrEx>
          <w:tblCellMar>
            <w:top w:w="0" w:type="dxa"/>
            <w:left w:w="108" w:type="dxa"/>
            <w:bottom w:w="0" w:type="dxa"/>
            <w:right w:w="108" w:type="dxa"/>
          </w:tblCellMar>
        </w:tblPrEx>
        <w:trPr>
          <w:cantSplit/>
          <w:trHeight w:val="452" w:hRule="atLeas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14:paraId="0C4A3699">
            <w:pPr>
              <w:jc w:val="center"/>
              <w:rPr>
                <w:rFonts w:hint="eastAsia"/>
                <w:color w:val="auto"/>
                <w:sz w:val="18"/>
                <w:szCs w:val="18"/>
                <w:highlight w:val="none"/>
              </w:rPr>
            </w:pPr>
            <w:r>
              <w:rPr>
                <w:rFonts w:hint="eastAsia"/>
                <w:color w:val="auto"/>
                <w:sz w:val="18"/>
                <w:szCs w:val="18"/>
                <w:highlight w:val="none"/>
              </w:rPr>
              <w:t>项目</w:t>
            </w:r>
          </w:p>
        </w:tc>
        <w:tc>
          <w:tcPr>
            <w:tcW w:w="993" w:type="dxa"/>
            <w:tcBorders>
              <w:top w:val="single" w:color="auto" w:sz="4" w:space="0"/>
              <w:left w:val="nil"/>
              <w:bottom w:val="single" w:color="auto" w:sz="4" w:space="0"/>
              <w:right w:val="single" w:color="auto" w:sz="4" w:space="0"/>
            </w:tcBorders>
            <w:noWrap w:val="0"/>
            <w:vAlign w:val="center"/>
          </w:tcPr>
          <w:p w14:paraId="47CADCBB">
            <w:pPr>
              <w:jc w:val="center"/>
              <w:rPr>
                <w:b/>
                <w:bCs/>
                <w:color w:val="auto"/>
                <w:sz w:val="18"/>
                <w:szCs w:val="18"/>
                <w:highlight w:val="none"/>
              </w:rPr>
            </w:pPr>
            <w:r>
              <w:rPr>
                <w:rFonts w:hint="eastAsia"/>
                <w:b/>
                <w:bCs/>
                <w:color w:val="auto"/>
                <w:sz w:val="18"/>
                <w:szCs w:val="18"/>
                <w:highlight w:val="none"/>
              </w:rPr>
              <w:t xml:space="preserve">条款   </w:t>
            </w:r>
          </w:p>
        </w:tc>
        <w:tc>
          <w:tcPr>
            <w:tcW w:w="5670" w:type="dxa"/>
            <w:tcBorders>
              <w:top w:val="single" w:color="auto" w:sz="4" w:space="0"/>
              <w:left w:val="nil"/>
              <w:bottom w:val="single" w:color="auto" w:sz="4" w:space="0"/>
              <w:right w:val="single" w:color="auto" w:sz="4" w:space="0"/>
            </w:tcBorders>
            <w:noWrap w:val="0"/>
            <w:vAlign w:val="center"/>
          </w:tcPr>
          <w:p w14:paraId="06A91578">
            <w:pPr>
              <w:jc w:val="center"/>
              <w:rPr>
                <w:b/>
                <w:bCs/>
                <w:color w:val="auto"/>
                <w:sz w:val="18"/>
                <w:szCs w:val="18"/>
                <w:highlight w:val="none"/>
              </w:rPr>
            </w:pPr>
            <w:r>
              <w:rPr>
                <w:rFonts w:hint="eastAsia"/>
                <w:b/>
                <w:bCs/>
                <w:color w:val="auto"/>
                <w:sz w:val="18"/>
                <w:szCs w:val="18"/>
                <w:highlight w:val="none"/>
              </w:rPr>
              <w:t>内</w:t>
            </w:r>
            <w:r>
              <w:rPr>
                <w:b/>
                <w:bCs/>
                <w:color w:val="auto"/>
                <w:sz w:val="18"/>
                <w:szCs w:val="18"/>
                <w:highlight w:val="none"/>
              </w:rPr>
              <w:t> </w:t>
            </w:r>
            <w:r>
              <w:rPr>
                <w:rFonts w:hint="eastAsia"/>
                <w:b/>
                <w:bCs/>
                <w:color w:val="auto"/>
                <w:sz w:val="18"/>
                <w:szCs w:val="18"/>
                <w:highlight w:val="none"/>
              </w:rPr>
              <w:t>容</w:t>
            </w:r>
          </w:p>
        </w:tc>
        <w:tc>
          <w:tcPr>
            <w:tcW w:w="1004" w:type="dxa"/>
            <w:tcBorders>
              <w:top w:val="single" w:color="auto" w:sz="4" w:space="0"/>
              <w:left w:val="nil"/>
              <w:bottom w:val="single" w:color="auto" w:sz="4" w:space="0"/>
              <w:right w:val="single" w:color="auto" w:sz="4" w:space="0"/>
            </w:tcBorders>
            <w:noWrap w:val="0"/>
            <w:vAlign w:val="center"/>
          </w:tcPr>
          <w:p w14:paraId="3FA64E20">
            <w:pPr>
              <w:jc w:val="center"/>
              <w:rPr>
                <w:b/>
                <w:bCs/>
                <w:color w:val="auto"/>
                <w:sz w:val="18"/>
                <w:szCs w:val="18"/>
                <w:highlight w:val="none"/>
              </w:rPr>
            </w:pPr>
            <w:r>
              <w:rPr>
                <w:rFonts w:hint="eastAsia"/>
                <w:b/>
                <w:bCs/>
                <w:color w:val="auto"/>
                <w:sz w:val="18"/>
                <w:szCs w:val="18"/>
                <w:highlight w:val="none"/>
              </w:rPr>
              <w:t>分值</w:t>
            </w:r>
          </w:p>
        </w:tc>
      </w:tr>
      <w:tr w14:paraId="0E82C758">
        <w:tblPrEx>
          <w:tblCellMar>
            <w:top w:w="0" w:type="dxa"/>
            <w:left w:w="108" w:type="dxa"/>
            <w:bottom w:w="0" w:type="dxa"/>
            <w:right w:w="108" w:type="dxa"/>
          </w:tblCellMar>
        </w:tblPrEx>
        <w:trPr>
          <w:cantSplit/>
          <w:trHeight w:val="452" w:hRule="atLeast"/>
          <w:jc w:val="center"/>
        </w:trPr>
        <w:tc>
          <w:tcPr>
            <w:tcW w:w="1129" w:type="dxa"/>
            <w:vMerge w:val="restart"/>
            <w:tcBorders>
              <w:top w:val="nil"/>
              <w:left w:val="single" w:color="auto" w:sz="4" w:space="0"/>
              <w:bottom w:val="single" w:color="auto" w:sz="4" w:space="0"/>
              <w:right w:val="single" w:color="auto" w:sz="4" w:space="0"/>
            </w:tcBorders>
            <w:noWrap w:val="0"/>
            <w:vAlign w:val="center"/>
          </w:tcPr>
          <w:p w14:paraId="64DC69FD">
            <w:pPr>
              <w:jc w:val="center"/>
              <w:rPr>
                <w:color w:val="auto"/>
                <w:sz w:val="18"/>
                <w:szCs w:val="18"/>
                <w:highlight w:val="none"/>
              </w:rPr>
            </w:pPr>
            <w:r>
              <w:rPr>
                <w:color w:val="auto"/>
                <w:sz w:val="18"/>
                <w:szCs w:val="18"/>
                <w:highlight w:val="none"/>
              </w:rPr>
              <w:t>(</w:t>
            </w:r>
            <w:r>
              <w:rPr>
                <w:rFonts w:hint="eastAsia"/>
                <w:color w:val="auto"/>
                <w:sz w:val="18"/>
                <w:szCs w:val="18"/>
                <w:highlight w:val="none"/>
              </w:rPr>
              <w:t>一）人力、物力投入和管理</w:t>
            </w:r>
          </w:p>
        </w:tc>
        <w:tc>
          <w:tcPr>
            <w:tcW w:w="993" w:type="dxa"/>
            <w:tcBorders>
              <w:top w:val="single" w:color="auto" w:sz="4" w:space="0"/>
              <w:left w:val="nil"/>
              <w:bottom w:val="single" w:color="auto" w:sz="4" w:space="0"/>
              <w:right w:val="single" w:color="auto" w:sz="4" w:space="0"/>
            </w:tcBorders>
            <w:noWrap w:val="0"/>
            <w:vAlign w:val="center"/>
          </w:tcPr>
          <w:p w14:paraId="74B0E7EB">
            <w:pPr>
              <w:jc w:val="center"/>
              <w:rPr>
                <w:b/>
                <w:bCs/>
                <w:color w:val="auto"/>
                <w:sz w:val="18"/>
                <w:szCs w:val="18"/>
                <w:highlight w:val="none"/>
              </w:rPr>
            </w:pPr>
            <w:r>
              <w:rPr>
                <w:rFonts w:hint="eastAsia"/>
                <w:color w:val="auto"/>
                <w:sz w:val="18"/>
                <w:szCs w:val="18"/>
                <w:highlight w:val="none"/>
              </w:rPr>
              <w:t>标准1</w:t>
            </w:r>
          </w:p>
        </w:tc>
        <w:tc>
          <w:tcPr>
            <w:tcW w:w="5670" w:type="dxa"/>
            <w:tcBorders>
              <w:top w:val="single" w:color="auto" w:sz="4" w:space="0"/>
              <w:left w:val="nil"/>
              <w:bottom w:val="single" w:color="auto" w:sz="4" w:space="0"/>
              <w:right w:val="single" w:color="auto" w:sz="4" w:space="0"/>
            </w:tcBorders>
            <w:noWrap w:val="0"/>
            <w:vAlign w:val="center"/>
          </w:tcPr>
          <w:p w14:paraId="7029F10A">
            <w:pPr>
              <w:jc w:val="left"/>
              <w:rPr>
                <w:color w:val="auto"/>
                <w:sz w:val="18"/>
                <w:szCs w:val="18"/>
                <w:highlight w:val="none"/>
              </w:rPr>
            </w:pPr>
            <w:r>
              <w:rPr>
                <w:rFonts w:hint="eastAsia"/>
                <w:color w:val="auto"/>
                <w:sz w:val="18"/>
                <w:szCs w:val="18"/>
                <w:highlight w:val="none"/>
              </w:rPr>
              <w:t>一线养护人员按投标文件的要求及时到位，不弄虚作假</w:t>
            </w:r>
            <w:r>
              <w:rPr>
                <w:color w:val="auto"/>
                <w:sz w:val="18"/>
                <w:szCs w:val="18"/>
                <w:highlight w:val="none"/>
              </w:rPr>
              <w:t> </w:t>
            </w:r>
            <w:r>
              <w:rPr>
                <w:rFonts w:hint="eastAsia"/>
                <w:color w:val="auto"/>
                <w:sz w:val="18"/>
                <w:szCs w:val="18"/>
                <w:highlight w:val="none"/>
              </w:rPr>
              <w:t>。</w:t>
            </w:r>
          </w:p>
        </w:tc>
        <w:tc>
          <w:tcPr>
            <w:tcW w:w="1004" w:type="dxa"/>
            <w:vMerge w:val="restart"/>
            <w:tcBorders>
              <w:top w:val="nil"/>
              <w:left w:val="nil"/>
              <w:bottom w:val="single" w:color="auto" w:sz="4" w:space="0"/>
              <w:right w:val="single" w:color="auto" w:sz="4" w:space="0"/>
            </w:tcBorders>
            <w:noWrap w:val="0"/>
            <w:vAlign w:val="center"/>
          </w:tcPr>
          <w:p w14:paraId="33E25FF9">
            <w:pPr>
              <w:jc w:val="center"/>
              <w:rPr>
                <w:color w:val="auto"/>
                <w:sz w:val="18"/>
                <w:szCs w:val="18"/>
                <w:highlight w:val="none"/>
              </w:rPr>
            </w:pPr>
            <w:r>
              <w:rPr>
                <w:rFonts w:hint="eastAsia"/>
                <w:color w:val="auto"/>
                <w:sz w:val="18"/>
                <w:szCs w:val="18"/>
                <w:highlight w:val="none"/>
              </w:rPr>
              <w:t>10</w:t>
            </w:r>
          </w:p>
        </w:tc>
      </w:tr>
      <w:tr w14:paraId="27327017">
        <w:tblPrEx>
          <w:tblCellMar>
            <w:top w:w="0" w:type="dxa"/>
            <w:left w:w="108" w:type="dxa"/>
            <w:bottom w:w="0" w:type="dxa"/>
            <w:right w:w="108" w:type="dxa"/>
          </w:tblCellMar>
        </w:tblPrEx>
        <w:trPr>
          <w:cantSplit/>
          <w:trHeight w:val="550"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2CBDFFF3">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8D1E61E">
            <w:pPr>
              <w:jc w:val="center"/>
              <w:rPr>
                <w:b/>
                <w:bCs/>
                <w:color w:val="auto"/>
                <w:sz w:val="18"/>
                <w:szCs w:val="18"/>
                <w:highlight w:val="none"/>
              </w:rPr>
            </w:pPr>
            <w:r>
              <w:rPr>
                <w:rFonts w:hint="eastAsia"/>
                <w:color w:val="auto"/>
                <w:sz w:val="18"/>
                <w:szCs w:val="18"/>
                <w:highlight w:val="none"/>
              </w:rPr>
              <w:t>标准2</w:t>
            </w:r>
          </w:p>
        </w:tc>
        <w:tc>
          <w:tcPr>
            <w:tcW w:w="5670" w:type="dxa"/>
            <w:tcBorders>
              <w:top w:val="single" w:color="auto" w:sz="4" w:space="0"/>
              <w:left w:val="nil"/>
              <w:bottom w:val="single" w:color="auto" w:sz="4" w:space="0"/>
              <w:right w:val="single" w:color="auto" w:sz="4" w:space="0"/>
            </w:tcBorders>
            <w:noWrap w:val="0"/>
            <w:vAlign w:val="center"/>
          </w:tcPr>
          <w:p w14:paraId="32F9C356">
            <w:pPr>
              <w:spacing w:line="320" w:lineRule="exact"/>
              <w:jc w:val="left"/>
              <w:rPr>
                <w:color w:val="auto"/>
                <w:sz w:val="18"/>
                <w:szCs w:val="18"/>
                <w:highlight w:val="none"/>
              </w:rPr>
            </w:pPr>
            <w:r>
              <w:rPr>
                <w:rFonts w:hint="eastAsia"/>
                <w:color w:val="auto"/>
                <w:sz w:val="18"/>
                <w:szCs w:val="18"/>
                <w:highlight w:val="none"/>
              </w:rPr>
              <w:t>管理人员按投标文件的要求及时到位。</w:t>
            </w:r>
          </w:p>
        </w:tc>
        <w:tc>
          <w:tcPr>
            <w:tcW w:w="1004" w:type="dxa"/>
            <w:vMerge w:val="continue"/>
            <w:tcBorders>
              <w:top w:val="nil"/>
              <w:left w:val="nil"/>
              <w:bottom w:val="single" w:color="auto" w:sz="4" w:space="0"/>
              <w:right w:val="single" w:color="auto" w:sz="4" w:space="0"/>
            </w:tcBorders>
            <w:noWrap w:val="0"/>
            <w:vAlign w:val="center"/>
          </w:tcPr>
          <w:p w14:paraId="15CF9A35">
            <w:pPr>
              <w:widowControl/>
              <w:jc w:val="left"/>
              <w:rPr>
                <w:color w:val="auto"/>
                <w:sz w:val="18"/>
                <w:szCs w:val="18"/>
                <w:highlight w:val="none"/>
              </w:rPr>
            </w:pPr>
          </w:p>
        </w:tc>
      </w:tr>
      <w:tr w14:paraId="165C2BD8">
        <w:tblPrEx>
          <w:tblCellMar>
            <w:top w:w="0" w:type="dxa"/>
            <w:left w:w="108" w:type="dxa"/>
            <w:bottom w:w="0" w:type="dxa"/>
            <w:right w:w="108" w:type="dxa"/>
          </w:tblCellMar>
        </w:tblPrEx>
        <w:trPr>
          <w:cantSplit/>
          <w:trHeight w:val="783"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0FEF5726">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51237B3">
            <w:pPr>
              <w:jc w:val="center"/>
              <w:rPr>
                <w:color w:val="auto"/>
                <w:sz w:val="18"/>
                <w:szCs w:val="18"/>
                <w:highlight w:val="none"/>
              </w:rPr>
            </w:pPr>
            <w:r>
              <w:rPr>
                <w:rFonts w:hint="eastAsia"/>
                <w:color w:val="auto"/>
                <w:sz w:val="18"/>
                <w:szCs w:val="18"/>
                <w:highlight w:val="none"/>
              </w:rPr>
              <w:t>标准3</w:t>
            </w:r>
          </w:p>
        </w:tc>
        <w:tc>
          <w:tcPr>
            <w:tcW w:w="5670" w:type="dxa"/>
            <w:tcBorders>
              <w:top w:val="single" w:color="auto" w:sz="4" w:space="0"/>
              <w:left w:val="nil"/>
              <w:bottom w:val="single" w:color="auto" w:sz="4" w:space="0"/>
              <w:right w:val="single" w:color="auto" w:sz="4" w:space="0"/>
            </w:tcBorders>
            <w:noWrap w:val="0"/>
            <w:vAlign w:val="center"/>
          </w:tcPr>
          <w:p w14:paraId="3F14E0D0">
            <w:pPr>
              <w:jc w:val="left"/>
              <w:rPr>
                <w:color w:val="auto"/>
                <w:sz w:val="18"/>
                <w:szCs w:val="18"/>
                <w:highlight w:val="none"/>
              </w:rPr>
            </w:pPr>
            <w:r>
              <w:rPr>
                <w:rFonts w:hint="eastAsia"/>
                <w:color w:val="auto"/>
                <w:sz w:val="18"/>
                <w:szCs w:val="18"/>
                <w:highlight w:val="none"/>
              </w:rPr>
              <w:t>按投标文件拟投入本项目的人数、学历、专业、技术等级等要求配备。</w:t>
            </w:r>
          </w:p>
        </w:tc>
        <w:tc>
          <w:tcPr>
            <w:tcW w:w="1004" w:type="dxa"/>
            <w:vMerge w:val="continue"/>
            <w:tcBorders>
              <w:top w:val="nil"/>
              <w:left w:val="nil"/>
              <w:bottom w:val="single" w:color="auto" w:sz="4" w:space="0"/>
              <w:right w:val="single" w:color="auto" w:sz="4" w:space="0"/>
            </w:tcBorders>
            <w:noWrap w:val="0"/>
            <w:vAlign w:val="center"/>
          </w:tcPr>
          <w:p w14:paraId="2AFE9B8B">
            <w:pPr>
              <w:widowControl/>
              <w:jc w:val="left"/>
              <w:rPr>
                <w:color w:val="auto"/>
                <w:sz w:val="18"/>
                <w:szCs w:val="18"/>
                <w:highlight w:val="none"/>
              </w:rPr>
            </w:pPr>
          </w:p>
        </w:tc>
      </w:tr>
      <w:tr w14:paraId="2C547004">
        <w:tblPrEx>
          <w:tblCellMar>
            <w:top w:w="0" w:type="dxa"/>
            <w:left w:w="108" w:type="dxa"/>
            <w:bottom w:w="0" w:type="dxa"/>
            <w:right w:w="108" w:type="dxa"/>
          </w:tblCellMar>
        </w:tblPrEx>
        <w:trPr>
          <w:cantSplit/>
          <w:trHeight w:val="45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41F89EA9">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DAE1E8D">
            <w:pPr>
              <w:jc w:val="center"/>
              <w:rPr>
                <w:color w:val="auto"/>
                <w:sz w:val="18"/>
                <w:szCs w:val="18"/>
                <w:highlight w:val="none"/>
              </w:rPr>
            </w:pPr>
            <w:r>
              <w:rPr>
                <w:rFonts w:hint="eastAsia"/>
                <w:color w:val="auto"/>
                <w:sz w:val="18"/>
                <w:szCs w:val="18"/>
                <w:highlight w:val="none"/>
              </w:rPr>
              <w:t>标准4</w:t>
            </w:r>
          </w:p>
        </w:tc>
        <w:tc>
          <w:tcPr>
            <w:tcW w:w="5670" w:type="dxa"/>
            <w:tcBorders>
              <w:top w:val="single" w:color="auto" w:sz="4" w:space="0"/>
              <w:left w:val="nil"/>
              <w:bottom w:val="single" w:color="auto" w:sz="4" w:space="0"/>
              <w:right w:val="single" w:color="auto" w:sz="4" w:space="0"/>
            </w:tcBorders>
            <w:noWrap w:val="0"/>
            <w:vAlign w:val="center"/>
          </w:tcPr>
          <w:p w14:paraId="72FC4744">
            <w:pPr>
              <w:jc w:val="left"/>
              <w:rPr>
                <w:color w:val="auto"/>
                <w:sz w:val="18"/>
                <w:szCs w:val="18"/>
                <w:highlight w:val="none"/>
              </w:rPr>
            </w:pPr>
            <w:r>
              <w:rPr>
                <w:rFonts w:hint="eastAsia"/>
                <w:color w:val="auto"/>
                <w:sz w:val="18"/>
                <w:szCs w:val="18"/>
                <w:highlight w:val="none"/>
              </w:rPr>
              <w:t>中标单位须加强对项目工作人员的教育和管理，保证遵纪守法，使用礼貌用语，文明服务，不参与黄赌毒活动，并承担相关的管理责任。</w:t>
            </w:r>
          </w:p>
        </w:tc>
        <w:tc>
          <w:tcPr>
            <w:tcW w:w="1004" w:type="dxa"/>
            <w:vMerge w:val="continue"/>
            <w:tcBorders>
              <w:top w:val="nil"/>
              <w:left w:val="nil"/>
              <w:bottom w:val="single" w:color="auto" w:sz="4" w:space="0"/>
              <w:right w:val="single" w:color="auto" w:sz="4" w:space="0"/>
            </w:tcBorders>
            <w:noWrap w:val="0"/>
            <w:vAlign w:val="center"/>
          </w:tcPr>
          <w:p w14:paraId="41B6FE01">
            <w:pPr>
              <w:widowControl/>
              <w:jc w:val="left"/>
              <w:rPr>
                <w:color w:val="auto"/>
                <w:sz w:val="18"/>
                <w:szCs w:val="18"/>
                <w:highlight w:val="none"/>
              </w:rPr>
            </w:pPr>
          </w:p>
        </w:tc>
      </w:tr>
      <w:tr w14:paraId="30378FA4">
        <w:tblPrEx>
          <w:tblCellMar>
            <w:top w:w="0" w:type="dxa"/>
            <w:left w:w="108" w:type="dxa"/>
            <w:bottom w:w="0" w:type="dxa"/>
            <w:right w:w="108" w:type="dxa"/>
          </w:tblCellMar>
        </w:tblPrEx>
        <w:trPr>
          <w:cantSplit/>
          <w:trHeight w:val="45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42BB83E0">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81DD3F">
            <w:pPr>
              <w:jc w:val="center"/>
              <w:rPr>
                <w:color w:val="auto"/>
                <w:sz w:val="18"/>
                <w:szCs w:val="18"/>
                <w:highlight w:val="none"/>
              </w:rPr>
            </w:pPr>
            <w:r>
              <w:rPr>
                <w:rFonts w:hint="eastAsia"/>
                <w:color w:val="auto"/>
                <w:sz w:val="18"/>
                <w:szCs w:val="18"/>
                <w:highlight w:val="none"/>
              </w:rPr>
              <w:t>标准5</w:t>
            </w:r>
          </w:p>
        </w:tc>
        <w:tc>
          <w:tcPr>
            <w:tcW w:w="5670" w:type="dxa"/>
            <w:tcBorders>
              <w:top w:val="single" w:color="auto" w:sz="4" w:space="0"/>
              <w:left w:val="nil"/>
              <w:bottom w:val="single" w:color="auto" w:sz="4" w:space="0"/>
              <w:right w:val="single" w:color="auto" w:sz="4" w:space="0"/>
            </w:tcBorders>
            <w:noWrap w:val="0"/>
            <w:vAlign w:val="center"/>
          </w:tcPr>
          <w:p w14:paraId="276789EC">
            <w:pPr>
              <w:jc w:val="left"/>
              <w:rPr>
                <w:color w:val="auto"/>
                <w:sz w:val="18"/>
                <w:szCs w:val="18"/>
                <w:highlight w:val="none"/>
              </w:rPr>
            </w:pPr>
            <w:r>
              <w:rPr>
                <w:rFonts w:hint="eastAsia"/>
                <w:color w:val="auto"/>
                <w:sz w:val="18"/>
                <w:szCs w:val="18"/>
                <w:highlight w:val="none"/>
              </w:rPr>
              <w:t>按照养护工作计划施工，人力、物力投入量与计划量相符。</w:t>
            </w:r>
          </w:p>
        </w:tc>
        <w:tc>
          <w:tcPr>
            <w:tcW w:w="1004" w:type="dxa"/>
            <w:vMerge w:val="continue"/>
            <w:tcBorders>
              <w:top w:val="nil"/>
              <w:left w:val="nil"/>
              <w:bottom w:val="single" w:color="auto" w:sz="4" w:space="0"/>
              <w:right w:val="single" w:color="auto" w:sz="4" w:space="0"/>
            </w:tcBorders>
            <w:noWrap w:val="0"/>
            <w:vAlign w:val="center"/>
          </w:tcPr>
          <w:p w14:paraId="50352F83">
            <w:pPr>
              <w:widowControl/>
              <w:jc w:val="left"/>
              <w:rPr>
                <w:color w:val="auto"/>
                <w:sz w:val="18"/>
                <w:szCs w:val="18"/>
                <w:highlight w:val="none"/>
              </w:rPr>
            </w:pPr>
          </w:p>
        </w:tc>
      </w:tr>
      <w:tr w14:paraId="4ADED3A3">
        <w:tblPrEx>
          <w:tblCellMar>
            <w:top w:w="0" w:type="dxa"/>
            <w:left w:w="108" w:type="dxa"/>
            <w:bottom w:w="0" w:type="dxa"/>
            <w:right w:w="108" w:type="dxa"/>
          </w:tblCellMar>
        </w:tblPrEx>
        <w:trPr>
          <w:cantSplit/>
          <w:trHeight w:val="57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73EF25A8">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C6AEDC0">
            <w:pPr>
              <w:jc w:val="center"/>
              <w:rPr>
                <w:color w:val="auto"/>
                <w:sz w:val="18"/>
                <w:szCs w:val="18"/>
                <w:highlight w:val="none"/>
              </w:rPr>
            </w:pPr>
            <w:r>
              <w:rPr>
                <w:rFonts w:hint="eastAsia"/>
                <w:color w:val="auto"/>
                <w:sz w:val="18"/>
                <w:szCs w:val="18"/>
                <w:highlight w:val="none"/>
              </w:rPr>
              <w:t>标准6</w:t>
            </w:r>
          </w:p>
        </w:tc>
        <w:tc>
          <w:tcPr>
            <w:tcW w:w="5670" w:type="dxa"/>
            <w:tcBorders>
              <w:top w:val="single" w:color="auto" w:sz="4" w:space="0"/>
              <w:left w:val="nil"/>
              <w:bottom w:val="single" w:color="auto" w:sz="4" w:space="0"/>
              <w:right w:val="single" w:color="auto" w:sz="4" w:space="0"/>
            </w:tcBorders>
            <w:noWrap w:val="0"/>
            <w:vAlign w:val="center"/>
          </w:tcPr>
          <w:p w14:paraId="517246CA">
            <w:pPr>
              <w:jc w:val="left"/>
              <w:rPr>
                <w:color w:val="auto"/>
                <w:sz w:val="18"/>
                <w:szCs w:val="18"/>
                <w:highlight w:val="none"/>
              </w:rPr>
            </w:pPr>
            <w:r>
              <w:rPr>
                <w:rFonts w:hint="eastAsia"/>
                <w:color w:val="auto"/>
                <w:sz w:val="18"/>
                <w:szCs w:val="18"/>
                <w:highlight w:val="none"/>
              </w:rPr>
              <w:t>按合同约定，投入相关设施、设备的。</w:t>
            </w:r>
          </w:p>
        </w:tc>
        <w:tc>
          <w:tcPr>
            <w:tcW w:w="1004" w:type="dxa"/>
            <w:vMerge w:val="continue"/>
            <w:tcBorders>
              <w:top w:val="nil"/>
              <w:left w:val="nil"/>
              <w:bottom w:val="single" w:color="auto" w:sz="4" w:space="0"/>
              <w:right w:val="single" w:color="auto" w:sz="4" w:space="0"/>
            </w:tcBorders>
            <w:noWrap w:val="0"/>
            <w:vAlign w:val="center"/>
          </w:tcPr>
          <w:p w14:paraId="12BD7C92">
            <w:pPr>
              <w:widowControl/>
              <w:jc w:val="left"/>
              <w:rPr>
                <w:color w:val="auto"/>
                <w:sz w:val="18"/>
                <w:szCs w:val="18"/>
                <w:highlight w:val="none"/>
              </w:rPr>
            </w:pPr>
          </w:p>
        </w:tc>
      </w:tr>
      <w:tr w14:paraId="570916D0">
        <w:tblPrEx>
          <w:tblCellMar>
            <w:top w:w="0" w:type="dxa"/>
            <w:left w:w="108" w:type="dxa"/>
            <w:bottom w:w="0" w:type="dxa"/>
            <w:right w:w="108" w:type="dxa"/>
          </w:tblCellMar>
        </w:tblPrEx>
        <w:trPr>
          <w:cantSplit/>
          <w:trHeight w:val="567" w:hRule="atLeast"/>
          <w:jc w:val="center"/>
        </w:trPr>
        <w:tc>
          <w:tcPr>
            <w:tcW w:w="1129" w:type="dxa"/>
            <w:vMerge w:val="restart"/>
            <w:tcBorders>
              <w:top w:val="nil"/>
              <w:left w:val="single" w:color="auto" w:sz="4" w:space="0"/>
              <w:bottom w:val="single" w:color="auto" w:sz="4" w:space="0"/>
              <w:right w:val="single" w:color="auto" w:sz="4" w:space="0"/>
            </w:tcBorders>
            <w:noWrap w:val="0"/>
            <w:vAlign w:val="center"/>
          </w:tcPr>
          <w:p w14:paraId="4D74D110">
            <w:pPr>
              <w:jc w:val="center"/>
              <w:rPr>
                <w:color w:val="auto"/>
                <w:sz w:val="18"/>
                <w:szCs w:val="18"/>
                <w:highlight w:val="none"/>
              </w:rPr>
            </w:pPr>
          </w:p>
          <w:p w14:paraId="486EDEF4">
            <w:pPr>
              <w:jc w:val="center"/>
              <w:rPr>
                <w:color w:val="auto"/>
                <w:sz w:val="18"/>
                <w:szCs w:val="18"/>
                <w:highlight w:val="none"/>
              </w:rPr>
            </w:pPr>
            <w:r>
              <w:rPr>
                <w:color w:val="auto"/>
                <w:sz w:val="18"/>
                <w:szCs w:val="18"/>
                <w:highlight w:val="none"/>
              </w:rPr>
              <w:t>(</w:t>
            </w:r>
            <w:r>
              <w:rPr>
                <w:rFonts w:hint="eastAsia"/>
                <w:color w:val="auto"/>
                <w:sz w:val="18"/>
                <w:szCs w:val="18"/>
                <w:highlight w:val="none"/>
              </w:rPr>
              <w:t>二）安全生产</w:t>
            </w:r>
          </w:p>
          <w:p w14:paraId="5C92C8C9">
            <w:pPr>
              <w:jc w:val="center"/>
              <w:rPr>
                <w:color w:val="auto"/>
                <w:sz w:val="18"/>
                <w:szCs w:val="18"/>
                <w:highlight w:val="none"/>
              </w:rPr>
            </w:pPr>
          </w:p>
          <w:p w14:paraId="4DD9C72C">
            <w:pPr>
              <w:jc w:val="center"/>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7F8ECB7C">
            <w:pPr>
              <w:jc w:val="center"/>
              <w:rPr>
                <w:color w:val="auto"/>
                <w:sz w:val="18"/>
                <w:szCs w:val="18"/>
                <w:highlight w:val="none"/>
              </w:rPr>
            </w:pPr>
            <w:r>
              <w:rPr>
                <w:rFonts w:hint="eastAsia"/>
                <w:color w:val="auto"/>
                <w:sz w:val="18"/>
                <w:szCs w:val="18"/>
                <w:highlight w:val="none"/>
              </w:rPr>
              <w:t>标准7</w:t>
            </w:r>
          </w:p>
        </w:tc>
        <w:tc>
          <w:tcPr>
            <w:tcW w:w="5670" w:type="dxa"/>
            <w:tcBorders>
              <w:top w:val="single" w:color="auto" w:sz="4" w:space="0"/>
              <w:left w:val="nil"/>
              <w:bottom w:val="single" w:color="auto" w:sz="4" w:space="0"/>
              <w:right w:val="single" w:color="auto" w:sz="4" w:space="0"/>
            </w:tcBorders>
            <w:noWrap w:val="0"/>
            <w:vAlign w:val="center"/>
          </w:tcPr>
          <w:p w14:paraId="762ED0D0">
            <w:pPr>
              <w:jc w:val="left"/>
              <w:rPr>
                <w:color w:val="auto"/>
                <w:sz w:val="18"/>
                <w:szCs w:val="18"/>
                <w:highlight w:val="none"/>
              </w:rPr>
            </w:pPr>
            <w:r>
              <w:rPr>
                <w:rFonts w:hint="eastAsia"/>
                <w:color w:val="auto"/>
                <w:sz w:val="18"/>
                <w:szCs w:val="18"/>
                <w:highlight w:val="none"/>
              </w:rPr>
              <w:t>杜绝安全生产事故，防止财产损失、人身伤害。</w:t>
            </w:r>
          </w:p>
        </w:tc>
        <w:tc>
          <w:tcPr>
            <w:tcW w:w="1004" w:type="dxa"/>
            <w:vMerge w:val="restart"/>
            <w:tcBorders>
              <w:top w:val="nil"/>
              <w:left w:val="nil"/>
              <w:bottom w:val="single" w:color="auto" w:sz="4" w:space="0"/>
              <w:right w:val="single" w:color="auto" w:sz="4" w:space="0"/>
            </w:tcBorders>
            <w:noWrap w:val="0"/>
            <w:vAlign w:val="center"/>
          </w:tcPr>
          <w:p w14:paraId="7D1CD43F">
            <w:pPr>
              <w:jc w:val="center"/>
              <w:rPr>
                <w:color w:val="auto"/>
                <w:sz w:val="18"/>
                <w:szCs w:val="18"/>
                <w:highlight w:val="none"/>
              </w:rPr>
            </w:pPr>
            <w:r>
              <w:rPr>
                <w:rFonts w:hint="eastAsia"/>
                <w:color w:val="auto"/>
                <w:sz w:val="18"/>
                <w:szCs w:val="18"/>
                <w:highlight w:val="none"/>
              </w:rPr>
              <w:t>15</w:t>
            </w:r>
          </w:p>
        </w:tc>
      </w:tr>
      <w:tr w14:paraId="33BAAFEF">
        <w:tblPrEx>
          <w:tblCellMar>
            <w:top w:w="0" w:type="dxa"/>
            <w:left w:w="108" w:type="dxa"/>
            <w:bottom w:w="0" w:type="dxa"/>
            <w:right w:w="108" w:type="dxa"/>
          </w:tblCellMar>
        </w:tblPrEx>
        <w:trPr>
          <w:cantSplit/>
          <w:trHeight w:val="698"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1A70338B">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7B5085C">
            <w:pPr>
              <w:jc w:val="center"/>
              <w:rPr>
                <w:color w:val="auto"/>
                <w:sz w:val="18"/>
                <w:szCs w:val="18"/>
                <w:highlight w:val="none"/>
              </w:rPr>
            </w:pPr>
            <w:r>
              <w:rPr>
                <w:rFonts w:hint="eastAsia"/>
                <w:color w:val="auto"/>
                <w:sz w:val="18"/>
                <w:szCs w:val="18"/>
                <w:highlight w:val="none"/>
              </w:rPr>
              <w:t>标准8</w:t>
            </w:r>
          </w:p>
        </w:tc>
        <w:tc>
          <w:tcPr>
            <w:tcW w:w="5670" w:type="dxa"/>
            <w:tcBorders>
              <w:top w:val="single" w:color="auto" w:sz="4" w:space="0"/>
              <w:left w:val="nil"/>
              <w:bottom w:val="single" w:color="auto" w:sz="4" w:space="0"/>
              <w:right w:val="single" w:color="auto" w:sz="4" w:space="0"/>
            </w:tcBorders>
            <w:noWrap w:val="0"/>
            <w:vAlign w:val="center"/>
          </w:tcPr>
          <w:p w14:paraId="56C8FB32">
            <w:pPr>
              <w:jc w:val="left"/>
              <w:rPr>
                <w:color w:val="auto"/>
                <w:sz w:val="18"/>
                <w:szCs w:val="18"/>
                <w:highlight w:val="none"/>
              </w:rPr>
            </w:pPr>
            <w:r>
              <w:rPr>
                <w:rFonts w:hint="eastAsia"/>
                <w:color w:val="auto"/>
                <w:sz w:val="18"/>
                <w:szCs w:val="18"/>
                <w:highlight w:val="none"/>
              </w:rPr>
              <w:t>工作人员遵守公园安全生产作业规程，按要求穿着安全防护服、安全帽、防护眼镜、口罩、绝缘鞋、绝缘手套、安全绳等安全防护用品。</w:t>
            </w:r>
          </w:p>
        </w:tc>
        <w:tc>
          <w:tcPr>
            <w:tcW w:w="1004" w:type="dxa"/>
            <w:vMerge w:val="continue"/>
            <w:tcBorders>
              <w:top w:val="nil"/>
              <w:left w:val="nil"/>
              <w:bottom w:val="single" w:color="auto" w:sz="4" w:space="0"/>
              <w:right w:val="single" w:color="auto" w:sz="4" w:space="0"/>
            </w:tcBorders>
            <w:noWrap w:val="0"/>
            <w:vAlign w:val="center"/>
          </w:tcPr>
          <w:p w14:paraId="1E81C7B4">
            <w:pPr>
              <w:widowControl/>
              <w:jc w:val="left"/>
              <w:rPr>
                <w:color w:val="auto"/>
                <w:sz w:val="18"/>
                <w:szCs w:val="18"/>
                <w:highlight w:val="none"/>
              </w:rPr>
            </w:pPr>
          </w:p>
        </w:tc>
      </w:tr>
      <w:tr w14:paraId="1B2E7C3B">
        <w:tblPrEx>
          <w:tblCellMar>
            <w:top w:w="0" w:type="dxa"/>
            <w:left w:w="108" w:type="dxa"/>
            <w:bottom w:w="0" w:type="dxa"/>
            <w:right w:w="108" w:type="dxa"/>
          </w:tblCellMar>
        </w:tblPrEx>
        <w:trPr>
          <w:cantSplit/>
          <w:trHeight w:val="901"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5B3CCB12">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591005C">
            <w:pPr>
              <w:jc w:val="center"/>
              <w:rPr>
                <w:color w:val="auto"/>
                <w:sz w:val="18"/>
                <w:szCs w:val="18"/>
                <w:highlight w:val="none"/>
              </w:rPr>
            </w:pPr>
            <w:r>
              <w:rPr>
                <w:rFonts w:hint="eastAsia"/>
                <w:color w:val="auto"/>
                <w:sz w:val="18"/>
                <w:szCs w:val="18"/>
                <w:highlight w:val="none"/>
              </w:rPr>
              <w:t>标准9</w:t>
            </w:r>
          </w:p>
        </w:tc>
        <w:tc>
          <w:tcPr>
            <w:tcW w:w="5670" w:type="dxa"/>
            <w:tcBorders>
              <w:top w:val="single" w:color="auto" w:sz="4" w:space="0"/>
              <w:left w:val="nil"/>
              <w:bottom w:val="single" w:color="auto" w:sz="4" w:space="0"/>
              <w:right w:val="single" w:color="auto" w:sz="4" w:space="0"/>
            </w:tcBorders>
            <w:noWrap w:val="0"/>
            <w:vAlign w:val="center"/>
          </w:tcPr>
          <w:p w14:paraId="266C6973">
            <w:pPr>
              <w:jc w:val="left"/>
              <w:rPr>
                <w:color w:val="auto"/>
                <w:sz w:val="18"/>
                <w:szCs w:val="18"/>
                <w:highlight w:val="none"/>
              </w:rPr>
            </w:pPr>
            <w:r>
              <w:rPr>
                <w:rFonts w:hint="eastAsia"/>
                <w:color w:val="auto"/>
                <w:sz w:val="18"/>
                <w:szCs w:val="18"/>
                <w:highlight w:val="none"/>
              </w:rPr>
              <w:t>按公园安全生产作业规程进行安全围合，安全生产作业规程要求正确摆放反光安全锥、警示牌等安全物资。</w:t>
            </w:r>
          </w:p>
        </w:tc>
        <w:tc>
          <w:tcPr>
            <w:tcW w:w="1004" w:type="dxa"/>
            <w:vMerge w:val="continue"/>
            <w:tcBorders>
              <w:top w:val="nil"/>
              <w:left w:val="nil"/>
              <w:bottom w:val="single" w:color="auto" w:sz="4" w:space="0"/>
              <w:right w:val="single" w:color="auto" w:sz="4" w:space="0"/>
            </w:tcBorders>
            <w:noWrap w:val="0"/>
            <w:vAlign w:val="center"/>
          </w:tcPr>
          <w:p w14:paraId="56288218">
            <w:pPr>
              <w:widowControl/>
              <w:jc w:val="left"/>
              <w:rPr>
                <w:color w:val="auto"/>
                <w:sz w:val="18"/>
                <w:szCs w:val="18"/>
                <w:highlight w:val="none"/>
              </w:rPr>
            </w:pPr>
          </w:p>
        </w:tc>
      </w:tr>
      <w:tr w14:paraId="6700DC3F">
        <w:tblPrEx>
          <w:tblCellMar>
            <w:top w:w="0" w:type="dxa"/>
            <w:left w:w="108" w:type="dxa"/>
            <w:bottom w:w="0" w:type="dxa"/>
            <w:right w:w="108" w:type="dxa"/>
          </w:tblCellMar>
        </w:tblPrEx>
        <w:trPr>
          <w:cantSplit/>
          <w:trHeight w:val="1129"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2C40AA05">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F3669FA">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1</w:t>
            </w:r>
            <w:r>
              <w:rPr>
                <w:rFonts w:hint="eastAsia"/>
                <w:color w:val="auto"/>
                <w:sz w:val="18"/>
                <w:szCs w:val="18"/>
                <w:highlight w:val="none"/>
              </w:rPr>
              <w:t>0</w:t>
            </w:r>
          </w:p>
        </w:tc>
        <w:tc>
          <w:tcPr>
            <w:tcW w:w="5670" w:type="dxa"/>
            <w:tcBorders>
              <w:top w:val="single" w:color="auto" w:sz="4" w:space="0"/>
              <w:left w:val="nil"/>
              <w:bottom w:val="single" w:color="auto" w:sz="4" w:space="0"/>
              <w:right w:val="single" w:color="auto" w:sz="4" w:space="0"/>
            </w:tcBorders>
            <w:noWrap w:val="0"/>
            <w:vAlign w:val="center"/>
          </w:tcPr>
          <w:p w14:paraId="66966C30">
            <w:pPr>
              <w:jc w:val="left"/>
              <w:rPr>
                <w:color w:val="auto"/>
                <w:sz w:val="18"/>
                <w:szCs w:val="18"/>
                <w:highlight w:val="none"/>
              </w:rPr>
            </w:pPr>
            <w:r>
              <w:rPr>
                <w:rFonts w:hint="eastAsia"/>
                <w:color w:val="auto"/>
                <w:sz w:val="18"/>
                <w:szCs w:val="18"/>
                <w:highlight w:val="none"/>
              </w:rPr>
              <w:t>入园车辆遵守公园规范，车辆、驾驶员规范管理，不出现安全标识不齐、违规占道作业、路面作业安全措施不规范、以及沿途漏洒绿化垃圾泥沙、把泥土冲出路面等不安全文明施工行为。</w:t>
            </w:r>
          </w:p>
        </w:tc>
        <w:tc>
          <w:tcPr>
            <w:tcW w:w="1004" w:type="dxa"/>
            <w:vMerge w:val="continue"/>
            <w:tcBorders>
              <w:top w:val="nil"/>
              <w:left w:val="nil"/>
              <w:bottom w:val="single" w:color="auto" w:sz="4" w:space="0"/>
              <w:right w:val="single" w:color="auto" w:sz="4" w:space="0"/>
            </w:tcBorders>
            <w:noWrap w:val="0"/>
            <w:vAlign w:val="center"/>
          </w:tcPr>
          <w:p w14:paraId="45F56879">
            <w:pPr>
              <w:widowControl/>
              <w:jc w:val="left"/>
              <w:rPr>
                <w:color w:val="auto"/>
                <w:sz w:val="18"/>
                <w:szCs w:val="18"/>
                <w:highlight w:val="none"/>
              </w:rPr>
            </w:pPr>
          </w:p>
        </w:tc>
      </w:tr>
      <w:tr w14:paraId="3AECD457">
        <w:tblPrEx>
          <w:tblCellMar>
            <w:top w:w="0" w:type="dxa"/>
            <w:left w:w="108" w:type="dxa"/>
            <w:bottom w:w="0" w:type="dxa"/>
            <w:right w:w="108" w:type="dxa"/>
          </w:tblCellMar>
        </w:tblPrEx>
        <w:trPr>
          <w:cantSplit/>
          <w:trHeight w:val="500"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129CB0CB">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1194D43">
            <w:pPr>
              <w:jc w:val="center"/>
              <w:rPr>
                <w:color w:val="auto"/>
                <w:sz w:val="18"/>
                <w:szCs w:val="18"/>
                <w:highlight w:val="none"/>
              </w:rPr>
            </w:pPr>
            <w:r>
              <w:rPr>
                <w:rFonts w:hint="eastAsia"/>
                <w:color w:val="auto"/>
                <w:sz w:val="18"/>
                <w:szCs w:val="18"/>
                <w:highlight w:val="none"/>
              </w:rPr>
              <w:t>标准11</w:t>
            </w:r>
          </w:p>
        </w:tc>
        <w:tc>
          <w:tcPr>
            <w:tcW w:w="5670" w:type="dxa"/>
            <w:tcBorders>
              <w:top w:val="single" w:color="auto" w:sz="4" w:space="0"/>
              <w:left w:val="nil"/>
              <w:bottom w:val="single" w:color="auto" w:sz="4" w:space="0"/>
              <w:right w:val="single" w:color="auto" w:sz="4" w:space="0"/>
            </w:tcBorders>
            <w:noWrap w:val="0"/>
            <w:vAlign w:val="center"/>
          </w:tcPr>
          <w:p w14:paraId="723DE404">
            <w:pPr>
              <w:jc w:val="left"/>
              <w:rPr>
                <w:color w:val="auto"/>
                <w:sz w:val="18"/>
                <w:szCs w:val="18"/>
                <w:highlight w:val="none"/>
              </w:rPr>
            </w:pPr>
            <w:r>
              <w:rPr>
                <w:rFonts w:hint="eastAsia"/>
                <w:color w:val="auto"/>
                <w:sz w:val="18"/>
                <w:szCs w:val="18"/>
                <w:highlight w:val="none"/>
              </w:rPr>
              <w:t>工具房、管理房规范管理。无其它不符合安全规范行为。</w:t>
            </w:r>
          </w:p>
        </w:tc>
        <w:tc>
          <w:tcPr>
            <w:tcW w:w="1004" w:type="dxa"/>
            <w:vMerge w:val="continue"/>
            <w:tcBorders>
              <w:top w:val="nil"/>
              <w:left w:val="nil"/>
              <w:bottom w:val="single" w:color="auto" w:sz="4" w:space="0"/>
              <w:right w:val="single" w:color="auto" w:sz="4" w:space="0"/>
            </w:tcBorders>
            <w:noWrap w:val="0"/>
            <w:vAlign w:val="center"/>
          </w:tcPr>
          <w:p w14:paraId="15B9344E">
            <w:pPr>
              <w:widowControl/>
              <w:jc w:val="left"/>
              <w:rPr>
                <w:color w:val="auto"/>
                <w:sz w:val="18"/>
                <w:szCs w:val="18"/>
                <w:highlight w:val="none"/>
              </w:rPr>
            </w:pPr>
          </w:p>
        </w:tc>
      </w:tr>
      <w:tr w14:paraId="58634E3F">
        <w:tblPrEx>
          <w:tblCellMar>
            <w:top w:w="0" w:type="dxa"/>
            <w:left w:w="108" w:type="dxa"/>
            <w:bottom w:w="0" w:type="dxa"/>
            <w:right w:w="108" w:type="dxa"/>
          </w:tblCellMar>
        </w:tblPrEx>
        <w:trPr>
          <w:cantSplit/>
          <w:trHeight w:val="575" w:hRule="atLeast"/>
          <w:jc w:val="center"/>
        </w:trPr>
        <w:tc>
          <w:tcPr>
            <w:tcW w:w="1129" w:type="dxa"/>
            <w:vMerge w:val="restart"/>
            <w:tcBorders>
              <w:top w:val="nil"/>
              <w:left w:val="single" w:color="auto" w:sz="4" w:space="0"/>
              <w:bottom w:val="single" w:color="auto" w:sz="4" w:space="0"/>
              <w:right w:val="single" w:color="auto" w:sz="4" w:space="0"/>
            </w:tcBorders>
            <w:noWrap w:val="0"/>
            <w:vAlign w:val="center"/>
          </w:tcPr>
          <w:p w14:paraId="34CC1DBC">
            <w:pPr>
              <w:jc w:val="center"/>
              <w:rPr>
                <w:color w:val="auto"/>
                <w:sz w:val="18"/>
                <w:szCs w:val="18"/>
                <w:highlight w:val="none"/>
              </w:rPr>
            </w:pPr>
            <w:r>
              <w:rPr>
                <w:color w:val="auto"/>
                <w:sz w:val="18"/>
                <w:szCs w:val="18"/>
                <w:highlight w:val="none"/>
              </w:rPr>
              <w:t>(</w:t>
            </w:r>
            <w:r>
              <w:rPr>
                <w:rFonts w:hint="eastAsia"/>
                <w:color w:val="auto"/>
                <w:sz w:val="18"/>
                <w:szCs w:val="18"/>
                <w:highlight w:val="none"/>
              </w:rPr>
              <w:t>三</w:t>
            </w:r>
            <w:r>
              <w:rPr>
                <w:color w:val="auto"/>
                <w:sz w:val="18"/>
                <w:szCs w:val="18"/>
                <w:highlight w:val="none"/>
              </w:rPr>
              <w:t>)</w:t>
            </w:r>
            <w:r>
              <w:rPr>
                <w:rFonts w:hint="eastAsia"/>
                <w:color w:val="auto"/>
                <w:sz w:val="18"/>
                <w:szCs w:val="18"/>
                <w:highlight w:val="none"/>
              </w:rPr>
              <w:t>绿化管理</w:t>
            </w:r>
          </w:p>
        </w:tc>
        <w:tc>
          <w:tcPr>
            <w:tcW w:w="993" w:type="dxa"/>
            <w:tcBorders>
              <w:top w:val="single" w:color="auto" w:sz="4" w:space="0"/>
              <w:left w:val="nil"/>
              <w:bottom w:val="single" w:color="auto" w:sz="4" w:space="0"/>
              <w:right w:val="single" w:color="auto" w:sz="4" w:space="0"/>
            </w:tcBorders>
            <w:noWrap w:val="0"/>
            <w:vAlign w:val="center"/>
          </w:tcPr>
          <w:p w14:paraId="55572579">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1</w:t>
            </w:r>
            <w:r>
              <w:rPr>
                <w:rFonts w:hint="eastAsia"/>
                <w:color w:val="auto"/>
                <w:sz w:val="18"/>
                <w:szCs w:val="18"/>
                <w:highlight w:val="none"/>
              </w:rPr>
              <w:t>2</w:t>
            </w:r>
          </w:p>
        </w:tc>
        <w:tc>
          <w:tcPr>
            <w:tcW w:w="5670" w:type="dxa"/>
            <w:tcBorders>
              <w:top w:val="single" w:color="auto" w:sz="4" w:space="0"/>
              <w:left w:val="nil"/>
              <w:bottom w:val="single" w:color="auto" w:sz="4" w:space="0"/>
              <w:right w:val="single" w:color="auto" w:sz="4" w:space="0"/>
            </w:tcBorders>
            <w:noWrap w:val="0"/>
            <w:vAlign w:val="center"/>
          </w:tcPr>
          <w:p w14:paraId="26697EA8">
            <w:pPr>
              <w:jc w:val="left"/>
              <w:rPr>
                <w:color w:val="auto"/>
                <w:sz w:val="18"/>
                <w:szCs w:val="18"/>
                <w:highlight w:val="none"/>
              </w:rPr>
            </w:pPr>
            <w:r>
              <w:rPr>
                <w:rFonts w:hint="eastAsia"/>
                <w:color w:val="auto"/>
                <w:sz w:val="18"/>
                <w:szCs w:val="18"/>
                <w:highlight w:val="none"/>
              </w:rPr>
              <w:t>对违法破坏、违法占用绿化等违反 《南宁市城市绿化条例》行为，能及时发现、劝阻、上报或采取措施制止，并及时按要求恢复。</w:t>
            </w:r>
          </w:p>
        </w:tc>
        <w:tc>
          <w:tcPr>
            <w:tcW w:w="1004" w:type="dxa"/>
            <w:vMerge w:val="restart"/>
            <w:tcBorders>
              <w:top w:val="nil"/>
              <w:left w:val="nil"/>
              <w:bottom w:val="single" w:color="auto" w:sz="4" w:space="0"/>
              <w:right w:val="single" w:color="auto" w:sz="4" w:space="0"/>
            </w:tcBorders>
            <w:noWrap w:val="0"/>
            <w:vAlign w:val="center"/>
          </w:tcPr>
          <w:p w14:paraId="1882880E">
            <w:pPr>
              <w:jc w:val="center"/>
              <w:rPr>
                <w:color w:val="auto"/>
                <w:sz w:val="18"/>
                <w:szCs w:val="18"/>
                <w:highlight w:val="none"/>
              </w:rPr>
            </w:pPr>
            <w:r>
              <w:rPr>
                <w:rFonts w:hint="eastAsia"/>
                <w:color w:val="auto"/>
                <w:sz w:val="18"/>
                <w:szCs w:val="18"/>
                <w:highlight w:val="none"/>
              </w:rPr>
              <w:t>10</w:t>
            </w:r>
          </w:p>
        </w:tc>
      </w:tr>
      <w:tr w14:paraId="6183D43E">
        <w:tblPrEx>
          <w:tblCellMar>
            <w:top w:w="0" w:type="dxa"/>
            <w:left w:w="108" w:type="dxa"/>
            <w:bottom w:w="0" w:type="dxa"/>
            <w:right w:w="108" w:type="dxa"/>
          </w:tblCellMar>
        </w:tblPrEx>
        <w:trPr>
          <w:cantSplit/>
          <w:trHeight w:val="894"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043FEF98">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7E9DB13E">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1</w:t>
            </w:r>
            <w:r>
              <w:rPr>
                <w:rFonts w:hint="eastAsia"/>
                <w:color w:val="auto"/>
                <w:sz w:val="18"/>
                <w:szCs w:val="18"/>
                <w:highlight w:val="none"/>
              </w:rPr>
              <w:t>3</w:t>
            </w:r>
          </w:p>
        </w:tc>
        <w:tc>
          <w:tcPr>
            <w:tcW w:w="5670" w:type="dxa"/>
            <w:tcBorders>
              <w:top w:val="single" w:color="auto" w:sz="4" w:space="0"/>
              <w:left w:val="nil"/>
              <w:bottom w:val="single" w:color="auto" w:sz="4" w:space="0"/>
              <w:right w:val="single" w:color="auto" w:sz="4" w:space="0"/>
            </w:tcBorders>
            <w:noWrap w:val="0"/>
            <w:vAlign w:val="center"/>
          </w:tcPr>
          <w:p w14:paraId="2922C4B1">
            <w:pPr>
              <w:jc w:val="left"/>
              <w:rPr>
                <w:color w:val="auto"/>
                <w:sz w:val="18"/>
                <w:szCs w:val="18"/>
                <w:highlight w:val="none"/>
              </w:rPr>
            </w:pPr>
            <w:r>
              <w:rPr>
                <w:rFonts w:hint="eastAsia"/>
                <w:color w:val="auto"/>
                <w:sz w:val="18"/>
                <w:szCs w:val="18"/>
                <w:highlight w:val="none"/>
              </w:rPr>
              <w:t>不出现媒体曝光、“美丽南宁”扣分案件以及被有关部门督办等案件。</w:t>
            </w:r>
          </w:p>
        </w:tc>
        <w:tc>
          <w:tcPr>
            <w:tcW w:w="1004" w:type="dxa"/>
            <w:vMerge w:val="continue"/>
            <w:tcBorders>
              <w:top w:val="nil"/>
              <w:left w:val="nil"/>
              <w:bottom w:val="single" w:color="auto" w:sz="4" w:space="0"/>
              <w:right w:val="single" w:color="auto" w:sz="4" w:space="0"/>
            </w:tcBorders>
            <w:noWrap w:val="0"/>
            <w:vAlign w:val="center"/>
          </w:tcPr>
          <w:p w14:paraId="70E313FF">
            <w:pPr>
              <w:widowControl/>
              <w:jc w:val="left"/>
              <w:rPr>
                <w:color w:val="auto"/>
                <w:sz w:val="18"/>
                <w:szCs w:val="18"/>
                <w:highlight w:val="none"/>
              </w:rPr>
            </w:pPr>
          </w:p>
        </w:tc>
      </w:tr>
      <w:tr w14:paraId="39CE835D">
        <w:tblPrEx>
          <w:tblCellMar>
            <w:top w:w="0" w:type="dxa"/>
            <w:left w:w="108" w:type="dxa"/>
            <w:bottom w:w="0" w:type="dxa"/>
            <w:right w:w="108" w:type="dxa"/>
          </w:tblCellMar>
        </w:tblPrEx>
        <w:trPr>
          <w:cantSplit/>
          <w:trHeight w:val="84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489DC35B">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66C68BDB">
            <w:pPr>
              <w:widowControl/>
              <w:jc w:val="center"/>
              <w:rPr>
                <w:color w:val="auto"/>
                <w:sz w:val="18"/>
                <w:szCs w:val="18"/>
                <w:highlight w:val="none"/>
              </w:rPr>
            </w:pPr>
            <w:r>
              <w:rPr>
                <w:rFonts w:hint="eastAsia"/>
                <w:color w:val="auto"/>
                <w:sz w:val="18"/>
                <w:szCs w:val="18"/>
                <w:highlight w:val="none"/>
              </w:rPr>
              <w:t>标准</w:t>
            </w:r>
            <w:r>
              <w:rPr>
                <w:color w:val="auto"/>
                <w:sz w:val="18"/>
                <w:szCs w:val="18"/>
                <w:highlight w:val="none"/>
              </w:rPr>
              <w:t>1</w:t>
            </w:r>
            <w:r>
              <w:rPr>
                <w:rFonts w:hint="eastAsia"/>
                <w:color w:val="auto"/>
                <w:sz w:val="18"/>
                <w:szCs w:val="18"/>
                <w:highlight w:val="none"/>
              </w:rPr>
              <w:t>4</w:t>
            </w:r>
          </w:p>
        </w:tc>
        <w:tc>
          <w:tcPr>
            <w:tcW w:w="5670" w:type="dxa"/>
            <w:tcBorders>
              <w:top w:val="single" w:color="auto" w:sz="4" w:space="0"/>
              <w:left w:val="nil"/>
              <w:bottom w:val="single" w:color="auto" w:sz="4" w:space="0"/>
              <w:right w:val="single" w:color="auto" w:sz="4" w:space="0"/>
            </w:tcBorders>
            <w:noWrap w:val="0"/>
            <w:vAlign w:val="center"/>
          </w:tcPr>
          <w:p w14:paraId="1993B986">
            <w:pPr>
              <w:widowControl/>
              <w:jc w:val="left"/>
              <w:rPr>
                <w:color w:val="auto"/>
                <w:sz w:val="18"/>
                <w:szCs w:val="18"/>
                <w:highlight w:val="none"/>
              </w:rPr>
            </w:pPr>
            <w:r>
              <w:rPr>
                <w:rFonts w:hint="eastAsia"/>
                <w:color w:val="auto"/>
                <w:sz w:val="18"/>
                <w:szCs w:val="18"/>
                <w:highlight w:val="none"/>
              </w:rPr>
              <w:t>出现社会投诉、网上信访、市长热线投诉、数字化城管平台案需及时整改，无不良影响、假结案等情况。</w:t>
            </w:r>
          </w:p>
        </w:tc>
        <w:tc>
          <w:tcPr>
            <w:tcW w:w="1004" w:type="dxa"/>
            <w:vMerge w:val="continue"/>
            <w:tcBorders>
              <w:top w:val="nil"/>
              <w:left w:val="nil"/>
              <w:bottom w:val="single" w:color="auto" w:sz="4" w:space="0"/>
              <w:right w:val="single" w:color="auto" w:sz="4" w:space="0"/>
            </w:tcBorders>
            <w:noWrap w:val="0"/>
            <w:vAlign w:val="center"/>
          </w:tcPr>
          <w:p w14:paraId="2A97B3BA">
            <w:pPr>
              <w:widowControl/>
              <w:jc w:val="left"/>
              <w:rPr>
                <w:color w:val="auto"/>
                <w:sz w:val="18"/>
                <w:szCs w:val="18"/>
                <w:highlight w:val="none"/>
              </w:rPr>
            </w:pPr>
          </w:p>
        </w:tc>
      </w:tr>
      <w:tr w14:paraId="05411E27">
        <w:tblPrEx>
          <w:tblCellMar>
            <w:top w:w="0" w:type="dxa"/>
            <w:left w:w="108" w:type="dxa"/>
            <w:bottom w:w="0" w:type="dxa"/>
            <w:right w:w="108" w:type="dxa"/>
          </w:tblCellMar>
        </w:tblPrEx>
        <w:trPr>
          <w:cantSplit/>
          <w:trHeight w:val="462" w:hRule="atLeast"/>
          <w:jc w:val="center"/>
        </w:trPr>
        <w:tc>
          <w:tcPr>
            <w:tcW w:w="1129" w:type="dxa"/>
            <w:vMerge w:val="restart"/>
            <w:tcBorders>
              <w:top w:val="nil"/>
              <w:left w:val="single" w:color="auto" w:sz="4" w:space="0"/>
              <w:bottom w:val="single" w:color="auto" w:sz="4" w:space="0"/>
              <w:right w:val="single" w:color="auto" w:sz="4" w:space="0"/>
            </w:tcBorders>
            <w:noWrap w:val="0"/>
            <w:vAlign w:val="center"/>
          </w:tcPr>
          <w:p w14:paraId="55CA1B39">
            <w:pPr>
              <w:jc w:val="center"/>
              <w:rPr>
                <w:color w:val="auto"/>
                <w:sz w:val="18"/>
                <w:szCs w:val="18"/>
                <w:highlight w:val="none"/>
              </w:rPr>
            </w:pPr>
          </w:p>
          <w:p w14:paraId="00B982FC">
            <w:pPr>
              <w:rPr>
                <w:color w:val="auto"/>
                <w:sz w:val="18"/>
                <w:szCs w:val="18"/>
                <w:highlight w:val="none"/>
              </w:rPr>
            </w:pPr>
          </w:p>
          <w:p w14:paraId="25A80068">
            <w:pPr>
              <w:rPr>
                <w:color w:val="auto"/>
                <w:sz w:val="18"/>
                <w:szCs w:val="18"/>
                <w:highlight w:val="none"/>
              </w:rPr>
            </w:pPr>
          </w:p>
          <w:p w14:paraId="71224128">
            <w:pPr>
              <w:rPr>
                <w:color w:val="auto"/>
                <w:sz w:val="18"/>
                <w:szCs w:val="18"/>
                <w:highlight w:val="none"/>
              </w:rPr>
            </w:pPr>
            <w:r>
              <w:rPr>
                <w:rFonts w:hint="eastAsia"/>
                <w:color w:val="auto"/>
                <w:sz w:val="18"/>
                <w:szCs w:val="18"/>
                <w:highlight w:val="none"/>
              </w:rPr>
              <w:t>(</w:t>
            </w:r>
            <w:r>
              <w:rPr>
                <w:rFonts w:hint="eastAsia" w:ascii="宋体" w:hAnsi="宋体"/>
                <w:color w:val="auto"/>
                <w:sz w:val="18"/>
                <w:szCs w:val="18"/>
                <w:highlight w:val="none"/>
              </w:rPr>
              <w:t>四</w:t>
            </w:r>
            <w:r>
              <w:rPr>
                <w:color w:val="auto"/>
                <w:sz w:val="18"/>
                <w:szCs w:val="18"/>
                <w:highlight w:val="none"/>
              </w:rPr>
              <w:t>)</w:t>
            </w:r>
            <w:r>
              <w:rPr>
                <w:rFonts w:hint="eastAsia"/>
                <w:color w:val="auto"/>
                <w:sz w:val="18"/>
                <w:szCs w:val="18"/>
                <w:highlight w:val="none"/>
              </w:rPr>
              <w:t>养护管理</w:t>
            </w:r>
          </w:p>
          <w:p w14:paraId="030610EA">
            <w:pPr>
              <w:jc w:val="center"/>
              <w:rPr>
                <w:color w:val="auto"/>
                <w:sz w:val="18"/>
                <w:szCs w:val="18"/>
                <w:highlight w:val="none"/>
              </w:rPr>
            </w:pPr>
          </w:p>
          <w:p w14:paraId="3EA7FE1F">
            <w:pPr>
              <w:jc w:val="center"/>
              <w:rPr>
                <w:color w:val="auto"/>
                <w:sz w:val="18"/>
                <w:szCs w:val="18"/>
                <w:highlight w:val="none"/>
              </w:rPr>
            </w:pPr>
          </w:p>
          <w:p w14:paraId="0DC0FB7A">
            <w:pPr>
              <w:jc w:val="center"/>
              <w:rPr>
                <w:color w:val="auto"/>
                <w:sz w:val="18"/>
                <w:szCs w:val="18"/>
                <w:highlight w:val="none"/>
              </w:rPr>
            </w:pPr>
          </w:p>
          <w:p w14:paraId="2D74B3CD">
            <w:pPr>
              <w:jc w:val="center"/>
              <w:rPr>
                <w:color w:val="auto"/>
                <w:sz w:val="18"/>
                <w:szCs w:val="18"/>
                <w:highlight w:val="none"/>
              </w:rPr>
            </w:pPr>
          </w:p>
          <w:p w14:paraId="2A5A74AE">
            <w:pPr>
              <w:jc w:val="center"/>
              <w:rPr>
                <w:color w:val="auto"/>
                <w:sz w:val="18"/>
                <w:szCs w:val="18"/>
                <w:highlight w:val="none"/>
              </w:rPr>
            </w:pPr>
          </w:p>
          <w:p w14:paraId="309FD5BF">
            <w:pPr>
              <w:jc w:val="center"/>
              <w:rPr>
                <w:color w:val="auto"/>
                <w:sz w:val="18"/>
                <w:szCs w:val="18"/>
                <w:highlight w:val="none"/>
              </w:rPr>
            </w:pPr>
          </w:p>
          <w:p w14:paraId="322DB700">
            <w:pPr>
              <w:jc w:val="center"/>
              <w:rPr>
                <w:color w:val="auto"/>
                <w:sz w:val="18"/>
                <w:szCs w:val="18"/>
                <w:highlight w:val="none"/>
              </w:rPr>
            </w:pPr>
          </w:p>
          <w:p w14:paraId="4573F73F">
            <w:pPr>
              <w:jc w:val="center"/>
              <w:rPr>
                <w:color w:val="auto"/>
                <w:sz w:val="18"/>
                <w:szCs w:val="18"/>
                <w:highlight w:val="none"/>
              </w:rPr>
            </w:pPr>
          </w:p>
          <w:p w14:paraId="6F96A010">
            <w:pPr>
              <w:jc w:val="center"/>
              <w:rPr>
                <w:color w:val="auto"/>
                <w:sz w:val="18"/>
                <w:szCs w:val="18"/>
                <w:highlight w:val="none"/>
              </w:rPr>
            </w:pPr>
          </w:p>
          <w:p w14:paraId="636D6F0B">
            <w:pPr>
              <w:rPr>
                <w:color w:val="auto"/>
                <w:sz w:val="18"/>
                <w:szCs w:val="18"/>
                <w:highlight w:val="none"/>
              </w:rPr>
            </w:pPr>
          </w:p>
          <w:p w14:paraId="159AAA80">
            <w:pPr>
              <w:rPr>
                <w:color w:val="auto"/>
                <w:sz w:val="18"/>
                <w:szCs w:val="18"/>
                <w:highlight w:val="none"/>
              </w:rPr>
            </w:pPr>
          </w:p>
          <w:p w14:paraId="525B0291">
            <w:pPr>
              <w:rPr>
                <w:color w:val="auto"/>
                <w:sz w:val="18"/>
                <w:szCs w:val="18"/>
                <w:highlight w:val="none"/>
              </w:rPr>
            </w:pPr>
            <w:r>
              <w:rPr>
                <w:color w:val="auto"/>
                <w:sz w:val="18"/>
                <w:szCs w:val="18"/>
                <w:highlight w:val="none"/>
              </w:rPr>
              <w:t>(</w:t>
            </w:r>
            <w:r>
              <w:rPr>
                <w:rFonts w:hint="eastAsia"/>
                <w:color w:val="auto"/>
                <w:sz w:val="18"/>
                <w:szCs w:val="18"/>
                <w:highlight w:val="none"/>
              </w:rPr>
              <w:t>四</w:t>
            </w:r>
            <w:r>
              <w:rPr>
                <w:color w:val="auto"/>
                <w:sz w:val="18"/>
                <w:szCs w:val="18"/>
                <w:highlight w:val="none"/>
              </w:rPr>
              <w:t>)</w:t>
            </w:r>
            <w:r>
              <w:rPr>
                <w:rFonts w:hint="eastAsia"/>
                <w:color w:val="auto"/>
                <w:sz w:val="18"/>
                <w:szCs w:val="18"/>
                <w:highlight w:val="none"/>
              </w:rPr>
              <w:t>养护管理</w:t>
            </w:r>
          </w:p>
        </w:tc>
        <w:tc>
          <w:tcPr>
            <w:tcW w:w="993" w:type="dxa"/>
            <w:tcBorders>
              <w:top w:val="single" w:color="auto" w:sz="4" w:space="0"/>
              <w:left w:val="nil"/>
              <w:bottom w:val="single" w:color="auto" w:sz="4" w:space="0"/>
              <w:right w:val="single" w:color="auto" w:sz="4" w:space="0"/>
            </w:tcBorders>
            <w:noWrap w:val="0"/>
            <w:vAlign w:val="center"/>
          </w:tcPr>
          <w:p w14:paraId="360BAB2F">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1</w:t>
            </w:r>
            <w:r>
              <w:rPr>
                <w:rFonts w:hint="eastAsia"/>
                <w:color w:val="auto"/>
                <w:sz w:val="18"/>
                <w:szCs w:val="18"/>
                <w:highlight w:val="none"/>
              </w:rPr>
              <w:t>5</w:t>
            </w:r>
          </w:p>
        </w:tc>
        <w:tc>
          <w:tcPr>
            <w:tcW w:w="5670" w:type="dxa"/>
            <w:tcBorders>
              <w:top w:val="single" w:color="auto" w:sz="4" w:space="0"/>
              <w:left w:val="nil"/>
              <w:bottom w:val="single" w:color="auto" w:sz="4" w:space="0"/>
              <w:right w:val="single" w:color="auto" w:sz="4" w:space="0"/>
            </w:tcBorders>
            <w:noWrap w:val="0"/>
            <w:vAlign w:val="center"/>
          </w:tcPr>
          <w:p w14:paraId="1BF0528C">
            <w:pPr>
              <w:jc w:val="left"/>
              <w:rPr>
                <w:color w:val="auto"/>
                <w:sz w:val="18"/>
                <w:szCs w:val="18"/>
                <w:highlight w:val="none"/>
              </w:rPr>
            </w:pPr>
            <w:r>
              <w:rPr>
                <w:rFonts w:hint="eastAsia"/>
                <w:color w:val="auto"/>
                <w:sz w:val="18"/>
                <w:szCs w:val="18"/>
                <w:highlight w:val="none"/>
              </w:rPr>
              <w:t>按要求进行松土、做树盘、做边线，土壤无板结。</w:t>
            </w:r>
          </w:p>
        </w:tc>
        <w:tc>
          <w:tcPr>
            <w:tcW w:w="1004" w:type="dxa"/>
            <w:vMerge w:val="restart"/>
            <w:tcBorders>
              <w:top w:val="nil"/>
              <w:left w:val="nil"/>
              <w:bottom w:val="single" w:color="auto" w:sz="4" w:space="0"/>
              <w:right w:val="single" w:color="auto" w:sz="4" w:space="0"/>
            </w:tcBorders>
            <w:noWrap w:val="0"/>
            <w:vAlign w:val="center"/>
          </w:tcPr>
          <w:p w14:paraId="0B573BA3">
            <w:pPr>
              <w:jc w:val="center"/>
              <w:rPr>
                <w:color w:val="auto"/>
                <w:sz w:val="18"/>
                <w:szCs w:val="18"/>
                <w:highlight w:val="none"/>
              </w:rPr>
            </w:pPr>
            <w:r>
              <w:rPr>
                <w:rFonts w:hint="eastAsia"/>
                <w:color w:val="auto"/>
                <w:sz w:val="18"/>
                <w:szCs w:val="18"/>
                <w:highlight w:val="none"/>
              </w:rPr>
              <w:t>50</w:t>
            </w:r>
          </w:p>
        </w:tc>
      </w:tr>
      <w:tr w14:paraId="493AE648">
        <w:tblPrEx>
          <w:tblCellMar>
            <w:top w:w="0" w:type="dxa"/>
            <w:left w:w="108" w:type="dxa"/>
            <w:bottom w:w="0" w:type="dxa"/>
            <w:right w:w="108" w:type="dxa"/>
          </w:tblCellMar>
        </w:tblPrEx>
        <w:trPr>
          <w:cantSplit/>
          <w:trHeight w:val="450"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384F3A44">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48E55E8">
            <w:pPr>
              <w:jc w:val="center"/>
              <w:rPr>
                <w:color w:val="auto"/>
                <w:sz w:val="18"/>
                <w:szCs w:val="18"/>
                <w:highlight w:val="none"/>
              </w:rPr>
            </w:pPr>
            <w:r>
              <w:rPr>
                <w:rFonts w:hint="eastAsia"/>
                <w:color w:val="auto"/>
                <w:sz w:val="18"/>
                <w:szCs w:val="18"/>
                <w:highlight w:val="none"/>
              </w:rPr>
              <w:t>标准16</w:t>
            </w:r>
          </w:p>
        </w:tc>
        <w:tc>
          <w:tcPr>
            <w:tcW w:w="5670" w:type="dxa"/>
            <w:tcBorders>
              <w:top w:val="single" w:color="auto" w:sz="4" w:space="0"/>
              <w:left w:val="nil"/>
              <w:bottom w:val="single" w:color="auto" w:sz="4" w:space="0"/>
              <w:right w:val="single" w:color="auto" w:sz="4" w:space="0"/>
            </w:tcBorders>
            <w:noWrap w:val="0"/>
            <w:vAlign w:val="center"/>
          </w:tcPr>
          <w:p w14:paraId="373D93C3">
            <w:pPr>
              <w:jc w:val="left"/>
              <w:rPr>
                <w:color w:val="auto"/>
                <w:sz w:val="18"/>
                <w:szCs w:val="18"/>
                <w:highlight w:val="none"/>
              </w:rPr>
            </w:pPr>
            <w:r>
              <w:rPr>
                <w:rFonts w:hint="eastAsia"/>
                <w:color w:val="auto"/>
                <w:sz w:val="18"/>
                <w:szCs w:val="18"/>
                <w:highlight w:val="none"/>
              </w:rPr>
              <w:t>按要求除杂，无明显杂草。</w:t>
            </w:r>
          </w:p>
        </w:tc>
        <w:tc>
          <w:tcPr>
            <w:tcW w:w="1004" w:type="dxa"/>
            <w:vMerge w:val="continue"/>
            <w:tcBorders>
              <w:top w:val="nil"/>
              <w:left w:val="nil"/>
              <w:bottom w:val="single" w:color="auto" w:sz="4" w:space="0"/>
              <w:right w:val="single" w:color="auto" w:sz="4" w:space="0"/>
            </w:tcBorders>
            <w:noWrap w:val="0"/>
            <w:vAlign w:val="center"/>
          </w:tcPr>
          <w:p w14:paraId="425251E4">
            <w:pPr>
              <w:widowControl/>
              <w:jc w:val="left"/>
              <w:rPr>
                <w:color w:val="auto"/>
                <w:sz w:val="18"/>
                <w:szCs w:val="18"/>
                <w:highlight w:val="none"/>
              </w:rPr>
            </w:pPr>
          </w:p>
        </w:tc>
      </w:tr>
      <w:tr w14:paraId="38BC6757">
        <w:tblPrEx>
          <w:tblCellMar>
            <w:top w:w="0" w:type="dxa"/>
            <w:left w:w="108" w:type="dxa"/>
            <w:bottom w:w="0" w:type="dxa"/>
            <w:right w:w="108" w:type="dxa"/>
          </w:tblCellMar>
        </w:tblPrEx>
        <w:trPr>
          <w:cantSplit/>
          <w:trHeight w:val="407"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721A3A7C">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CDE6E5B">
            <w:pPr>
              <w:jc w:val="center"/>
              <w:rPr>
                <w:color w:val="auto"/>
                <w:sz w:val="18"/>
                <w:szCs w:val="18"/>
                <w:highlight w:val="none"/>
              </w:rPr>
            </w:pPr>
            <w:r>
              <w:rPr>
                <w:rFonts w:hint="eastAsia"/>
                <w:color w:val="auto"/>
                <w:sz w:val="18"/>
                <w:szCs w:val="18"/>
                <w:highlight w:val="none"/>
              </w:rPr>
              <w:t>标准17</w:t>
            </w:r>
          </w:p>
        </w:tc>
        <w:tc>
          <w:tcPr>
            <w:tcW w:w="5670" w:type="dxa"/>
            <w:tcBorders>
              <w:top w:val="single" w:color="auto" w:sz="4" w:space="0"/>
              <w:left w:val="nil"/>
              <w:bottom w:val="single" w:color="auto" w:sz="4" w:space="0"/>
              <w:right w:val="single" w:color="auto" w:sz="4" w:space="0"/>
            </w:tcBorders>
            <w:noWrap w:val="0"/>
            <w:vAlign w:val="center"/>
          </w:tcPr>
          <w:p w14:paraId="23352CDE">
            <w:pPr>
              <w:jc w:val="left"/>
              <w:rPr>
                <w:color w:val="auto"/>
                <w:sz w:val="18"/>
                <w:szCs w:val="18"/>
                <w:highlight w:val="none"/>
              </w:rPr>
            </w:pPr>
            <w:r>
              <w:rPr>
                <w:rFonts w:hint="eastAsia"/>
                <w:color w:val="auto"/>
                <w:sz w:val="18"/>
                <w:szCs w:val="18"/>
                <w:highlight w:val="none"/>
              </w:rPr>
              <w:t>乔木按规范和相关要求进行整形修剪低垂枝、萌蘖枝、病虫枝、伤残枝、</w:t>
            </w:r>
            <w:r>
              <w:rPr>
                <w:rFonts w:hint="eastAsia"/>
                <w:color w:val="auto"/>
                <w:sz w:val="18"/>
                <w:szCs w:val="18"/>
                <w:highlight w:val="none"/>
                <w:lang w:val="en-US" w:eastAsia="zh-CN"/>
              </w:rPr>
              <w:t>内</w:t>
            </w:r>
            <w:r>
              <w:rPr>
                <w:rFonts w:hint="eastAsia"/>
                <w:color w:val="auto"/>
                <w:sz w:val="18"/>
                <w:szCs w:val="18"/>
                <w:highlight w:val="none"/>
              </w:rPr>
              <w:t>膛枝干枯枝等，不造成景观损失或安全隐患。</w:t>
            </w:r>
          </w:p>
        </w:tc>
        <w:tc>
          <w:tcPr>
            <w:tcW w:w="1004" w:type="dxa"/>
            <w:vMerge w:val="continue"/>
            <w:tcBorders>
              <w:top w:val="nil"/>
              <w:left w:val="nil"/>
              <w:bottom w:val="single" w:color="auto" w:sz="4" w:space="0"/>
              <w:right w:val="single" w:color="auto" w:sz="4" w:space="0"/>
            </w:tcBorders>
            <w:noWrap w:val="0"/>
            <w:vAlign w:val="center"/>
          </w:tcPr>
          <w:p w14:paraId="1710743F">
            <w:pPr>
              <w:widowControl/>
              <w:jc w:val="left"/>
              <w:rPr>
                <w:color w:val="auto"/>
                <w:sz w:val="18"/>
                <w:szCs w:val="18"/>
                <w:highlight w:val="none"/>
              </w:rPr>
            </w:pPr>
          </w:p>
        </w:tc>
      </w:tr>
      <w:tr w14:paraId="507748F1">
        <w:tblPrEx>
          <w:tblCellMar>
            <w:top w:w="0" w:type="dxa"/>
            <w:left w:w="108" w:type="dxa"/>
            <w:bottom w:w="0" w:type="dxa"/>
            <w:right w:w="108" w:type="dxa"/>
          </w:tblCellMar>
        </w:tblPrEx>
        <w:trPr>
          <w:cantSplit/>
          <w:trHeight w:val="508"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3A06CA3F">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BD734A9">
            <w:pPr>
              <w:widowControl/>
              <w:jc w:val="center"/>
              <w:rPr>
                <w:color w:val="auto"/>
                <w:sz w:val="18"/>
                <w:szCs w:val="18"/>
                <w:highlight w:val="none"/>
              </w:rPr>
            </w:pPr>
            <w:r>
              <w:rPr>
                <w:rFonts w:hint="eastAsia"/>
                <w:color w:val="auto"/>
                <w:sz w:val="18"/>
                <w:szCs w:val="18"/>
                <w:highlight w:val="none"/>
              </w:rPr>
              <w:t>标准18</w:t>
            </w:r>
          </w:p>
        </w:tc>
        <w:tc>
          <w:tcPr>
            <w:tcW w:w="5670" w:type="dxa"/>
            <w:tcBorders>
              <w:top w:val="single" w:color="auto" w:sz="4" w:space="0"/>
              <w:left w:val="nil"/>
              <w:bottom w:val="single" w:color="auto" w:sz="4" w:space="0"/>
              <w:right w:val="single" w:color="auto" w:sz="4" w:space="0"/>
            </w:tcBorders>
            <w:noWrap w:val="0"/>
            <w:vAlign w:val="center"/>
          </w:tcPr>
          <w:p w14:paraId="03400FD9">
            <w:pPr>
              <w:widowControl/>
              <w:jc w:val="left"/>
              <w:rPr>
                <w:color w:val="auto"/>
                <w:sz w:val="18"/>
                <w:szCs w:val="18"/>
                <w:highlight w:val="none"/>
              </w:rPr>
            </w:pPr>
            <w:r>
              <w:rPr>
                <w:rFonts w:hint="eastAsia"/>
                <w:color w:val="auto"/>
                <w:sz w:val="18"/>
                <w:szCs w:val="18"/>
                <w:highlight w:val="none"/>
              </w:rPr>
              <w:t>灌木整形应符合景观要求，修剪规范。</w:t>
            </w:r>
          </w:p>
        </w:tc>
        <w:tc>
          <w:tcPr>
            <w:tcW w:w="1004" w:type="dxa"/>
            <w:vMerge w:val="continue"/>
            <w:tcBorders>
              <w:top w:val="nil"/>
              <w:left w:val="nil"/>
              <w:bottom w:val="single" w:color="auto" w:sz="4" w:space="0"/>
              <w:right w:val="single" w:color="auto" w:sz="4" w:space="0"/>
            </w:tcBorders>
            <w:noWrap w:val="0"/>
            <w:vAlign w:val="center"/>
          </w:tcPr>
          <w:p w14:paraId="56059080">
            <w:pPr>
              <w:widowControl/>
              <w:jc w:val="left"/>
              <w:rPr>
                <w:color w:val="auto"/>
                <w:sz w:val="18"/>
                <w:szCs w:val="18"/>
                <w:highlight w:val="none"/>
              </w:rPr>
            </w:pPr>
          </w:p>
        </w:tc>
      </w:tr>
      <w:tr w14:paraId="46C3735E">
        <w:tblPrEx>
          <w:tblCellMar>
            <w:top w:w="0" w:type="dxa"/>
            <w:left w:w="108" w:type="dxa"/>
            <w:bottom w:w="0" w:type="dxa"/>
            <w:right w:w="108" w:type="dxa"/>
          </w:tblCellMar>
        </w:tblPrEx>
        <w:trPr>
          <w:cantSplit/>
          <w:trHeight w:val="26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1E571371">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1AC61A8">
            <w:pPr>
              <w:jc w:val="center"/>
              <w:rPr>
                <w:color w:val="auto"/>
                <w:sz w:val="18"/>
                <w:szCs w:val="18"/>
                <w:highlight w:val="none"/>
              </w:rPr>
            </w:pPr>
            <w:r>
              <w:rPr>
                <w:rFonts w:hint="eastAsia"/>
                <w:color w:val="auto"/>
                <w:sz w:val="18"/>
                <w:szCs w:val="18"/>
                <w:highlight w:val="none"/>
              </w:rPr>
              <w:t>标准19</w:t>
            </w:r>
          </w:p>
        </w:tc>
        <w:tc>
          <w:tcPr>
            <w:tcW w:w="5670" w:type="dxa"/>
            <w:tcBorders>
              <w:top w:val="single" w:color="auto" w:sz="4" w:space="0"/>
              <w:left w:val="nil"/>
              <w:bottom w:val="single" w:color="auto" w:sz="4" w:space="0"/>
              <w:right w:val="single" w:color="auto" w:sz="4" w:space="0"/>
            </w:tcBorders>
            <w:noWrap w:val="0"/>
            <w:vAlign w:val="center"/>
          </w:tcPr>
          <w:p w14:paraId="5D0A6F58">
            <w:pPr>
              <w:jc w:val="left"/>
              <w:rPr>
                <w:color w:val="auto"/>
                <w:sz w:val="18"/>
                <w:szCs w:val="18"/>
                <w:highlight w:val="none"/>
              </w:rPr>
            </w:pPr>
            <w:r>
              <w:rPr>
                <w:rFonts w:hint="eastAsia"/>
                <w:color w:val="auto"/>
                <w:sz w:val="18"/>
                <w:szCs w:val="18"/>
                <w:highlight w:val="none"/>
              </w:rPr>
              <w:t>草坪根据生长情况进行打草，高度控制在合理高度；草坪色块交界处按要求进行切边。</w:t>
            </w:r>
          </w:p>
        </w:tc>
        <w:tc>
          <w:tcPr>
            <w:tcW w:w="1004" w:type="dxa"/>
            <w:vMerge w:val="continue"/>
            <w:tcBorders>
              <w:top w:val="nil"/>
              <w:left w:val="nil"/>
              <w:bottom w:val="single" w:color="auto" w:sz="4" w:space="0"/>
              <w:right w:val="single" w:color="auto" w:sz="4" w:space="0"/>
            </w:tcBorders>
            <w:noWrap w:val="0"/>
            <w:vAlign w:val="center"/>
          </w:tcPr>
          <w:p w14:paraId="6BA744F7">
            <w:pPr>
              <w:widowControl/>
              <w:jc w:val="left"/>
              <w:rPr>
                <w:color w:val="auto"/>
                <w:sz w:val="18"/>
                <w:szCs w:val="18"/>
                <w:highlight w:val="none"/>
              </w:rPr>
            </w:pPr>
          </w:p>
        </w:tc>
      </w:tr>
      <w:tr w14:paraId="7A3BC8D3">
        <w:tblPrEx>
          <w:tblCellMar>
            <w:top w:w="0" w:type="dxa"/>
            <w:left w:w="108" w:type="dxa"/>
            <w:bottom w:w="0" w:type="dxa"/>
            <w:right w:w="108" w:type="dxa"/>
          </w:tblCellMar>
        </w:tblPrEx>
        <w:trPr>
          <w:cantSplit/>
          <w:trHeight w:val="48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504A5D71">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CACDCF3">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2</w:t>
            </w:r>
            <w:r>
              <w:rPr>
                <w:rFonts w:hint="eastAsia"/>
                <w:color w:val="auto"/>
                <w:sz w:val="18"/>
                <w:szCs w:val="18"/>
                <w:highlight w:val="none"/>
              </w:rPr>
              <w:t>0</w:t>
            </w:r>
          </w:p>
        </w:tc>
        <w:tc>
          <w:tcPr>
            <w:tcW w:w="5670" w:type="dxa"/>
            <w:tcBorders>
              <w:top w:val="single" w:color="auto" w:sz="4" w:space="0"/>
              <w:left w:val="nil"/>
              <w:bottom w:val="single" w:color="auto" w:sz="4" w:space="0"/>
              <w:right w:val="single" w:color="auto" w:sz="4" w:space="0"/>
            </w:tcBorders>
            <w:noWrap w:val="0"/>
            <w:vAlign w:val="center"/>
          </w:tcPr>
          <w:p w14:paraId="48F4C33C">
            <w:pPr>
              <w:jc w:val="left"/>
              <w:rPr>
                <w:color w:val="auto"/>
                <w:sz w:val="18"/>
                <w:szCs w:val="18"/>
                <w:highlight w:val="none"/>
              </w:rPr>
            </w:pPr>
            <w:r>
              <w:rPr>
                <w:rFonts w:hint="eastAsia"/>
                <w:color w:val="auto"/>
                <w:sz w:val="18"/>
                <w:szCs w:val="18"/>
                <w:highlight w:val="none"/>
              </w:rPr>
              <w:t>植物不出现干旱缺水迹象。</w:t>
            </w:r>
          </w:p>
        </w:tc>
        <w:tc>
          <w:tcPr>
            <w:tcW w:w="1004" w:type="dxa"/>
            <w:vMerge w:val="continue"/>
            <w:tcBorders>
              <w:top w:val="nil"/>
              <w:left w:val="nil"/>
              <w:bottom w:val="single" w:color="auto" w:sz="4" w:space="0"/>
              <w:right w:val="single" w:color="auto" w:sz="4" w:space="0"/>
            </w:tcBorders>
            <w:noWrap w:val="0"/>
            <w:vAlign w:val="center"/>
          </w:tcPr>
          <w:p w14:paraId="7EBA99F5">
            <w:pPr>
              <w:widowControl/>
              <w:jc w:val="left"/>
              <w:rPr>
                <w:color w:val="auto"/>
                <w:sz w:val="18"/>
                <w:szCs w:val="18"/>
                <w:highlight w:val="none"/>
              </w:rPr>
            </w:pPr>
          </w:p>
        </w:tc>
      </w:tr>
      <w:tr w14:paraId="5F5FE144">
        <w:tblPrEx>
          <w:tblCellMar>
            <w:top w:w="0" w:type="dxa"/>
            <w:left w:w="108" w:type="dxa"/>
            <w:bottom w:w="0" w:type="dxa"/>
            <w:right w:w="108" w:type="dxa"/>
          </w:tblCellMar>
        </w:tblPrEx>
        <w:trPr>
          <w:cantSplit/>
          <w:trHeight w:val="26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2BEDE527">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7209348D">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2</w:t>
            </w:r>
            <w:r>
              <w:rPr>
                <w:rFonts w:hint="eastAsia"/>
                <w:color w:val="auto"/>
                <w:sz w:val="18"/>
                <w:szCs w:val="18"/>
                <w:highlight w:val="none"/>
              </w:rPr>
              <w:t>1</w:t>
            </w:r>
          </w:p>
        </w:tc>
        <w:tc>
          <w:tcPr>
            <w:tcW w:w="5670" w:type="dxa"/>
            <w:tcBorders>
              <w:top w:val="single" w:color="auto" w:sz="4" w:space="0"/>
              <w:left w:val="nil"/>
              <w:bottom w:val="single" w:color="auto" w:sz="4" w:space="0"/>
              <w:right w:val="single" w:color="auto" w:sz="4" w:space="0"/>
            </w:tcBorders>
            <w:noWrap w:val="0"/>
            <w:vAlign w:val="center"/>
          </w:tcPr>
          <w:p w14:paraId="5D1EA0D6">
            <w:pPr>
              <w:jc w:val="left"/>
              <w:rPr>
                <w:color w:val="auto"/>
                <w:sz w:val="18"/>
                <w:szCs w:val="18"/>
                <w:highlight w:val="none"/>
              </w:rPr>
            </w:pPr>
            <w:r>
              <w:rPr>
                <w:rFonts w:hint="eastAsia"/>
                <w:color w:val="auto"/>
                <w:sz w:val="18"/>
                <w:szCs w:val="18"/>
                <w:highlight w:val="none"/>
              </w:rPr>
              <w:t>植物无明显生长不良，无缺肥症状，及时施肥；施肥得当，浇灌工作及时，无肥害现象。</w:t>
            </w:r>
          </w:p>
        </w:tc>
        <w:tc>
          <w:tcPr>
            <w:tcW w:w="1004" w:type="dxa"/>
            <w:vMerge w:val="continue"/>
            <w:tcBorders>
              <w:top w:val="nil"/>
              <w:left w:val="nil"/>
              <w:bottom w:val="single" w:color="auto" w:sz="4" w:space="0"/>
              <w:right w:val="single" w:color="auto" w:sz="4" w:space="0"/>
            </w:tcBorders>
            <w:noWrap w:val="0"/>
            <w:vAlign w:val="center"/>
          </w:tcPr>
          <w:p w14:paraId="56523C98">
            <w:pPr>
              <w:widowControl/>
              <w:jc w:val="left"/>
              <w:rPr>
                <w:color w:val="auto"/>
                <w:sz w:val="18"/>
                <w:szCs w:val="18"/>
                <w:highlight w:val="none"/>
              </w:rPr>
            </w:pPr>
          </w:p>
        </w:tc>
      </w:tr>
      <w:tr w14:paraId="10F4D0EF">
        <w:tblPrEx>
          <w:tblCellMar>
            <w:top w:w="0" w:type="dxa"/>
            <w:left w:w="108" w:type="dxa"/>
            <w:bottom w:w="0" w:type="dxa"/>
            <w:right w:w="108" w:type="dxa"/>
          </w:tblCellMar>
        </w:tblPrEx>
        <w:trPr>
          <w:cantSplit/>
          <w:trHeight w:val="327"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4E6B4BBD">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8EC0B50">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2</w:t>
            </w:r>
            <w:r>
              <w:rPr>
                <w:rFonts w:hint="eastAsia"/>
                <w:color w:val="auto"/>
                <w:sz w:val="18"/>
                <w:szCs w:val="18"/>
                <w:highlight w:val="none"/>
              </w:rPr>
              <w:t>2</w:t>
            </w:r>
          </w:p>
        </w:tc>
        <w:tc>
          <w:tcPr>
            <w:tcW w:w="5670" w:type="dxa"/>
            <w:tcBorders>
              <w:top w:val="single" w:color="auto" w:sz="4" w:space="0"/>
              <w:left w:val="nil"/>
              <w:bottom w:val="single" w:color="auto" w:sz="4" w:space="0"/>
              <w:right w:val="single" w:color="auto" w:sz="4" w:space="0"/>
            </w:tcBorders>
            <w:noWrap w:val="0"/>
            <w:vAlign w:val="center"/>
          </w:tcPr>
          <w:p w14:paraId="527A784B">
            <w:pPr>
              <w:jc w:val="left"/>
              <w:rPr>
                <w:color w:val="auto"/>
                <w:sz w:val="18"/>
                <w:szCs w:val="18"/>
                <w:highlight w:val="none"/>
              </w:rPr>
            </w:pPr>
            <w:r>
              <w:rPr>
                <w:rFonts w:hint="eastAsia"/>
                <w:color w:val="auto"/>
                <w:sz w:val="18"/>
                <w:szCs w:val="18"/>
                <w:highlight w:val="none"/>
              </w:rPr>
              <w:t>能严格按照公园要求及指导施肥，施肥数量与施肥计划相符，环保、无异味。</w:t>
            </w:r>
          </w:p>
        </w:tc>
        <w:tc>
          <w:tcPr>
            <w:tcW w:w="1004" w:type="dxa"/>
            <w:vMerge w:val="continue"/>
            <w:tcBorders>
              <w:top w:val="nil"/>
              <w:left w:val="nil"/>
              <w:bottom w:val="single" w:color="auto" w:sz="4" w:space="0"/>
              <w:right w:val="single" w:color="auto" w:sz="4" w:space="0"/>
            </w:tcBorders>
            <w:noWrap w:val="0"/>
            <w:vAlign w:val="center"/>
          </w:tcPr>
          <w:p w14:paraId="694FE659">
            <w:pPr>
              <w:widowControl/>
              <w:jc w:val="left"/>
              <w:rPr>
                <w:color w:val="auto"/>
                <w:sz w:val="18"/>
                <w:szCs w:val="18"/>
                <w:highlight w:val="none"/>
              </w:rPr>
            </w:pPr>
          </w:p>
        </w:tc>
      </w:tr>
      <w:tr w14:paraId="3CED2A68">
        <w:tblPrEx>
          <w:tblCellMar>
            <w:top w:w="0" w:type="dxa"/>
            <w:left w:w="108" w:type="dxa"/>
            <w:bottom w:w="0" w:type="dxa"/>
            <w:right w:w="108" w:type="dxa"/>
          </w:tblCellMar>
        </w:tblPrEx>
        <w:trPr>
          <w:cantSplit/>
          <w:trHeight w:val="785"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1BC97124">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FF9109B">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2</w:t>
            </w:r>
            <w:r>
              <w:rPr>
                <w:rFonts w:hint="eastAsia"/>
                <w:color w:val="auto"/>
                <w:sz w:val="18"/>
                <w:szCs w:val="18"/>
                <w:highlight w:val="none"/>
              </w:rPr>
              <w:t>3</w:t>
            </w:r>
          </w:p>
        </w:tc>
        <w:tc>
          <w:tcPr>
            <w:tcW w:w="5670" w:type="dxa"/>
            <w:tcBorders>
              <w:top w:val="single" w:color="auto" w:sz="4" w:space="0"/>
              <w:left w:val="nil"/>
              <w:bottom w:val="single" w:color="auto" w:sz="4" w:space="0"/>
              <w:right w:val="single" w:color="auto" w:sz="4" w:space="0"/>
            </w:tcBorders>
            <w:noWrap w:val="0"/>
            <w:vAlign w:val="center"/>
          </w:tcPr>
          <w:p w14:paraId="78071CBC">
            <w:pPr>
              <w:jc w:val="left"/>
              <w:rPr>
                <w:color w:val="auto"/>
                <w:sz w:val="18"/>
                <w:szCs w:val="18"/>
                <w:highlight w:val="none"/>
              </w:rPr>
            </w:pPr>
            <w:r>
              <w:rPr>
                <w:rFonts w:hint="eastAsia"/>
                <w:color w:val="auto"/>
                <w:sz w:val="18"/>
                <w:szCs w:val="18"/>
                <w:highlight w:val="none"/>
              </w:rPr>
              <w:t>绿地、花池、水面等位置无绿化垃圾长期堆积、杂物或落叶过多现象；花坛泥土高度符合标准；园林植物无明显污渍、积尘，绿地内无鼠迹等现象。</w:t>
            </w:r>
          </w:p>
        </w:tc>
        <w:tc>
          <w:tcPr>
            <w:tcW w:w="1004" w:type="dxa"/>
            <w:vMerge w:val="continue"/>
            <w:tcBorders>
              <w:top w:val="nil"/>
              <w:left w:val="nil"/>
              <w:bottom w:val="single" w:color="auto" w:sz="4" w:space="0"/>
              <w:right w:val="single" w:color="auto" w:sz="4" w:space="0"/>
            </w:tcBorders>
            <w:noWrap w:val="0"/>
            <w:vAlign w:val="center"/>
          </w:tcPr>
          <w:p w14:paraId="501FA671">
            <w:pPr>
              <w:widowControl/>
              <w:jc w:val="left"/>
              <w:rPr>
                <w:color w:val="auto"/>
                <w:sz w:val="18"/>
                <w:szCs w:val="18"/>
                <w:highlight w:val="none"/>
              </w:rPr>
            </w:pPr>
          </w:p>
        </w:tc>
      </w:tr>
      <w:tr w14:paraId="434F2FA5">
        <w:tblPrEx>
          <w:tblCellMar>
            <w:top w:w="0" w:type="dxa"/>
            <w:left w:w="108" w:type="dxa"/>
            <w:bottom w:w="0" w:type="dxa"/>
            <w:right w:w="108" w:type="dxa"/>
          </w:tblCellMar>
        </w:tblPrEx>
        <w:trPr>
          <w:cantSpli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605F6A61">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7DE639F3">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2</w:t>
            </w:r>
            <w:r>
              <w:rPr>
                <w:rFonts w:hint="eastAsia"/>
                <w:color w:val="auto"/>
                <w:sz w:val="18"/>
                <w:szCs w:val="18"/>
                <w:highlight w:val="none"/>
              </w:rPr>
              <w:t>4</w:t>
            </w:r>
          </w:p>
        </w:tc>
        <w:tc>
          <w:tcPr>
            <w:tcW w:w="5670" w:type="dxa"/>
            <w:tcBorders>
              <w:top w:val="single" w:color="auto" w:sz="4" w:space="0"/>
              <w:left w:val="nil"/>
              <w:bottom w:val="single" w:color="auto" w:sz="4" w:space="0"/>
              <w:right w:val="single" w:color="auto" w:sz="4" w:space="0"/>
            </w:tcBorders>
            <w:noWrap w:val="0"/>
            <w:vAlign w:val="center"/>
          </w:tcPr>
          <w:p w14:paraId="65436EC8">
            <w:pPr>
              <w:jc w:val="left"/>
              <w:rPr>
                <w:color w:val="auto"/>
                <w:sz w:val="18"/>
                <w:szCs w:val="18"/>
                <w:highlight w:val="none"/>
              </w:rPr>
            </w:pPr>
            <w:r>
              <w:rPr>
                <w:rFonts w:hint="eastAsia"/>
                <w:color w:val="auto"/>
                <w:sz w:val="18"/>
                <w:szCs w:val="18"/>
                <w:highlight w:val="none"/>
              </w:rPr>
              <w:t>绿化垃圾规范堆放、及时清运，禁止在园内焚烧绿化垃圾及其它杂物。</w:t>
            </w:r>
          </w:p>
        </w:tc>
        <w:tc>
          <w:tcPr>
            <w:tcW w:w="1004" w:type="dxa"/>
            <w:vMerge w:val="continue"/>
            <w:tcBorders>
              <w:top w:val="nil"/>
              <w:left w:val="nil"/>
              <w:bottom w:val="single" w:color="auto" w:sz="4" w:space="0"/>
              <w:right w:val="single" w:color="auto" w:sz="4" w:space="0"/>
            </w:tcBorders>
            <w:noWrap w:val="0"/>
            <w:vAlign w:val="center"/>
          </w:tcPr>
          <w:p w14:paraId="009A3C5A">
            <w:pPr>
              <w:widowControl/>
              <w:jc w:val="left"/>
              <w:rPr>
                <w:color w:val="auto"/>
                <w:sz w:val="18"/>
                <w:szCs w:val="18"/>
                <w:highlight w:val="none"/>
              </w:rPr>
            </w:pPr>
          </w:p>
        </w:tc>
      </w:tr>
      <w:tr w14:paraId="60DA41C3">
        <w:tblPrEx>
          <w:tblCellMar>
            <w:top w:w="0" w:type="dxa"/>
            <w:left w:w="108" w:type="dxa"/>
            <w:bottom w:w="0" w:type="dxa"/>
            <w:right w:w="108" w:type="dxa"/>
          </w:tblCellMar>
        </w:tblPrEx>
        <w:trPr>
          <w:cantSplit/>
          <w:trHeight w:val="550"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48323CFC">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6D718EF9">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2</w:t>
            </w:r>
            <w:r>
              <w:rPr>
                <w:rFonts w:hint="eastAsia"/>
                <w:color w:val="auto"/>
                <w:sz w:val="18"/>
                <w:szCs w:val="18"/>
                <w:highlight w:val="none"/>
              </w:rPr>
              <w:t>5</w:t>
            </w:r>
          </w:p>
        </w:tc>
        <w:tc>
          <w:tcPr>
            <w:tcW w:w="5670" w:type="dxa"/>
            <w:tcBorders>
              <w:top w:val="single" w:color="auto" w:sz="4" w:space="0"/>
              <w:left w:val="nil"/>
              <w:bottom w:val="single" w:color="auto" w:sz="4" w:space="0"/>
              <w:right w:val="single" w:color="auto" w:sz="4" w:space="0"/>
            </w:tcBorders>
            <w:noWrap w:val="0"/>
            <w:vAlign w:val="center"/>
          </w:tcPr>
          <w:p w14:paraId="60E56CD1">
            <w:pPr>
              <w:jc w:val="left"/>
              <w:rPr>
                <w:color w:val="auto"/>
                <w:sz w:val="18"/>
                <w:szCs w:val="18"/>
                <w:highlight w:val="none"/>
              </w:rPr>
            </w:pPr>
            <w:r>
              <w:rPr>
                <w:rFonts w:hint="eastAsia"/>
                <w:color w:val="auto"/>
                <w:sz w:val="18"/>
                <w:szCs w:val="18"/>
                <w:highlight w:val="none"/>
              </w:rPr>
              <w:t>生产资料、工具等物品堆放、使用管理规范。</w:t>
            </w:r>
          </w:p>
        </w:tc>
        <w:tc>
          <w:tcPr>
            <w:tcW w:w="1004" w:type="dxa"/>
            <w:vMerge w:val="continue"/>
            <w:tcBorders>
              <w:top w:val="nil"/>
              <w:left w:val="nil"/>
              <w:bottom w:val="single" w:color="auto" w:sz="4" w:space="0"/>
              <w:right w:val="single" w:color="auto" w:sz="4" w:space="0"/>
            </w:tcBorders>
            <w:noWrap w:val="0"/>
            <w:vAlign w:val="center"/>
          </w:tcPr>
          <w:p w14:paraId="32A21CB0">
            <w:pPr>
              <w:widowControl/>
              <w:jc w:val="left"/>
              <w:rPr>
                <w:color w:val="auto"/>
                <w:sz w:val="18"/>
                <w:szCs w:val="18"/>
                <w:highlight w:val="none"/>
              </w:rPr>
            </w:pPr>
          </w:p>
        </w:tc>
      </w:tr>
      <w:tr w14:paraId="013AB3AC">
        <w:tblPrEx>
          <w:tblCellMar>
            <w:top w:w="0" w:type="dxa"/>
            <w:left w:w="108" w:type="dxa"/>
            <w:bottom w:w="0" w:type="dxa"/>
            <w:right w:w="108" w:type="dxa"/>
          </w:tblCellMar>
        </w:tblPrEx>
        <w:trPr>
          <w:cantSplit/>
          <w:trHeight w:val="570"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00470285">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D8C1576">
            <w:pPr>
              <w:jc w:val="center"/>
              <w:rPr>
                <w:color w:val="auto"/>
                <w:sz w:val="18"/>
                <w:szCs w:val="18"/>
                <w:highlight w:val="none"/>
              </w:rPr>
            </w:pPr>
            <w:r>
              <w:rPr>
                <w:rFonts w:hint="eastAsia"/>
                <w:color w:val="auto"/>
                <w:sz w:val="18"/>
                <w:szCs w:val="18"/>
                <w:highlight w:val="none"/>
              </w:rPr>
              <w:t>标准26</w:t>
            </w:r>
          </w:p>
        </w:tc>
        <w:tc>
          <w:tcPr>
            <w:tcW w:w="5670" w:type="dxa"/>
            <w:tcBorders>
              <w:top w:val="single" w:color="auto" w:sz="4" w:space="0"/>
              <w:left w:val="nil"/>
              <w:bottom w:val="single" w:color="auto" w:sz="4" w:space="0"/>
              <w:right w:val="single" w:color="auto" w:sz="4" w:space="0"/>
            </w:tcBorders>
            <w:noWrap w:val="0"/>
            <w:vAlign w:val="center"/>
          </w:tcPr>
          <w:p w14:paraId="45D9A802">
            <w:pPr>
              <w:jc w:val="left"/>
              <w:rPr>
                <w:color w:val="auto"/>
                <w:sz w:val="18"/>
                <w:szCs w:val="18"/>
                <w:highlight w:val="none"/>
              </w:rPr>
            </w:pPr>
            <w:r>
              <w:rPr>
                <w:rFonts w:hint="eastAsia"/>
                <w:color w:val="auto"/>
                <w:sz w:val="18"/>
                <w:szCs w:val="18"/>
                <w:highlight w:val="none"/>
              </w:rPr>
              <w:t>绿地内无积水。</w:t>
            </w:r>
          </w:p>
        </w:tc>
        <w:tc>
          <w:tcPr>
            <w:tcW w:w="1004" w:type="dxa"/>
            <w:vMerge w:val="continue"/>
            <w:tcBorders>
              <w:top w:val="nil"/>
              <w:left w:val="nil"/>
              <w:bottom w:val="single" w:color="auto" w:sz="4" w:space="0"/>
              <w:right w:val="single" w:color="auto" w:sz="4" w:space="0"/>
            </w:tcBorders>
            <w:noWrap w:val="0"/>
            <w:vAlign w:val="center"/>
          </w:tcPr>
          <w:p w14:paraId="221CC41C">
            <w:pPr>
              <w:widowControl/>
              <w:jc w:val="left"/>
              <w:rPr>
                <w:color w:val="auto"/>
                <w:sz w:val="18"/>
                <w:szCs w:val="18"/>
                <w:highlight w:val="none"/>
              </w:rPr>
            </w:pPr>
          </w:p>
        </w:tc>
      </w:tr>
      <w:tr w14:paraId="55DE797C">
        <w:tblPrEx>
          <w:tblCellMar>
            <w:top w:w="0" w:type="dxa"/>
            <w:left w:w="108" w:type="dxa"/>
            <w:bottom w:w="0" w:type="dxa"/>
            <w:right w:w="108" w:type="dxa"/>
          </w:tblCellMar>
        </w:tblPrEx>
        <w:trPr>
          <w:cantSplit/>
          <w:trHeight w:val="306"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59D23476">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ADDB387">
            <w:pPr>
              <w:jc w:val="center"/>
              <w:rPr>
                <w:color w:val="auto"/>
                <w:sz w:val="18"/>
                <w:szCs w:val="18"/>
                <w:highlight w:val="none"/>
              </w:rPr>
            </w:pPr>
            <w:r>
              <w:rPr>
                <w:rFonts w:hint="eastAsia"/>
                <w:color w:val="auto"/>
                <w:sz w:val="18"/>
                <w:szCs w:val="18"/>
                <w:highlight w:val="none"/>
              </w:rPr>
              <w:t>标准27</w:t>
            </w:r>
          </w:p>
        </w:tc>
        <w:tc>
          <w:tcPr>
            <w:tcW w:w="5670" w:type="dxa"/>
            <w:tcBorders>
              <w:top w:val="single" w:color="auto" w:sz="4" w:space="0"/>
              <w:left w:val="nil"/>
              <w:bottom w:val="single" w:color="auto" w:sz="4" w:space="0"/>
              <w:right w:val="single" w:color="auto" w:sz="4" w:space="0"/>
            </w:tcBorders>
            <w:noWrap w:val="0"/>
            <w:vAlign w:val="center"/>
          </w:tcPr>
          <w:p w14:paraId="57855FBA">
            <w:pPr>
              <w:jc w:val="left"/>
              <w:rPr>
                <w:color w:val="auto"/>
                <w:sz w:val="18"/>
                <w:szCs w:val="18"/>
                <w:highlight w:val="none"/>
              </w:rPr>
            </w:pPr>
            <w:r>
              <w:rPr>
                <w:rFonts w:hint="eastAsia"/>
                <w:color w:val="auto"/>
                <w:sz w:val="18"/>
                <w:szCs w:val="18"/>
                <w:highlight w:val="none"/>
              </w:rPr>
              <w:t>植物无干明显枝黄叶、钉挂物等不规范现象。</w:t>
            </w:r>
          </w:p>
        </w:tc>
        <w:tc>
          <w:tcPr>
            <w:tcW w:w="1004" w:type="dxa"/>
            <w:vMerge w:val="continue"/>
            <w:tcBorders>
              <w:top w:val="nil"/>
              <w:left w:val="nil"/>
              <w:bottom w:val="single" w:color="auto" w:sz="4" w:space="0"/>
              <w:right w:val="single" w:color="auto" w:sz="4" w:space="0"/>
            </w:tcBorders>
            <w:noWrap w:val="0"/>
            <w:vAlign w:val="center"/>
          </w:tcPr>
          <w:p w14:paraId="72933657">
            <w:pPr>
              <w:widowControl/>
              <w:jc w:val="left"/>
              <w:rPr>
                <w:color w:val="auto"/>
                <w:sz w:val="18"/>
                <w:szCs w:val="18"/>
                <w:highlight w:val="none"/>
              </w:rPr>
            </w:pPr>
          </w:p>
        </w:tc>
      </w:tr>
      <w:tr w14:paraId="241B1D3D">
        <w:tblPrEx>
          <w:tblCellMar>
            <w:top w:w="0" w:type="dxa"/>
            <w:left w:w="108" w:type="dxa"/>
            <w:bottom w:w="0" w:type="dxa"/>
            <w:right w:w="108" w:type="dxa"/>
          </w:tblCellMar>
        </w:tblPrEx>
        <w:trPr>
          <w:cantSplit/>
          <w:trHeight w:val="290"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0C8B1122">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1BD14ED">
            <w:pPr>
              <w:jc w:val="center"/>
              <w:rPr>
                <w:color w:val="auto"/>
                <w:sz w:val="18"/>
                <w:szCs w:val="18"/>
                <w:highlight w:val="none"/>
              </w:rPr>
            </w:pPr>
            <w:r>
              <w:rPr>
                <w:rFonts w:hint="eastAsia"/>
                <w:color w:val="auto"/>
                <w:sz w:val="18"/>
                <w:szCs w:val="18"/>
                <w:highlight w:val="none"/>
              </w:rPr>
              <w:t>标准28</w:t>
            </w:r>
          </w:p>
        </w:tc>
        <w:tc>
          <w:tcPr>
            <w:tcW w:w="5670" w:type="dxa"/>
            <w:tcBorders>
              <w:top w:val="single" w:color="auto" w:sz="4" w:space="0"/>
              <w:left w:val="nil"/>
              <w:bottom w:val="single" w:color="auto" w:sz="4" w:space="0"/>
              <w:right w:val="single" w:color="auto" w:sz="4" w:space="0"/>
            </w:tcBorders>
            <w:noWrap w:val="0"/>
            <w:vAlign w:val="center"/>
          </w:tcPr>
          <w:p w14:paraId="1F917013">
            <w:pPr>
              <w:jc w:val="left"/>
              <w:rPr>
                <w:color w:val="auto"/>
                <w:sz w:val="18"/>
                <w:szCs w:val="18"/>
                <w:highlight w:val="none"/>
              </w:rPr>
            </w:pPr>
            <w:r>
              <w:rPr>
                <w:rFonts w:hint="eastAsia"/>
                <w:color w:val="auto"/>
                <w:sz w:val="18"/>
                <w:szCs w:val="18"/>
                <w:highlight w:val="none"/>
              </w:rPr>
              <w:t>做好园林植物病虫害防治工作，确保植物无明显病虫害现象发生。药品符合低毒低残留无异味等环保要求，用药要规范。设置温馨提示牌。</w:t>
            </w:r>
          </w:p>
        </w:tc>
        <w:tc>
          <w:tcPr>
            <w:tcW w:w="1004" w:type="dxa"/>
            <w:vMerge w:val="continue"/>
            <w:tcBorders>
              <w:top w:val="nil"/>
              <w:left w:val="nil"/>
              <w:bottom w:val="single" w:color="auto" w:sz="4" w:space="0"/>
              <w:right w:val="single" w:color="auto" w:sz="4" w:space="0"/>
            </w:tcBorders>
            <w:noWrap w:val="0"/>
            <w:vAlign w:val="center"/>
          </w:tcPr>
          <w:p w14:paraId="3B274870">
            <w:pPr>
              <w:widowControl/>
              <w:jc w:val="left"/>
              <w:rPr>
                <w:color w:val="auto"/>
                <w:sz w:val="18"/>
                <w:szCs w:val="18"/>
                <w:highlight w:val="none"/>
              </w:rPr>
            </w:pPr>
          </w:p>
        </w:tc>
      </w:tr>
      <w:tr w14:paraId="03B5C7BD">
        <w:tblPrEx>
          <w:tblCellMar>
            <w:top w:w="0" w:type="dxa"/>
            <w:left w:w="108" w:type="dxa"/>
            <w:bottom w:w="0" w:type="dxa"/>
            <w:right w:w="108" w:type="dxa"/>
          </w:tblCellMar>
        </w:tblPrEx>
        <w:trPr>
          <w:cantSplit/>
          <w:trHeight w:val="314"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33DA0B9C">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85AC504">
            <w:pPr>
              <w:jc w:val="center"/>
              <w:rPr>
                <w:color w:val="auto"/>
                <w:sz w:val="18"/>
                <w:szCs w:val="18"/>
                <w:highlight w:val="none"/>
              </w:rPr>
            </w:pPr>
            <w:r>
              <w:rPr>
                <w:rFonts w:hint="eastAsia"/>
                <w:color w:val="auto"/>
                <w:sz w:val="18"/>
                <w:szCs w:val="18"/>
                <w:highlight w:val="none"/>
              </w:rPr>
              <w:t>标准29</w:t>
            </w:r>
          </w:p>
        </w:tc>
        <w:tc>
          <w:tcPr>
            <w:tcW w:w="5670" w:type="dxa"/>
            <w:tcBorders>
              <w:top w:val="single" w:color="auto" w:sz="4" w:space="0"/>
              <w:left w:val="nil"/>
              <w:bottom w:val="single" w:color="auto" w:sz="4" w:space="0"/>
              <w:right w:val="single" w:color="auto" w:sz="4" w:space="0"/>
            </w:tcBorders>
            <w:noWrap w:val="0"/>
            <w:vAlign w:val="center"/>
          </w:tcPr>
          <w:p w14:paraId="7363DE72">
            <w:pPr>
              <w:jc w:val="left"/>
              <w:rPr>
                <w:color w:val="auto"/>
                <w:sz w:val="18"/>
                <w:szCs w:val="18"/>
                <w:highlight w:val="none"/>
              </w:rPr>
            </w:pPr>
            <w:r>
              <w:rPr>
                <w:rFonts w:hint="eastAsia"/>
                <w:color w:val="auto"/>
                <w:sz w:val="18"/>
                <w:szCs w:val="18"/>
                <w:highlight w:val="none"/>
              </w:rPr>
              <w:t>定期开展白蚁、红棕象甲防治等专项巡查、布置药箱、放药、记录、维护，做好主要病虫害防治工作。</w:t>
            </w:r>
          </w:p>
        </w:tc>
        <w:tc>
          <w:tcPr>
            <w:tcW w:w="1004" w:type="dxa"/>
            <w:vMerge w:val="continue"/>
            <w:tcBorders>
              <w:top w:val="nil"/>
              <w:left w:val="nil"/>
              <w:bottom w:val="single" w:color="auto" w:sz="4" w:space="0"/>
              <w:right w:val="single" w:color="auto" w:sz="4" w:space="0"/>
            </w:tcBorders>
            <w:noWrap w:val="0"/>
            <w:vAlign w:val="center"/>
          </w:tcPr>
          <w:p w14:paraId="7CB8E43B">
            <w:pPr>
              <w:widowControl/>
              <w:jc w:val="left"/>
              <w:rPr>
                <w:color w:val="auto"/>
                <w:sz w:val="18"/>
                <w:szCs w:val="18"/>
                <w:highlight w:val="none"/>
              </w:rPr>
            </w:pPr>
          </w:p>
        </w:tc>
      </w:tr>
      <w:tr w14:paraId="6C13142C">
        <w:tblPrEx>
          <w:tblCellMar>
            <w:top w:w="0" w:type="dxa"/>
            <w:left w:w="108" w:type="dxa"/>
            <w:bottom w:w="0" w:type="dxa"/>
            <w:right w:w="108" w:type="dxa"/>
          </w:tblCellMar>
        </w:tblPrEx>
        <w:trPr>
          <w:cantSplit/>
          <w:trHeight w:val="297"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69DAA5F5">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8821254">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3</w:t>
            </w:r>
            <w:r>
              <w:rPr>
                <w:rFonts w:hint="eastAsia"/>
                <w:color w:val="auto"/>
                <w:sz w:val="18"/>
                <w:szCs w:val="18"/>
                <w:highlight w:val="none"/>
              </w:rPr>
              <w:t>0</w:t>
            </w:r>
          </w:p>
        </w:tc>
        <w:tc>
          <w:tcPr>
            <w:tcW w:w="5670" w:type="dxa"/>
            <w:tcBorders>
              <w:top w:val="single" w:color="auto" w:sz="4" w:space="0"/>
              <w:left w:val="nil"/>
              <w:bottom w:val="single" w:color="auto" w:sz="4" w:space="0"/>
              <w:right w:val="single" w:color="auto" w:sz="4" w:space="0"/>
            </w:tcBorders>
            <w:noWrap w:val="0"/>
            <w:vAlign w:val="center"/>
          </w:tcPr>
          <w:p w14:paraId="583B3CC6">
            <w:pPr>
              <w:jc w:val="left"/>
              <w:rPr>
                <w:color w:val="auto"/>
                <w:sz w:val="18"/>
                <w:szCs w:val="18"/>
                <w:highlight w:val="none"/>
              </w:rPr>
            </w:pPr>
            <w:r>
              <w:rPr>
                <w:rFonts w:hint="eastAsia"/>
                <w:color w:val="auto"/>
                <w:sz w:val="18"/>
                <w:szCs w:val="18"/>
                <w:highlight w:val="none"/>
              </w:rPr>
              <w:t>及时做好植物防寒工作，措施到位、有效。</w:t>
            </w:r>
          </w:p>
        </w:tc>
        <w:tc>
          <w:tcPr>
            <w:tcW w:w="1004" w:type="dxa"/>
            <w:vMerge w:val="continue"/>
            <w:tcBorders>
              <w:top w:val="nil"/>
              <w:left w:val="nil"/>
              <w:bottom w:val="single" w:color="auto" w:sz="4" w:space="0"/>
              <w:right w:val="single" w:color="auto" w:sz="4" w:space="0"/>
            </w:tcBorders>
            <w:noWrap w:val="0"/>
            <w:vAlign w:val="center"/>
          </w:tcPr>
          <w:p w14:paraId="46621BBF">
            <w:pPr>
              <w:widowControl/>
              <w:jc w:val="left"/>
              <w:rPr>
                <w:color w:val="auto"/>
                <w:sz w:val="18"/>
                <w:szCs w:val="18"/>
                <w:highlight w:val="none"/>
              </w:rPr>
            </w:pPr>
          </w:p>
        </w:tc>
      </w:tr>
      <w:tr w14:paraId="34D2CC2A">
        <w:tblPrEx>
          <w:tblCellMar>
            <w:top w:w="0" w:type="dxa"/>
            <w:left w:w="108" w:type="dxa"/>
            <w:bottom w:w="0" w:type="dxa"/>
            <w:right w:w="108" w:type="dxa"/>
          </w:tblCellMar>
        </w:tblPrEx>
        <w:trPr>
          <w:cantSplit/>
          <w:trHeight w:val="430"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29901582">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FF50A9">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3</w:t>
            </w:r>
            <w:r>
              <w:rPr>
                <w:rFonts w:hint="eastAsia"/>
                <w:color w:val="auto"/>
                <w:sz w:val="18"/>
                <w:szCs w:val="18"/>
                <w:highlight w:val="none"/>
              </w:rPr>
              <w:t>1</w:t>
            </w:r>
          </w:p>
        </w:tc>
        <w:tc>
          <w:tcPr>
            <w:tcW w:w="5670" w:type="dxa"/>
            <w:tcBorders>
              <w:top w:val="single" w:color="auto" w:sz="4" w:space="0"/>
              <w:left w:val="nil"/>
              <w:bottom w:val="single" w:color="auto" w:sz="4" w:space="0"/>
              <w:right w:val="single" w:color="auto" w:sz="4" w:space="0"/>
            </w:tcBorders>
            <w:noWrap w:val="0"/>
            <w:vAlign w:val="center"/>
          </w:tcPr>
          <w:p w14:paraId="0D9E21ED">
            <w:pPr>
              <w:jc w:val="left"/>
              <w:rPr>
                <w:color w:val="auto"/>
                <w:sz w:val="18"/>
                <w:szCs w:val="18"/>
                <w:highlight w:val="none"/>
              </w:rPr>
            </w:pPr>
            <w:r>
              <w:rPr>
                <w:rFonts w:hint="eastAsia"/>
                <w:color w:val="auto"/>
                <w:sz w:val="18"/>
                <w:szCs w:val="18"/>
                <w:highlight w:val="none"/>
              </w:rPr>
              <w:t>恶劣天气及其它突发事件的应急响应及时，倒树或断枝及时处理、歪斜树木及时扶正和加固。</w:t>
            </w:r>
          </w:p>
        </w:tc>
        <w:tc>
          <w:tcPr>
            <w:tcW w:w="1004" w:type="dxa"/>
            <w:vMerge w:val="continue"/>
            <w:tcBorders>
              <w:top w:val="nil"/>
              <w:left w:val="nil"/>
              <w:bottom w:val="single" w:color="auto" w:sz="4" w:space="0"/>
              <w:right w:val="single" w:color="auto" w:sz="4" w:space="0"/>
            </w:tcBorders>
            <w:noWrap w:val="0"/>
            <w:vAlign w:val="center"/>
          </w:tcPr>
          <w:p w14:paraId="286979CF">
            <w:pPr>
              <w:widowControl/>
              <w:jc w:val="left"/>
              <w:rPr>
                <w:color w:val="auto"/>
                <w:sz w:val="18"/>
                <w:szCs w:val="18"/>
                <w:highlight w:val="none"/>
              </w:rPr>
            </w:pPr>
          </w:p>
        </w:tc>
      </w:tr>
      <w:tr w14:paraId="6EB14943">
        <w:tblPrEx>
          <w:tblCellMar>
            <w:top w:w="0" w:type="dxa"/>
            <w:left w:w="108" w:type="dxa"/>
            <w:bottom w:w="0" w:type="dxa"/>
            <w:right w:w="108" w:type="dxa"/>
          </w:tblCellMar>
        </w:tblPrEx>
        <w:trPr>
          <w:cantSplit/>
          <w:trHeight w:val="458"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20B6CE11">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6707A584">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3</w:t>
            </w:r>
            <w:r>
              <w:rPr>
                <w:rFonts w:hint="eastAsia"/>
                <w:color w:val="auto"/>
                <w:sz w:val="18"/>
                <w:szCs w:val="18"/>
                <w:highlight w:val="none"/>
              </w:rPr>
              <w:t>2</w:t>
            </w:r>
          </w:p>
        </w:tc>
        <w:tc>
          <w:tcPr>
            <w:tcW w:w="5670" w:type="dxa"/>
            <w:tcBorders>
              <w:top w:val="single" w:color="auto" w:sz="4" w:space="0"/>
              <w:left w:val="nil"/>
              <w:bottom w:val="single" w:color="auto" w:sz="4" w:space="0"/>
              <w:right w:val="single" w:color="auto" w:sz="4" w:space="0"/>
            </w:tcBorders>
            <w:noWrap w:val="0"/>
            <w:vAlign w:val="center"/>
          </w:tcPr>
          <w:p w14:paraId="72AF1CE1">
            <w:pPr>
              <w:jc w:val="left"/>
              <w:rPr>
                <w:color w:val="auto"/>
                <w:sz w:val="18"/>
                <w:szCs w:val="18"/>
                <w:highlight w:val="none"/>
              </w:rPr>
            </w:pPr>
            <w:r>
              <w:rPr>
                <w:rFonts w:hint="eastAsia"/>
                <w:color w:val="auto"/>
                <w:sz w:val="18"/>
                <w:szCs w:val="18"/>
                <w:highlight w:val="none"/>
                <w:lang w:eastAsia="zh-CN"/>
              </w:rPr>
              <w:t>按要求</w:t>
            </w:r>
            <w:r>
              <w:rPr>
                <w:rFonts w:hint="eastAsia" w:ascii="宋体" w:hAnsi="宋体" w:eastAsia="宋体" w:cs="宋体"/>
                <w:b w:val="0"/>
                <w:bCs w:val="0"/>
                <w:color w:val="auto"/>
                <w:sz w:val="18"/>
                <w:szCs w:val="18"/>
                <w:highlight w:val="none"/>
                <w:lang w:eastAsia="zh-CN"/>
              </w:rPr>
              <w:t>进行</w:t>
            </w:r>
            <w:r>
              <w:rPr>
                <w:rFonts w:hint="eastAsia" w:ascii="宋体" w:hAnsi="宋体" w:eastAsia="宋体" w:cs="宋体"/>
                <w:b w:val="0"/>
                <w:bCs w:val="0"/>
                <w:color w:val="auto"/>
                <w:sz w:val="18"/>
                <w:szCs w:val="18"/>
                <w:highlight w:val="none"/>
              </w:rPr>
              <w:t>健康安全诊断</w:t>
            </w:r>
            <w:r>
              <w:rPr>
                <w:rFonts w:hint="eastAsia" w:ascii="宋体" w:hAnsi="宋体" w:eastAsia="宋体" w:cs="宋体"/>
                <w:b w:val="0"/>
                <w:bCs w:val="0"/>
                <w:color w:val="auto"/>
                <w:sz w:val="18"/>
                <w:szCs w:val="18"/>
                <w:highlight w:val="none"/>
                <w:lang w:eastAsia="zh-CN"/>
              </w:rPr>
              <w:t>和古树名木</w:t>
            </w:r>
            <w:r>
              <w:rPr>
                <w:rFonts w:hint="eastAsia" w:ascii="宋体" w:hAnsi="宋体" w:eastAsia="宋体" w:cs="宋体"/>
                <w:b w:val="0"/>
                <w:bCs w:val="0"/>
                <w:color w:val="auto"/>
                <w:sz w:val="18"/>
                <w:szCs w:val="18"/>
                <w:highlight w:val="none"/>
              </w:rPr>
              <w:t>专项健康安全诊治</w:t>
            </w:r>
            <w:r>
              <w:rPr>
                <w:rFonts w:hint="eastAsia" w:ascii="宋体" w:hAnsi="宋体" w:eastAsia="宋体" w:cs="宋体"/>
                <w:b w:val="0"/>
                <w:bCs w:val="0"/>
                <w:color w:val="auto"/>
                <w:sz w:val="18"/>
                <w:szCs w:val="18"/>
                <w:highlight w:val="none"/>
                <w:lang w:eastAsia="zh-CN"/>
              </w:rPr>
              <w:t>。</w:t>
            </w:r>
            <w:r>
              <w:rPr>
                <w:rFonts w:hint="eastAsia"/>
                <w:color w:val="auto"/>
                <w:sz w:val="18"/>
                <w:szCs w:val="18"/>
                <w:highlight w:val="none"/>
              </w:rPr>
              <w:t>加强绿地巡查，及时处置危树、断枝、缺株、死桩等现象。</w:t>
            </w:r>
          </w:p>
        </w:tc>
        <w:tc>
          <w:tcPr>
            <w:tcW w:w="1004" w:type="dxa"/>
            <w:vMerge w:val="continue"/>
            <w:tcBorders>
              <w:top w:val="nil"/>
              <w:left w:val="nil"/>
              <w:bottom w:val="single" w:color="auto" w:sz="4" w:space="0"/>
              <w:right w:val="single" w:color="auto" w:sz="4" w:space="0"/>
            </w:tcBorders>
            <w:noWrap w:val="0"/>
            <w:vAlign w:val="center"/>
          </w:tcPr>
          <w:p w14:paraId="16BAD2C9">
            <w:pPr>
              <w:widowControl/>
              <w:jc w:val="left"/>
              <w:rPr>
                <w:color w:val="auto"/>
                <w:sz w:val="18"/>
                <w:szCs w:val="18"/>
                <w:highlight w:val="none"/>
              </w:rPr>
            </w:pPr>
          </w:p>
        </w:tc>
      </w:tr>
      <w:tr w14:paraId="3EEAEFD4">
        <w:tblPrEx>
          <w:tblCellMar>
            <w:top w:w="0" w:type="dxa"/>
            <w:left w:w="108" w:type="dxa"/>
            <w:bottom w:w="0" w:type="dxa"/>
            <w:right w:w="108" w:type="dxa"/>
          </w:tblCellMar>
        </w:tblPrEx>
        <w:trPr>
          <w:cantSplit/>
          <w:trHeight w:val="438"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1F1A2784">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810637">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3</w:t>
            </w:r>
            <w:r>
              <w:rPr>
                <w:rFonts w:hint="eastAsia"/>
                <w:color w:val="auto"/>
                <w:sz w:val="18"/>
                <w:szCs w:val="18"/>
                <w:highlight w:val="none"/>
              </w:rPr>
              <w:t>3</w:t>
            </w:r>
          </w:p>
        </w:tc>
        <w:tc>
          <w:tcPr>
            <w:tcW w:w="5670" w:type="dxa"/>
            <w:tcBorders>
              <w:top w:val="single" w:color="auto" w:sz="4" w:space="0"/>
              <w:left w:val="nil"/>
              <w:bottom w:val="single" w:color="auto" w:sz="4" w:space="0"/>
              <w:right w:val="single" w:color="auto" w:sz="4" w:space="0"/>
            </w:tcBorders>
            <w:noWrap w:val="0"/>
            <w:vAlign w:val="center"/>
          </w:tcPr>
          <w:p w14:paraId="5E15611F">
            <w:pPr>
              <w:jc w:val="left"/>
              <w:rPr>
                <w:color w:val="auto"/>
                <w:sz w:val="18"/>
                <w:szCs w:val="18"/>
                <w:highlight w:val="none"/>
              </w:rPr>
            </w:pPr>
            <w:r>
              <w:rPr>
                <w:rFonts w:hint="eastAsia"/>
                <w:color w:val="auto"/>
                <w:sz w:val="18"/>
                <w:szCs w:val="18"/>
                <w:highlight w:val="none"/>
              </w:rPr>
              <w:t>及时补植，避免黄土裸露现象产生。</w:t>
            </w:r>
          </w:p>
        </w:tc>
        <w:tc>
          <w:tcPr>
            <w:tcW w:w="1004" w:type="dxa"/>
            <w:vMerge w:val="continue"/>
            <w:tcBorders>
              <w:top w:val="nil"/>
              <w:left w:val="nil"/>
              <w:bottom w:val="single" w:color="auto" w:sz="4" w:space="0"/>
              <w:right w:val="single" w:color="auto" w:sz="4" w:space="0"/>
            </w:tcBorders>
            <w:noWrap w:val="0"/>
            <w:vAlign w:val="center"/>
          </w:tcPr>
          <w:p w14:paraId="402AC491">
            <w:pPr>
              <w:widowControl/>
              <w:jc w:val="left"/>
              <w:rPr>
                <w:color w:val="auto"/>
                <w:sz w:val="18"/>
                <w:szCs w:val="18"/>
                <w:highlight w:val="none"/>
              </w:rPr>
            </w:pPr>
          </w:p>
        </w:tc>
      </w:tr>
      <w:tr w14:paraId="75829595">
        <w:tblPrEx>
          <w:tblCellMar>
            <w:top w:w="0" w:type="dxa"/>
            <w:left w:w="108" w:type="dxa"/>
            <w:bottom w:w="0" w:type="dxa"/>
            <w:right w:w="108" w:type="dxa"/>
          </w:tblCellMar>
        </w:tblPrEx>
        <w:trPr>
          <w:cantSplit/>
          <w:trHeight w:val="452"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28A8F035">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F4DB2FA">
            <w:pPr>
              <w:jc w:val="center"/>
              <w:rPr>
                <w:color w:val="auto"/>
                <w:sz w:val="18"/>
                <w:szCs w:val="18"/>
                <w:highlight w:val="none"/>
              </w:rPr>
            </w:pPr>
            <w:r>
              <w:rPr>
                <w:rFonts w:hint="eastAsia"/>
                <w:color w:val="auto"/>
                <w:sz w:val="18"/>
                <w:szCs w:val="18"/>
                <w:highlight w:val="none"/>
              </w:rPr>
              <w:t>标准</w:t>
            </w:r>
            <w:r>
              <w:rPr>
                <w:color w:val="auto"/>
                <w:sz w:val="18"/>
                <w:szCs w:val="18"/>
                <w:highlight w:val="none"/>
              </w:rPr>
              <w:t>3</w:t>
            </w:r>
            <w:r>
              <w:rPr>
                <w:rFonts w:hint="eastAsia"/>
                <w:color w:val="auto"/>
                <w:sz w:val="18"/>
                <w:szCs w:val="18"/>
                <w:highlight w:val="none"/>
              </w:rPr>
              <w:t>4</w:t>
            </w:r>
          </w:p>
        </w:tc>
        <w:tc>
          <w:tcPr>
            <w:tcW w:w="5670" w:type="dxa"/>
            <w:tcBorders>
              <w:top w:val="single" w:color="auto" w:sz="4" w:space="0"/>
              <w:left w:val="nil"/>
              <w:bottom w:val="single" w:color="auto" w:sz="4" w:space="0"/>
              <w:right w:val="single" w:color="auto" w:sz="4" w:space="0"/>
            </w:tcBorders>
            <w:noWrap w:val="0"/>
            <w:vAlign w:val="center"/>
          </w:tcPr>
          <w:p w14:paraId="567F78E3">
            <w:pPr>
              <w:jc w:val="left"/>
              <w:rPr>
                <w:color w:val="auto"/>
                <w:sz w:val="18"/>
                <w:szCs w:val="18"/>
                <w:highlight w:val="none"/>
              </w:rPr>
            </w:pPr>
            <w:r>
              <w:rPr>
                <w:rFonts w:hint="eastAsia"/>
                <w:color w:val="auto"/>
                <w:sz w:val="18"/>
                <w:szCs w:val="18"/>
                <w:highlight w:val="none"/>
              </w:rPr>
              <w:t>补植苗木规格、数量、种植规范等符合要求。</w:t>
            </w:r>
          </w:p>
        </w:tc>
        <w:tc>
          <w:tcPr>
            <w:tcW w:w="1004" w:type="dxa"/>
            <w:vMerge w:val="continue"/>
            <w:tcBorders>
              <w:top w:val="nil"/>
              <w:left w:val="nil"/>
              <w:bottom w:val="single" w:color="auto" w:sz="4" w:space="0"/>
              <w:right w:val="single" w:color="auto" w:sz="4" w:space="0"/>
            </w:tcBorders>
            <w:noWrap w:val="0"/>
            <w:vAlign w:val="center"/>
          </w:tcPr>
          <w:p w14:paraId="40CA2D5B">
            <w:pPr>
              <w:widowControl/>
              <w:jc w:val="left"/>
              <w:rPr>
                <w:color w:val="auto"/>
                <w:sz w:val="18"/>
                <w:szCs w:val="18"/>
                <w:highlight w:val="none"/>
              </w:rPr>
            </w:pPr>
          </w:p>
        </w:tc>
      </w:tr>
      <w:tr w14:paraId="6588B9EC">
        <w:tblPrEx>
          <w:tblCellMar>
            <w:top w:w="0" w:type="dxa"/>
            <w:left w:w="108" w:type="dxa"/>
            <w:bottom w:w="0" w:type="dxa"/>
            <w:right w:w="108" w:type="dxa"/>
          </w:tblCellMar>
        </w:tblPrEx>
        <w:trPr>
          <w:cantSplit/>
          <w:trHeight w:val="633" w:hRule="atLeast"/>
          <w:jc w:val="center"/>
        </w:trPr>
        <w:tc>
          <w:tcPr>
            <w:tcW w:w="1129" w:type="dxa"/>
            <w:vMerge w:val="restart"/>
            <w:tcBorders>
              <w:top w:val="nil"/>
              <w:left w:val="single" w:color="auto" w:sz="4" w:space="0"/>
              <w:bottom w:val="single" w:color="auto" w:sz="4" w:space="0"/>
              <w:right w:val="single" w:color="auto" w:sz="4" w:space="0"/>
            </w:tcBorders>
            <w:noWrap w:val="0"/>
            <w:vAlign w:val="center"/>
          </w:tcPr>
          <w:p w14:paraId="7A0F80F4">
            <w:pPr>
              <w:jc w:val="center"/>
              <w:rPr>
                <w:color w:val="auto"/>
                <w:sz w:val="18"/>
                <w:szCs w:val="18"/>
                <w:highlight w:val="none"/>
              </w:rPr>
            </w:pPr>
            <w:r>
              <w:rPr>
                <w:color w:val="auto"/>
                <w:sz w:val="18"/>
                <w:szCs w:val="18"/>
                <w:highlight w:val="none"/>
              </w:rPr>
              <w:t>(</w:t>
            </w:r>
            <w:r>
              <w:rPr>
                <w:rFonts w:hint="eastAsia"/>
                <w:color w:val="auto"/>
                <w:sz w:val="18"/>
                <w:szCs w:val="18"/>
                <w:highlight w:val="none"/>
              </w:rPr>
              <w:t>五）设施维护</w:t>
            </w:r>
          </w:p>
        </w:tc>
        <w:tc>
          <w:tcPr>
            <w:tcW w:w="993" w:type="dxa"/>
            <w:tcBorders>
              <w:top w:val="single" w:color="auto" w:sz="4" w:space="0"/>
              <w:left w:val="nil"/>
              <w:bottom w:val="single" w:color="auto" w:sz="4" w:space="0"/>
              <w:right w:val="single" w:color="auto" w:sz="4" w:space="0"/>
            </w:tcBorders>
            <w:noWrap w:val="0"/>
            <w:vAlign w:val="center"/>
          </w:tcPr>
          <w:p w14:paraId="0B9303B9">
            <w:pPr>
              <w:jc w:val="center"/>
              <w:rPr>
                <w:color w:val="auto"/>
                <w:sz w:val="18"/>
                <w:szCs w:val="18"/>
                <w:highlight w:val="none"/>
              </w:rPr>
            </w:pPr>
            <w:r>
              <w:rPr>
                <w:rFonts w:hint="eastAsia"/>
                <w:color w:val="auto"/>
                <w:sz w:val="18"/>
                <w:szCs w:val="18"/>
                <w:highlight w:val="none"/>
              </w:rPr>
              <w:t>标准35</w:t>
            </w:r>
          </w:p>
        </w:tc>
        <w:tc>
          <w:tcPr>
            <w:tcW w:w="5670" w:type="dxa"/>
            <w:tcBorders>
              <w:top w:val="single" w:color="auto" w:sz="4" w:space="0"/>
              <w:left w:val="nil"/>
              <w:bottom w:val="single" w:color="auto" w:sz="4" w:space="0"/>
              <w:right w:val="single" w:color="auto" w:sz="4" w:space="0"/>
            </w:tcBorders>
            <w:noWrap w:val="0"/>
            <w:vAlign w:val="center"/>
          </w:tcPr>
          <w:p w14:paraId="13B2CA44">
            <w:pPr>
              <w:jc w:val="left"/>
              <w:rPr>
                <w:color w:val="auto"/>
                <w:sz w:val="18"/>
                <w:szCs w:val="18"/>
                <w:highlight w:val="none"/>
              </w:rPr>
            </w:pPr>
            <w:r>
              <w:rPr>
                <w:rFonts w:hint="eastAsia"/>
                <w:color w:val="auto"/>
                <w:sz w:val="18"/>
                <w:szCs w:val="18"/>
                <w:highlight w:val="none"/>
              </w:rPr>
              <w:t>园林设施、园林小品以及各项绿化配套设施损坏后及时修复，符合公园景观要求。</w:t>
            </w:r>
          </w:p>
        </w:tc>
        <w:tc>
          <w:tcPr>
            <w:tcW w:w="1004" w:type="dxa"/>
            <w:vMerge w:val="restart"/>
            <w:tcBorders>
              <w:top w:val="nil"/>
              <w:left w:val="nil"/>
              <w:bottom w:val="single" w:color="auto" w:sz="4" w:space="0"/>
              <w:right w:val="single" w:color="auto" w:sz="4" w:space="0"/>
            </w:tcBorders>
            <w:noWrap w:val="0"/>
            <w:vAlign w:val="center"/>
          </w:tcPr>
          <w:p w14:paraId="6163AD5F">
            <w:pPr>
              <w:jc w:val="center"/>
              <w:rPr>
                <w:color w:val="auto"/>
                <w:sz w:val="18"/>
                <w:szCs w:val="18"/>
                <w:highlight w:val="none"/>
              </w:rPr>
            </w:pPr>
            <w:r>
              <w:rPr>
                <w:rFonts w:hint="eastAsia"/>
                <w:color w:val="auto"/>
                <w:sz w:val="18"/>
                <w:szCs w:val="18"/>
                <w:highlight w:val="none"/>
              </w:rPr>
              <w:t>5</w:t>
            </w:r>
          </w:p>
        </w:tc>
      </w:tr>
      <w:tr w14:paraId="67D6F912">
        <w:tblPrEx>
          <w:tblCellMar>
            <w:top w:w="0" w:type="dxa"/>
            <w:left w:w="108" w:type="dxa"/>
            <w:bottom w:w="0" w:type="dxa"/>
            <w:right w:w="108" w:type="dxa"/>
          </w:tblCellMar>
        </w:tblPrEx>
        <w:trPr>
          <w:cantSpli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4489B046">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417F3F80">
            <w:pPr>
              <w:jc w:val="center"/>
              <w:rPr>
                <w:color w:val="auto"/>
                <w:sz w:val="18"/>
                <w:szCs w:val="18"/>
                <w:highlight w:val="none"/>
              </w:rPr>
            </w:pPr>
            <w:r>
              <w:rPr>
                <w:rFonts w:hint="eastAsia"/>
                <w:color w:val="auto"/>
                <w:sz w:val="18"/>
                <w:szCs w:val="18"/>
                <w:highlight w:val="none"/>
              </w:rPr>
              <w:t>标准36</w:t>
            </w:r>
          </w:p>
        </w:tc>
        <w:tc>
          <w:tcPr>
            <w:tcW w:w="5670" w:type="dxa"/>
            <w:tcBorders>
              <w:top w:val="single" w:color="auto" w:sz="4" w:space="0"/>
              <w:left w:val="nil"/>
              <w:bottom w:val="single" w:color="auto" w:sz="4" w:space="0"/>
              <w:right w:val="single" w:color="auto" w:sz="4" w:space="0"/>
            </w:tcBorders>
            <w:noWrap w:val="0"/>
            <w:vAlign w:val="center"/>
          </w:tcPr>
          <w:p w14:paraId="22DE209F">
            <w:pPr>
              <w:jc w:val="left"/>
              <w:rPr>
                <w:color w:val="auto"/>
                <w:sz w:val="18"/>
                <w:szCs w:val="18"/>
                <w:highlight w:val="none"/>
              </w:rPr>
            </w:pPr>
            <w:r>
              <w:rPr>
                <w:rFonts w:hint="eastAsia"/>
                <w:color w:val="auto"/>
                <w:sz w:val="18"/>
                <w:szCs w:val="18"/>
                <w:highlight w:val="none"/>
              </w:rPr>
              <w:t>不私自安装、铺设园林设施，如需安装设施不能影响公园景观、无安全隐患。</w:t>
            </w:r>
          </w:p>
        </w:tc>
        <w:tc>
          <w:tcPr>
            <w:tcW w:w="1004" w:type="dxa"/>
            <w:vMerge w:val="continue"/>
            <w:tcBorders>
              <w:top w:val="nil"/>
              <w:left w:val="nil"/>
              <w:bottom w:val="single" w:color="auto" w:sz="4" w:space="0"/>
              <w:right w:val="single" w:color="auto" w:sz="4" w:space="0"/>
            </w:tcBorders>
            <w:noWrap w:val="0"/>
            <w:vAlign w:val="center"/>
          </w:tcPr>
          <w:p w14:paraId="7BCBDD4C">
            <w:pPr>
              <w:widowControl/>
              <w:jc w:val="left"/>
              <w:rPr>
                <w:color w:val="auto"/>
                <w:sz w:val="18"/>
                <w:szCs w:val="18"/>
                <w:highlight w:val="none"/>
              </w:rPr>
            </w:pPr>
          </w:p>
        </w:tc>
      </w:tr>
      <w:tr w14:paraId="3DFC52FC">
        <w:tblPrEx>
          <w:tblCellMar>
            <w:top w:w="0" w:type="dxa"/>
            <w:left w:w="108" w:type="dxa"/>
            <w:bottom w:w="0" w:type="dxa"/>
            <w:right w:w="108" w:type="dxa"/>
          </w:tblCellMar>
        </w:tblPrEx>
        <w:trPr>
          <w:cantSplit/>
          <w:trHeight w:val="528" w:hRule="atLeast"/>
          <w:jc w:val="center"/>
        </w:trPr>
        <w:tc>
          <w:tcPr>
            <w:tcW w:w="1129" w:type="dxa"/>
            <w:vMerge w:val="continue"/>
            <w:tcBorders>
              <w:top w:val="nil"/>
              <w:left w:val="single" w:color="auto" w:sz="4" w:space="0"/>
              <w:bottom w:val="single" w:color="auto" w:sz="4" w:space="0"/>
              <w:right w:val="single" w:color="auto" w:sz="4" w:space="0"/>
            </w:tcBorders>
            <w:noWrap w:val="0"/>
            <w:vAlign w:val="center"/>
          </w:tcPr>
          <w:p w14:paraId="0940A9A8">
            <w:pPr>
              <w:widowControl/>
              <w:jc w:val="left"/>
              <w:rPr>
                <w:color w:val="auto"/>
                <w:sz w:val="18"/>
                <w:szCs w:val="18"/>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6E6D4A74">
            <w:pPr>
              <w:jc w:val="center"/>
              <w:rPr>
                <w:color w:val="auto"/>
                <w:sz w:val="18"/>
                <w:szCs w:val="18"/>
                <w:highlight w:val="none"/>
              </w:rPr>
            </w:pPr>
            <w:r>
              <w:rPr>
                <w:rFonts w:hint="eastAsia"/>
                <w:color w:val="auto"/>
                <w:sz w:val="18"/>
                <w:szCs w:val="18"/>
                <w:highlight w:val="none"/>
              </w:rPr>
              <w:t>标准37</w:t>
            </w:r>
          </w:p>
        </w:tc>
        <w:tc>
          <w:tcPr>
            <w:tcW w:w="5670" w:type="dxa"/>
            <w:tcBorders>
              <w:top w:val="single" w:color="auto" w:sz="4" w:space="0"/>
              <w:left w:val="nil"/>
              <w:bottom w:val="single" w:color="auto" w:sz="4" w:space="0"/>
              <w:right w:val="single" w:color="auto" w:sz="4" w:space="0"/>
            </w:tcBorders>
            <w:noWrap w:val="0"/>
            <w:vAlign w:val="center"/>
          </w:tcPr>
          <w:p w14:paraId="74C5655C">
            <w:pPr>
              <w:jc w:val="left"/>
              <w:rPr>
                <w:color w:val="auto"/>
                <w:sz w:val="18"/>
                <w:szCs w:val="18"/>
                <w:highlight w:val="none"/>
              </w:rPr>
            </w:pPr>
            <w:r>
              <w:rPr>
                <w:rFonts w:hint="eastAsia"/>
                <w:color w:val="auto"/>
                <w:sz w:val="18"/>
                <w:szCs w:val="18"/>
                <w:highlight w:val="none"/>
              </w:rPr>
              <w:t>水电等设施管理到位，避免浪费，损坏设施及时修复。</w:t>
            </w:r>
          </w:p>
        </w:tc>
        <w:tc>
          <w:tcPr>
            <w:tcW w:w="1004" w:type="dxa"/>
            <w:vMerge w:val="continue"/>
            <w:tcBorders>
              <w:top w:val="nil"/>
              <w:left w:val="nil"/>
              <w:bottom w:val="single" w:color="auto" w:sz="4" w:space="0"/>
              <w:right w:val="single" w:color="auto" w:sz="4" w:space="0"/>
            </w:tcBorders>
            <w:noWrap w:val="0"/>
            <w:vAlign w:val="center"/>
          </w:tcPr>
          <w:p w14:paraId="76A60E90">
            <w:pPr>
              <w:widowControl/>
              <w:jc w:val="left"/>
              <w:rPr>
                <w:color w:val="auto"/>
                <w:sz w:val="18"/>
                <w:szCs w:val="18"/>
                <w:highlight w:val="none"/>
              </w:rPr>
            </w:pPr>
          </w:p>
        </w:tc>
      </w:tr>
      <w:tr w14:paraId="0DFCACD0">
        <w:tblPrEx>
          <w:tblCellMar>
            <w:top w:w="0" w:type="dxa"/>
            <w:left w:w="108" w:type="dxa"/>
            <w:bottom w:w="0" w:type="dxa"/>
            <w:right w:w="108" w:type="dxa"/>
          </w:tblCellMar>
        </w:tblPrEx>
        <w:trPr>
          <w:cantSplit/>
          <w:trHeight w:val="525" w:hRule="atLeas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14:paraId="3E1B774D">
            <w:pPr>
              <w:rPr>
                <w:color w:val="auto"/>
                <w:sz w:val="18"/>
                <w:szCs w:val="18"/>
                <w:highlight w:val="none"/>
              </w:rPr>
            </w:pPr>
            <w:r>
              <w:rPr>
                <w:rFonts w:hint="eastAsia"/>
                <w:color w:val="auto"/>
                <w:sz w:val="18"/>
                <w:szCs w:val="18"/>
                <w:highlight w:val="none"/>
              </w:rPr>
              <w:t>（六</w:t>
            </w:r>
            <w:r>
              <w:rPr>
                <w:color w:val="auto"/>
                <w:sz w:val="18"/>
                <w:szCs w:val="18"/>
                <w:highlight w:val="none"/>
              </w:rPr>
              <w:t>)</w:t>
            </w:r>
            <w:r>
              <w:rPr>
                <w:rFonts w:hint="eastAsia"/>
                <w:color w:val="auto"/>
                <w:sz w:val="18"/>
                <w:szCs w:val="18"/>
                <w:highlight w:val="none"/>
              </w:rPr>
              <w:t>专项工作考核</w:t>
            </w:r>
          </w:p>
        </w:tc>
        <w:tc>
          <w:tcPr>
            <w:tcW w:w="993" w:type="dxa"/>
            <w:tcBorders>
              <w:top w:val="single" w:color="auto" w:sz="4" w:space="0"/>
              <w:left w:val="nil"/>
              <w:bottom w:val="single" w:color="auto" w:sz="4" w:space="0"/>
              <w:right w:val="single" w:color="auto" w:sz="4" w:space="0"/>
            </w:tcBorders>
            <w:noWrap w:val="0"/>
            <w:vAlign w:val="center"/>
          </w:tcPr>
          <w:p w14:paraId="56A7D85B">
            <w:pPr>
              <w:jc w:val="center"/>
              <w:rPr>
                <w:color w:val="auto"/>
                <w:sz w:val="18"/>
                <w:szCs w:val="18"/>
                <w:highlight w:val="none"/>
              </w:rPr>
            </w:pPr>
            <w:r>
              <w:rPr>
                <w:rFonts w:hint="eastAsia"/>
                <w:color w:val="auto"/>
                <w:sz w:val="18"/>
                <w:szCs w:val="18"/>
                <w:highlight w:val="none"/>
              </w:rPr>
              <w:t>标准38</w:t>
            </w:r>
          </w:p>
        </w:tc>
        <w:tc>
          <w:tcPr>
            <w:tcW w:w="5670" w:type="dxa"/>
            <w:tcBorders>
              <w:top w:val="single" w:color="auto" w:sz="4" w:space="0"/>
              <w:left w:val="nil"/>
              <w:bottom w:val="single" w:color="auto" w:sz="4" w:space="0"/>
              <w:right w:val="single" w:color="auto" w:sz="4" w:space="0"/>
            </w:tcBorders>
            <w:noWrap w:val="0"/>
            <w:vAlign w:val="center"/>
          </w:tcPr>
          <w:p w14:paraId="08265A7C">
            <w:pPr>
              <w:jc w:val="left"/>
              <w:rPr>
                <w:color w:val="auto"/>
                <w:sz w:val="18"/>
                <w:szCs w:val="18"/>
                <w:highlight w:val="none"/>
              </w:rPr>
            </w:pPr>
            <w:r>
              <w:rPr>
                <w:rFonts w:hint="eastAsia"/>
                <w:color w:val="auto"/>
                <w:sz w:val="18"/>
                <w:szCs w:val="18"/>
                <w:highlight w:val="none"/>
              </w:rPr>
              <w:t>未按要求完成公园下达的各种专项、临时性的养护任务的。</w:t>
            </w:r>
          </w:p>
        </w:tc>
        <w:tc>
          <w:tcPr>
            <w:tcW w:w="1004" w:type="dxa"/>
            <w:tcBorders>
              <w:top w:val="single" w:color="auto" w:sz="4" w:space="0"/>
              <w:left w:val="nil"/>
              <w:bottom w:val="single" w:color="auto" w:sz="4" w:space="0"/>
              <w:right w:val="single" w:color="auto" w:sz="4" w:space="0"/>
            </w:tcBorders>
            <w:noWrap w:val="0"/>
            <w:vAlign w:val="center"/>
          </w:tcPr>
          <w:p w14:paraId="4132279F">
            <w:pPr>
              <w:jc w:val="center"/>
              <w:rPr>
                <w:color w:val="auto"/>
                <w:sz w:val="18"/>
                <w:szCs w:val="18"/>
                <w:highlight w:val="none"/>
              </w:rPr>
            </w:pPr>
            <w:r>
              <w:rPr>
                <w:rFonts w:hint="eastAsia"/>
                <w:color w:val="auto"/>
                <w:sz w:val="18"/>
                <w:szCs w:val="18"/>
                <w:highlight w:val="none"/>
              </w:rPr>
              <w:t>5</w:t>
            </w:r>
          </w:p>
        </w:tc>
      </w:tr>
      <w:tr w14:paraId="7C00DA45">
        <w:tblPrEx>
          <w:tblCellMar>
            <w:top w:w="0" w:type="dxa"/>
            <w:left w:w="108" w:type="dxa"/>
            <w:bottom w:w="0" w:type="dxa"/>
            <w:right w:w="108" w:type="dxa"/>
          </w:tblCellMar>
        </w:tblPrEx>
        <w:trPr>
          <w:cantSplit/>
          <w:trHeight w:val="457" w:hRule="atLeas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14:paraId="46A1841D">
            <w:pPr>
              <w:jc w:val="center"/>
              <w:rPr>
                <w:color w:val="auto"/>
                <w:sz w:val="18"/>
                <w:szCs w:val="18"/>
                <w:highlight w:val="none"/>
              </w:rPr>
            </w:pPr>
            <w:r>
              <w:rPr>
                <w:color w:val="auto"/>
                <w:sz w:val="18"/>
                <w:szCs w:val="18"/>
                <w:highlight w:val="none"/>
              </w:rPr>
              <w:t>(</w:t>
            </w:r>
            <w:r>
              <w:rPr>
                <w:rFonts w:hint="eastAsia"/>
                <w:color w:val="auto"/>
                <w:sz w:val="18"/>
                <w:szCs w:val="18"/>
                <w:highlight w:val="none"/>
              </w:rPr>
              <w:t>七</w:t>
            </w:r>
            <w:r>
              <w:rPr>
                <w:color w:val="auto"/>
                <w:sz w:val="18"/>
                <w:szCs w:val="18"/>
                <w:highlight w:val="none"/>
              </w:rPr>
              <w:t>)</w:t>
            </w:r>
            <w:r>
              <w:rPr>
                <w:rFonts w:hint="eastAsia"/>
                <w:color w:val="auto"/>
                <w:sz w:val="18"/>
                <w:szCs w:val="18"/>
                <w:highlight w:val="none"/>
              </w:rPr>
              <w:t>内业管理</w:t>
            </w:r>
          </w:p>
        </w:tc>
        <w:tc>
          <w:tcPr>
            <w:tcW w:w="993" w:type="dxa"/>
            <w:tcBorders>
              <w:top w:val="single" w:color="auto" w:sz="4" w:space="0"/>
              <w:left w:val="nil"/>
              <w:bottom w:val="single" w:color="auto" w:sz="4" w:space="0"/>
              <w:right w:val="single" w:color="auto" w:sz="4" w:space="0"/>
            </w:tcBorders>
            <w:noWrap w:val="0"/>
            <w:vAlign w:val="center"/>
          </w:tcPr>
          <w:p w14:paraId="63A1AC38">
            <w:pPr>
              <w:jc w:val="center"/>
              <w:rPr>
                <w:color w:val="auto"/>
                <w:sz w:val="18"/>
                <w:szCs w:val="18"/>
                <w:highlight w:val="none"/>
              </w:rPr>
            </w:pPr>
            <w:r>
              <w:rPr>
                <w:rFonts w:hint="eastAsia"/>
                <w:color w:val="auto"/>
                <w:sz w:val="18"/>
                <w:szCs w:val="18"/>
                <w:highlight w:val="none"/>
              </w:rPr>
              <w:t>标准39</w:t>
            </w:r>
          </w:p>
        </w:tc>
        <w:tc>
          <w:tcPr>
            <w:tcW w:w="5670" w:type="dxa"/>
            <w:tcBorders>
              <w:top w:val="single" w:color="auto" w:sz="4" w:space="0"/>
              <w:left w:val="nil"/>
              <w:bottom w:val="single" w:color="auto" w:sz="4" w:space="0"/>
              <w:right w:val="single" w:color="auto" w:sz="4" w:space="0"/>
            </w:tcBorders>
            <w:noWrap w:val="0"/>
            <w:vAlign w:val="center"/>
          </w:tcPr>
          <w:p w14:paraId="72137A57">
            <w:pPr>
              <w:jc w:val="left"/>
              <w:rPr>
                <w:color w:val="auto"/>
                <w:sz w:val="18"/>
                <w:szCs w:val="18"/>
                <w:highlight w:val="none"/>
              </w:rPr>
            </w:pPr>
            <w:r>
              <w:rPr>
                <w:rFonts w:hint="eastAsia"/>
                <w:color w:val="auto"/>
                <w:sz w:val="18"/>
                <w:szCs w:val="18"/>
                <w:highlight w:val="none"/>
              </w:rPr>
              <w:t>公园要求的资料按时上报。</w:t>
            </w:r>
          </w:p>
        </w:tc>
        <w:tc>
          <w:tcPr>
            <w:tcW w:w="1004" w:type="dxa"/>
            <w:tcBorders>
              <w:top w:val="single" w:color="auto" w:sz="4" w:space="0"/>
              <w:left w:val="nil"/>
              <w:bottom w:val="single" w:color="auto" w:sz="4" w:space="0"/>
              <w:right w:val="single" w:color="auto" w:sz="4" w:space="0"/>
            </w:tcBorders>
            <w:noWrap w:val="0"/>
            <w:vAlign w:val="center"/>
          </w:tcPr>
          <w:p w14:paraId="365A6A64">
            <w:pPr>
              <w:jc w:val="center"/>
              <w:rPr>
                <w:color w:val="auto"/>
                <w:sz w:val="18"/>
                <w:szCs w:val="18"/>
                <w:highlight w:val="none"/>
              </w:rPr>
            </w:pPr>
            <w:r>
              <w:rPr>
                <w:rFonts w:hint="eastAsia"/>
                <w:color w:val="auto"/>
                <w:sz w:val="18"/>
                <w:szCs w:val="18"/>
                <w:highlight w:val="none"/>
              </w:rPr>
              <w:t>5</w:t>
            </w:r>
          </w:p>
        </w:tc>
      </w:tr>
      <w:tr w14:paraId="7A266849">
        <w:tblPrEx>
          <w:tblCellMar>
            <w:top w:w="0" w:type="dxa"/>
            <w:left w:w="108" w:type="dxa"/>
            <w:bottom w:w="0" w:type="dxa"/>
            <w:right w:w="108" w:type="dxa"/>
          </w:tblCellMar>
        </w:tblPrEx>
        <w:trPr>
          <w:cantSplit/>
          <w:trHeight w:val="458" w:hRule="atLeast"/>
          <w:jc w:val="center"/>
        </w:trPr>
        <w:tc>
          <w:tcPr>
            <w:tcW w:w="1129" w:type="dxa"/>
            <w:tcBorders>
              <w:top w:val="single" w:color="auto" w:sz="4" w:space="0"/>
              <w:left w:val="single" w:color="auto" w:sz="4" w:space="0"/>
              <w:bottom w:val="single" w:color="auto" w:sz="4" w:space="0"/>
              <w:right w:val="single" w:color="auto" w:sz="4" w:space="0"/>
            </w:tcBorders>
            <w:noWrap w:val="0"/>
            <w:vAlign w:val="center"/>
          </w:tcPr>
          <w:p w14:paraId="5000D670">
            <w:pPr>
              <w:jc w:val="center"/>
              <w:rPr>
                <w:color w:val="auto"/>
                <w:sz w:val="18"/>
                <w:szCs w:val="18"/>
                <w:highlight w:val="none"/>
              </w:rPr>
            </w:pPr>
            <w:r>
              <w:rPr>
                <w:color w:val="auto"/>
                <w:sz w:val="18"/>
                <w:szCs w:val="18"/>
                <w:highlight w:val="none"/>
              </w:rPr>
              <w:t>(</w:t>
            </w:r>
            <w:r>
              <w:rPr>
                <w:rFonts w:hint="eastAsia"/>
                <w:color w:val="auto"/>
                <w:sz w:val="18"/>
                <w:szCs w:val="18"/>
                <w:highlight w:val="none"/>
              </w:rPr>
              <w:t>八</w:t>
            </w:r>
            <w:r>
              <w:rPr>
                <w:color w:val="auto"/>
                <w:sz w:val="18"/>
                <w:szCs w:val="18"/>
                <w:highlight w:val="none"/>
              </w:rPr>
              <w:t>)</w:t>
            </w:r>
            <w:r>
              <w:rPr>
                <w:rFonts w:hint="eastAsia"/>
                <w:color w:val="auto"/>
                <w:sz w:val="18"/>
                <w:szCs w:val="18"/>
                <w:highlight w:val="none"/>
              </w:rPr>
              <w:t>其他</w:t>
            </w:r>
          </w:p>
        </w:tc>
        <w:tc>
          <w:tcPr>
            <w:tcW w:w="993" w:type="dxa"/>
            <w:tcBorders>
              <w:top w:val="single" w:color="auto" w:sz="4" w:space="0"/>
              <w:left w:val="nil"/>
              <w:bottom w:val="single" w:color="auto" w:sz="4" w:space="0"/>
              <w:right w:val="single" w:color="auto" w:sz="4" w:space="0"/>
            </w:tcBorders>
            <w:noWrap w:val="0"/>
            <w:vAlign w:val="center"/>
          </w:tcPr>
          <w:p w14:paraId="26AEFF29">
            <w:pPr>
              <w:jc w:val="center"/>
              <w:rPr>
                <w:color w:val="auto"/>
                <w:sz w:val="18"/>
                <w:szCs w:val="18"/>
                <w:highlight w:val="none"/>
              </w:rPr>
            </w:pPr>
            <w:r>
              <w:rPr>
                <w:rFonts w:hint="eastAsia"/>
                <w:color w:val="auto"/>
                <w:sz w:val="18"/>
                <w:szCs w:val="18"/>
                <w:highlight w:val="none"/>
              </w:rPr>
              <w:t>标准40</w:t>
            </w:r>
          </w:p>
        </w:tc>
        <w:tc>
          <w:tcPr>
            <w:tcW w:w="5670" w:type="dxa"/>
            <w:tcBorders>
              <w:top w:val="single" w:color="auto" w:sz="4" w:space="0"/>
              <w:left w:val="nil"/>
              <w:bottom w:val="single" w:color="auto" w:sz="4" w:space="0"/>
              <w:right w:val="single" w:color="auto" w:sz="4" w:space="0"/>
            </w:tcBorders>
            <w:noWrap w:val="0"/>
            <w:vAlign w:val="center"/>
          </w:tcPr>
          <w:p w14:paraId="1619AEB3">
            <w:pPr>
              <w:jc w:val="left"/>
              <w:rPr>
                <w:color w:val="auto"/>
                <w:sz w:val="18"/>
                <w:szCs w:val="18"/>
                <w:highlight w:val="none"/>
              </w:rPr>
            </w:pPr>
            <w:r>
              <w:rPr>
                <w:rFonts w:hint="eastAsia"/>
                <w:color w:val="auto"/>
                <w:sz w:val="18"/>
                <w:szCs w:val="18"/>
                <w:highlight w:val="none"/>
              </w:rPr>
              <w:t>无其他涉及安全或对园林景观有不良影响的工作或行为。</w:t>
            </w:r>
          </w:p>
        </w:tc>
        <w:tc>
          <w:tcPr>
            <w:tcW w:w="1004" w:type="dxa"/>
            <w:tcBorders>
              <w:top w:val="single" w:color="auto" w:sz="4" w:space="0"/>
              <w:left w:val="nil"/>
              <w:bottom w:val="single" w:color="auto" w:sz="4" w:space="0"/>
              <w:right w:val="single" w:color="auto" w:sz="4" w:space="0"/>
            </w:tcBorders>
            <w:noWrap w:val="0"/>
            <w:vAlign w:val="center"/>
          </w:tcPr>
          <w:p w14:paraId="220E09D2">
            <w:pPr>
              <w:jc w:val="center"/>
              <w:rPr>
                <w:color w:val="auto"/>
                <w:sz w:val="18"/>
                <w:szCs w:val="18"/>
                <w:highlight w:val="none"/>
              </w:rPr>
            </w:pPr>
            <w:r>
              <w:rPr>
                <w:rFonts w:hint="eastAsia"/>
                <w:color w:val="auto"/>
                <w:sz w:val="18"/>
                <w:szCs w:val="18"/>
                <w:highlight w:val="none"/>
              </w:rPr>
              <w:t>由公园视具体内容及扣分标准现场认定</w:t>
            </w:r>
          </w:p>
        </w:tc>
      </w:tr>
    </w:tbl>
    <w:p w14:paraId="05AD7298">
      <w:pPr>
        <w:jc w:val="center"/>
        <w:rPr>
          <w:rFonts w:ascii="黑体" w:hAnsi="黑体" w:eastAsia="黑体"/>
          <w:b/>
          <w:color w:val="auto"/>
          <w:sz w:val="30"/>
          <w:szCs w:val="30"/>
          <w:highlight w:val="none"/>
        </w:rPr>
      </w:pPr>
    </w:p>
    <w:p w14:paraId="6F02F541">
      <w:pPr>
        <w:spacing w:line="400" w:lineRule="exact"/>
        <w:rPr>
          <w:rFonts w:ascii="宋体"/>
          <w:b/>
          <w:bCs/>
          <w:color w:val="auto"/>
          <w:highlight w:val="none"/>
        </w:rPr>
      </w:pPr>
      <w:r>
        <w:rPr>
          <w:rFonts w:hint="eastAsia" w:ascii="宋体" w:hAnsi="宋体"/>
          <w:b/>
          <w:bCs/>
          <w:color w:val="auto"/>
          <w:highlight w:val="none"/>
        </w:rPr>
        <w:t xml:space="preserve">备注：                                                                                                                                                                                                                                                                                                                                                                                                                                                                                                                                                                                                                                                                                                                                                                                                                                                                                                                                                                                                                                                                                                                                                                                                                                                                                                                                                                                                                                                                                                                                                                                                                                                                                                                                                                                                                                                                                                                                                                                                                                                                                                                                                                                                                                                                                                                                                                                                                                                                                                                                                                                                                                                                                                                                                                                                                                                                                                                                                                                                                                                                                                                                                                                                                         </w:t>
      </w:r>
    </w:p>
    <w:p w14:paraId="6C57C905">
      <w:pPr>
        <w:spacing w:line="520" w:lineRule="exact"/>
        <w:ind w:firstLine="420" w:firstLineChars="200"/>
        <w:rPr>
          <w:rFonts w:hint="eastAsia" w:ascii="宋体" w:hAnsi="宋体"/>
          <w:color w:val="auto"/>
          <w:highlight w:val="none"/>
        </w:rPr>
      </w:pPr>
      <w:r>
        <w:rPr>
          <w:rFonts w:hint="eastAsia" w:ascii="宋体" w:hAnsi="宋体"/>
          <w:color w:val="auto"/>
          <w:highlight w:val="none"/>
        </w:rPr>
        <w:t>1.公园园容管理科根据日常工作需要，对中标单位组织开展的绿化养护工作进行检查。</w:t>
      </w:r>
    </w:p>
    <w:p w14:paraId="0054ADD0">
      <w:pPr>
        <w:spacing w:line="520" w:lineRule="exact"/>
        <w:ind w:firstLine="420" w:firstLineChars="200"/>
        <w:rPr>
          <w:rFonts w:hint="eastAsia" w:ascii="宋体" w:hAnsi="宋体"/>
          <w:color w:val="auto"/>
          <w:highlight w:val="none"/>
        </w:rPr>
      </w:pPr>
      <w:r>
        <w:rPr>
          <w:rFonts w:hint="eastAsia" w:ascii="宋体" w:hAnsi="宋体"/>
          <w:color w:val="auto"/>
          <w:highlight w:val="none"/>
        </w:rPr>
        <w:t>2.公园在对中标单位的考核检查中发现的问题以检查整改反馈表等形式发出后，中标单位未在整改期限内完成整改的，按未整改问题翻倍扣分。</w:t>
      </w:r>
    </w:p>
    <w:p w14:paraId="7CFDE569">
      <w:pPr>
        <w:spacing w:line="520" w:lineRule="exact"/>
        <w:ind w:firstLine="420" w:firstLineChars="200"/>
        <w:rPr>
          <w:rFonts w:hint="eastAsia" w:ascii="宋体" w:hAnsi="宋体"/>
          <w:color w:val="auto"/>
          <w:highlight w:val="none"/>
        </w:rPr>
      </w:pPr>
    </w:p>
    <w:p w14:paraId="14CF2A48">
      <w:pPr>
        <w:spacing w:line="520" w:lineRule="exact"/>
        <w:ind w:firstLine="420" w:firstLineChars="200"/>
        <w:rPr>
          <w:rFonts w:hint="eastAsia" w:ascii="宋体" w:hAnsi="宋体"/>
          <w:color w:val="auto"/>
          <w:highlight w:val="none"/>
        </w:rPr>
      </w:pPr>
    </w:p>
    <w:p w14:paraId="7F177900">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附件2</w:t>
      </w:r>
      <w:r>
        <w:rPr>
          <w:rFonts w:hint="eastAsia" w:ascii="宋体" w:hAnsi="宋体" w:eastAsia="宋体" w:cs="宋体"/>
          <w:b/>
          <w:bCs/>
          <w:color w:val="auto"/>
          <w:sz w:val="28"/>
          <w:szCs w:val="28"/>
          <w:highlight w:val="none"/>
          <w:lang w:val="en-US" w:eastAsia="zh-CN"/>
        </w:rPr>
        <w:t>-2-2</w:t>
      </w:r>
    </w:p>
    <w:p w14:paraId="3FC38C95">
      <w:pPr>
        <w:jc w:val="center"/>
        <w:rPr>
          <w:rFonts w:ascii="黑体" w:hAnsi="黑体" w:eastAsia="黑体"/>
          <w:b/>
          <w:bCs/>
          <w:color w:val="auto"/>
          <w:sz w:val="30"/>
          <w:szCs w:val="30"/>
          <w:highlight w:val="none"/>
        </w:rPr>
      </w:pPr>
      <w:r>
        <w:rPr>
          <w:rFonts w:hint="eastAsia" w:ascii="黑体" w:hAnsi="黑体" w:eastAsia="黑体"/>
          <w:b/>
          <w:bCs/>
          <w:color w:val="auto"/>
          <w:sz w:val="30"/>
          <w:szCs w:val="30"/>
          <w:highlight w:val="none"/>
        </w:rPr>
        <w:t>南宁市人民公园绿化养护月度检查评分细则</w:t>
      </w:r>
    </w:p>
    <w:p w14:paraId="11633048">
      <w:pPr>
        <w:jc w:val="center"/>
        <w:rPr>
          <w:rFonts w:hint="eastAsia" w:ascii="黑体" w:hAnsi="黑体" w:eastAsia="黑体"/>
          <w:b/>
          <w:bCs/>
          <w:color w:val="auto"/>
          <w:sz w:val="30"/>
          <w:szCs w:val="30"/>
          <w:highlight w:val="none"/>
        </w:rPr>
      </w:pPr>
      <w:r>
        <w:rPr>
          <w:rFonts w:hint="eastAsia" w:ascii="黑体" w:hAnsi="黑体" w:eastAsia="黑体"/>
          <w:b/>
          <w:bCs/>
          <w:color w:val="auto"/>
          <w:sz w:val="30"/>
          <w:szCs w:val="30"/>
          <w:highlight w:val="none"/>
        </w:rPr>
        <w:t xml:space="preserve"> </w:t>
      </w:r>
    </w:p>
    <w:p w14:paraId="1BEA5CC9">
      <w:pPr>
        <w:ind w:firstLine="1080" w:firstLineChars="450"/>
        <w:rPr>
          <w:rFonts w:hint="eastAsia"/>
          <w:color w:val="auto"/>
          <w:sz w:val="24"/>
          <w:highlight w:val="none"/>
        </w:rPr>
      </w:pPr>
      <w:r>
        <w:rPr>
          <w:rFonts w:hint="eastAsia"/>
          <w:color w:val="auto"/>
          <w:sz w:val="24"/>
          <w:highlight w:val="none"/>
        </w:rPr>
        <w:t xml:space="preserve">年   </w:t>
      </w:r>
      <w:r>
        <w:rPr>
          <w:color w:val="auto"/>
          <w:sz w:val="24"/>
          <w:highlight w:val="none"/>
        </w:rPr>
        <w:t xml:space="preserve"> </w:t>
      </w:r>
      <w:r>
        <w:rPr>
          <w:rFonts w:hint="eastAsia"/>
          <w:color w:val="auto"/>
          <w:sz w:val="24"/>
          <w:highlight w:val="none"/>
        </w:rPr>
        <w:t xml:space="preserve">月 </w:t>
      </w:r>
      <w:r>
        <w:rPr>
          <w:color w:val="auto"/>
          <w:sz w:val="24"/>
          <w:highlight w:val="none"/>
        </w:rPr>
        <w:t xml:space="preserve"> </w:t>
      </w:r>
      <w:r>
        <w:rPr>
          <w:rFonts w:hint="eastAsia"/>
          <w:color w:val="auto"/>
          <w:sz w:val="24"/>
          <w:highlight w:val="none"/>
        </w:rPr>
        <w:t xml:space="preserve">  日                         养护单位：</w:t>
      </w:r>
    </w:p>
    <w:tbl>
      <w:tblPr>
        <w:tblStyle w:val="22"/>
        <w:tblW w:w="0" w:type="auto"/>
        <w:jc w:val="center"/>
        <w:tblLayout w:type="fixed"/>
        <w:tblCellMar>
          <w:top w:w="0" w:type="dxa"/>
          <w:left w:w="108" w:type="dxa"/>
          <w:bottom w:w="0" w:type="dxa"/>
          <w:right w:w="108" w:type="dxa"/>
        </w:tblCellMar>
      </w:tblPr>
      <w:tblGrid>
        <w:gridCol w:w="668"/>
        <w:gridCol w:w="588"/>
        <w:gridCol w:w="3118"/>
        <w:gridCol w:w="503"/>
        <w:gridCol w:w="810"/>
        <w:gridCol w:w="765"/>
        <w:gridCol w:w="570"/>
        <w:gridCol w:w="1875"/>
      </w:tblGrid>
      <w:tr w14:paraId="23D9AD90">
        <w:tblPrEx>
          <w:tblCellMar>
            <w:top w:w="0" w:type="dxa"/>
            <w:left w:w="108" w:type="dxa"/>
            <w:bottom w:w="0" w:type="dxa"/>
            <w:right w:w="108" w:type="dxa"/>
          </w:tblCellMar>
        </w:tblPrEx>
        <w:trPr>
          <w:cantSplit/>
          <w:trHeight w:val="448"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0AAE5CA7">
            <w:pPr>
              <w:jc w:val="center"/>
              <w:rPr>
                <w:color w:val="auto"/>
                <w:sz w:val="18"/>
                <w:szCs w:val="18"/>
                <w:highlight w:val="none"/>
              </w:rPr>
            </w:pPr>
            <w:r>
              <w:rPr>
                <w:rFonts w:hint="eastAsia"/>
                <w:color w:val="auto"/>
                <w:sz w:val="18"/>
                <w:szCs w:val="18"/>
                <w:highlight w:val="none"/>
              </w:rPr>
              <w:t>项目</w:t>
            </w:r>
          </w:p>
        </w:tc>
        <w:tc>
          <w:tcPr>
            <w:tcW w:w="588" w:type="dxa"/>
            <w:tcBorders>
              <w:top w:val="single" w:color="auto" w:sz="4" w:space="0"/>
              <w:left w:val="nil"/>
              <w:bottom w:val="single" w:color="auto" w:sz="4" w:space="0"/>
              <w:right w:val="single" w:color="auto" w:sz="4" w:space="0"/>
            </w:tcBorders>
            <w:noWrap w:val="0"/>
            <w:vAlign w:val="center"/>
          </w:tcPr>
          <w:p w14:paraId="2DA2C832">
            <w:pPr>
              <w:jc w:val="center"/>
              <w:rPr>
                <w:b/>
                <w:bCs/>
                <w:color w:val="auto"/>
                <w:sz w:val="18"/>
                <w:szCs w:val="18"/>
                <w:highlight w:val="none"/>
              </w:rPr>
            </w:pPr>
            <w:r>
              <w:rPr>
                <w:rFonts w:hint="eastAsia"/>
                <w:b/>
                <w:bCs/>
                <w:color w:val="auto"/>
                <w:sz w:val="18"/>
                <w:szCs w:val="18"/>
                <w:highlight w:val="none"/>
              </w:rPr>
              <w:t xml:space="preserve">条款   </w:t>
            </w:r>
          </w:p>
        </w:tc>
        <w:tc>
          <w:tcPr>
            <w:tcW w:w="3118" w:type="dxa"/>
            <w:tcBorders>
              <w:top w:val="single" w:color="auto" w:sz="4" w:space="0"/>
              <w:left w:val="nil"/>
              <w:bottom w:val="single" w:color="auto" w:sz="4" w:space="0"/>
              <w:right w:val="single" w:color="auto" w:sz="4" w:space="0"/>
            </w:tcBorders>
            <w:noWrap w:val="0"/>
            <w:vAlign w:val="center"/>
          </w:tcPr>
          <w:p w14:paraId="3B3F4B2E">
            <w:pPr>
              <w:jc w:val="center"/>
              <w:rPr>
                <w:b/>
                <w:bCs/>
                <w:color w:val="auto"/>
                <w:sz w:val="18"/>
                <w:szCs w:val="18"/>
                <w:highlight w:val="none"/>
              </w:rPr>
            </w:pPr>
            <w:r>
              <w:rPr>
                <w:rFonts w:hint="eastAsia"/>
                <w:b/>
                <w:bCs/>
                <w:color w:val="auto"/>
                <w:sz w:val="18"/>
                <w:szCs w:val="18"/>
                <w:highlight w:val="none"/>
              </w:rPr>
              <w:t>内</w:t>
            </w:r>
            <w:r>
              <w:rPr>
                <w:b/>
                <w:bCs/>
                <w:color w:val="auto"/>
                <w:sz w:val="18"/>
                <w:szCs w:val="18"/>
                <w:highlight w:val="none"/>
              </w:rPr>
              <w:t> </w:t>
            </w:r>
            <w:r>
              <w:rPr>
                <w:rFonts w:hint="eastAsia"/>
                <w:b/>
                <w:bCs/>
                <w:color w:val="auto"/>
                <w:sz w:val="18"/>
                <w:szCs w:val="18"/>
                <w:highlight w:val="none"/>
              </w:rPr>
              <w:t>容</w:t>
            </w:r>
          </w:p>
        </w:tc>
        <w:tc>
          <w:tcPr>
            <w:tcW w:w="503" w:type="dxa"/>
            <w:tcBorders>
              <w:top w:val="single" w:color="auto" w:sz="4" w:space="0"/>
              <w:left w:val="nil"/>
              <w:bottom w:val="single" w:color="auto" w:sz="4" w:space="0"/>
              <w:right w:val="single" w:color="auto" w:sz="4" w:space="0"/>
            </w:tcBorders>
            <w:noWrap w:val="0"/>
            <w:vAlign w:val="center"/>
          </w:tcPr>
          <w:p w14:paraId="166D086E">
            <w:pPr>
              <w:jc w:val="center"/>
              <w:rPr>
                <w:b/>
                <w:bCs/>
                <w:color w:val="auto"/>
                <w:sz w:val="18"/>
                <w:szCs w:val="18"/>
                <w:highlight w:val="none"/>
              </w:rPr>
            </w:pPr>
            <w:r>
              <w:rPr>
                <w:rFonts w:hint="eastAsia"/>
                <w:b/>
                <w:bCs/>
                <w:color w:val="auto"/>
                <w:sz w:val="18"/>
                <w:szCs w:val="18"/>
                <w:highlight w:val="none"/>
              </w:rPr>
              <w:t>单位</w:t>
            </w:r>
          </w:p>
        </w:tc>
        <w:tc>
          <w:tcPr>
            <w:tcW w:w="1575" w:type="dxa"/>
            <w:gridSpan w:val="2"/>
            <w:tcBorders>
              <w:top w:val="single" w:color="auto" w:sz="4" w:space="0"/>
              <w:left w:val="nil"/>
              <w:bottom w:val="single" w:color="auto" w:sz="4" w:space="0"/>
              <w:right w:val="single" w:color="auto" w:sz="4" w:space="0"/>
            </w:tcBorders>
            <w:noWrap w:val="0"/>
            <w:vAlign w:val="center"/>
          </w:tcPr>
          <w:p w14:paraId="50A6B0C1">
            <w:pPr>
              <w:jc w:val="center"/>
              <w:rPr>
                <w:b/>
                <w:bCs/>
                <w:color w:val="auto"/>
                <w:sz w:val="18"/>
                <w:szCs w:val="18"/>
                <w:highlight w:val="none"/>
              </w:rPr>
            </w:pPr>
            <w:r>
              <w:rPr>
                <w:rFonts w:hint="eastAsia"/>
                <w:b/>
                <w:bCs/>
                <w:color w:val="auto"/>
                <w:sz w:val="18"/>
                <w:szCs w:val="18"/>
                <w:highlight w:val="none"/>
              </w:rPr>
              <w:t>扣分标准</w:t>
            </w:r>
          </w:p>
        </w:tc>
        <w:tc>
          <w:tcPr>
            <w:tcW w:w="570" w:type="dxa"/>
            <w:tcBorders>
              <w:top w:val="single" w:color="auto" w:sz="4" w:space="0"/>
              <w:left w:val="nil"/>
              <w:bottom w:val="single" w:color="auto" w:sz="4" w:space="0"/>
              <w:right w:val="single" w:color="auto" w:sz="4" w:space="0"/>
            </w:tcBorders>
            <w:noWrap w:val="0"/>
            <w:vAlign w:val="center"/>
          </w:tcPr>
          <w:p w14:paraId="2DF9F941">
            <w:pPr>
              <w:jc w:val="center"/>
              <w:rPr>
                <w:b/>
                <w:bCs/>
                <w:color w:val="auto"/>
                <w:sz w:val="18"/>
                <w:szCs w:val="18"/>
                <w:highlight w:val="none"/>
              </w:rPr>
            </w:pPr>
            <w:r>
              <w:rPr>
                <w:rFonts w:hint="eastAsia"/>
                <w:b/>
                <w:bCs/>
                <w:color w:val="auto"/>
                <w:sz w:val="18"/>
                <w:szCs w:val="18"/>
                <w:highlight w:val="none"/>
              </w:rPr>
              <w:t>扣分</w:t>
            </w:r>
          </w:p>
        </w:tc>
        <w:tc>
          <w:tcPr>
            <w:tcW w:w="1875" w:type="dxa"/>
            <w:tcBorders>
              <w:top w:val="single" w:color="auto" w:sz="4" w:space="0"/>
              <w:left w:val="nil"/>
              <w:bottom w:val="single" w:color="auto" w:sz="4" w:space="0"/>
              <w:right w:val="single" w:color="auto" w:sz="4" w:space="0"/>
            </w:tcBorders>
            <w:noWrap w:val="0"/>
            <w:vAlign w:val="center"/>
          </w:tcPr>
          <w:p w14:paraId="5C882A91">
            <w:pPr>
              <w:jc w:val="center"/>
              <w:rPr>
                <w:b/>
                <w:bCs/>
                <w:color w:val="auto"/>
                <w:sz w:val="18"/>
                <w:szCs w:val="18"/>
                <w:highlight w:val="none"/>
              </w:rPr>
            </w:pPr>
            <w:r>
              <w:rPr>
                <w:rFonts w:hint="eastAsia"/>
                <w:b/>
                <w:bCs/>
                <w:color w:val="auto"/>
                <w:sz w:val="18"/>
                <w:szCs w:val="18"/>
                <w:highlight w:val="none"/>
              </w:rPr>
              <w:t>扣分</w:t>
            </w:r>
            <w:r>
              <w:rPr>
                <w:b/>
                <w:bCs/>
                <w:color w:val="auto"/>
                <w:sz w:val="18"/>
                <w:szCs w:val="18"/>
                <w:highlight w:val="none"/>
              </w:rPr>
              <w:t>依</w:t>
            </w:r>
            <w:r>
              <w:rPr>
                <w:rFonts w:hint="eastAsia"/>
                <w:b/>
                <w:bCs/>
                <w:color w:val="auto"/>
                <w:sz w:val="18"/>
                <w:szCs w:val="18"/>
                <w:highlight w:val="none"/>
              </w:rPr>
              <w:t>据</w:t>
            </w:r>
          </w:p>
        </w:tc>
      </w:tr>
      <w:tr w14:paraId="25499FE5">
        <w:tblPrEx>
          <w:tblCellMar>
            <w:top w:w="0" w:type="dxa"/>
            <w:left w:w="108" w:type="dxa"/>
            <w:bottom w:w="0" w:type="dxa"/>
            <w:right w:w="108" w:type="dxa"/>
          </w:tblCellMar>
        </w:tblPrEx>
        <w:trPr>
          <w:cantSplit/>
          <w:trHeight w:val="462" w:hRule="atLeast"/>
          <w:jc w:val="center"/>
        </w:trPr>
        <w:tc>
          <w:tcPr>
            <w:tcW w:w="668" w:type="dxa"/>
            <w:vMerge w:val="restart"/>
            <w:tcBorders>
              <w:top w:val="nil"/>
              <w:left w:val="single" w:color="auto" w:sz="4" w:space="0"/>
              <w:bottom w:val="single" w:color="auto" w:sz="4" w:space="0"/>
              <w:right w:val="single" w:color="auto" w:sz="4" w:space="0"/>
            </w:tcBorders>
            <w:noWrap w:val="0"/>
            <w:vAlign w:val="center"/>
          </w:tcPr>
          <w:p w14:paraId="78E692ED">
            <w:pPr>
              <w:jc w:val="center"/>
              <w:rPr>
                <w:color w:val="auto"/>
                <w:sz w:val="18"/>
                <w:szCs w:val="18"/>
                <w:highlight w:val="none"/>
              </w:rPr>
            </w:pPr>
            <w:r>
              <w:rPr>
                <w:color w:val="auto"/>
                <w:sz w:val="18"/>
                <w:szCs w:val="18"/>
                <w:highlight w:val="none"/>
              </w:rPr>
              <w:t>(</w:t>
            </w:r>
            <w:r>
              <w:rPr>
                <w:rFonts w:hint="eastAsia"/>
                <w:color w:val="auto"/>
                <w:sz w:val="18"/>
                <w:szCs w:val="18"/>
                <w:highlight w:val="none"/>
              </w:rPr>
              <w:t>一）人力、物力投入和管理</w:t>
            </w:r>
          </w:p>
        </w:tc>
        <w:tc>
          <w:tcPr>
            <w:tcW w:w="588" w:type="dxa"/>
            <w:tcBorders>
              <w:top w:val="single" w:color="auto" w:sz="4" w:space="0"/>
              <w:left w:val="nil"/>
              <w:bottom w:val="single" w:color="auto" w:sz="4" w:space="0"/>
              <w:right w:val="single" w:color="auto" w:sz="4" w:space="0"/>
            </w:tcBorders>
            <w:noWrap w:val="0"/>
            <w:vAlign w:val="center"/>
          </w:tcPr>
          <w:p w14:paraId="5EA41DF2">
            <w:pPr>
              <w:jc w:val="center"/>
              <w:rPr>
                <w:b/>
                <w:bCs/>
                <w:color w:val="auto"/>
                <w:sz w:val="18"/>
                <w:szCs w:val="18"/>
                <w:highlight w:val="none"/>
              </w:rPr>
            </w:pPr>
            <w:r>
              <w:rPr>
                <w:rFonts w:hint="eastAsia"/>
                <w:color w:val="auto"/>
                <w:sz w:val="18"/>
                <w:szCs w:val="18"/>
                <w:highlight w:val="none"/>
              </w:rPr>
              <w:t>扣则</w:t>
            </w:r>
            <w:r>
              <w:rPr>
                <w:color w:val="auto"/>
                <w:sz w:val="18"/>
                <w:szCs w:val="18"/>
                <w:highlight w:val="none"/>
              </w:rPr>
              <w:t>1</w:t>
            </w:r>
          </w:p>
        </w:tc>
        <w:tc>
          <w:tcPr>
            <w:tcW w:w="3118" w:type="dxa"/>
            <w:tcBorders>
              <w:top w:val="single" w:color="auto" w:sz="4" w:space="0"/>
              <w:left w:val="nil"/>
              <w:bottom w:val="single" w:color="auto" w:sz="4" w:space="0"/>
              <w:right w:val="single" w:color="auto" w:sz="4" w:space="0"/>
            </w:tcBorders>
            <w:noWrap w:val="0"/>
            <w:vAlign w:val="center"/>
          </w:tcPr>
          <w:p w14:paraId="06BF69DC">
            <w:pPr>
              <w:jc w:val="left"/>
              <w:rPr>
                <w:color w:val="auto"/>
                <w:sz w:val="18"/>
                <w:szCs w:val="18"/>
                <w:highlight w:val="none"/>
              </w:rPr>
            </w:pPr>
            <w:r>
              <w:rPr>
                <w:rFonts w:hint="eastAsia"/>
                <w:color w:val="auto"/>
                <w:sz w:val="18"/>
                <w:szCs w:val="18"/>
                <w:highlight w:val="none"/>
              </w:rPr>
              <w:t>一线养护人员未按投标文件的要求及时到位或人员数量弄虚作假</w:t>
            </w:r>
            <w:r>
              <w:rPr>
                <w:color w:val="auto"/>
                <w:sz w:val="18"/>
                <w:szCs w:val="18"/>
                <w:highlight w:val="none"/>
              </w:rPr>
              <w:t> </w:t>
            </w:r>
            <w:r>
              <w:rPr>
                <w:rFonts w:hint="eastAsia"/>
                <w:color w:val="auto"/>
                <w:sz w:val="18"/>
                <w:szCs w:val="18"/>
                <w:highlight w:val="none"/>
              </w:rPr>
              <w:t>。</w:t>
            </w:r>
          </w:p>
        </w:tc>
        <w:tc>
          <w:tcPr>
            <w:tcW w:w="503" w:type="dxa"/>
            <w:tcBorders>
              <w:top w:val="single" w:color="auto" w:sz="4" w:space="0"/>
              <w:left w:val="nil"/>
              <w:bottom w:val="single" w:color="auto" w:sz="4" w:space="0"/>
              <w:right w:val="single" w:color="auto" w:sz="4" w:space="0"/>
            </w:tcBorders>
            <w:noWrap w:val="0"/>
            <w:vAlign w:val="center"/>
          </w:tcPr>
          <w:p w14:paraId="78460149">
            <w:pPr>
              <w:jc w:val="center"/>
              <w:rPr>
                <w:color w:val="auto"/>
                <w:sz w:val="18"/>
                <w:szCs w:val="18"/>
                <w:highlight w:val="none"/>
              </w:rPr>
            </w:pPr>
            <w:r>
              <w:rPr>
                <w:rFonts w:hint="eastAsia"/>
                <w:color w:val="auto"/>
                <w:sz w:val="18"/>
                <w:szCs w:val="18"/>
                <w:highlight w:val="none"/>
              </w:rPr>
              <w:t>每人次</w:t>
            </w:r>
          </w:p>
        </w:tc>
        <w:tc>
          <w:tcPr>
            <w:tcW w:w="1575" w:type="dxa"/>
            <w:gridSpan w:val="2"/>
            <w:tcBorders>
              <w:top w:val="single" w:color="auto" w:sz="4" w:space="0"/>
              <w:left w:val="nil"/>
              <w:bottom w:val="single" w:color="auto" w:sz="4" w:space="0"/>
              <w:right w:val="single" w:color="auto" w:sz="4" w:space="0"/>
            </w:tcBorders>
            <w:noWrap w:val="0"/>
            <w:vAlign w:val="center"/>
          </w:tcPr>
          <w:p w14:paraId="1E2E20D4">
            <w:pPr>
              <w:jc w:val="center"/>
              <w:rPr>
                <w:color w:val="auto"/>
                <w:sz w:val="18"/>
                <w:szCs w:val="18"/>
                <w:highlight w:val="none"/>
              </w:rPr>
            </w:pPr>
            <w:r>
              <w:rPr>
                <w:rFonts w:hint="eastAsia"/>
                <w:color w:val="auto"/>
                <w:sz w:val="18"/>
                <w:szCs w:val="18"/>
                <w:highlight w:val="none"/>
              </w:rPr>
              <w:t>扣0.5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73DA75B0">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008B9D2">
            <w:pPr>
              <w:jc w:val="center"/>
              <w:rPr>
                <w:color w:val="auto"/>
                <w:sz w:val="18"/>
                <w:szCs w:val="18"/>
                <w:highlight w:val="none"/>
              </w:rPr>
            </w:pPr>
          </w:p>
        </w:tc>
      </w:tr>
      <w:tr w14:paraId="7ED6EAF8">
        <w:tblPrEx>
          <w:tblCellMar>
            <w:top w:w="0" w:type="dxa"/>
            <w:left w:w="108" w:type="dxa"/>
            <w:bottom w:w="0" w:type="dxa"/>
            <w:right w:w="108" w:type="dxa"/>
          </w:tblCellMar>
        </w:tblPrEx>
        <w:trPr>
          <w:cantSplit/>
          <w:trHeight w:val="543"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58F9935C">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15784D54">
            <w:pPr>
              <w:jc w:val="center"/>
              <w:rPr>
                <w:b/>
                <w:bCs/>
                <w:color w:val="auto"/>
                <w:sz w:val="18"/>
                <w:szCs w:val="18"/>
                <w:highlight w:val="none"/>
              </w:rPr>
            </w:pPr>
            <w:r>
              <w:rPr>
                <w:rFonts w:hint="eastAsia"/>
                <w:color w:val="auto"/>
                <w:sz w:val="18"/>
                <w:szCs w:val="18"/>
                <w:highlight w:val="none"/>
              </w:rPr>
              <w:t>扣则</w:t>
            </w:r>
            <w:r>
              <w:rPr>
                <w:color w:val="auto"/>
                <w:sz w:val="18"/>
                <w:szCs w:val="18"/>
                <w:highlight w:val="none"/>
              </w:rPr>
              <w:t>2</w:t>
            </w:r>
          </w:p>
        </w:tc>
        <w:tc>
          <w:tcPr>
            <w:tcW w:w="3118" w:type="dxa"/>
            <w:tcBorders>
              <w:top w:val="single" w:color="auto" w:sz="4" w:space="0"/>
              <w:left w:val="nil"/>
              <w:bottom w:val="single" w:color="auto" w:sz="4" w:space="0"/>
              <w:right w:val="single" w:color="auto" w:sz="4" w:space="0"/>
            </w:tcBorders>
            <w:noWrap w:val="0"/>
            <w:vAlign w:val="center"/>
          </w:tcPr>
          <w:p w14:paraId="15B3B5B9">
            <w:pPr>
              <w:spacing w:line="320" w:lineRule="exact"/>
              <w:jc w:val="left"/>
              <w:rPr>
                <w:color w:val="auto"/>
                <w:sz w:val="18"/>
                <w:szCs w:val="18"/>
                <w:highlight w:val="none"/>
              </w:rPr>
            </w:pPr>
            <w:r>
              <w:rPr>
                <w:rFonts w:hint="eastAsia"/>
                <w:color w:val="auto"/>
                <w:sz w:val="18"/>
                <w:szCs w:val="18"/>
                <w:highlight w:val="none"/>
              </w:rPr>
              <w:t>管理人员未按投标文件的要求及时到位。</w:t>
            </w:r>
          </w:p>
        </w:tc>
        <w:tc>
          <w:tcPr>
            <w:tcW w:w="503" w:type="dxa"/>
            <w:tcBorders>
              <w:top w:val="single" w:color="auto" w:sz="4" w:space="0"/>
              <w:left w:val="nil"/>
              <w:bottom w:val="single" w:color="auto" w:sz="4" w:space="0"/>
              <w:right w:val="single" w:color="auto" w:sz="4" w:space="0"/>
            </w:tcBorders>
            <w:noWrap w:val="0"/>
            <w:vAlign w:val="center"/>
          </w:tcPr>
          <w:p w14:paraId="50D2008F">
            <w:pPr>
              <w:jc w:val="center"/>
              <w:rPr>
                <w:color w:val="auto"/>
                <w:sz w:val="18"/>
                <w:szCs w:val="18"/>
                <w:highlight w:val="none"/>
              </w:rPr>
            </w:pPr>
            <w:r>
              <w:rPr>
                <w:rFonts w:hint="eastAsia"/>
                <w:color w:val="auto"/>
                <w:sz w:val="18"/>
                <w:szCs w:val="18"/>
                <w:highlight w:val="none"/>
              </w:rPr>
              <w:t>每人次</w:t>
            </w:r>
          </w:p>
        </w:tc>
        <w:tc>
          <w:tcPr>
            <w:tcW w:w="1575" w:type="dxa"/>
            <w:gridSpan w:val="2"/>
            <w:tcBorders>
              <w:top w:val="single" w:color="auto" w:sz="4" w:space="0"/>
              <w:left w:val="nil"/>
              <w:bottom w:val="single" w:color="auto" w:sz="4" w:space="0"/>
              <w:right w:val="single" w:color="auto" w:sz="4" w:space="0"/>
            </w:tcBorders>
            <w:noWrap w:val="0"/>
            <w:vAlign w:val="center"/>
          </w:tcPr>
          <w:p w14:paraId="71FBB086">
            <w:pPr>
              <w:jc w:val="center"/>
              <w:rPr>
                <w:color w:val="auto"/>
                <w:sz w:val="18"/>
                <w:szCs w:val="18"/>
                <w:highlight w:val="none"/>
              </w:rPr>
            </w:pPr>
            <w:r>
              <w:rPr>
                <w:rFonts w:hint="eastAsia"/>
                <w:color w:val="auto"/>
                <w:sz w:val="18"/>
                <w:szCs w:val="18"/>
                <w:highlight w:val="none"/>
              </w:rPr>
              <w:t>扣1</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1116D8EF">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3019709F">
            <w:pPr>
              <w:jc w:val="center"/>
              <w:rPr>
                <w:color w:val="auto"/>
                <w:sz w:val="18"/>
                <w:szCs w:val="18"/>
                <w:highlight w:val="none"/>
              </w:rPr>
            </w:pPr>
          </w:p>
        </w:tc>
      </w:tr>
      <w:tr w14:paraId="41913EB0">
        <w:tblPrEx>
          <w:tblCellMar>
            <w:top w:w="0" w:type="dxa"/>
            <w:left w:w="108" w:type="dxa"/>
            <w:bottom w:w="0" w:type="dxa"/>
            <w:right w:w="108" w:type="dxa"/>
          </w:tblCellMar>
        </w:tblPrEx>
        <w:trPr>
          <w:cantSplit/>
          <w:trHeight w:val="769"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6C88F6F5">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568BE46B">
            <w:pPr>
              <w:jc w:val="center"/>
              <w:rPr>
                <w:color w:val="auto"/>
                <w:sz w:val="18"/>
                <w:szCs w:val="18"/>
                <w:highlight w:val="none"/>
              </w:rPr>
            </w:pPr>
            <w:r>
              <w:rPr>
                <w:rFonts w:hint="eastAsia"/>
                <w:color w:val="auto"/>
                <w:sz w:val="18"/>
                <w:szCs w:val="18"/>
                <w:highlight w:val="none"/>
              </w:rPr>
              <w:t>扣则3</w:t>
            </w:r>
          </w:p>
        </w:tc>
        <w:tc>
          <w:tcPr>
            <w:tcW w:w="3118" w:type="dxa"/>
            <w:tcBorders>
              <w:top w:val="single" w:color="auto" w:sz="4" w:space="0"/>
              <w:left w:val="nil"/>
              <w:bottom w:val="single" w:color="auto" w:sz="4" w:space="0"/>
              <w:right w:val="single" w:color="auto" w:sz="4" w:space="0"/>
            </w:tcBorders>
            <w:noWrap w:val="0"/>
            <w:vAlign w:val="center"/>
          </w:tcPr>
          <w:p w14:paraId="7FB7185D">
            <w:pPr>
              <w:jc w:val="left"/>
              <w:rPr>
                <w:color w:val="auto"/>
                <w:sz w:val="18"/>
                <w:szCs w:val="18"/>
                <w:highlight w:val="none"/>
              </w:rPr>
            </w:pPr>
            <w:r>
              <w:rPr>
                <w:rFonts w:hint="eastAsia"/>
                <w:color w:val="auto"/>
                <w:sz w:val="18"/>
                <w:szCs w:val="18"/>
                <w:highlight w:val="none"/>
              </w:rPr>
              <w:t>未按投标文件拟投入本项目的人数、学历、专业、技术等级等要求配备。</w:t>
            </w:r>
          </w:p>
        </w:tc>
        <w:tc>
          <w:tcPr>
            <w:tcW w:w="503" w:type="dxa"/>
            <w:tcBorders>
              <w:top w:val="single" w:color="auto" w:sz="4" w:space="0"/>
              <w:left w:val="nil"/>
              <w:bottom w:val="single" w:color="auto" w:sz="4" w:space="0"/>
              <w:right w:val="single" w:color="auto" w:sz="4" w:space="0"/>
            </w:tcBorders>
            <w:noWrap w:val="0"/>
            <w:vAlign w:val="center"/>
          </w:tcPr>
          <w:p w14:paraId="798B7A73">
            <w:pPr>
              <w:jc w:val="center"/>
              <w:rPr>
                <w:color w:val="auto"/>
                <w:sz w:val="18"/>
                <w:szCs w:val="18"/>
                <w:highlight w:val="none"/>
              </w:rPr>
            </w:pPr>
            <w:r>
              <w:rPr>
                <w:rFonts w:hint="eastAsia"/>
                <w:color w:val="auto"/>
                <w:sz w:val="18"/>
                <w:szCs w:val="18"/>
                <w:highlight w:val="none"/>
              </w:rPr>
              <w:t>每人次</w:t>
            </w:r>
          </w:p>
        </w:tc>
        <w:tc>
          <w:tcPr>
            <w:tcW w:w="1575" w:type="dxa"/>
            <w:gridSpan w:val="2"/>
            <w:tcBorders>
              <w:top w:val="single" w:color="auto" w:sz="4" w:space="0"/>
              <w:left w:val="nil"/>
              <w:bottom w:val="single" w:color="auto" w:sz="4" w:space="0"/>
              <w:right w:val="single" w:color="auto" w:sz="4" w:space="0"/>
            </w:tcBorders>
            <w:noWrap w:val="0"/>
            <w:vAlign w:val="center"/>
          </w:tcPr>
          <w:p w14:paraId="35EA18BD">
            <w:pPr>
              <w:jc w:val="center"/>
              <w:rPr>
                <w:color w:val="auto"/>
                <w:sz w:val="18"/>
                <w:szCs w:val="18"/>
                <w:highlight w:val="none"/>
              </w:rPr>
            </w:pPr>
            <w:r>
              <w:rPr>
                <w:rFonts w:hint="eastAsia"/>
                <w:color w:val="auto"/>
                <w:sz w:val="18"/>
                <w:szCs w:val="18"/>
                <w:highlight w:val="none"/>
              </w:rPr>
              <w:t>每少（或不符合条件）1</w:t>
            </w:r>
            <w:r>
              <w:rPr>
                <w:rFonts w:hint="eastAsia" w:ascii="宋体" w:hAnsi="宋体"/>
                <w:color w:val="auto"/>
                <w:sz w:val="18"/>
                <w:szCs w:val="18"/>
                <w:highlight w:val="none"/>
              </w:rPr>
              <w:t>人，在当月考核总分扣除</w:t>
            </w:r>
            <w:r>
              <w:rPr>
                <w:rFonts w:hint="eastAsia"/>
                <w:color w:val="auto"/>
                <w:sz w:val="18"/>
                <w:szCs w:val="18"/>
                <w:highlight w:val="none"/>
              </w:rPr>
              <w:t>1</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60358F9F">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0BCE9AFA">
            <w:pPr>
              <w:jc w:val="center"/>
              <w:rPr>
                <w:color w:val="auto"/>
                <w:sz w:val="18"/>
                <w:szCs w:val="18"/>
                <w:highlight w:val="none"/>
              </w:rPr>
            </w:pPr>
          </w:p>
        </w:tc>
      </w:tr>
      <w:tr w14:paraId="74C16743">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042F5755">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07DDA8DF">
            <w:pPr>
              <w:jc w:val="center"/>
              <w:rPr>
                <w:color w:val="auto"/>
                <w:sz w:val="18"/>
                <w:szCs w:val="18"/>
                <w:highlight w:val="none"/>
              </w:rPr>
            </w:pPr>
            <w:r>
              <w:rPr>
                <w:rFonts w:hint="eastAsia"/>
                <w:color w:val="auto"/>
                <w:sz w:val="18"/>
                <w:szCs w:val="18"/>
                <w:highlight w:val="none"/>
              </w:rPr>
              <w:t>扣则4</w:t>
            </w:r>
          </w:p>
        </w:tc>
        <w:tc>
          <w:tcPr>
            <w:tcW w:w="3118" w:type="dxa"/>
            <w:tcBorders>
              <w:top w:val="single" w:color="auto" w:sz="4" w:space="0"/>
              <w:left w:val="nil"/>
              <w:bottom w:val="single" w:color="auto" w:sz="4" w:space="0"/>
              <w:right w:val="single" w:color="auto" w:sz="4" w:space="0"/>
            </w:tcBorders>
            <w:noWrap w:val="0"/>
            <w:vAlign w:val="center"/>
          </w:tcPr>
          <w:p w14:paraId="5571399C">
            <w:pPr>
              <w:jc w:val="left"/>
              <w:rPr>
                <w:color w:val="auto"/>
                <w:sz w:val="18"/>
                <w:szCs w:val="18"/>
                <w:highlight w:val="none"/>
              </w:rPr>
            </w:pPr>
            <w:r>
              <w:rPr>
                <w:rFonts w:hint="eastAsia"/>
                <w:color w:val="auto"/>
                <w:sz w:val="18"/>
                <w:szCs w:val="18"/>
                <w:highlight w:val="none"/>
              </w:rPr>
              <w:t>出现违纪违法现象，对他人不礼貌用语，不文明服务，参与黄赌毒活动等乱象。</w:t>
            </w:r>
          </w:p>
        </w:tc>
        <w:tc>
          <w:tcPr>
            <w:tcW w:w="503" w:type="dxa"/>
            <w:tcBorders>
              <w:top w:val="single" w:color="auto" w:sz="4" w:space="0"/>
              <w:left w:val="nil"/>
              <w:bottom w:val="single" w:color="auto" w:sz="4" w:space="0"/>
              <w:right w:val="single" w:color="auto" w:sz="4" w:space="0"/>
            </w:tcBorders>
            <w:noWrap w:val="0"/>
            <w:vAlign w:val="center"/>
          </w:tcPr>
          <w:p w14:paraId="5A66A97F">
            <w:pPr>
              <w:jc w:val="center"/>
              <w:rPr>
                <w:color w:val="auto"/>
                <w:sz w:val="18"/>
                <w:szCs w:val="18"/>
                <w:highlight w:val="none"/>
              </w:rPr>
            </w:pPr>
            <w:r>
              <w:rPr>
                <w:rFonts w:hint="eastAsia"/>
                <w:color w:val="auto"/>
                <w:sz w:val="18"/>
                <w:szCs w:val="18"/>
                <w:highlight w:val="none"/>
              </w:rPr>
              <w:t>每件/</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2C50735E">
            <w:pPr>
              <w:jc w:val="center"/>
              <w:rPr>
                <w:color w:val="auto"/>
                <w:sz w:val="18"/>
                <w:szCs w:val="18"/>
                <w:highlight w:val="none"/>
              </w:rPr>
            </w:pPr>
            <w:r>
              <w:rPr>
                <w:rFonts w:hint="eastAsia"/>
                <w:color w:val="auto"/>
                <w:sz w:val="18"/>
                <w:szCs w:val="18"/>
                <w:highlight w:val="none"/>
              </w:rPr>
              <w:t>扣0.2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6A4F7B14">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3F3A86BD">
            <w:pPr>
              <w:jc w:val="center"/>
              <w:rPr>
                <w:color w:val="auto"/>
                <w:sz w:val="18"/>
                <w:szCs w:val="18"/>
                <w:highlight w:val="none"/>
              </w:rPr>
            </w:pPr>
          </w:p>
        </w:tc>
      </w:tr>
      <w:tr w14:paraId="0D319CC7">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74A0970C">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092D0C4A">
            <w:pPr>
              <w:jc w:val="center"/>
              <w:rPr>
                <w:color w:val="auto"/>
                <w:sz w:val="18"/>
                <w:szCs w:val="18"/>
                <w:highlight w:val="none"/>
              </w:rPr>
            </w:pPr>
            <w:r>
              <w:rPr>
                <w:rFonts w:hint="eastAsia"/>
                <w:color w:val="auto"/>
                <w:sz w:val="18"/>
                <w:szCs w:val="18"/>
                <w:highlight w:val="none"/>
              </w:rPr>
              <w:t>扣则5</w:t>
            </w:r>
          </w:p>
        </w:tc>
        <w:tc>
          <w:tcPr>
            <w:tcW w:w="3118" w:type="dxa"/>
            <w:tcBorders>
              <w:top w:val="single" w:color="auto" w:sz="4" w:space="0"/>
              <w:left w:val="nil"/>
              <w:bottom w:val="single" w:color="auto" w:sz="4" w:space="0"/>
              <w:right w:val="single" w:color="auto" w:sz="4" w:space="0"/>
            </w:tcBorders>
            <w:noWrap w:val="0"/>
            <w:vAlign w:val="center"/>
          </w:tcPr>
          <w:p w14:paraId="333217E1">
            <w:pPr>
              <w:jc w:val="left"/>
              <w:rPr>
                <w:color w:val="auto"/>
                <w:sz w:val="18"/>
                <w:szCs w:val="18"/>
                <w:highlight w:val="none"/>
              </w:rPr>
            </w:pPr>
            <w:r>
              <w:rPr>
                <w:rFonts w:hint="eastAsia"/>
                <w:color w:val="auto"/>
                <w:sz w:val="18"/>
                <w:szCs w:val="18"/>
                <w:highlight w:val="none"/>
              </w:rPr>
              <w:t>无正当理由，不能按照养护工作计划施工，人力、物力投入量与计划量脱离。</w:t>
            </w:r>
          </w:p>
        </w:tc>
        <w:tc>
          <w:tcPr>
            <w:tcW w:w="503" w:type="dxa"/>
            <w:tcBorders>
              <w:top w:val="single" w:color="auto" w:sz="4" w:space="0"/>
              <w:left w:val="nil"/>
              <w:bottom w:val="single" w:color="auto" w:sz="4" w:space="0"/>
              <w:right w:val="single" w:color="auto" w:sz="4" w:space="0"/>
            </w:tcBorders>
            <w:noWrap w:val="0"/>
            <w:vAlign w:val="center"/>
          </w:tcPr>
          <w:p w14:paraId="04F6FC47">
            <w:pPr>
              <w:jc w:val="center"/>
              <w:rPr>
                <w:color w:val="auto"/>
                <w:sz w:val="18"/>
                <w:szCs w:val="18"/>
                <w:highlight w:val="none"/>
              </w:rPr>
            </w:pPr>
            <w:r>
              <w:rPr>
                <w:rFonts w:hint="eastAsia"/>
                <w:color w:val="auto"/>
                <w:sz w:val="18"/>
                <w:szCs w:val="18"/>
                <w:highlight w:val="none"/>
              </w:rPr>
              <w:t>每件/</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688B83B3">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33B37734">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0E64FC13">
            <w:pPr>
              <w:jc w:val="center"/>
              <w:rPr>
                <w:color w:val="auto"/>
                <w:sz w:val="18"/>
                <w:szCs w:val="18"/>
                <w:highlight w:val="none"/>
              </w:rPr>
            </w:pPr>
          </w:p>
        </w:tc>
      </w:tr>
      <w:tr w14:paraId="7328A397">
        <w:tblPrEx>
          <w:tblCellMar>
            <w:top w:w="0" w:type="dxa"/>
            <w:left w:w="108" w:type="dxa"/>
            <w:bottom w:w="0" w:type="dxa"/>
            <w:right w:w="108" w:type="dxa"/>
          </w:tblCellMar>
        </w:tblPrEx>
        <w:trPr>
          <w:cantSplit/>
          <w:trHeight w:val="564"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13D1629D">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2FB23710">
            <w:pPr>
              <w:jc w:val="center"/>
              <w:rPr>
                <w:color w:val="auto"/>
                <w:sz w:val="18"/>
                <w:szCs w:val="18"/>
                <w:highlight w:val="none"/>
              </w:rPr>
            </w:pPr>
            <w:r>
              <w:rPr>
                <w:rFonts w:hint="eastAsia"/>
                <w:color w:val="auto"/>
                <w:sz w:val="18"/>
                <w:szCs w:val="18"/>
                <w:highlight w:val="none"/>
              </w:rPr>
              <w:t>扣则6</w:t>
            </w:r>
          </w:p>
        </w:tc>
        <w:tc>
          <w:tcPr>
            <w:tcW w:w="3118" w:type="dxa"/>
            <w:tcBorders>
              <w:top w:val="single" w:color="auto" w:sz="4" w:space="0"/>
              <w:left w:val="nil"/>
              <w:bottom w:val="single" w:color="auto" w:sz="4" w:space="0"/>
              <w:right w:val="single" w:color="auto" w:sz="4" w:space="0"/>
            </w:tcBorders>
            <w:noWrap w:val="0"/>
            <w:vAlign w:val="center"/>
          </w:tcPr>
          <w:p w14:paraId="2F5CBE56">
            <w:pPr>
              <w:jc w:val="left"/>
              <w:rPr>
                <w:color w:val="auto"/>
                <w:sz w:val="18"/>
                <w:szCs w:val="18"/>
                <w:highlight w:val="none"/>
              </w:rPr>
            </w:pPr>
            <w:r>
              <w:rPr>
                <w:rFonts w:hint="eastAsia"/>
                <w:color w:val="auto"/>
                <w:sz w:val="18"/>
                <w:szCs w:val="18"/>
                <w:highlight w:val="none"/>
              </w:rPr>
              <w:t>未按合同约定，投入相关设施、设备的。</w:t>
            </w:r>
          </w:p>
        </w:tc>
        <w:tc>
          <w:tcPr>
            <w:tcW w:w="503" w:type="dxa"/>
            <w:tcBorders>
              <w:top w:val="single" w:color="auto" w:sz="4" w:space="0"/>
              <w:left w:val="nil"/>
              <w:bottom w:val="single" w:color="auto" w:sz="4" w:space="0"/>
              <w:right w:val="single" w:color="auto" w:sz="4" w:space="0"/>
            </w:tcBorders>
            <w:noWrap w:val="0"/>
            <w:vAlign w:val="center"/>
          </w:tcPr>
          <w:p w14:paraId="3592BCF4">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4C4F83FF">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053B1298">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7332FCCD">
            <w:pPr>
              <w:jc w:val="center"/>
              <w:rPr>
                <w:color w:val="auto"/>
                <w:sz w:val="18"/>
                <w:szCs w:val="18"/>
                <w:highlight w:val="none"/>
              </w:rPr>
            </w:pPr>
          </w:p>
        </w:tc>
      </w:tr>
      <w:tr w14:paraId="1A0AF0A1">
        <w:tblPrEx>
          <w:tblCellMar>
            <w:top w:w="0" w:type="dxa"/>
            <w:left w:w="108" w:type="dxa"/>
            <w:bottom w:w="0" w:type="dxa"/>
            <w:right w:w="108" w:type="dxa"/>
          </w:tblCellMar>
        </w:tblPrEx>
        <w:trPr>
          <w:cantSplit/>
          <w:trHeight w:val="462" w:hRule="atLeast"/>
          <w:jc w:val="center"/>
        </w:trPr>
        <w:tc>
          <w:tcPr>
            <w:tcW w:w="668" w:type="dxa"/>
            <w:vMerge w:val="restart"/>
            <w:tcBorders>
              <w:top w:val="nil"/>
              <w:left w:val="single" w:color="auto" w:sz="4" w:space="0"/>
              <w:bottom w:val="single" w:color="auto" w:sz="4" w:space="0"/>
              <w:right w:val="single" w:color="auto" w:sz="4" w:space="0"/>
            </w:tcBorders>
            <w:noWrap w:val="0"/>
            <w:vAlign w:val="center"/>
          </w:tcPr>
          <w:p w14:paraId="3015EC9C">
            <w:pPr>
              <w:jc w:val="center"/>
              <w:rPr>
                <w:color w:val="auto"/>
                <w:sz w:val="18"/>
                <w:szCs w:val="18"/>
                <w:highlight w:val="none"/>
              </w:rPr>
            </w:pPr>
          </w:p>
          <w:p w14:paraId="14ECF5B5">
            <w:pPr>
              <w:jc w:val="center"/>
              <w:rPr>
                <w:color w:val="auto"/>
                <w:sz w:val="18"/>
                <w:szCs w:val="18"/>
                <w:highlight w:val="none"/>
              </w:rPr>
            </w:pPr>
            <w:r>
              <w:rPr>
                <w:color w:val="auto"/>
                <w:sz w:val="18"/>
                <w:szCs w:val="18"/>
                <w:highlight w:val="none"/>
              </w:rPr>
              <w:t>(</w:t>
            </w:r>
            <w:r>
              <w:rPr>
                <w:rFonts w:hint="eastAsia"/>
                <w:color w:val="auto"/>
                <w:sz w:val="18"/>
                <w:szCs w:val="18"/>
                <w:highlight w:val="none"/>
              </w:rPr>
              <w:t>二）安全生产</w:t>
            </w:r>
          </w:p>
          <w:p w14:paraId="0A8674B1">
            <w:pPr>
              <w:jc w:val="center"/>
              <w:rPr>
                <w:color w:val="auto"/>
                <w:sz w:val="18"/>
                <w:szCs w:val="18"/>
                <w:highlight w:val="none"/>
              </w:rPr>
            </w:pPr>
          </w:p>
          <w:p w14:paraId="21246FC9">
            <w:pPr>
              <w:jc w:val="center"/>
              <w:rPr>
                <w:color w:val="auto"/>
                <w:sz w:val="18"/>
                <w:szCs w:val="18"/>
                <w:highlight w:val="none"/>
              </w:rPr>
            </w:pPr>
          </w:p>
          <w:p w14:paraId="06EF3D09">
            <w:pPr>
              <w:jc w:val="center"/>
              <w:rPr>
                <w:color w:val="auto"/>
                <w:sz w:val="18"/>
                <w:szCs w:val="18"/>
                <w:highlight w:val="none"/>
              </w:rPr>
            </w:pPr>
          </w:p>
          <w:p w14:paraId="39AE4716">
            <w:pPr>
              <w:jc w:val="center"/>
              <w:rPr>
                <w:color w:val="auto"/>
                <w:sz w:val="18"/>
                <w:szCs w:val="18"/>
                <w:highlight w:val="none"/>
              </w:rPr>
            </w:pPr>
          </w:p>
          <w:p w14:paraId="468B5D0D">
            <w:pPr>
              <w:jc w:val="center"/>
              <w:rPr>
                <w:color w:val="auto"/>
                <w:sz w:val="18"/>
                <w:szCs w:val="18"/>
                <w:highlight w:val="none"/>
              </w:rPr>
            </w:pPr>
          </w:p>
          <w:p w14:paraId="6D4DDEB6">
            <w:pPr>
              <w:jc w:val="center"/>
              <w:rPr>
                <w:color w:val="auto"/>
                <w:sz w:val="18"/>
                <w:szCs w:val="18"/>
                <w:highlight w:val="none"/>
              </w:rPr>
            </w:pPr>
          </w:p>
          <w:p w14:paraId="4012BB6D">
            <w:pPr>
              <w:jc w:val="center"/>
              <w:rPr>
                <w:color w:val="auto"/>
                <w:sz w:val="18"/>
                <w:szCs w:val="18"/>
                <w:highlight w:val="none"/>
              </w:rPr>
            </w:pPr>
          </w:p>
          <w:p w14:paraId="5EEBDD2B">
            <w:pPr>
              <w:jc w:val="center"/>
              <w:rPr>
                <w:color w:val="auto"/>
                <w:sz w:val="18"/>
                <w:szCs w:val="18"/>
                <w:highlight w:val="none"/>
              </w:rPr>
            </w:pPr>
            <w:r>
              <w:rPr>
                <w:color w:val="auto"/>
                <w:sz w:val="18"/>
                <w:szCs w:val="18"/>
                <w:highlight w:val="none"/>
              </w:rPr>
              <w:t>(</w:t>
            </w:r>
            <w:r>
              <w:rPr>
                <w:rFonts w:hint="eastAsia"/>
                <w:color w:val="auto"/>
                <w:sz w:val="18"/>
                <w:szCs w:val="18"/>
                <w:highlight w:val="none"/>
              </w:rPr>
              <w:t>二）安全生产</w:t>
            </w:r>
          </w:p>
          <w:p w14:paraId="09A1F8CC">
            <w:pPr>
              <w:jc w:val="center"/>
              <w:rPr>
                <w:color w:val="auto"/>
                <w:sz w:val="18"/>
                <w:szCs w:val="18"/>
                <w:highlight w:val="none"/>
              </w:rPr>
            </w:pPr>
          </w:p>
          <w:p w14:paraId="1AAF4C57">
            <w:pPr>
              <w:jc w:val="center"/>
              <w:rPr>
                <w:color w:val="auto"/>
                <w:sz w:val="18"/>
                <w:szCs w:val="18"/>
                <w:highlight w:val="none"/>
              </w:rPr>
            </w:pPr>
          </w:p>
        </w:tc>
        <w:tc>
          <w:tcPr>
            <w:tcW w:w="588" w:type="dxa"/>
            <w:vMerge w:val="restart"/>
            <w:tcBorders>
              <w:top w:val="nil"/>
              <w:left w:val="nil"/>
              <w:bottom w:val="single" w:color="auto" w:sz="4" w:space="0"/>
              <w:right w:val="single" w:color="auto" w:sz="4" w:space="0"/>
            </w:tcBorders>
            <w:noWrap w:val="0"/>
            <w:vAlign w:val="center"/>
          </w:tcPr>
          <w:p w14:paraId="62DBA269">
            <w:pPr>
              <w:jc w:val="center"/>
              <w:rPr>
                <w:color w:val="auto"/>
                <w:sz w:val="18"/>
                <w:szCs w:val="18"/>
                <w:highlight w:val="none"/>
              </w:rPr>
            </w:pPr>
            <w:r>
              <w:rPr>
                <w:rFonts w:hint="eastAsia"/>
                <w:color w:val="auto"/>
                <w:sz w:val="18"/>
                <w:szCs w:val="18"/>
                <w:highlight w:val="none"/>
              </w:rPr>
              <w:t>扣则7</w:t>
            </w:r>
          </w:p>
        </w:tc>
        <w:tc>
          <w:tcPr>
            <w:tcW w:w="3118" w:type="dxa"/>
            <w:vMerge w:val="restart"/>
            <w:tcBorders>
              <w:top w:val="nil"/>
              <w:left w:val="nil"/>
              <w:bottom w:val="single" w:color="auto" w:sz="4" w:space="0"/>
              <w:right w:val="single" w:color="auto" w:sz="4" w:space="0"/>
            </w:tcBorders>
            <w:noWrap w:val="0"/>
            <w:vAlign w:val="center"/>
          </w:tcPr>
          <w:p w14:paraId="33FDF588">
            <w:pPr>
              <w:jc w:val="left"/>
              <w:rPr>
                <w:color w:val="auto"/>
                <w:sz w:val="18"/>
                <w:szCs w:val="18"/>
                <w:highlight w:val="none"/>
              </w:rPr>
            </w:pPr>
            <w:r>
              <w:rPr>
                <w:rFonts w:hint="eastAsia"/>
                <w:color w:val="auto"/>
                <w:sz w:val="18"/>
                <w:szCs w:val="18"/>
                <w:highlight w:val="none"/>
              </w:rPr>
              <w:t>发生安全生产事故，造成财产损失的、人身伤害，除承担相应损失赔偿外。</w:t>
            </w:r>
          </w:p>
        </w:tc>
        <w:tc>
          <w:tcPr>
            <w:tcW w:w="503" w:type="dxa"/>
            <w:tcBorders>
              <w:top w:val="single" w:color="auto" w:sz="4" w:space="0"/>
              <w:left w:val="nil"/>
              <w:bottom w:val="single" w:color="auto" w:sz="4" w:space="0"/>
              <w:right w:val="single" w:color="auto" w:sz="4" w:space="0"/>
            </w:tcBorders>
            <w:noWrap w:val="0"/>
            <w:vAlign w:val="center"/>
          </w:tcPr>
          <w:p w14:paraId="7E60B6E4">
            <w:pPr>
              <w:jc w:val="center"/>
              <w:rPr>
                <w:color w:val="auto"/>
                <w:sz w:val="18"/>
                <w:szCs w:val="18"/>
                <w:highlight w:val="none"/>
              </w:rPr>
            </w:pPr>
            <w:r>
              <w:rPr>
                <w:rFonts w:hint="eastAsia"/>
                <w:color w:val="auto"/>
                <w:sz w:val="18"/>
                <w:szCs w:val="18"/>
                <w:highlight w:val="none"/>
              </w:rPr>
              <w:t>造成财产损失</w:t>
            </w:r>
          </w:p>
        </w:tc>
        <w:tc>
          <w:tcPr>
            <w:tcW w:w="1575" w:type="dxa"/>
            <w:gridSpan w:val="2"/>
            <w:tcBorders>
              <w:top w:val="single" w:color="auto" w:sz="4" w:space="0"/>
              <w:left w:val="nil"/>
              <w:bottom w:val="single" w:color="auto" w:sz="4" w:space="0"/>
              <w:right w:val="single" w:color="auto" w:sz="4" w:space="0"/>
            </w:tcBorders>
            <w:noWrap w:val="0"/>
            <w:vAlign w:val="center"/>
          </w:tcPr>
          <w:p w14:paraId="688D03EE">
            <w:pPr>
              <w:jc w:val="center"/>
              <w:rPr>
                <w:color w:val="auto"/>
                <w:sz w:val="18"/>
                <w:szCs w:val="18"/>
                <w:highlight w:val="none"/>
              </w:rPr>
            </w:pPr>
            <w:r>
              <w:rPr>
                <w:rFonts w:hint="eastAsia"/>
                <w:color w:val="auto"/>
                <w:sz w:val="18"/>
                <w:szCs w:val="18"/>
                <w:highlight w:val="none"/>
              </w:rPr>
              <w:t>每件次扣4</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09010DC9">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6B26B8CF">
            <w:pPr>
              <w:jc w:val="center"/>
              <w:rPr>
                <w:color w:val="auto"/>
                <w:sz w:val="18"/>
                <w:szCs w:val="18"/>
                <w:highlight w:val="none"/>
              </w:rPr>
            </w:pPr>
          </w:p>
        </w:tc>
      </w:tr>
      <w:tr w14:paraId="1EEDE6A2">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10382C5C">
            <w:pPr>
              <w:widowControl/>
              <w:jc w:val="left"/>
              <w:rPr>
                <w:color w:val="auto"/>
                <w:sz w:val="18"/>
                <w:szCs w:val="18"/>
                <w:highlight w:val="none"/>
              </w:rPr>
            </w:pPr>
          </w:p>
        </w:tc>
        <w:tc>
          <w:tcPr>
            <w:tcW w:w="588" w:type="dxa"/>
            <w:vMerge w:val="continue"/>
            <w:tcBorders>
              <w:top w:val="nil"/>
              <w:left w:val="nil"/>
              <w:bottom w:val="single" w:color="auto" w:sz="4" w:space="0"/>
              <w:right w:val="single" w:color="auto" w:sz="4" w:space="0"/>
            </w:tcBorders>
            <w:noWrap w:val="0"/>
            <w:vAlign w:val="center"/>
          </w:tcPr>
          <w:p w14:paraId="5293E06E">
            <w:pPr>
              <w:widowControl/>
              <w:jc w:val="left"/>
              <w:rPr>
                <w:color w:val="auto"/>
                <w:sz w:val="18"/>
                <w:szCs w:val="18"/>
                <w:highlight w:val="none"/>
              </w:rPr>
            </w:pPr>
          </w:p>
        </w:tc>
        <w:tc>
          <w:tcPr>
            <w:tcW w:w="3118" w:type="dxa"/>
            <w:vMerge w:val="continue"/>
            <w:tcBorders>
              <w:top w:val="nil"/>
              <w:left w:val="nil"/>
              <w:bottom w:val="single" w:color="auto" w:sz="4" w:space="0"/>
              <w:right w:val="single" w:color="auto" w:sz="4" w:space="0"/>
            </w:tcBorders>
            <w:noWrap w:val="0"/>
            <w:vAlign w:val="center"/>
          </w:tcPr>
          <w:p w14:paraId="7316A5D8">
            <w:pPr>
              <w:widowControl/>
              <w:jc w:val="left"/>
              <w:rPr>
                <w:color w:val="auto"/>
                <w:sz w:val="18"/>
                <w:szCs w:val="18"/>
                <w:highlight w:val="none"/>
              </w:rPr>
            </w:pPr>
          </w:p>
        </w:tc>
        <w:tc>
          <w:tcPr>
            <w:tcW w:w="503" w:type="dxa"/>
            <w:tcBorders>
              <w:top w:val="single" w:color="auto" w:sz="4" w:space="0"/>
              <w:left w:val="nil"/>
              <w:bottom w:val="single" w:color="auto" w:sz="4" w:space="0"/>
              <w:right w:val="single" w:color="auto" w:sz="4" w:space="0"/>
            </w:tcBorders>
            <w:noWrap w:val="0"/>
            <w:vAlign w:val="center"/>
          </w:tcPr>
          <w:p w14:paraId="68689955">
            <w:pPr>
              <w:jc w:val="center"/>
              <w:rPr>
                <w:color w:val="auto"/>
                <w:sz w:val="18"/>
                <w:szCs w:val="18"/>
                <w:highlight w:val="none"/>
              </w:rPr>
            </w:pPr>
            <w:r>
              <w:rPr>
                <w:rFonts w:hint="eastAsia"/>
                <w:color w:val="auto"/>
                <w:sz w:val="18"/>
                <w:szCs w:val="18"/>
                <w:highlight w:val="none"/>
              </w:rPr>
              <w:t>造成人身伤害</w:t>
            </w:r>
          </w:p>
        </w:tc>
        <w:tc>
          <w:tcPr>
            <w:tcW w:w="1575" w:type="dxa"/>
            <w:gridSpan w:val="2"/>
            <w:tcBorders>
              <w:top w:val="single" w:color="auto" w:sz="4" w:space="0"/>
              <w:left w:val="nil"/>
              <w:bottom w:val="single" w:color="auto" w:sz="4" w:space="0"/>
              <w:right w:val="single" w:color="auto" w:sz="4" w:space="0"/>
            </w:tcBorders>
            <w:noWrap w:val="0"/>
            <w:vAlign w:val="center"/>
          </w:tcPr>
          <w:p w14:paraId="7919586C">
            <w:pPr>
              <w:jc w:val="center"/>
              <w:rPr>
                <w:color w:val="auto"/>
                <w:sz w:val="18"/>
                <w:szCs w:val="18"/>
                <w:highlight w:val="none"/>
              </w:rPr>
            </w:pPr>
            <w:r>
              <w:rPr>
                <w:rFonts w:hint="eastAsia"/>
                <w:color w:val="auto"/>
                <w:sz w:val="18"/>
                <w:szCs w:val="18"/>
                <w:highlight w:val="none"/>
              </w:rPr>
              <w:t>每件次扣6</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02A1846D">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67643685">
            <w:pPr>
              <w:jc w:val="center"/>
              <w:rPr>
                <w:color w:val="auto"/>
                <w:sz w:val="18"/>
                <w:szCs w:val="18"/>
                <w:highlight w:val="none"/>
              </w:rPr>
            </w:pPr>
          </w:p>
        </w:tc>
      </w:tr>
      <w:tr w14:paraId="5586F343">
        <w:tblPrEx>
          <w:tblCellMar>
            <w:top w:w="0" w:type="dxa"/>
            <w:left w:w="108" w:type="dxa"/>
            <w:bottom w:w="0" w:type="dxa"/>
            <w:right w:w="108" w:type="dxa"/>
          </w:tblCellMar>
        </w:tblPrEx>
        <w:trPr>
          <w:cantSplit/>
          <w:trHeight w:val="688"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44DFFCC9">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7A2C86A2">
            <w:pPr>
              <w:jc w:val="center"/>
              <w:rPr>
                <w:color w:val="auto"/>
                <w:sz w:val="18"/>
                <w:szCs w:val="18"/>
                <w:highlight w:val="none"/>
              </w:rPr>
            </w:pPr>
            <w:r>
              <w:rPr>
                <w:rFonts w:hint="eastAsia"/>
                <w:color w:val="auto"/>
                <w:sz w:val="18"/>
                <w:szCs w:val="18"/>
                <w:highlight w:val="none"/>
              </w:rPr>
              <w:t>扣则8</w:t>
            </w:r>
          </w:p>
        </w:tc>
        <w:tc>
          <w:tcPr>
            <w:tcW w:w="3118" w:type="dxa"/>
            <w:tcBorders>
              <w:top w:val="single" w:color="auto" w:sz="4" w:space="0"/>
              <w:left w:val="nil"/>
              <w:bottom w:val="single" w:color="auto" w:sz="4" w:space="0"/>
              <w:right w:val="single" w:color="auto" w:sz="4" w:space="0"/>
            </w:tcBorders>
            <w:noWrap w:val="0"/>
            <w:vAlign w:val="center"/>
          </w:tcPr>
          <w:p w14:paraId="785505AF">
            <w:pPr>
              <w:jc w:val="left"/>
              <w:rPr>
                <w:color w:val="auto"/>
                <w:sz w:val="18"/>
                <w:szCs w:val="18"/>
                <w:highlight w:val="none"/>
              </w:rPr>
            </w:pPr>
            <w:r>
              <w:rPr>
                <w:rFonts w:hint="eastAsia"/>
                <w:color w:val="auto"/>
                <w:sz w:val="18"/>
                <w:szCs w:val="18"/>
                <w:highlight w:val="none"/>
              </w:rPr>
              <w:t>工作人员违反安全生产作业规程，不按要求穿着安全防护服、安全帽、防护眼镜、口罩、绝缘鞋、绝缘手套、安全绳等安全防护用品.</w:t>
            </w:r>
          </w:p>
        </w:tc>
        <w:tc>
          <w:tcPr>
            <w:tcW w:w="503" w:type="dxa"/>
            <w:tcBorders>
              <w:top w:val="single" w:color="auto" w:sz="4" w:space="0"/>
              <w:left w:val="nil"/>
              <w:bottom w:val="single" w:color="auto" w:sz="4" w:space="0"/>
              <w:right w:val="single" w:color="auto" w:sz="4" w:space="0"/>
            </w:tcBorders>
            <w:noWrap w:val="0"/>
            <w:vAlign w:val="center"/>
          </w:tcPr>
          <w:p w14:paraId="7AC682C2">
            <w:pPr>
              <w:jc w:val="center"/>
              <w:rPr>
                <w:color w:val="auto"/>
                <w:sz w:val="18"/>
                <w:szCs w:val="18"/>
                <w:highlight w:val="none"/>
              </w:rPr>
            </w:pPr>
            <w:r>
              <w:rPr>
                <w:rFonts w:hint="eastAsia"/>
                <w:color w:val="auto"/>
                <w:sz w:val="18"/>
                <w:szCs w:val="18"/>
                <w:highlight w:val="none"/>
              </w:rPr>
              <w:t>每人/</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70AC4DD6">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3DD291DF">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1F7CD20">
            <w:pPr>
              <w:jc w:val="center"/>
              <w:rPr>
                <w:color w:val="auto"/>
                <w:sz w:val="18"/>
                <w:szCs w:val="18"/>
                <w:highlight w:val="none"/>
              </w:rPr>
            </w:pPr>
          </w:p>
        </w:tc>
      </w:tr>
      <w:tr w14:paraId="68382FF8">
        <w:tblPrEx>
          <w:tblCellMar>
            <w:top w:w="0" w:type="dxa"/>
            <w:left w:w="108" w:type="dxa"/>
            <w:bottom w:w="0" w:type="dxa"/>
            <w:right w:w="108" w:type="dxa"/>
          </w:tblCellMar>
        </w:tblPrEx>
        <w:trPr>
          <w:cantSplit/>
          <w:trHeight w:val="915"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609DC9D4">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1A60A14E">
            <w:pPr>
              <w:jc w:val="center"/>
              <w:rPr>
                <w:color w:val="auto"/>
                <w:sz w:val="18"/>
                <w:szCs w:val="18"/>
                <w:highlight w:val="none"/>
              </w:rPr>
            </w:pPr>
            <w:r>
              <w:rPr>
                <w:rFonts w:hint="eastAsia"/>
                <w:color w:val="auto"/>
                <w:sz w:val="18"/>
                <w:szCs w:val="18"/>
                <w:highlight w:val="none"/>
              </w:rPr>
              <w:t>扣则9</w:t>
            </w:r>
          </w:p>
        </w:tc>
        <w:tc>
          <w:tcPr>
            <w:tcW w:w="3118" w:type="dxa"/>
            <w:tcBorders>
              <w:top w:val="single" w:color="auto" w:sz="4" w:space="0"/>
              <w:left w:val="nil"/>
              <w:bottom w:val="single" w:color="auto" w:sz="4" w:space="0"/>
              <w:right w:val="single" w:color="auto" w:sz="4" w:space="0"/>
            </w:tcBorders>
            <w:noWrap w:val="0"/>
            <w:vAlign w:val="center"/>
          </w:tcPr>
          <w:p w14:paraId="4674C34F">
            <w:pPr>
              <w:jc w:val="left"/>
              <w:rPr>
                <w:color w:val="auto"/>
                <w:sz w:val="18"/>
                <w:szCs w:val="18"/>
                <w:highlight w:val="none"/>
              </w:rPr>
            </w:pPr>
            <w:r>
              <w:rPr>
                <w:rFonts w:hint="eastAsia"/>
                <w:color w:val="auto"/>
                <w:sz w:val="18"/>
                <w:szCs w:val="18"/>
                <w:highlight w:val="none"/>
              </w:rPr>
              <w:t>未按公园安全生产作业规程进行安全围合或不按公园安全生产作业规程要求正确摆放反光安全锥、警示牌等安全物资的。</w:t>
            </w:r>
          </w:p>
        </w:tc>
        <w:tc>
          <w:tcPr>
            <w:tcW w:w="503" w:type="dxa"/>
            <w:tcBorders>
              <w:top w:val="single" w:color="auto" w:sz="4" w:space="0"/>
              <w:left w:val="nil"/>
              <w:bottom w:val="single" w:color="auto" w:sz="4" w:space="0"/>
              <w:right w:val="single" w:color="auto" w:sz="4" w:space="0"/>
            </w:tcBorders>
            <w:noWrap w:val="0"/>
            <w:vAlign w:val="center"/>
          </w:tcPr>
          <w:p w14:paraId="70DD73BE">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157FFB3F">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4776E527">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BC12580">
            <w:pPr>
              <w:jc w:val="center"/>
              <w:rPr>
                <w:color w:val="auto"/>
                <w:sz w:val="18"/>
                <w:szCs w:val="18"/>
                <w:highlight w:val="none"/>
              </w:rPr>
            </w:pPr>
          </w:p>
        </w:tc>
      </w:tr>
      <w:tr w14:paraId="6A3CE85F">
        <w:tblPrEx>
          <w:tblCellMar>
            <w:top w:w="0" w:type="dxa"/>
            <w:left w:w="108" w:type="dxa"/>
            <w:bottom w:w="0" w:type="dxa"/>
            <w:right w:w="108" w:type="dxa"/>
          </w:tblCellMar>
        </w:tblPrEx>
        <w:trPr>
          <w:cantSplit/>
          <w:trHeight w:val="1104"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473DB05D">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4D20697A">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1</w:t>
            </w:r>
            <w:r>
              <w:rPr>
                <w:rFonts w:hint="eastAsia"/>
                <w:color w:val="auto"/>
                <w:sz w:val="18"/>
                <w:szCs w:val="18"/>
                <w:highlight w:val="none"/>
              </w:rPr>
              <w:t>0</w:t>
            </w:r>
          </w:p>
        </w:tc>
        <w:tc>
          <w:tcPr>
            <w:tcW w:w="3118" w:type="dxa"/>
            <w:tcBorders>
              <w:top w:val="single" w:color="auto" w:sz="4" w:space="0"/>
              <w:left w:val="nil"/>
              <w:bottom w:val="single" w:color="auto" w:sz="4" w:space="0"/>
              <w:right w:val="single" w:color="auto" w:sz="4" w:space="0"/>
            </w:tcBorders>
            <w:noWrap w:val="0"/>
            <w:vAlign w:val="center"/>
          </w:tcPr>
          <w:p w14:paraId="638D6292">
            <w:pPr>
              <w:jc w:val="both"/>
              <w:rPr>
                <w:color w:val="auto"/>
                <w:sz w:val="18"/>
                <w:szCs w:val="18"/>
                <w:highlight w:val="none"/>
              </w:rPr>
            </w:pPr>
            <w:r>
              <w:rPr>
                <w:rFonts w:hint="eastAsia"/>
                <w:color w:val="auto"/>
                <w:sz w:val="18"/>
                <w:szCs w:val="18"/>
                <w:highlight w:val="none"/>
              </w:rPr>
              <w:t>绿化作业车辆违反作业规范的，如：安全标识不齐、违规占道作业、路面作业安全措施不规范、以及沿途漏洒绿化垃圾泥沙、把泥土冲出路面、</w:t>
            </w:r>
            <w:r>
              <w:rPr>
                <w:rFonts w:hint="eastAsia" w:ascii="宋体" w:hAnsi="宋体"/>
                <w:color w:val="auto"/>
                <w:sz w:val="18"/>
                <w:szCs w:val="18"/>
                <w:highlight w:val="none"/>
              </w:rPr>
              <w:t>车辆行驶时速超过规定</w:t>
            </w:r>
            <w:r>
              <w:rPr>
                <w:rFonts w:hint="eastAsia"/>
                <w:color w:val="auto"/>
                <w:sz w:val="18"/>
                <w:szCs w:val="18"/>
                <w:highlight w:val="none"/>
              </w:rPr>
              <w:t>等不安全文明行为。电车违规入园，乱停放的。</w:t>
            </w:r>
            <w:r>
              <w:rPr>
                <w:rFonts w:hint="eastAsia" w:ascii="宋体" w:hAnsi="宋体"/>
                <w:color w:val="auto"/>
                <w:sz w:val="18"/>
                <w:szCs w:val="18"/>
                <w:highlight w:val="none"/>
              </w:rPr>
              <w:t>不按时年检、定期检查维护作业车辆的，驾驶员未持证上岗的，疲劳、酒后驾驶的。</w:t>
            </w:r>
          </w:p>
        </w:tc>
        <w:tc>
          <w:tcPr>
            <w:tcW w:w="503" w:type="dxa"/>
            <w:tcBorders>
              <w:top w:val="single" w:color="auto" w:sz="4" w:space="0"/>
              <w:left w:val="nil"/>
              <w:bottom w:val="single" w:color="auto" w:sz="4" w:space="0"/>
              <w:right w:val="single" w:color="auto" w:sz="4" w:space="0"/>
            </w:tcBorders>
            <w:noWrap w:val="0"/>
            <w:vAlign w:val="center"/>
          </w:tcPr>
          <w:p w14:paraId="4E2C3910">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5B756632">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1FD3CAB7">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485ED8F0">
            <w:pPr>
              <w:jc w:val="center"/>
              <w:rPr>
                <w:color w:val="auto"/>
                <w:sz w:val="18"/>
                <w:szCs w:val="18"/>
                <w:highlight w:val="none"/>
              </w:rPr>
            </w:pPr>
          </w:p>
        </w:tc>
      </w:tr>
      <w:tr w14:paraId="171966FC">
        <w:tblPrEx>
          <w:tblCellMar>
            <w:top w:w="0" w:type="dxa"/>
            <w:left w:w="108" w:type="dxa"/>
            <w:bottom w:w="0" w:type="dxa"/>
            <w:right w:w="108" w:type="dxa"/>
          </w:tblCellMar>
        </w:tblPrEx>
        <w:trPr>
          <w:cantSplit/>
          <w:trHeight w:val="410"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03204743">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497C3318">
            <w:pPr>
              <w:jc w:val="center"/>
              <w:rPr>
                <w:color w:val="auto"/>
                <w:sz w:val="18"/>
                <w:szCs w:val="18"/>
                <w:highlight w:val="none"/>
              </w:rPr>
            </w:pPr>
            <w:r>
              <w:rPr>
                <w:rFonts w:hint="eastAsia"/>
                <w:color w:val="auto"/>
                <w:sz w:val="18"/>
                <w:szCs w:val="18"/>
                <w:highlight w:val="none"/>
              </w:rPr>
              <w:t>扣则11</w:t>
            </w:r>
          </w:p>
        </w:tc>
        <w:tc>
          <w:tcPr>
            <w:tcW w:w="3118" w:type="dxa"/>
            <w:tcBorders>
              <w:top w:val="single" w:color="auto" w:sz="4" w:space="0"/>
              <w:left w:val="nil"/>
              <w:bottom w:val="single" w:color="auto" w:sz="4" w:space="0"/>
              <w:right w:val="single" w:color="auto" w:sz="4" w:space="0"/>
            </w:tcBorders>
            <w:noWrap w:val="0"/>
            <w:vAlign w:val="center"/>
          </w:tcPr>
          <w:p w14:paraId="4511BD58">
            <w:pPr>
              <w:rPr>
                <w:color w:val="auto"/>
                <w:highlight w:val="none"/>
              </w:rPr>
            </w:pPr>
            <w:r>
              <w:rPr>
                <w:rFonts w:hint="eastAsia" w:ascii="宋体" w:hAnsi="宋体"/>
                <w:color w:val="auto"/>
                <w:sz w:val="18"/>
                <w:szCs w:val="18"/>
                <w:highlight w:val="none"/>
              </w:rPr>
              <w:t>违反公园工具房管理规定及要求</w:t>
            </w:r>
          </w:p>
          <w:p w14:paraId="65DAAE71">
            <w:pPr>
              <w:jc w:val="both"/>
              <w:rPr>
                <w:color w:val="auto"/>
                <w:sz w:val="18"/>
                <w:szCs w:val="18"/>
                <w:highlight w:val="none"/>
              </w:rPr>
            </w:pPr>
            <w:r>
              <w:rPr>
                <w:rFonts w:hint="eastAsia"/>
                <w:color w:val="auto"/>
                <w:sz w:val="18"/>
                <w:szCs w:val="18"/>
                <w:highlight w:val="none"/>
              </w:rPr>
              <w:t>，如：</w:t>
            </w:r>
            <w:r>
              <w:rPr>
                <w:rFonts w:hint="eastAsia" w:ascii="宋体" w:hAnsi="宋体"/>
                <w:color w:val="auto"/>
                <w:sz w:val="18"/>
                <w:szCs w:val="18"/>
                <w:highlight w:val="none"/>
              </w:rPr>
              <w:t>汽油、农药未按规定存放，违规用电，工具房脏乱、工具摆放不整齐、杂物乱堆，未按要求配置消防器材。</w:t>
            </w:r>
            <w:r>
              <w:rPr>
                <w:rFonts w:hint="eastAsia"/>
                <w:color w:val="auto"/>
                <w:sz w:val="18"/>
                <w:szCs w:val="18"/>
                <w:highlight w:val="none"/>
              </w:rPr>
              <w:t>其它不符合安全规范行为等。</w:t>
            </w:r>
          </w:p>
        </w:tc>
        <w:tc>
          <w:tcPr>
            <w:tcW w:w="503" w:type="dxa"/>
            <w:tcBorders>
              <w:top w:val="single" w:color="auto" w:sz="4" w:space="0"/>
              <w:left w:val="nil"/>
              <w:bottom w:val="single" w:color="auto" w:sz="4" w:space="0"/>
              <w:right w:val="single" w:color="auto" w:sz="4" w:space="0"/>
            </w:tcBorders>
            <w:noWrap w:val="0"/>
            <w:vAlign w:val="center"/>
          </w:tcPr>
          <w:p w14:paraId="4AEE4394">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6BD7787D">
            <w:pPr>
              <w:jc w:val="center"/>
              <w:rPr>
                <w:color w:val="auto"/>
                <w:sz w:val="18"/>
                <w:szCs w:val="18"/>
                <w:highlight w:val="none"/>
              </w:rPr>
            </w:pPr>
            <w:r>
              <w:rPr>
                <w:rFonts w:hint="eastAsia"/>
                <w:color w:val="auto"/>
                <w:sz w:val="18"/>
                <w:szCs w:val="18"/>
                <w:highlight w:val="none"/>
              </w:rPr>
              <w:t>扣0.2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43EC09A3">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6EC7CE5E">
            <w:pPr>
              <w:jc w:val="center"/>
              <w:rPr>
                <w:color w:val="auto"/>
                <w:sz w:val="18"/>
                <w:szCs w:val="18"/>
                <w:highlight w:val="none"/>
              </w:rPr>
            </w:pPr>
          </w:p>
        </w:tc>
      </w:tr>
      <w:tr w14:paraId="7E8F5EC0">
        <w:tblPrEx>
          <w:tblCellMar>
            <w:top w:w="0" w:type="dxa"/>
            <w:left w:w="108" w:type="dxa"/>
            <w:bottom w:w="0" w:type="dxa"/>
            <w:right w:w="108" w:type="dxa"/>
          </w:tblCellMar>
        </w:tblPrEx>
        <w:trPr>
          <w:cantSplit/>
          <w:trHeight w:val="462" w:hRule="atLeast"/>
          <w:jc w:val="center"/>
        </w:trPr>
        <w:tc>
          <w:tcPr>
            <w:tcW w:w="668" w:type="dxa"/>
            <w:vMerge w:val="restart"/>
            <w:tcBorders>
              <w:top w:val="nil"/>
              <w:left w:val="single" w:color="auto" w:sz="4" w:space="0"/>
              <w:bottom w:val="single" w:color="auto" w:sz="4" w:space="0"/>
              <w:right w:val="single" w:color="auto" w:sz="4" w:space="0"/>
            </w:tcBorders>
            <w:noWrap w:val="0"/>
            <w:vAlign w:val="center"/>
          </w:tcPr>
          <w:p w14:paraId="4AF52855">
            <w:pPr>
              <w:jc w:val="center"/>
              <w:rPr>
                <w:color w:val="auto"/>
                <w:sz w:val="18"/>
                <w:szCs w:val="18"/>
                <w:highlight w:val="none"/>
              </w:rPr>
            </w:pPr>
            <w:r>
              <w:rPr>
                <w:color w:val="auto"/>
                <w:sz w:val="18"/>
                <w:szCs w:val="18"/>
                <w:highlight w:val="none"/>
              </w:rPr>
              <w:t>(</w:t>
            </w:r>
            <w:r>
              <w:rPr>
                <w:rFonts w:hint="eastAsia"/>
                <w:color w:val="auto"/>
                <w:sz w:val="18"/>
                <w:szCs w:val="18"/>
                <w:highlight w:val="none"/>
              </w:rPr>
              <w:t>三</w:t>
            </w:r>
            <w:r>
              <w:rPr>
                <w:color w:val="auto"/>
                <w:sz w:val="18"/>
                <w:szCs w:val="18"/>
                <w:highlight w:val="none"/>
              </w:rPr>
              <w:t>)</w:t>
            </w:r>
            <w:r>
              <w:rPr>
                <w:rFonts w:hint="eastAsia"/>
                <w:color w:val="auto"/>
                <w:sz w:val="18"/>
                <w:szCs w:val="18"/>
                <w:highlight w:val="none"/>
              </w:rPr>
              <w:t>绿化管理</w:t>
            </w:r>
          </w:p>
        </w:tc>
        <w:tc>
          <w:tcPr>
            <w:tcW w:w="588" w:type="dxa"/>
            <w:tcBorders>
              <w:top w:val="single" w:color="auto" w:sz="4" w:space="0"/>
              <w:left w:val="nil"/>
              <w:bottom w:val="single" w:color="auto" w:sz="4" w:space="0"/>
              <w:right w:val="single" w:color="auto" w:sz="4" w:space="0"/>
            </w:tcBorders>
            <w:noWrap w:val="0"/>
            <w:vAlign w:val="center"/>
          </w:tcPr>
          <w:p w14:paraId="3B6C2F77">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1</w:t>
            </w:r>
            <w:r>
              <w:rPr>
                <w:rFonts w:hint="eastAsia"/>
                <w:color w:val="auto"/>
                <w:sz w:val="18"/>
                <w:szCs w:val="18"/>
                <w:highlight w:val="none"/>
              </w:rPr>
              <w:t>2</w:t>
            </w:r>
          </w:p>
        </w:tc>
        <w:tc>
          <w:tcPr>
            <w:tcW w:w="3118" w:type="dxa"/>
            <w:tcBorders>
              <w:top w:val="single" w:color="auto" w:sz="4" w:space="0"/>
              <w:left w:val="nil"/>
              <w:bottom w:val="single" w:color="auto" w:sz="4" w:space="0"/>
              <w:right w:val="single" w:color="auto" w:sz="4" w:space="0"/>
            </w:tcBorders>
            <w:noWrap w:val="0"/>
            <w:vAlign w:val="center"/>
          </w:tcPr>
          <w:p w14:paraId="20176308">
            <w:pPr>
              <w:jc w:val="left"/>
              <w:rPr>
                <w:color w:val="auto"/>
                <w:sz w:val="18"/>
                <w:szCs w:val="18"/>
                <w:highlight w:val="none"/>
              </w:rPr>
            </w:pPr>
            <w:r>
              <w:rPr>
                <w:rFonts w:hint="eastAsia"/>
                <w:color w:val="auto"/>
                <w:sz w:val="18"/>
                <w:szCs w:val="18"/>
                <w:highlight w:val="none"/>
              </w:rPr>
              <w:t>对他人违法破坏、违法占用绿化等违反绿化条例行为，未能及时发现、劝阻、上报或采取措施制止的，未按要求恢复的。</w:t>
            </w:r>
          </w:p>
        </w:tc>
        <w:tc>
          <w:tcPr>
            <w:tcW w:w="503" w:type="dxa"/>
            <w:tcBorders>
              <w:top w:val="single" w:color="auto" w:sz="4" w:space="0"/>
              <w:left w:val="nil"/>
              <w:bottom w:val="single" w:color="auto" w:sz="4" w:space="0"/>
              <w:right w:val="single" w:color="auto" w:sz="4" w:space="0"/>
            </w:tcBorders>
            <w:noWrap w:val="0"/>
            <w:vAlign w:val="center"/>
          </w:tcPr>
          <w:p w14:paraId="69E230EC">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2165D755">
            <w:pPr>
              <w:jc w:val="center"/>
              <w:rPr>
                <w:color w:val="auto"/>
                <w:sz w:val="18"/>
                <w:szCs w:val="18"/>
                <w:highlight w:val="none"/>
              </w:rPr>
            </w:pPr>
            <w:r>
              <w:rPr>
                <w:rFonts w:hint="eastAsia"/>
                <w:color w:val="auto"/>
                <w:sz w:val="18"/>
                <w:szCs w:val="18"/>
                <w:highlight w:val="none"/>
              </w:rPr>
              <w:t>扣0.2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52665301">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5FF988F">
            <w:pPr>
              <w:jc w:val="center"/>
              <w:rPr>
                <w:color w:val="auto"/>
                <w:sz w:val="18"/>
                <w:szCs w:val="18"/>
                <w:highlight w:val="none"/>
              </w:rPr>
            </w:pPr>
          </w:p>
        </w:tc>
      </w:tr>
      <w:tr w14:paraId="4A398440">
        <w:tblPrEx>
          <w:tblCellMar>
            <w:top w:w="0" w:type="dxa"/>
            <w:left w:w="108" w:type="dxa"/>
            <w:bottom w:w="0" w:type="dxa"/>
            <w:right w:w="108" w:type="dxa"/>
          </w:tblCellMar>
        </w:tblPrEx>
        <w:trPr>
          <w:cantSplit/>
          <w:trHeight w:val="464"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7F1F21CA">
            <w:pPr>
              <w:widowControl/>
              <w:jc w:val="left"/>
              <w:rPr>
                <w:color w:val="auto"/>
                <w:sz w:val="18"/>
                <w:szCs w:val="18"/>
                <w:highlight w:val="none"/>
              </w:rPr>
            </w:pPr>
          </w:p>
        </w:tc>
        <w:tc>
          <w:tcPr>
            <w:tcW w:w="588" w:type="dxa"/>
            <w:vMerge w:val="restart"/>
            <w:tcBorders>
              <w:top w:val="nil"/>
              <w:left w:val="nil"/>
              <w:bottom w:val="single" w:color="auto" w:sz="4" w:space="0"/>
              <w:right w:val="single" w:color="auto" w:sz="4" w:space="0"/>
            </w:tcBorders>
            <w:noWrap w:val="0"/>
            <w:vAlign w:val="center"/>
          </w:tcPr>
          <w:p w14:paraId="1F4BC234">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1</w:t>
            </w:r>
            <w:r>
              <w:rPr>
                <w:rFonts w:hint="eastAsia"/>
                <w:color w:val="auto"/>
                <w:sz w:val="18"/>
                <w:szCs w:val="18"/>
                <w:highlight w:val="none"/>
              </w:rPr>
              <w:t>3</w:t>
            </w:r>
          </w:p>
        </w:tc>
        <w:tc>
          <w:tcPr>
            <w:tcW w:w="3118" w:type="dxa"/>
            <w:vMerge w:val="restart"/>
            <w:tcBorders>
              <w:top w:val="nil"/>
              <w:left w:val="nil"/>
              <w:bottom w:val="single" w:color="auto" w:sz="4" w:space="0"/>
              <w:right w:val="single" w:color="auto" w:sz="4" w:space="0"/>
            </w:tcBorders>
            <w:noWrap w:val="0"/>
            <w:vAlign w:val="center"/>
          </w:tcPr>
          <w:p w14:paraId="272080C4">
            <w:pPr>
              <w:jc w:val="left"/>
              <w:rPr>
                <w:color w:val="auto"/>
                <w:sz w:val="18"/>
                <w:szCs w:val="18"/>
                <w:highlight w:val="none"/>
              </w:rPr>
            </w:pPr>
            <w:r>
              <w:rPr>
                <w:rFonts w:hint="eastAsia"/>
                <w:color w:val="auto"/>
                <w:sz w:val="18"/>
                <w:szCs w:val="18"/>
                <w:highlight w:val="none"/>
              </w:rPr>
              <w:t>出现媒体曝光、“美丽南宁”扣分案件以及被有关部门督办等情况，经核实确属养护不到位造成的。</w:t>
            </w:r>
          </w:p>
        </w:tc>
        <w:tc>
          <w:tcPr>
            <w:tcW w:w="503" w:type="dxa"/>
            <w:vMerge w:val="restart"/>
            <w:tcBorders>
              <w:top w:val="nil"/>
              <w:left w:val="nil"/>
              <w:bottom w:val="single" w:color="auto" w:sz="4" w:space="0"/>
              <w:right w:val="single" w:color="auto" w:sz="4" w:space="0"/>
            </w:tcBorders>
            <w:noWrap w:val="0"/>
            <w:vAlign w:val="center"/>
          </w:tcPr>
          <w:p w14:paraId="231B2B1C">
            <w:pPr>
              <w:jc w:val="center"/>
              <w:rPr>
                <w:color w:val="auto"/>
                <w:sz w:val="18"/>
                <w:szCs w:val="18"/>
                <w:highlight w:val="none"/>
              </w:rPr>
            </w:pPr>
            <w:r>
              <w:rPr>
                <w:rFonts w:hint="eastAsia"/>
                <w:color w:val="auto"/>
                <w:sz w:val="18"/>
                <w:szCs w:val="18"/>
                <w:highlight w:val="none"/>
              </w:rPr>
              <w:t>每件/</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153F444D">
            <w:pPr>
              <w:jc w:val="center"/>
              <w:rPr>
                <w:color w:val="auto"/>
                <w:sz w:val="18"/>
                <w:szCs w:val="18"/>
                <w:highlight w:val="none"/>
              </w:rPr>
            </w:pPr>
            <w:r>
              <w:rPr>
                <w:rFonts w:hint="eastAsia"/>
                <w:color w:val="auto"/>
                <w:sz w:val="18"/>
                <w:szCs w:val="18"/>
                <w:highlight w:val="none"/>
              </w:rPr>
              <w:t>扣6</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1FF3EA2F">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0F75C9CF">
            <w:pPr>
              <w:jc w:val="center"/>
              <w:rPr>
                <w:color w:val="auto"/>
                <w:sz w:val="18"/>
                <w:szCs w:val="18"/>
                <w:highlight w:val="none"/>
              </w:rPr>
            </w:pPr>
          </w:p>
        </w:tc>
      </w:tr>
      <w:tr w14:paraId="2E5BFBD1">
        <w:tblPrEx>
          <w:tblCellMar>
            <w:top w:w="0" w:type="dxa"/>
            <w:left w:w="108" w:type="dxa"/>
            <w:bottom w:w="0" w:type="dxa"/>
            <w:right w:w="108" w:type="dxa"/>
          </w:tblCellMar>
        </w:tblPrEx>
        <w:trPr>
          <w:cantSplit/>
          <w:trHeight w:val="236"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412F8E33">
            <w:pPr>
              <w:widowControl/>
              <w:jc w:val="left"/>
              <w:rPr>
                <w:color w:val="auto"/>
                <w:sz w:val="18"/>
                <w:szCs w:val="18"/>
                <w:highlight w:val="none"/>
              </w:rPr>
            </w:pPr>
          </w:p>
        </w:tc>
        <w:tc>
          <w:tcPr>
            <w:tcW w:w="588" w:type="dxa"/>
            <w:vMerge w:val="continue"/>
            <w:tcBorders>
              <w:top w:val="nil"/>
              <w:left w:val="nil"/>
              <w:bottom w:val="single" w:color="auto" w:sz="4" w:space="0"/>
              <w:right w:val="single" w:color="auto" w:sz="4" w:space="0"/>
            </w:tcBorders>
            <w:noWrap w:val="0"/>
            <w:vAlign w:val="center"/>
          </w:tcPr>
          <w:p w14:paraId="1DA53931">
            <w:pPr>
              <w:widowControl/>
              <w:jc w:val="left"/>
              <w:rPr>
                <w:color w:val="auto"/>
                <w:sz w:val="18"/>
                <w:szCs w:val="18"/>
                <w:highlight w:val="none"/>
              </w:rPr>
            </w:pPr>
          </w:p>
        </w:tc>
        <w:tc>
          <w:tcPr>
            <w:tcW w:w="3118" w:type="dxa"/>
            <w:vMerge w:val="continue"/>
            <w:tcBorders>
              <w:top w:val="nil"/>
              <w:left w:val="nil"/>
              <w:bottom w:val="single" w:color="auto" w:sz="4" w:space="0"/>
              <w:right w:val="single" w:color="auto" w:sz="4" w:space="0"/>
            </w:tcBorders>
            <w:noWrap w:val="0"/>
            <w:vAlign w:val="center"/>
          </w:tcPr>
          <w:p w14:paraId="28FC6521">
            <w:pPr>
              <w:widowControl/>
              <w:jc w:val="left"/>
              <w:rPr>
                <w:color w:val="auto"/>
                <w:sz w:val="18"/>
                <w:szCs w:val="18"/>
                <w:highlight w:val="none"/>
              </w:rPr>
            </w:pPr>
          </w:p>
        </w:tc>
        <w:tc>
          <w:tcPr>
            <w:tcW w:w="503" w:type="dxa"/>
            <w:vMerge w:val="continue"/>
            <w:tcBorders>
              <w:top w:val="nil"/>
              <w:left w:val="nil"/>
              <w:bottom w:val="single" w:color="auto" w:sz="4" w:space="0"/>
              <w:right w:val="single" w:color="auto" w:sz="4" w:space="0"/>
            </w:tcBorders>
            <w:noWrap w:val="0"/>
            <w:vAlign w:val="center"/>
          </w:tcPr>
          <w:p w14:paraId="716C8B4E">
            <w:pPr>
              <w:widowControl/>
              <w:jc w:val="left"/>
              <w:rPr>
                <w:color w:val="auto"/>
                <w:sz w:val="18"/>
                <w:szCs w:val="18"/>
                <w:highlight w:val="none"/>
              </w:rPr>
            </w:pPr>
          </w:p>
        </w:tc>
        <w:tc>
          <w:tcPr>
            <w:tcW w:w="810" w:type="dxa"/>
            <w:tcBorders>
              <w:top w:val="single" w:color="auto" w:sz="4" w:space="0"/>
              <w:left w:val="nil"/>
              <w:bottom w:val="single" w:color="auto" w:sz="4" w:space="0"/>
              <w:right w:val="single" w:color="auto" w:sz="4" w:space="0"/>
            </w:tcBorders>
            <w:noWrap w:val="0"/>
            <w:vAlign w:val="center"/>
          </w:tcPr>
          <w:p w14:paraId="1435502D">
            <w:pPr>
              <w:jc w:val="center"/>
              <w:rPr>
                <w:color w:val="auto"/>
                <w:sz w:val="18"/>
                <w:szCs w:val="18"/>
                <w:highlight w:val="none"/>
              </w:rPr>
            </w:pPr>
            <w:r>
              <w:rPr>
                <w:rFonts w:hint="eastAsia"/>
                <w:color w:val="auto"/>
                <w:sz w:val="18"/>
                <w:szCs w:val="18"/>
                <w:highlight w:val="none"/>
              </w:rPr>
              <w:t>假结案</w:t>
            </w:r>
          </w:p>
        </w:tc>
        <w:tc>
          <w:tcPr>
            <w:tcW w:w="765" w:type="dxa"/>
            <w:tcBorders>
              <w:top w:val="single" w:color="auto" w:sz="4" w:space="0"/>
              <w:left w:val="nil"/>
              <w:bottom w:val="single" w:color="auto" w:sz="4" w:space="0"/>
              <w:right w:val="single" w:color="auto" w:sz="4" w:space="0"/>
            </w:tcBorders>
            <w:noWrap w:val="0"/>
            <w:vAlign w:val="center"/>
          </w:tcPr>
          <w:p w14:paraId="1B2924F1">
            <w:pPr>
              <w:jc w:val="center"/>
              <w:rPr>
                <w:color w:val="auto"/>
                <w:sz w:val="18"/>
                <w:szCs w:val="18"/>
                <w:highlight w:val="none"/>
              </w:rPr>
            </w:pPr>
            <w:r>
              <w:rPr>
                <w:rFonts w:hint="eastAsia"/>
                <w:color w:val="auto"/>
                <w:sz w:val="18"/>
                <w:szCs w:val="18"/>
                <w:highlight w:val="none"/>
              </w:rPr>
              <w:t>扣7</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DB99158">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3F06A436">
            <w:pPr>
              <w:jc w:val="center"/>
              <w:rPr>
                <w:color w:val="auto"/>
                <w:sz w:val="18"/>
                <w:szCs w:val="18"/>
                <w:highlight w:val="none"/>
              </w:rPr>
            </w:pPr>
          </w:p>
        </w:tc>
      </w:tr>
      <w:tr w14:paraId="2DE1DFFA">
        <w:tblPrEx>
          <w:tblCellMar>
            <w:top w:w="0" w:type="dxa"/>
            <w:left w:w="108" w:type="dxa"/>
            <w:bottom w:w="0" w:type="dxa"/>
            <w:right w:w="108" w:type="dxa"/>
          </w:tblCellMar>
        </w:tblPrEx>
        <w:trPr>
          <w:cantSplit/>
          <w:trHeight w:val="413"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1379750E">
            <w:pPr>
              <w:widowControl/>
              <w:jc w:val="left"/>
              <w:rPr>
                <w:color w:val="auto"/>
                <w:sz w:val="18"/>
                <w:szCs w:val="18"/>
                <w:highlight w:val="none"/>
              </w:rPr>
            </w:pPr>
          </w:p>
        </w:tc>
        <w:tc>
          <w:tcPr>
            <w:tcW w:w="588" w:type="dxa"/>
            <w:vMerge w:val="restart"/>
            <w:tcBorders>
              <w:top w:val="nil"/>
              <w:left w:val="nil"/>
              <w:bottom w:val="single" w:color="auto" w:sz="4" w:space="0"/>
              <w:right w:val="single" w:color="auto" w:sz="4" w:space="0"/>
            </w:tcBorders>
            <w:noWrap w:val="0"/>
            <w:vAlign w:val="center"/>
          </w:tcPr>
          <w:p w14:paraId="4024A603">
            <w:pPr>
              <w:widowControl/>
              <w:jc w:val="center"/>
              <w:rPr>
                <w:color w:val="auto"/>
                <w:sz w:val="18"/>
                <w:szCs w:val="18"/>
                <w:highlight w:val="none"/>
              </w:rPr>
            </w:pPr>
            <w:r>
              <w:rPr>
                <w:rFonts w:hint="eastAsia"/>
                <w:color w:val="auto"/>
                <w:sz w:val="18"/>
                <w:szCs w:val="18"/>
                <w:highlight w:val="none"/>
              </w:rPr>
              <w:t>扣则</w:t>
            </w:r>
            <w:r>
              <w:rPr>
                <w:color w:val="auto"/>
                <w:sz w:val="18"/>
                <w:szCs w:val="18"/>
                <w:highlight w:val="none"/>
              </w:rPr>
              <w:t>1</w:t>
            </w:r>
            <w:r>
              <w:rPr>
                <w:rFonts w:hint="eastAsia"/>
                <w:color w:val="auto"/>
                <w:sz w:val="18"/>
                <w:szCs w:val="18"/>
                <w:highlight w:val="none"/>
              </w:rPr>
              <w:t>4</w:t>
            </w:r>
          </w:p>
        </w:tc>
        <w:tc>
          <w:tcPr>
            <w:tcW w:w="3118" w:type="dxa"/>
            <w:vMerge w:val="restart"/>
            <w:tcBorders>
              <w:top w:val="nil"/>
              <w:left w:val="nil"/>
              <w:bottom w:val="single" w:color="auto" w:sz="4" w:space="0"/>
              <w:right w:val="single" w:color="auto" w:sz="4" w:space="0"/>
            </w:tcBorders>
            <w:noWrap w:val="0"/>
            <w:vAlign w:val="center"/>
          </w:tcPr>
          <w:p w14:paraId="54502CD1">
            <w:pPr>
              <w:widowControl/>
              <w:jc w:val="left"/>
              <w:rPr>
                <w:color w:val="auto"/>
                <w:sz w:val="18"/>
                <w:szCs w:val="18"/>
                <w:highlight w:val="none"/>
              </w:rPr>
            </w:pPr>
            <w:r>
              <w:rPr>
                <w:rFonts w:hint="eastAsia"/>
                <w:color w:val="auto"/>
                <w:sz w:val="18"/>
                <w:szCs w:val="18"/>
                <w:highlight w:val="none"/>
              </w:rPr>
              <w:t>社会投诉、网上信访、市长热线投诉、数字化城管平台等案件出现整改不及时、造成不良影响、或假结案的。</w:t>
            </w:r>
          </w:p>
        </w:tc>
        <w:tc>
          <w:tcPr>
            <w:tcW w:w="503" w:type="dxa"/>
            <w:tcBorders>
              <w:top w:val="single" w:color="auto" w:sz="4" w:space="0"/>
              <w:left w:val="nil"/>
              <w:bottom w:val="single" w:color="auto" w:sz="4" w:space="0"/>
              <w:right w:val="single" w:color="auto" w:sz="4" w:space="0"/>
            </w:tcBorders>
            <w:noWrap w:val="0"/>
            <w:vAlign w:val="center"/>
          </w:tcPr>
          <w:p w14:paraId="2A495BF7">
            <w:pPr>
              <w:widowControl/>
              <w:jc w:val="center"/>
              <w:rPr>
                <w:color w:val="auto"/>
                <w:sz w:val="18"/>
                <w:szCs w:val="18"/>
                <w:highlight w:val="none"/>
              </w:rPr>
            </w:pPr>
            <w:r>
              <w:rPr>
                <w:rFonts w:hint="eastAsia"/>
                <w:color w:val="auto"/>
                <w:sz w:val="18"/>
                <w:szCs w:val="18"/>
                <w:highlight w:val="none"/>
              </w:rPr>
              <w:t>每件/</w:t>
            </w:r>
            <w:r>
              <w:rPr>
                <w:rFonts w:hint="eastAsia" w:ascii="宋体" w:hAnsi="宋体"/>
                <w:color w:val="auto"/>
                <w:sz w:val="18"/>
                <w:szCs w:val="18"/>
                <w:highlight w:val="none"/>
              </w:rPr>
              <w:t>次</w:t>
            </w:r>
          </w:p>
        </w:tc>
        <w:tc>
          <w:tcPr>
            <w:tcW w:w="810" w:type="dxa"/>
            <w:tcBorders>
              <w:top w:val="single" w:color="auto" w:sz="4" w:space="0"/>
              <w:left w:val="nil"/>
              <w:bottom w:val="single" w:color="auto" w:sz="4" w:space="0"/>
              <w:right w:val="single" w:color="auto" w:sz="4" w:space="0"/>
            </w:tcBorders>
            <w:noWrap w:val="0"/>
            <w:vAlign w:val="center"/>
          </w:tcPr>
          <w:p w14:paraId="6F9B7E60">
            <w:pPr>
              <w:jc w:val="center"/>
              <w:rPr>
                <w:color w:val="auto"/>
                <w:sz w:val="18"/>
                <w:szCs w:val="18"/>
                <w:highlight w:val="none"/>
              </w:rPr>
            </w:pPr>
            <w:r>
              <w:rPr>
                <w:rFonts w:hint="eastAsia"/>
                <w:color w:val="auto"/>
                <w:sz w:val="18"/>
                <w:szCs w:val="18"/>
                <w:highlight w:val="none"/>
              </w:rPr>
              <w:t>不及时</w:t>
            </w:r>
          </w:p>
        </w:tc>
        <w:tc>
          <w:tcPr>
            <w:tcW w:w="765" w:type="dxa"/>
            <w:tcBorders>
              <w:top w:val="single" w:color="auto" w:sz="4" w:space="0"/>
              <w:left w:val="nil"/>
              <w:bottom w:val="single" w:color="auto" w:sz="4" w:space="0"/>
              <w:right w:val="single" w:color="auto" w:sz="4" w:space="0"/>
            </w:tcBorders>
            <w:noWrap w:val="0"/>
            <w:vAlign w:val="center"/>
          </w:tcPr>
          <w:p w14:paraId="79E8BDC4">
            <w:pPr>
              <w:jc w:val="center"/>
              <w:rPr>
                <w:color w:val="auto"/>
                <w:sz w:val="18"/>
                <w:szCs w:val="18"/>
                <w:highlight w:val="none"/>
              </w:rPr>
            </w:pPr>
            <w:r>
              <w:rPr>
                <w:rFonts w:hint="eastAsia"/>
                <w:color w:val="auto"/>
                <w:sz w:val="18"/>
                <w:szCs w:val="18"/>
                <w:highlight w:val="none"/>
              </w:rPr>
              <w:t>扣2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BA8297E">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15AC19C">
            <w:pPr>
              <w:jc w:val="center"/>
              <w:rPr>
                <w:color w:val="auto"/>
                <w:sz w:val="18"/>
                <w:szCs w:val="18"/>
                <w:highlight w:val="none"/>
              </w:rPr>
            </w:pPr>
          </w:p>
        </w:tc>
      </w:tr>
      <w:tr w14:paraId="39B9CC50">
        <w:tblPrEx>
          <w:tblCellMar>
            <w:top w:w="0" w:type="dxa"/>
            <w:left w:w="108" w:type="dxa"/>
            <w:bottom w:w="0" w:type="dxa"/>
            <w:right w:w="108" w:type="dxa"/>
          </w:tblCellMar>
        </w:tblPrEx>
        <w:trPr>
          <w:cantSplit/>
          <w:trHeight w:val="260"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26C72BB3">
            <w:pPr>
              <w:widowControl/>
              <w:jc w:val="left"/>
              <w:rPr>
                <w:color w:val="auto"/>
                <w:sz w:val="18"/>
                <w:szCs w:val="18"/>
                <w:highlight w:val="none"/>
              </w:rPr>
            </w:pPr>
          </w:p>
        </w:tc>
        <w:tc>
          <w:tcPr>
            <w:tcW w:w="588" w:type="dxa"/>
            <w:vMerge w:val="continue"/>
            <w:tcBorders>
              <w:top w:val="nil"/>
              <w:left w:val="nil"/>
              <w:bottom w:val="single" w:color="auto" w:sz="4" w:space="0"/>
              <w:right w:val="single" w:color="auto" w:sz="4" w:space="0"/>
            </w:tcBorders>
            <w:noWrap w:val="0"/>
            <w:vAlign w:val="center"/>
          </w:tcPr>
          <w:p w14:paraId="6A3629C5">
            <w:pPr>
              <w:widowControl/>
              <w:jc w:val="left"/>
              <w:rPr>
                <w:color w:val="auto"/>
                <w:sz w:val="18"/>
                <w:szCs w:val="18"/>
                <w:highlight w:val="none"/>
              </w:rPr>
            </w:pPr>
          </w:p>
        </w:tc>
        <w:tc>
          <w:tcPr>
            <w:tcW w:w="3118" w:type="dxa"/>
            <w:vMerge w:val="continue"/>
            <w:tcBorders>
              <w:top w:val="nil"/>
              <w:left w:val="nil"/>
              <w:bottom w:val="single" w:color="auto" w:sz="4" w:space="0"/>
              <w:right w:val="single" w:color="auto" w:sz="4" w:space="0"/>
            </w:tcBorders>
            <w:noWrap w:val="0"/>
            <w:vAlign w:val="center"/>
          </w:tcPr>
          <w:p w14:paraId="3C6088AF">
            <w:pPr>
              <w:widowControl/>
              <w:jc w:val="left"/>
              <w:rPr>
                <w:color w:val="auto"/>
                <w:sz w:val="18"/>
                <w:szCs w:val="18"/>
                <w:highlight w:val="none"/>
              </w:rPr>
            </w:pPr>
          </w:p>
        </w:tc>
        <w:tc>
          <w:tcPr>
            <w:tcW w:w="503" w:type="dxa"/>
            <w:tcBorders>
              <w:top w:val="single" w:color="auto" w:sz="4" w:space="0"/>
              <w:left w:val="nil"/>
              <w:bottom w:val="single" w:color="auto" w:sz="4" w:space="0"/>
              <w:right w:val="single" w:color="auto" w:sz="4" w:space="0"/>
            </w:tcBorders>
            <w:noWrap w:val="0"/>
            <w:vAlign w:val="center"/>
          </w:tcPr>
          <w:p w14:paraId="7BE82325">
            <w:pPr>
              <w:widowControl/>
              <w:jc w:val="center"/>
              <w:rPr>
                <w:color w:val="auto"/>
                <w:sz w:val="18"/>
                <w:szCs w:val="18"/>
                <w:highlight w:val="none"/>
              </w:rPr>
            </w:pPr>
            <w:r>
              <w:rPr>
                <w:rFonts w:hint="eastAsia"/>
                <w:color w:val="auto"/>
                <w:sz w:val="18"/>
                <w:szCs w:val="18"/>
                <w:highlight w:val="none"/>
              </w:rPr>
              <w:t>每件/</w:t>
            </w:r>
            <w:r>
              <w:rPr>
                <w:rFonts w:hint="eastAsia" w:ascii="宋体" w:hAnsi="宋体"/>
                <w:color w:val="auto"/>
                <w:sz w:val="18"/>
                <w:szCs w:val="18"/>
                <w:highlight w:val="none"/>
              </w:rPr>
              <w:t>次</w:t>
            </w:r>
          </w:p>
        </w:tc>
        <w:tc>
          <w:tcPr>
            <w:tcW w:w="810" w:type="dxa"/>
            <w:tcBorders>
              <w:top w:val="single" w:color="auto" w:sz="4" w:space="0"/>
              <w:left w:val="nil"/>
              <w:bottom w:val="single" w:color="auto" w:sz="4" w:space="0"/>
              <w:right w:val="single" w:color="auto" w:sz="4" w:space="0"/>
            </w:tcBorders>
            <w:noWrap w:val="0"/>
            <w:vAlign w:val="center"/>
          </w:tcPr>
          <w:p w14:paraId="35714020">
            <w:pPr>
              <w:jc w:val="center"/>
              <w:rPr>
                <w:color w:val="auto"/>
                <w:sz w:val="18"/>
                <w:szCs w:val="18"/>
                <w:highlight w:val="none"/>
              </w:rPr>
            </w:pPr>
            <w:r>
              <w:rPr>
                <w:rFonts w:hint="eastAsia"/>
                <w:color w:val="auto"/>
                <w:sz w:val="18"/>
                <w:szCs w:val="18"/>
                <w:highlight w:val="none"/>
              </w:rPr>
              <w:t>假结案</w:t>
            </w:r>
          </w:p>
        </w:tc>
        <w:tc>
          <w:tcPr>
            <w:tcW w:w="765" w:type="dxa"/>
            <w:tcBorders>
              <w:top w:val="single" w:color="auto" w:sz="4" w:space="0"/>
              <w:left w:val="nil"/>
              <w:bottom w:val="single" w:color="auto" w:sz="4" w:space="0"/>
              <w:right w:val="single" w:color="auto" w:sz="4" w:space="0"/>
            </w:tcBorders>
            <w:noWrap w:val="0"/>
            <w:vAlign w:val="center"/>
          </w:tcPr>
          <w:p w14:paraId="0A320D85">
            <w:pPr>
              <w:jc w:val="center"/>
              <w:rPr>
                <w:color w:val="auto"/>
                <w:sz w:val="18"/>
                <w:szCs w:val="18"/>
                <w:highlight w:val="none"/>
              </w:rPr>
            </w:pPr>
            <w:r>
              <w:rPr>
                <w:rFonts w:hint="eastAsia"/>
                <w:color w:val="auto"/>
                <w:sz w:val="18"/>
                <w:szCs w:val="18"/>
                <w:highlight w:val="none"/>
              </w:rPr>
              <w:t>扣5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112DF7D0">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3F0EF153">
            <w:pPr>
              <w:jc w:val="center"/>
              <w:rPr>
                <w:color w:val="auto"/>
                <w:sz w:val="18"/>
                <w:szCs w:val="18"/>
                <w:highlight w:val="none"/>
              </w:rPr>
            </w:pPr>
          </w:p>
        </w:tc>
      </w:tr>
      <w:tr w14:paraId="04CF9326">
        <w:tblPrEx>
          <w:tblCellMar>
            <w:top w:w="0" w:type="dxa"/>
            <w:left w:w="108" w:type="dxa"/>
            <w:bottom w:w="0" w:type="dxa"/>
            <w:right w:w="108" w:type="dxa"/>
          </w:tblCellMar>
        </w:tblPrEx>
        <w:trPr>
          <w:cantSplit/>
          <w:trHeight w:val="458" w:hRule="atLeast"/>
          <w:jc w:val="center"/>
        </w:trPr>
        <w:tc>
          <w:tcPr>
            <w:tcW w:w="668" w:type="dxa"/>
            <w:vMerge w:val="restart"/>
            <w:tcBorders>
              <w:top w:val="nil"/>
              <w:left w:val="single" w:color="auto" w:sz="4" w:space="0"/>
              <w:bottom w:val="single" w:color="auto" w:sz="4" w:space="0"/>
              <w:right w:val="single" w:color="auto" w:sz="4" w:space="0"/>
            </w:tcBorders>
            <w:noWrap w:val="0"/>
            <w:vAlign w:val="center"/>
          </w:tcPr>
          <w:p w14:paraId="74BC4D8B">
            <w:pPr>
              <w:jc w:val="center"/>
              <w:rPr>
                <w:color w:val="auto"/>
                <w:sz w:val="18"/>
                <w:szCs w:val="18"/>
                <w:highlight w:val="none"/>
              </w:rPr>
            </w:pPr>
          </w:p>
          <w:p w14:paraId="277A826E">
            <w:pPr>
              <w:jc w:val="center"/>
              <w:rPr>
                <w:color w:val="auto"/>
                <w:sz w:val="18"/>
                <w:szCs w:val="18"/>
                <w:highlight w:val="none"/>
              </w:rPr>
            </w:pPr>
          </w:p>
          <w:p w14:paraId="2DCC1BE2">
            <w:pPr>
              <w:jc w:val="center"/>
              <w:rPr>
                <w:color w:val="auto"/>
                <w:sz w:val="18"/>
                <w:szCs w:val="18"/>
                <w:highlight w:val="none"/>
              </w:rPr>
            </w:pPr>
          </w:p>
          <w:p w14:paraId="0923EC69">
            <w:pPr>
              <w:jc w:val="center"/>
              <w:rPr>
                <w:color w:val="auto"/>
                <w:sz w:val="18"/>
                <w:szCs w:val="18"/>
                <w:highlight w:val="none"/>
              </w:rPr>
            </w:pPr>
          </w:p>
          <w:p w14:paraId="27B79643">
            <w:pPr>
              <w:jc w:val="center"/>
              <w:rPr>
                <w:color w:val="auto"/>
                <w:sz w:val="18"/>
                <w:szCs w:val="18"/>
                <w:highlight w:val="none"/>
              </w:rPr>
            </w:pPr>
          </w:p>
          <w:p w14:paraId="7CF91ABA">
            <w:pPr>
              <w:jc w:val="center"/>
              <w:rPr>
                <w:color w:val="auto"/>
                <w:sz w:val="18"/>
                <w:szCs w:val="18"/>
                <w:highlight w:val="none"/>
              </w:rPr>
            </w:pPr>
          </w:p>
          <w:p w14:paraId="360D6C07">
            <w:pPr>
              <w:rPr>
                <w:color w:val="auto"/>
                <w:sz w:val="18"/>
                <w:szCs w:val="18"/>
                <w:highlight w:val="none"/>
              </w:rPr>
            </w:pPr>
          </w:p>
          <w:p w14:paraId="12311C15">
            <w:pPr>
              <w:rPr>
                <w:color w:val="auto"/>
                <w:sz w:val="18"/>
                <w:szCs w:val="18"/>
                <w:highlight w:val="none"/>
              </w:rPr>
            </w:pPr>
            <w:r>
              <w:rPr>
                <w:rFonts w:hint="eastAsia"/>
                <w:color w:val="auto"/>
                <w:sz w:val="18"/>
                <w:szCs w:val="18"/>
                <w:highlight w:val="none"/>
              </w:rPr>
              <w:t>(</w:t>
            </w:r>
            <w:r>
              <w:rPr>
                <w:rFonts w:hint="eastAsia" w:ascii="宋体" w:hAnsi="宋体"/>
                <w:color w:val="auto"/>
                <w:sz w:val="18"/>
                <w:szCs w:val="18"/>
                <w:highlight w:val="none"/>
              </w:rPr>
              <w:t>四</w:t>
            </w:r>
            <w:r>
              <w:rPr>
                <w:color w:val="auto"/>
                <w:sz w:val="18"/>
                <w:szCs w:val="18"/>
                <w:highlight w:val="none"/>
              </w:rPr>
              <w:t>)</w:t>
            </w:r>
            <w:r>
              <w:rPr>
                <w:rFonts w:hint="eastAsia"/>
                <w:color w:val="auto"/>
                <w:sz w:val="18"/>
                <w:szCs w:val="18"/>
                <w:highlight w:val="none"/>
              </w:rPr>
              <w:t>养护管理</w:t>
            </w:r>
          </w:p>
          <w:p w14:paraId="7796B6D9">
            <w:pPr>
              <w:jc w:val="center"/>
              <w:rPr>
                <w:color w:val="auto"/>
                <w:sz w:val="18"/>
                <w:szCs w:val="18"/>
                <w:highlight w:val="none"/>
              </w:rPr>
            </w:pPr>
          </w:p>
          <w:p w14:paraId="1101E362">
            <w:pPr>
              <w:jc w:val="center"/>
              <w:rPr>
                <w:color w:val="auto"/>
                <w:sz w:val="18"/>
                <w:szCs w:val="18"/>
                <w:highlight w:val="none"/>
              </w:rPr>
            </w:pPr>
          </w:p>
          <w:p w14:paraId="4316DBBE">
            <w:pPr>
              <w:jc w:val="center"/>
              <w:rPr>
                <w:color w:val="auto"/>
                <w:sz w:val="18"/>
                <w:szCs w:val="18"/>
                <w:highlight w:val="none"/>
              </w:rPr>
            </w:pPr>
          </w:p>
          <w:p w14:paraId="4336AC6C">
            <w:pPr>
              <w:jc w:val="center"/>
              <w:rPr>
                <w:color w:val="auto"/>
                <w:sz w:val="18"/>
                <w:szCs w:val="18"/>
                <w:highlight w:val="none"/>
              </w:rPr>
            </w:pPr>
          </w:p>
          <w:p w14:paraId="4407F40A">
            <w:pPr>
              <w:jc w:val="center"/>
              <w:rPr>
                <w:color w:val="auto"/>
                <w:sz w:val="18"/>
                <w:szCs w:val="18"/>
                <w:highlight w:val="none"/>
              </w:rPr>
            </w:pPr>
          </w:p>
          <w:p w14:paraId="2B9BA79E">
            <w:pPr>
              <w:jc w:val="center"/>
              <w:rPr>
                <w:color w:val="auto"/>
                <w:sz w:val="18"/>
                <w:szCs w:val="18"/>
                <w:highlight w:val="none"/>
              </w:rPr>
            </w:pPr>
          </w:p>
          <w:p w14:paraId="64BDAA2C">
            <w:pPr>
              <w:jc w:val="center"/>
              <w:rPr>
                <w:color w:val="auto"/>
                <w:sz w:val="18"/>
                <w:szCs w:val="18"/>
                <w:highlight w:val="none"/>
              </w:rPr>
            </w:pPr>
          </w:p>
          <w:p w14:paraId="442FDCD6">
            <w:pPr>
              <w:jc w:val="center"/>
              <w:rPr>
                <w:color w:val="auto"/>
                <w:sz w:val="18"/>
                <w:szCs w:val="18"/>
                <w:highlight w:val="none"/>
              </w:rPr>
            </w:pPr>
          </w:p>
          <w:p w14:paraId="52807C04">
            <w:pPr>
              <w:jc w:val="center"/>
              <w:rPr>
                <w:color w:val="auto"/>
                <w:sz w:val="18"/>
                <w:szCs w:val="18"/>
                <w:highlight w:val="none"/>
              </w:rPr>
            </w:pPr>
          </w:p>
          <w:p w14:paraId="56D89AD0">
            <w:pPr>
              <w:jc w:val="center"/>
              <w:rPr>
                <w:color w:val="auto"/>
                <w:sz w:val="18"/>
                <w:szCs w:val="18"/>
                <w:highlight w:val="none"/>
              </w:rPr>
            </w:pPr>
          </w:p>
          <w:p w14:paraId="28E6366A">
            <w:pPr>
              <w:jc w:val="center"/>
              <w:rPr>
                <w:color w:val="auto"/>
                <w:sz w:val="18"/>
                <w:szCs w:val="18"/>
                <w:highlight w:val="none"/>
              </w:rPr>
            </w:pPr>
          </w:p>
          <w:p w14:paraId="491D865A">
            <w:pPr>
              <w:rPr>
                <w:color w:val="auto"/>
                <w:sz w:val="18"/>
                <w:szCs w:val="18"/>
                <w:highlight w:val="none"/>
              </w:rPr>
            </w:pPr>
          </w:p>
          <w:p w14:paraId="3603DDA0">
            <w:pPr>
              <w:pStyle w:val="29"/>
              <w:rPr>
                <w:color w:val="auto"/>
                <w:highlight w:val="none"/>
              </w:rPr>
            </w:pPr>
          </w:p>
          <w:p w14:paraId="49BE3F41">
            <w:pPr>
              <w:pStyle w:val="10"/>
              <w:rPr>
                <w:rFonts w:hint="eastAsia"/>
                <w:color w:val="auto"/>
                <w:highlight w:val="none"/>
              </w:rPr>
            </w:pPr>
          </w:p>
          <w:p w14:paraId="5B4BEE80">
            <w:pPr>
              <w:rPr>
                <w:color w:val="auto"/>
                <w:sz w:val="18"/>
                <w:szCs w:val="18"/>
                <w:highlight w:val="none"/>
              </w:rPr>
            </w:pPr>
          </w:p>
          <w:p w14:paraId="64DDA586">
            <w:pPr>
              <w:pStyle w:val="29"/>
              <w:rPr>
                <w:color w:val="auto"/>
                <w:highlight w:val="none"/>
              </w:rPr>
            </w:pPr>
          </w:p>
          <w:p w14:paraId="633FE0ED">
            <w:pPr>
              <w:pStyle w:val="10"/>
              <w:rPr>
                <w:color w:val="auto"/>
                <w:highlight w:val="none"/>
              </w:rPr>
            </w:pPr>
          </w:p>
          <w:p w14:paraId="33699B76">
            <w:pPr>
              <w:pStyle w:val="28"/>
              <w:rPr>
                <w:rFonts w:hint="eastAsia"/>
                <w:color w:val="auto"/>
                <w:highlight w:val="none"/>
              </w:rPr>
            </w:pPr>
          </w:p>
          <w:p w14:paraId="291029C7">
            <w:pPr>
              <w:rPr>
                <w:color w:val="auto"/>
                <w:sz w:val="18"/>
                <w:szCs w:val="18"/>
                <w:highlight w:val="none"/>
              </w:rPr>
            </w:pPr>
            <w:r>
              <w:rPr>
                <w:color w:val="auto"/>
                <w:sz w:val="18"/>
                <w:szCs w:val="18"/>
                <w:highlight w:val="none"/>
              </w:rPr>
              <w:t>(</w:t>
            </w:r>
            <w:r>
              <w:rPr>
                <w:rFonts w:hint="eastAsia"/>
                <w:color w:val="auto"/>
                <w:sz w:val="18"/>
                <w:szCs w:val="18"/>
                <w:highlight w:val="none"/>
              </w:rPr>
              <w:t>四</w:t>
            </w:r>
            <w:r>
              <w:rPr>
                <w:color w:val="auto"/>
                <w:sz w:val="18"/>
                <w:szCs w:val="18"/>
                <w:highlight w:val="none"/>
              </w:rPr>
              <w:t>)</w:t>
            </w:r>
            <w:r>
              <w:rPr>
                <w:rFonts w:hint="eastAsia"/>
                <w:color w:val="auto"/>
                <w:sz w:val="18"/>
                <w:szCs w:val="18"/>
                <w:highlight w:val="none"/>
              </w:rPr>
              <w:t>养护管理</w:t>
            </w:r>
          </w:p>
        </w:tc>
        <w:tc>
          <w:tcPr>
            <w:tcW w:w="588" w:type="dxa"/>
            <w:tcBorders>
              <w:top w:val="single" w:color="auto" w:sz="4" w:space="0"/>
              <w:left w:val="nil"/>
              <w:bottom w:val="single" w:color="auto" w:sz="4" w:space="0"/>
              <w:right w:val="single" w:color="auto" w:sz="4" w:space="0"/>
            </w:tcBorders>
            <w:noWrap w:val="0"/>
            <w:vAlign w:val="center"/>
          </w:tcPr>
          <w:p w14:paraId="7078040B">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1</w:t>
            </w:r>
            <w:r>
              <w:rPr>
                <w:rFonts w:hint="eastAsia"/>
                <w:color w:val="auto"/>
                <w:sz w:val="18"/>
                <w:szCs w:val="18"/>
                <w:highlight w:val="none"/>
              </w:rPr>
              <w:t>5</w:t>
            </w:r>
          </w:p>
        </w:tc>
        <w:tc>
          <w:tcPr>
            <w:tcW w:w="3118" w:type="dxa"/>
            <w:tcBorders>
              <w:top w:val="single" w:color="auto" w:sz="4" w:space="0"/>
              <w:left w:val="nil"/>
              <w:bottom w:val="single" w:color="auto" w:sz="4" w:space="0"/>
              <w:right w:val="single" w:color="auto" w:sz="4" w:space="0"/>
            </w:tcBorders>
            <w:noWrap w:val="0"/>
            <w:vAlign w:val="center"/>
          </w:tcPr>
          <w:p w14:paraId="72374609">
            <w:pPr>
              <w:jc w:val="left"/>
              <w:rPr>
                <w:color w:val="auto"/>
                <w:sz w:val="18"/>
                <w:szCs w:val="18"/>
                <w:highlight w:val="none"/>
              </w:rPr>
            </w:pPr>
            <w:r>
              <w:rPr>
                <w:rFonts w:hint="eastAsia"/>
                <w:color w:val="auto"/>
                <w:sz w:val="18"/>
                <w:szCs w:val="18"/>
                <w:highlight w:val="none"/>
              </w:rPr>
              <w:t>未按要求进行松土、做树盘、做边线的，或土壤板结的。</w:t>
            </w:r>
          </w:p>
        </w:tc>
        <w:tc>
          <w:tcPr>
            <w:tcW w:w="503" w:type="dxa"/>
            <w:tcBorders>
              <w:top w:val="single" w:color="auto" w:sz="4" w:space="0"/>
              <w:left w:val="nil"/>
              <w:bottom w:val="single" w:color="auto" w:sz="4" w:space="0"/>
              <w:right w:val="single" w:color="auto" w:sz="4" w:space="0"/>
            </w:tcBorders>
            <w:noWrap w:val="0"/>
            <w:vAlign w:val="center"/>
          </w:tcPr>
          <w:p w14:paraId="318B203D">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021E668A">
            <w:pPr>
              <w:jc w:val="center"/>
              <w:rPr>
                <w:color w:val="auto"/>
                <w:sz w:val="18"/>
                <w:szCs w:val="18"/>
                <w:highlight w:val="none"/>
              </w:rPr>
            </w:pPr>
            <w:r>
              <w:rPr>
                <w:rFonts w:hint="eastAsia"/>
                <w:color w:val="auto"/>
                <w:sz w:val="18"/>
                <w:szCs w:val="18"/>
                <w:highlight w:val="none"/>
              </w:rPr>
              <w:t>扣</w:t>
            </w:r>
            <w:r>
              <w:rPr>
                <w:color w:val="auto"/>
                <w:sz w:val="18"/>
                <w:szCs w:val="18"/>
                <w:highlight w:val="none"/>
              </w:rPr>
              <w:t>0.2</w:t>
            </w:r>
            <w:r>
              <w:rPr>
                <w:rFonts w:hint="eastAsia"/>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0682F6E7">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0CC1F626">
            <w:pPr>
              <w:jc w:val="center"/>
              <w:rPr>
                <w:color w:val="auto"/>
                <w:sz w:val="18"/>
                <w:szCs w:val="18"/>
                <w:highlight w:val="none"/>
              </w:rPr>
            </w:pPr>
          </w:p>
        </w:tc>
      </w:tr>
      <w:tr w14:paraId="07B2C247">
        <w:tblPrEx>
          <w:tblCellMar>
            <w:top w:w="0" w:type="dxa"/>
            <w:left w:w="108" w:type="dxa"/>
            <w:bottom w:w="0" w:type="dxa"/>
            <w:right w:w="108" w:type="dxa"/>
          </w:tblCellMar>
        </w:tblPrEx>
        <w:trPr>
          <w:cantSplit/>
          <w:trHeight w:val="316"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06C4622F">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4D95D51A">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1</w:t>
            </w:r>
            <w:r>
              <w:rPr>
                <w:rFonts w:hint="eastAsia"/>
                <w:color w:val="auto"/>
                <w:sz w:val="18"/>
                <w:szCs w:val="18"/>
                <w:highlight w:val="none"/>
              </w:rPr>
              <w:t>6</w:t>
            </w:r>
          </w:p>
        </w:tc>
        <w:tc>
          <w:tcPr>
            <w:tcW w:w="3118" w:type="dxa"/>
            <w:tcBorders>
              <w:top w:val="single" w:color="auto" w:sz="4" w:space="0"/>
              <w:left w:val="nil"/>
              <w:bottom w:val="single" w:color="auto" w:sz="4" w:space="0"/>
              <w:right w:val="single" w:color="auto" w:sz="4" w:space="0"/>
            </w:tcBorders>
            <w:noWrap w:val="0"/>
            <w:vAlign w:val="center"/>
          </w:tcPr>
          <w:p w14:paraId="200137CB">
            <w:pPr>
              <w:jc w:val="left"/>
              <w:rPr>
                <w:color w:val="auto"/>
                <w:sz w:val="18"/>
                <w:szCs w:val="18"/>
                <w:highlight w:val="none"/>
              </w:rPr>
            </w:pPr>
            <w:r>
              <w:rPr>
                <w:rFonts w:hint="eastAsia"/>
                <w:color w:val="auto"/>
                <w:sz w:val="18"/>
                <w:szCs w:val="18"/>
                <w:highlight w:val="none"/>
              </w:rPr>
              <w:t>未按要求除杂，或杂草明显的。</w:t>
            </w:r>
          </w:p>
        </w:tc>
        <w:tc>
          <w:tcPr>
            <w:tcW w:w="503" w:type="dxa"/>
            <w:tcBorders>
              <w:top w:val="single" w:color="auto" w:sz="4" w:space="0"/>
              <w:left w:val="nil"/>
              <w:bottom w:val="single" w:color="auto" w:sz="4" w:space="0"/>
              <w:right w:val="single" w:color="auto" w:sz="4" w:space="0"/>
            </w:tcBorders>
            <w:noWrap w:val="0"/>
            <w:vAlign w:val="center"/>
          </w:tcPr>
          <w:p w14:paraId="3AE29B08">
            <w:pPr>
              <w:jc w:val="center"/>
              <w:rPr>
                <w:color w:val="auto"/>
                <w:sz w:val="18"/>
                <w:szCs w:val="18"/>
                <w:highlight w:val="none"/>
              </w:rPr>
            </w:pPr>
          </w:p>
        </w:tc>
        <w:tc>
          <w:tcPr>
            <w:tcW w:w="1575" w:type="dxa"/>
            <w:gridSpan w:val="2"/>
            <w:tcBorders>
              <w:top w:val="single" w:color="auto" w:sz="4" w:space="0"/>
              <w:left w:val="nil"/>
              <w:bottom w:val="single" w:color="auto" w:sz="4" w:space="0"/>
              <w:right w:val="single" w:color="auto" w:sz="4" w:space="0"/>
            </w:tcBorders>
            <w:noWrap w:val="0"/>
            <w:vAlign w:val="center"/>
          </w:tcPr>
          <w:p w14:paraId="38C5467F">
            <w:pPr>
              <w:jc w:val="center"/>
              <w:rPr>
                <w:color w:val="auto"/>
                <w:sz w:val="18"/>
                <w:szCs w:val="18"/>
                <w:highlight w:val="none"/>
              </w:rPr>
            </w:pPr>
            <w:r>
              <w:rPr>
                <w:rFonts w:hint="eastAsia"/>
                <w:color w:val="auto"/>
                <w:sz w:val="18"/>
                <w:szCs w:val="18"/>
                <w:highlight w:val="none"/>
              </w:rPr>
              <w:t>扣0.2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A6EADFE">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338AE381">
            <w:pPr>
              <w:jc w:val="center"/>
              <w:rPr>
                <w:color w:val="auto"/>
                <w:sz w:val="18"/>
                <w:szCs w:val="18"/>
                <w:highlight w:val="none"/>
              </w:rPr>
            </w:pPr>
          </w:p>
        </w:tc>
      </w:tr>
      <w:tr w14:paraId="64B52B6C">
        <w:tblPrEx>
          <w:tblCellMar>
            <w:top w:w="0" w:type="dxa"/>
            <w:left w:w="108" w:type="dxa"/>
            <w:bottom w:w="0" w:type="dxa"/>
            <w:right w:w="108" w:type="dxa"/>
          </w:tblCellMar>
        </w:tblPrEx>
        <w:trPr>
          <w:cantSplit/>
          <w:trHeight w:val="688"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004A73FF">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16037CD9">
            <w:pPr>
              <w:jc w:val="center"/>
              <w:rPr>
                <w:color w:val="auto"/>
                <w:sz w:val="18"/>
                <w:szCs w:val="18"/>
                <w:highlight w:val="none"/>
              </w:rPr>
            </w:pPr>
            <w:r>
              <w:rPr>
                <w:rFonts w:hint="eastAsia"/>
                <w:color w:val="auto"/>
                <w:sz w:val="18"/>
                <w:szCs w:val="18"/>
                <w:highlight w:val="none"/>
              </w:rPr>
              <w:t>扣则17</w:t>
            </w:r>
          </w:p>
        </w:tc>
        <w:tc>
          <w:tcPr>
            <w:tcW w:w="3118" w:type="dxa"/>
            <w:tcBorders>
              <w:top w:val="single" w:color="auto" w:sz="4" w:space="0"/>
              <w:left w:val="nil"/>
              <w:bottom w:val="single" w:color="auto" w:sz="4" w:space="0"/>
              <w:right w:val="single" w:color="auto" w:sz="4" w:space="0"/>
            </w:tcBorders>
            <w:noWrap w:val="0"/>
            <w:vAlign w:val="center"/>
          </w:tcPr>
          <w:p w14:paraId="53280AE8">
            <w:pPr>
              <w:jc w:val="left"/>
              <w:rPr>
                <w:color w:val="auto"/>
                <w:sz w:val="18"/>
                <w:szCs w:val="18"/>
                <w:highlight w:val="none"/>
              </w:rPr>
            </w:pPr>
            <w:r>
              <w:rPr>
                <w:rFonts w:hint="eastAsia"/>
                <w:color w:val="auto"/>
                <w:sz w:val="18"/>
                <w:szCs w:val="18"/>
                <w:highlight w:val="none"/>
              </w:rPr>
              <w:t>乔木未按规范和相关要求进行整形修剪低垂枝、萌蘖枝、病虫枝、伤残枝、</w:t>
            </w:r>
            <w:r>
              <w:rPr>
                <w:rFonts w:hint="eastAsia"/>
                <w:color w:val="auto"/>
                <w:sz w:val="18"/>
                <w:szCs w:val="18"/>
                <w:highlight w:val="none"/>
                <w:lang w:val="en-US" w:eastAsia="zh-CN"/>
              </w:rPr>
              <w:t>内</w:t>
            </w:r>
            <w:r>
              <w:rPr>
                <w:rFonts w:hint="eastAsia"/>
                <w:color w:val="auto"/>
                <w:sz w:val="18"/>
                <w:szCs w:val="18"/>
                <w:highlight w:val="none"/>
              </w:rPr>
              <w:t>膛枝干枯枝等需要清除的枝条，修剪不当影响景观或存在安全隐患的。</w:t>
            </w:r>
          </w:p>
        </w:tc>
        <w:tc>
          <w:tcPr>
            <w:tcW w:w="503" w:type="dxa"/>
            <w:tcBorders>
              <w:top w:val="single" w:color="auto" w:sz="4" w:space="0"/>
              <w:left w:val="nil"/>
              <w:bottom w:val="single" w:color="auto" w:sz="4" w:space="0"/>
              <w:right w:val="single" w:color="auto" w:sz="4" w:space="0"/>
            </w:tcBorders>
            <w:noWrap w:val="0"/>
            <w:vAlign w:val="center"/>
          </w:tcPr>
          <w:p w14:paraId="1F55E9C8">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6A686B1E">
            <w:pPr>
              <w:jc w:val="center"/>
              <w:rPr>
                <w:color w:val="auto"/>
                <w:sz w:val="18"/>
                <w:szCs w:val="18"/>
                <w:highlight w:val="none"/>
              </w:rPr>
            </w:pPr>
            <w:r>
              <w:rPr>
                <w:rFonts w:hint="eastAsia"/>
                <w:color w:val="auto"/>
                <w:sz w:val="18"/>
                <w:szCs w:val="18"/>
                <w:highlight w:val="none"/>
              </w:rPr>
              <w:t>扣0.4</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435C130">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CBE146D">
            <w:pPr>
              <w:jc w:val="center"/>
              <w:rPr>
                <w:color w:val="auto"/>
                <w:sz w:val="18"/>
                <w:szCs w:val="18"/>
                <w:highlight w:val="none"/>
              </w:rPr>
            </w:pPr>
          </w:p>
        </w:tc>
      </w:tr>
      <w:tr w14:paraId="00BCE7A3">
        <w:tblPrEx>
          <w:tblCellMar>
            <w:top w:w="0" w:type="dxa"/>
            <w:left w:w="108" w:type="dxa"/>
            <w:bottom w:w="0" w:type="dxa"/>
            <w:right w:w="108" w:type="dxa"/>
          </w:tblCellMar>
        </w:tblPrEx>
        <w:trPr>
          <w:cantSplit/>
          <w:trHeight w:val="278"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344A2C36">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618CAFF0">
            <w:pPr>
              <w:widowControl/>
              <w:jc w:val="center"/>
              <w:rPr>
                <w:color w:val="auto"/>
                <w:sz w:val="18"/>
                <w:szCs w:val="18"/>
                <w:highlight w:val="none"/>
              </w:rPr>
            </w:pPr>
            <w:r>
              <w:rPr>
                <w:rFonts w:hint="eastAsia"/>
                <w:color w:val="auto"/>
                <w:sz w:val="18"/>
                <w:szCs w:val="18"/>
                <w:highlight w:val="none"/>
              </w:rPr>
              <w:t>扣则18</w:t>
            </w:r>
          </w:p>
        </w:tc>
        <w:tc>
          <w:tcPr>
            <w:tcW w:w="3118" w:type="dxa"/>
            <w:tcBorders>
              <w:top w:val="single" w:color="auto" w:sz="4" w:space="0"/>
              <w:left w:val="nil"/>
              <w:bottom w:val="single" w:color="auto" w:sz="4" w:space="0"/>
              <w:right w:val="single" w:color="auto" w:sz="4" w:space="0"/>
            </w:tcBorders>
            <w:noWrap w:val="0"/>
            <w:vAlign w:val="center"/>
          </w:tcPr>
          <w:p w14:paraId="3CBB0951">
            <w:pPr>
              <w:widowControl/>
              <w:jc w:val="left"/>
              <w:rPr>
                <w:color w:val="auto"/>
                <w:sz w:val="18"/>
                <w:szCs w:val="18"/>
                <w:highlight w:val="none"/>
              </w:rPr>
            </w:pPr>
            <w:r>
              <w:rPr>
                <w:rFonts w:hint="eastAsia"/>
                <w:color w:val="auto"/>
                <w:sz w:val="18"/>
                <w:szCs w:val="18"/>
                <w:highlight w:val="none"/>
              </w:rPr>
              <w:t>灌木整形不符合景观要求或修剪不规范的。</w:t>
            </w:r>
          </w:p>
        </w:tc>
        <w:tc>
          <w:tcPr>
            <w:tcW w:w="503" w:type="dxa"/>
            <w:tcBorders>
              <w:top w:val="single" w:color="auto" w:sz="4" w:space="0"/>
              <w:left w:val="nil"/>
              <w:bottom w:val="single" w:color="auto" w:sz="4" w:space="0"/>
              <w:right w:val="single" w:color="auto" w:sz="4" w:space="0"/>
            </w:tcBorders>
            <w:noWrap w:val="0"/>
            <w:vAlign w:val="center"/>
          </w:tcPr>
          <w:p w14:paraId="652F06FE">
            <w:pPr>
              <w:widowControl/>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225D19B3">
            <w:pPr>
              <w:jc w:val="center"/>
              <w:rPr>
                <w:color w:val="auto"/>
                <w:sz w:val="18"/>
                <w:szCs w:val="18"/>
                <w:highlight w:val="none"/>
              </w:rPr>
            </w:pPr>
            <w:r>
              <w:rPr>
                <w:rFonts w:hint="eastAsia"/>
                <w:color w:val="auto"/>
                <w:sz w:val="18"/>
                <w:szCs w:val="18"/>
                <w:highlight w:val="none"/>
              </w:rPr>
              <w:t>扣0.2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E06D4A9">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146343F">
            <w:pPr>
              <w:jc w:val="center"/>
              <w:rPr>
                <w:color w:val="auto"/>
                <w:sz w:val="18"/>
                <w:szCs w:val="18"/>
                <w:highlight w:val="none"/>
              </w:rPr>
            </w:pPr>
          </w:p>
        </w:tc>
      </w:tr>
      <w:tr w14:paraId="3328BC98">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7CDBD97E">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262DE17E">
            <w:pPr>
              <w:jc w:val="center"/>
              <w:rPr>
                <w:color w:val="auto"/>
                <w:sz w:val="18"/>
                <w:szCs w:val="18"/>
                <w:highlight w:val="none"/>
              </w:rPr>
            </w:pPr>
            <w:r>
              <w:rPr>
                <w:rFonts w:hint="eastAsia"/>
                <w:color w:val="auto"/>
                <w:sz w:val="18"/>
                <w:szCs w:val="18"/>
                <w:highlight w:val="none"/>
              </w:rPr>
              <w:t>扣则19</w:t>
            </w:r>
          </w:p>
        </w:tc>
        <w:tc>
          <w:tcPr>
            <w:tcW w:w="3118" w:type="dxa"/>
            <w:tcBorders>
              <w:top w:val="single" w:color="auto" w:sz="4" w:space="0"/>
              <w:left w:val="nil"/>
              <w:bottom w:val="single" w:color="auto" w:sz="4" w:space="0"/>
              <w:right w:val="single" w:color="auto" w:sz="4" w:space="0"/>
            </w:tcBorders>
            <w:noWrap w:val="0"/>
            <w:vAlign w:val="center"/>
          </w:tcPr>
          <w:p w14:paraId="592F34D4">
            <w:pPr>
              <w:jc w:val="left"/>
              <w:rPr>
                <w:color w:val="auto"/>
                <w:sz w:val="18"/>
                <w:szCs w:val="18"/>
                <w:highlight w:val="none"/>
              </w:rPr>
            </w:pPr>
            <w:r>
              <w:rPr>
                <w:rFonts w:hint="eastAsia"/>
                <w:color w:val="auto"/>
                <w:sz w:val="18"/>
                <w:szCs w:val="18"/>
                <w:highlight w:val="none"/>
              </w:rPr>
              <w:t>不合理控制草坪高度，不按要求打草；草坪色块交界处未按要求进行切边。</w:t>
            </w:r>
          </w:p>
        </w:tc>
        <w:tc>
          <w:tcPr>
            <w:tcW w:w="503" w:type="dxa"/>
            <w:tcBorders>
              <w:top w:val="single" w:color="auto" w:sz="4" w:space="0"/>
              <w:left w:val="nil"/>
              <w:bottom w:val="single" w:color="auto" w:sz="4" w:space="0"/>
              <w:right w:val="single" w:color="auto" w:sz="4" w:space="0"/>
            </w:tcBorders>
            <w:noWrap w:val="0"/>
            <w:vAlign w:val="center"/>
          </w:tcPr>
          <w:p w14:paraId="2ABCBED6">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13347245">
            <w:pPr>
              <w:jc w:val="center"/>
              <w:rPr>
                <w:rFonts w:hint="eastAsia"/>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7A044315">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4FF0D3B2">
            <w:pPr>
              <w:jc w:val="center"/>
              <w:rPr>
                <w:color w:val="auto"/>
                <w:sz w:val="18"/>
                <w:szCs w:val="18"/>
                <w:highlight w:val="none"/>
              </w:rPr>
            </w:pPr>
          </w:p>
        </w:tc>
      </w:tr>
      <w:tr w14:paraId="75AE89EB">
        <w:tblPrEx>
          <w:tblCellMar>
            <w:top w:w="0" w:type="dxa"/>
            <w:left w:w="108" w:type="dxa"/>
            <w:bottom w:w="0" w:type="dxa"/>
            <w:right w:w="108" w:type="dxa"/>
          </w:tblCellMar>
        </w:tblPrEx>
        <w:trPr>
          <w:cantSplit/>
          <w:trHeight w:val="414"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567ABCEE">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4B6039FC">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2</w:t>
            </w:r>
            <w:r>
              <w:rPr>
                <w:rFonts w:hint="eastAsia"/>
                <w:color w:val="auto"/>
                <w:sz w:val="18"/>
                <w:szCs w:val="18"/>
                <w:highlight w:val="none"/>
              </w:rPr>
              <w:t>0</w:t>
            </w:r>
          </w:p>
        </w:tc>
        <w:tc>
          <w:tcPr>
            <w:tcW w:w="3118" w:type="dxa"/>
            <w:tcBorders>
              <w:top w:val="single" w:color="auto" w:sz="4" w:space="0"/>
              <w:left w:val="nil"/>
              <w:bottom w:val="single" w:color="auto" w:sz="4" w:space="0"/>
              <w:right w:val="single" w:color="auto" w:sz="4" w:space="0"/>
            </w:tcBorders>
            <w:noWrap w:val="0"/>
            <w:vAlign w:val="center"/>
          </w:tcPr>
          <w:p w14:paraId="0FD94D80">
            <w:pPr>
              <w:jc w:val="left"/>
              <w:rPr>
                <w:color w:val="auto"/>
                <w:sz w:val="18"/>
                <w:szCs w:val="18"/>
                <w:highlight w:val="none"/>
              </w:rPr>
            </w:pPr>
            <w:r>
              <w:rPr>
                <w:rFonts w:hint="eastAsia"/>
                <w:color w:val="auto"/>
                <w:sz w:val="18"/>
                <w:szCs w:val="18"/>
                <w:highlight w:val="none"/>
              </w:rPr>
              <w:t>未及时淋水、植物出现干旱缺水迹象明显，或致植物死亡。</w:t>
            </w:r>
          </w:p>
        </w:tc>
        <w:tc>
          <w:tcPr>
            <w:tcW w:w="503" w:type="dxa"/>
            <w:tcBorders>
              <w:top w:val="single" w:color="auto" w:sz="4" w:space="0"/>
              <w:left w:val="nil"/>
              <w:bottom w:val="single" w:color="auto" w:sz="4" w:space="0"/>
              <w:right w:val="single" w:color="auto" w:sz="4" w:space="0"/>
            </w:tcBorders>
            <w:noWrap w:val="0"/>
            <w:vAlign w:val="center"/>
          </w:tcPr>
          <w:p w14:paraId="2445D05B">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492E9663">
            <w:pPr>
              <w:jc w:val="center"/>
              <w:rPr>
                <w:color w:val="auto"/>
                <w:sz w:val="18"/>
                <w:szCs w:val="18"/>
                <w:highlight w:val="none"/>
              </w:rPr>
            </w:pPr>
            <w:r>
              <w:rPr>
                <w:rFonts w:hint="eastAsia"/>
                <w:color w:val="auto"/>
                <w:sz w:val="18"/>
                <w:szCs w:val="18"/>
                <w:highlight w:val="none"/>
              </w:rPr>
              <w:t>扣1</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53ED24C9">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0848D2C4">
            <w:pPr>
              <w:jc w:val="center"/>
              <w:rPr>
                <w:color w:val="auto"/>
                <w:sz w:val="18"/>
                <w:szCs w:val="18"/>
                <w:highlight w:val="none"/>
              </w:rPr>
            </w:pPr>
          </w:p>
        </w:tc>
      </w:tr>
      <w:tr w14:paraId="47DBB39D">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10F961E6">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0EE90EBE">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2</w:t>
            </w:r>
            <w:r>
              <w:rPr>
                <w:rFonts w:hint="eastAsia"/>
                <w:color w:val="auto"/>
                <w:sz w:val="18"/>
                <w:szCs w:val="18"/>
                <w:highlight w:val="none"/>
              </w:rPr>
              <w:t>1</w:t>
            </w:r>
          </w:p>
        </w:tc>
        <w:tc>
          <w:tcPr>
            <w:tcW w:w="3118" w:type="dxa"/>
            <w:tcBorders>
              <w:top w:val="single" w:color="auto" w:sz="4" w:space="0"/>
              <w:left w:val="nil"/>
              <w:bottom w:val="single" w:color="auto" w:sz="4" w:space="0"/>
              <w:right w:val="single" w:color="auto" w:sz="4" w:space="0"/>
            </w:tcBorders>
            <w:noWrap w:val="0"/>
            <w:vAlign w:val="center"/>
          </w:tcPr>
          <w:p w14:paraId="2FA5789E">
            <w:pPr>
              <w:jc w:val="left"/>
              <w:rPr>
                <w:color w:val="auto"/>
                <w:sz w:val="18"/>
                <w:szCs w:val="18"/>
                <w:highlight w:val="none"/>
              </w:rPr>
            </w:pPr>
            <w:r>
              <w:rPr>
                <w:rFonts w:hint="eastAsia"/>
                <w:color w:val="auto"/>
                <w:sz w:val="18"/>
                <w:szCs w:val="18"/>
                <w:highlight w:val="none"/>
              </w:rPr>
              <w:t>植物明显的生长不良，有缺肥症状，未及时施肥的；或因施肥不当、浇灌工作不及时造成肥害现象的。</w:t>
            </w:r>
          </w:p>
        </w:tc>
        <w:tc>
          <w:tcPr>
            <w:tcW w:w="503" w:type="dxa"/>
            <w:tcBorders>
              <w:top w:val="single" w:color="auto" w:sz="4" w:space="0"/>
              <w:left w:val="nil"/>
              <w:bottom w:val="single" w:color="auto" w:sz="4" w:space="0"/>
              <w:right w:val="single" w:color="auto" w:sz="4" w:space="0"/>
            </w:tcBorders>
            <w:noWrap w:val="0"/>
            <w:vAlign w:val="center"/>
          </w:tcPr>
          <w:p w14:paraId="4208A2C9">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1CB34F32">
            <w:pPr>
              <w:jc w:val="center"/>
              <w:rPr>
                <w:color w:val="auto"/>
                <w:sz w:val="18"/>
                <w:szCs w:val="18"/>
                <w:highlight w:val="none"/>
              </w:rPr>
            </w:pPr>
            <w:r>
              <w:rPr>
                <w:rFonts w:hint="eastAsia"/>
                <w:color w:val="auto"/>
                <w:sz w:val="18"/>
                <w:szCs w:val="18"/>
                <w:highlight w:val="none"/>
              </w:rPr>
              <w:t>扣0.5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03736F0C">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44F3CD3E">
            <w:pPr>
              <w:jc w:val="center"/>
              <w:rPr>
                <w:color w:val="auto"/>
                <w:sz w:val="18"/>
                <w:szCs w:val="18"/>
                <w:highlight w:val="none"/>
              </w:rPr>
            </w:pPr>
          </w:p>
        </w:tc>
      </w:tr>
      <w:tr w14:paraId="1AA4EC2B">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26AB9F09">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27316299">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2</w:t>
            </w:r>
            <w:r>
              <w:rPr>
                <w:rFonts w:hint="eastAsia"/>
                <w:color w:val="auto"/>
                <w:sz w:val="18"/>
                <w:szCs w:val="18"/>
                <w:highlight w:val="none"/>
              </w:rPr>
              <w:t>2</w:t>
            </w:r>
          </w:p>
        </w:tc>
        <w:tc>
          <w:tcPr>
            <w:tcW w:w="3118" w:type="dxa"/>
            <w:tcBorders>
              <w:top w:val="single" w:color="auto" w:sz="4" w:space="0"/>
              <w:left w:val="nil"/>
              <w:bottom w:val="single" w:color="auto" w:sz="4" w:space="0"/>
              <w:right w:val="single" w:color="auto" w:sz="4" w:space="0"/>
            </w:tcBorders>
            <w:noWrap w:val="0"/>
            <w:vAlign w:val="center"/>
          </w:tcPr>
          <w:p w14:paraId="5361957F">
            <w:pPr>
              <w:jc w:val="left"/>
              <w:rPr>
                <w:color w:val="auto"/>
                <w:sz w:val="18"/>
                <w:szCs w:val="18"/>
                <w:highlight w:val="none"/>
              </w:rPr>
            </w:pPr>
            <w:r>
              <w:rPr>
                <w:rFonts w:hint="eastAsia"/>
                <w:color w:val="auto"/>
                <w:sz w:val="18"/>
                <w:szCs w:val="18"/>
                <w:highlight w:val="none"/>
              </w:rPr>
              <w:t>未能严格按照公园要求及指导施肥的，施肥数量与施肥计划不符或因施肥方式不当异味明显的。</w:t>
            </w:r>
          </w:p>
        </w:tc>
        <w:tc>
          <w:tcPr>
            <w:tcW w:w="503" w:type="dxa"/>
            <w:tcBorders>
              <w:top w:val="single" w:color="auto" w:sz="4" w:space="0"/>
              <w:left w:val="nil"/>
              <w:bottom w:val="single" w:color="auto" w:sz="4" w:space="0"/>
              <w:right w:val="single" w:color="auto" w:sz="4" w:space="0"/>
            </w:tcBorders>
            <w:noWrap w:val="0"/>
            <w:vAlign w:val="center"/>
          </w:tcPr>
          <w:p w14:paraId="41AA97A2">
            <w:pP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6EB2101A">
            <w:pPr>
              <w:jc w:val="center"/>
              <w:rPr>
                <w:color w:val="auto"/>
                <w:sz w:val="18"/>
                <w:szCs w:val="18"/>
                <w:highlight w:val="none"/>
              </w:rPr>
            </w:pPr>
            <w:r>
              <w:rPr>
                <w:rFonts w:hint="eastAsia"/>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160A2901">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24546CC">
            <w:pPr>
              <w:jc w:val="center"/>
              <w:rPr>
                <w:color w:val="auto"/>
                <w:sz w:val="18"/>
                <w:szCs w:val="18"/>
                <w:highlight w:val="none"/>
              </w:rPr>
            </w:pPr>
          </w:p>
        </w:tc>
      </w:tr>
      <w:tr w14:paraId="7B395C77">
        <w:tblPrEx>
          <w:tblCellMar>
            <w:top w:w="0" w:type="dxa"/>
            <w:left w:w="108" w:type="dxa"/>
            <w:bottom w:w="0" w:type="dxa"/>
            <w:right w:w="108" w:type="dxa"/>
          </w:tblCellMar>
        </w:tblPrEx>
        <w:trPr>
          <w:cantSplit/>
          <w:trHeight w:val="771"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60D3F06F">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6EA67D32">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2</w:t>
            </w:r>
            <w:r>
              <w:rPr>
                <w:rFonts w:hint="eastAsia"/>
                <w:color w:val="auto"/>
                <w:sz w:val="18"/>
                <w:szCs w:val="18"/>
                <w:highlight w:val="none"/>
              </w:rPr>
              <w:t>3</w:t>
            </w:r>
          </w:p>
        </w:tc>
        <w:tc>
          <w:tcPr>
            <w:tcW w:w="3118" w:type="dxa"/>
            <w:tcBorders>
              <w:top w:val="single" w:color="auto" w:sz="4" w:space="0"/>
              <w:left w:val="nil"/>
              <w:bottom w:val="single" w:color="auto" w:sz="4" w:space="0"/>
              <w:right w:val="single" w:color="auto" w:sz="4" w:space="0"/>
            </w:tcBorders>
            <w:noWrap w:val="0"/>
            <w:vAlign w:val="center"/>
          </w:tcPr>
          <w:p w14:paraId="31734E58">
            <w:pPr>
              <w:jc w:val="left"/>
              <w:rPr>
                <w:color w:val="auto"/>
                <w:sz w:val="18"/>
                <w:szCs w:val="18"/>
                <w:highlight w:val="none"/>
              </w:rPr>
            </w:pPr>
            <w:r>
              <w:rPr>
                <w:rFonts w:hint="eastAsia"/>
                <w:color w:val="auto"/>
                <w:sz w:val="18"/>
                <w:szCs w:val="18"/>
                <w:highlight w:val="none"/>
              </w:rPr>
              <w:t>绿地、花池、水面等存在绿化垃圾、杂物或落叶过多；花坛泥土过多（过高土）；园林植物有明显污渍、积尘，绿地内有鼠迹等,</w:t>
            </w:r>
            <w:r>
              <w:rPr>
                <w:rFonts w:hint="eastAsia" w:ascii="宋体" w:hAnsi="宋体"/>
                <w:color w:val="auto"/>
                <w:sz w:val="18"/>
                <w:szCs w:val="18"/>
                <w:highlight w:val="none"/>
              </w:rPr>
              <w:t>或其它绿地乱象的。</w:t>
            </w:r>
          </w:p>
        </w:tc>
        <w:tc>
          <w:tcPr>
            <w:tcW w:w="503" w:type="dxa"/>
            <w:tcBorders>
              <w:top w:val="single" w:color="auto" w:sz="4" w:space="0"/>
              <w:left w:val="nil"/>
              <w:bottom w:val="single" w:color="auto" w:sz="4" w:space="0"/>
              <w:right w:val="single" w:color="auto" w:sz="4" w:space="0"/>
            </w:tcBorders>
            <w:noWrap w:val="0"/>
            <w:vAlign w:val="center"/>
          </w:tcPr>
          <w:p w14:paraId="3E0BF47E">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3C76619C">
            <w:pPr>
              <w:jc w:val="center"/>
              <w:rPr>
                <w:color w:val="auto"/>
                <w:sz w:val="18"/>
                <w:szCs w:val="18"/>
                <w:highlight w:val="none"/>
              </w:rPr>
            </w:pPr>
            <w:r>
              <w:rPr>
                <w:rFonts w:hint="eastAsia"/>
                <w:color w:val="auto"/>
                <w:sz w:val="18"/>
                <w:szCs w:val="18"/>
                <w:highlight w:val="none"/>
              </w:rPr>
              <w:t>扣0.2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C082DB5">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C36ABAC">
            <w:pPr>
              <w:jc w:val="center"/>
              <w:rPr>
                <w:color w:val="auto"/>
                <w:sz w:val="18"/>
                <w:szCs w:val="18"/>
                <w:highlight w:val="none"/>
              </w:rPr>
            </w:pPr>
          </w:p>
        </w:tc>
      </w:tr>
      <w:tr w14:paraId="15FF0605">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2FCA4FCA">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2C51A887">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2</w:t>
            </w:r>
            <w:r>
              <w:rPr>
                <w:rFonts w:hint="eastAsia"/>
                <w:color w:val="auto"/>
                <w:sz w:val="18"/>
                <w:szCs w:val="18"/>
                <w:highlight w:val="none"/>
              </w:rPr>
              <w:t>4</w:t>
            </w:r>
          </w:p>
        </w:tc>
        <w:tc>
          <w:tcPr>
            <w:tcW w:w="3118" w:type="dxa"/>
            <w:tcBorders>
              <w:top w:val="single" w:color="auto" w:sz="4" w:space="0"/>
              <w:left w:val="nil"/>
              <w:bottom w:val="single" w:color="auto" w:sz="4" w:space="0"/>
              <w:right w:val="single" w:color="auto" w:sz="4" w:space="0"/>
            </w:tcBorders>
            <w:noWrap w:val="0"/>
            <w:vAlign w:val="center"/>
          </w:tcPr>
          <w:p w14:paraId="4D10F939">
            <w:pPr>
              <w:jc w:val="left"/>
              <w:rPr>
                <w:color w:val="auto"/>
                <w:sz w:val="18"/>
                <w:szCs w:val="18"/>
                <w:highlight w:val="none"/>
              </w:rPr>
            </w:pPr>
            <w:r>
              <w:rPr>
                <w:rFonts w:hint="eastAsia"/>
                <w:color w:val="auto"/>
                <w:sz w:val="18"/>
                <w:szCs w:val="18"/>
                <w:highlight w:val="none"/>
              </w:rPr>
              <w:t>绿化垃圾未及时清运、堆放不规范、绿地内焚烧树叶杂物等。</w:t>
            </w:r>
          </w:p>
        </w:tc>
        <w:tc>
          <w:tcPr>
            <w:tcW w:w="503" w:type="dxa"/>
            <w:tcBorders>
              <w:top w:val="single" w:color="auto" w:sz="4" w:space="0"/>
              <w:left w:val="nil"/>
              <w:bottom w:val="single" w:color="auto" w:sz="4" w:space="0"/>
              <w:right w:val="single" w:color="auto" w:sz="4" w:space="0"/>
            </w:tcBorders>
            <w:noWrap w:val="0"/>
            <w:vAlign w:val="center"/>
          </w:tcPr>
          <w:p w14:paraId="3A6868AA">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2C64840F">
            <w:pPr>
              <w:jc w:val="center"/>
              <w:rPr>
                <w:color w:val="auto"/>
                <w:sz w:val="18"/>
                <w:szCs w:val="18"/>
                <w:highlight w:val="none"/>
              </w:rPr>
            </w:pPr>
            <w:r>
              <w:rPr>
                <w:rFonts w:hint="eastAsia"/>
                <w:color w:val="auto"/>
                <w:sz w:val="18"/>
                <w:szCs w:val="18"/>
                <w:highlight w:val="none"/>
              </w:rPr>
              <w:t>扣0.5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6F53222F">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0791DDBA">
            <w:pPr>
              <w:jc w:val="center"/>
              <w:rPr>
                <w:color w:val="auto"/>
                <w:sz w:val="18"/>
                <w:szCs w:val="18"/>
                <w:highlight w:val="none"/>
              </w:rPr>
            </w:pPr>
          </w:p>
        </w:tc>
      </w:tr>
      <w:tr w14:paraId="6C1CAC8B">
        <w:tblPrEx>
          <w:tblCellMar>
            <w:top w:w="0" w:type="dxa"/>
            <w:left w:w="108" w:type="dxa"/>
            <w:bottom w:w="0" w:type="dxa"/>
            <w:right w:w="108" w:type="dxa"/>
          </w:tblCellMar>
        </w:tblPrEx>
        <w:trPr>
          <w:cantSplit/>
          <w:trHeight w:val="400"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65C71E94">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3AF4995D">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2</w:t>
            </w:r>
            <w:r>
              <w:rPr>
                <w:rFonts w:hint="eastAsia"/>
                <w:color w:val="auto"/>
                <w:sz w:val="18"/>
                <w:szCs w:val="18"/>
                <w:highlight w:val="none"/>
              </w:rPr>
              <w:t>5</w:t>
            </w:r>
          </w:p>
        </w:tc>
        <w:tc>
          <w:tcPr>
            <w:tcW w:w="3118" w:type="dxa"/>
            <w:tcBorders>
              <w:top w:val="single" w:color="auto" w:sz="4" w:space="0"/>
              <w:left w:val="nil"/>
              <w:bottom w:val="single" w:color="auto" w:sz="4" w:space="0"/>
              <w:right w:val="single" w:color="auto" w:sz="4" w:space="0"/>
            </w:tcBorders>
            <w:noWrap w:val="0"/>
            <w:vAlign w:val="center"/>
          </w:tcPr>
          <w:p w14:paraId="1132773E">
            <w:pPr>
              <w:jc w:val="left"/>
              <w:rPr>
                <w:color w:val="auto"/>
                <w:sz w:val="18"/>
                <w:szCs w:val="18"/>
                <w:highlight w:val="none"/>
              </w:rPr>
            </w:pPr>
            <w:r>
              <w:rPr>
                <w:rFonts w:hint="eastAsia"/>
                <w:color w:val="auto"/>
                <w:sz w:val="18"/>
                <w:szCs w:val="18"/>
                <w:highlight w:val="none"/>
              </w:rPr>
              <w:t>生产资料、工具等物品堆放、使用管理不规范。</w:t>
            </w:r>
          </w:p>
        </w:tc>
        <w:tc>
          <w:tcPr>
            <w:tcW w:w="503" w:type="dxa"/>
            <w:tcBorders>
              <w:top w:val="single" w:color="auto" w:sz="4" w:space="0"/>
              <w:left w:val="nil"/>
              <w:bottom w:val="single" w:color="auto" w:sz="4" w:space="0"/>
              <w:right w:val="single" w:color="auto" w:sz="4" w:space="0"/>
            </w:tcBorders>
            <w:noWrap w:val="0"/>
            <w:vAlign w:val="center"/>
          </w:tcPr>
          <w:p w14:paraId="5921B5B0">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29E22E9C">
            <w:pPr>
              <w:jc w:val="center"/>
              <w:rPr>
                <w:color w:val="auto"/>
                <w:sz w:val="18"/>
                <w:szCs w:val="18"/>
                <w:highlight w:val="none"/>
              </w:rPr>
            </w:pPr>
            <w:r>
              <w:rPr>
                <w:rFonts w:hint="eastAsia"/>
                <w:color w:val="auto"/>
                <w:sz w:val="18"/>
                <w:szCs w:val="18"/>
                <w:highlight w:val="none"/>
              </w:rPr>
              <w:t>扣0.1分</w:t>
            </w:r>
          </w:p>
        </w:tc>
        <w:tc>
          <w:tcPr>
            <w:tcW w:w="570" w:type="dxa"/>
            <w:tcBorders>
              <w:top w:val="single" w:color="auto" w:sz="4" w:space="0"/>
              <w:left w:val="nil"/>
              <w:bottom w:val="single" w:color="auto" w:sz="4" w:space="0"/>
              <w:right w:val="single" w:color="auto" w:sz="4" w:space="0"/>
            </w:tcBorders>
            <w:noWrap w:val="0"/>
            <w:vAlign w:val="center"/>
          </w:tcPr>
          <w:p w14:paraId="676DE809">
            <w:pPr>
              <w:ind w:firstLine="180" w:firstLineChars="100"/>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0779CC2">
            <w:pPr>
              <w:ind w:firstLine="180" w:firstLineChars="100"/>
              <w:jc w:val="center"/>
              <w:rPr>
                <w:color w:val="auto"/>
                <w:sz w:val="18"/>
                <w:szCs w:val="18"/>
                <w:highlight w:val="none"/>
              </w:rPr>
            </w:pPr>
          </w:p>
        </w:tc>
      </w:tr>
      <w:tr w14:paraId="240A0BFA">
        <w:tblPrEx>
          <w:tblCellMar>
            <w:top w:w="0" w:type="dxa"/>
            <w:left w:w="108" w:type="dxa"/>
            <w:bottom w:w="0" w:type="dxa"/>
            <w:right w:w="108" w:type="dxa"/>
          </w:tblCellMar>
        </w:tblPrEx>
        <w:trPr>
          <w:cantSplit/>
          <w:trHeight w:val="368"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2B31F031">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47592BA5">
            <w:pPr>
              <w:jc w:val="center"/>
              <w:rPr>
                <w:color w:val="auto"/>
                <w:sz w:val="18"/>
                <w:szCs w:val="18"/>
                <w:highlight w:val="none"/>
              </w:rPr>
            </w:pPr>
            <w:r>
              <w:rPr>
                <w:rFonts w:hint="eastAsia"/>
                <w:color w:val="auto"/>
                <w:sz w:val="18"/>
                <w:szCs w:val="18"/>
                <w:highlight w:val="none"/>
              </w:rPr>
              <w:t>扣则26</w:t>
            </w:r>
          </w:p>
        </w:tc>
        <w:tc>
          <w:tcPr>
            <w:tcW w:w="3118" w:type="dxa"/>
            <w:tcBorders>
              <w:top w:val="single" w:color="auto" w:sz="4" w:space="0"/>
              <w:left w:val="nil"/>
              <w:bottom w:val="single" w:color="auto" w:sz="4" w:space="0"/>
              <w:right w:val="single" w:color="auto" w:sz="4" w:space="0"/>
            </w:tcBorders>
            <w:noWrap w:val="0"/>
            <w:vAlign w:val="center"/>
          </w:tcPr>
          <w:p w14:paraId="09080CF1">
            <w:pPr>
              <w:jc w:val="left"/>
              <w:rPr>
                <w:color w:val="auto"/>
                <w:sz w:val="18"/>
                <w:szCs w:val="18"/>
                <w:highlight w:val="none"/>
              </w:rPr>
            </w:pPr>
            <w:r>
              <w:rPr>
                <w:rFonts w:hint="eastAsia"/>
                <w:color w:val="auto"/>
                <w:sz w:val="18"/>
                <w:szCs w:val="18"/>
                <w:highlight w:val="none"/>
              </w:rPr>
              <w:t>绿地积水，未按要求及时处理的。</w:t>
            </w:r>
          </w:p>
        </w:tc>
        <w:tc>
          <w:tcPr>
            <w:tcW w:w="503" w:type="dxa"/>
            <w:tcBorders>
              <w:top w:val="single" w:color="auto" w:sz="4" w:space="0"/>
              <w:left w:val="nil"/>
              <w:bottom w:val="single" w:color="auto" w:sz="4" w:space="0"/>
              <w:right w:val="single" w:color="auto" w:sz="4" w:space="0"/>
            </w:tcBorders>
            <w:noWrap w:val="0"/>
            <w:vAlign w:val="center"/>
          </w:tcPr>
          <w:p w14:paraId="7EE3D8B1">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66964DC8">
            <w:pPr>
              <w:jc w:val="center"/>
              <w:rPr>
                <w:color w:val="auto"/>
                <w:sz w:val="18"/>
                <w:szCs w:val="18"/>
                <w:highlight w:val="none"/>
              </w:rPr>
            </w:pPr>
            <w:r>
              <w:rPr>
                <w:rFonts w:hint="eastAsia"/>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3B28A7BB">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3CD0F1B1">
            <w:pPr>
              <w:jc w:val="center"/>
              <w:rPr>
                <w:color w:val="auto"/>
                <w:sz w:val="18"/>
                <w:szCs w:val="18"/>
                <w:highlight w:val="none"/>
              </w:rPr>
            </w:pPr>
          </w:p>
        </w:tc>
      </w:tr>
      <w:tr w14:paraId="2ACA7201">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24ADE4FC">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0EB562FD">
            <w:pPr>
              <w:jc w:val="center"/>
              <w:rPr>
                <w:color w:val="auto"/>
                <w:sz w:val="18"/>
                <w:szCs w:val="18"/>
                <w:highlight w:val="none"/>
              </w:rPr>
            </w:pPr>
            <w:r>
              <w:rPr>
                <w:rFonts w:hint="eastAsia"/>
                <w:color w:val="auto"/>
                <w:sz w:val="18"/>
                <w:szCs w:val="18"/>
                <w:highlight w:val="none"/>
              </w:rPr>
              <w:t>扣则27</w:t>
            </w:r>
          </w:p>
        </w:tc>
        <w:tc>
          <w:tcPr>
            <w:tcW w:w="3118" w:type="dxa"/>
            <w:tcBorders>
              <w:top w:val="single" w:color="auto" w:sz="4" w:space="0"/>
              <w:left w:val="nil"/>
              <w:bottom w:val="single" w:color="auto" w:sz="4" w:space="0"/>
              <w:right w:val="single" w:color="auto" w:sz="4" w:space="0"/>
            </w:tcBorders>
            <w:noWrap w:val="0"/>
            <w:vAlign w:val="center"/>
          </w:tcPr>
          <w:p w14:paraId="1281D02E">
            <w:pPr>
              <w:jc w:val="left"/>
              <w:rPr>
                <w:color w:val="auto"/>
                <w:sz w:val="18"/>
                <w:szCs w:val="18"/>
                <w:highlight w:val="none"/>
              </w:rPr>
            </w:pPr>
            <w:r>
              <w:rPr>
                <w:rFonts w:hint="eastAsia"/>
                <w:color w:val="auto"/>
                <w:sz w:val="18"/>
                <w:szCs w:val="18"/>
                <w:highlight w:val="none"/>
              </w:rPr>
              <w:t>植物存在干枝黄叶、钉挂物等不规范现象，或未按要求及时处理的。</w:t>
            </w:r>
          </w:p>
        </w:tc>
        <w:tc>
          <w:tcPr>
            <w:tcW w:w="503" w:type="dxa"/>
            <w:tcBorders>
              <w:top w:val="single" w:color="auto" w:sz="4" w:space="0"/>
              <w:left w:val="nil"/>
              <w:bottom w:val="single" w:color="auto" w:sz="4" w:space="0"/>
              <w:right w:val="single" w:color="auto" w:sz="4" w:space="0"/>
            </w:tcBorders>
            <w:noWrap w:val="0"/>
            <w:vAlign w:val="center"/>
          </w:tcPr>
          <w:p w14:paraId="170B90A5">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22D5051C">
            <w:pPr>
              <w:jc w:val="center"/>
              <w:rPr>
                <w:color w:val="auto"/>
                <w:sz w:val="18"/>
                <w:szCs w:val="18"/>
                <w:highlight w:val="none"/>
              </w:rPr>
            </w:pPr>
            <w:r>
              <w:rPr>
                <w:rFonts w:hint="eastAsia"/>
                <w:color w:val="auto"/>
                <w:sz w:val="18"/>
                <w:szCs w:val="18"/>
                <w:highlight w:val="none"/>
              </w:rPr>
              <w:t>扣0.2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6121336">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3F4C37CB">
            <w:pPr>
              <w:jc w:val="center"/>
              <w:rPr>
                <w:color w:val="auto"/>
                <w:sz w:val="18"/>
                <w:szCs w:val="18"/>
                <w:highlight w:val="none"/>
              </w:rPr>
            </w:pPr>
          </w:p>
        </w:tc>
      </w:tr>
      <w:tr w14:paraId="08B2515A">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4A70BCF5">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694830C6">
            <w:pPr>
              <w:jc w:val="center"/>
              <w:rPr>
                <w:color w:val="auto"/>
                <w:sz w:val="18"/>
                <w:szCs w:val="18"/>
                <w:highlight w:val="none"/>
              </w:rPr>
            </w:pPr>
            <w:r>
              <w:rPr>
                <w:rFonts w:hint="eastAsia"/>
                <w:color w:val="auto"/>
                <w:sz w:val="18"/>
                <w:szCs w:val="18"/>
                <w:highlight w:val="none"/>
              </w:rPr>
              <w:t>扣则28</w:t>
            </w:r>
          </w:p>
        </w:tc>
        <w:tc>
          <w:tcPr>
            <w:tcW w:w="3118" w:type="dxa"/>
            <w:tcBorders>
              <w:top w:val="single" w:color="auto" w:sz="4" w:space="0"/>
              <w:left w:val="nil"/>
              <w:bottom w:val="single" w:color="auto" w:sz="4" w:space="0"/>
              <w:right w:val="single" w:color="auto" w:sz="4" w:space="0"/>
            </w:tcBorders>
            <w:noWrap w:val="0"/>
            <w:vAlign w:val="center"/>
          </w:tcPr>
          <w:p w14:paraId="7B634BC4">
            <w:pPr>
              <w:jc w:val="both"/>
              <w:rPr>
                <w:color w:val="auto"/>
                <w:sz w:val="18"/>
                <w:szCs w:val="18"/>
                <w:highlight w:val="none"/>
              </w:rPr>
            </w:pPr>
            <w:r>
              <w:rPr>
                <w:rFonts w:hint="eastAsia"/>
                <w:color w:val="auto"/>
                <w:sz w:val="18"/>
                <w:szCs w:val="18"/>
                <w:highlight w:val="none"/>
              </w:rPr>
              <w:t>植物病虫害防治不及时或不到位，造成植物受害明显的，用药不规范、不符合环保要求的，</w:t>
            </w:r>
            <w:r>
              <w:rPr>
                <w:rFonts w:hint="eastAsia" w:ascii="宋体" w:hAnsi="宋体"/>
                <w:color w:val="auto"/>
                <w:sz w:val="18"/>
                <w:szCs w:val="18"/>
                <w:highlight w:val="none"/>
              </w:rPr>
              <w:t>开展大面积的喷药未按要求提前在公园主要出入口或作业区域张贴告示的。</w:t>
            </w:r>
          </w:p>
        </w:tc>
        <w:tc>
          <w:tcPr>
            <w:tcW w:w="503" w:type="dxa"/>
            <w:tcBorders>
              <w:top w:val="single" w:color="auto" w:sz="4" w:space="0"/>
              <w:left w:val="nil"/>
              <w:bottom w:val="single" w:color="auto" w:sz="4" w:space="0"/>
              <w:right w:val="single" w:color="auto" w:sz="4" w:space="0"/>
            </w:tcBorders>
            <w:noWrap w:val="0"/>
            <w:vAlign w:val="center"/>
          </w:tcPr>
          <w:p w14:paraId="0C5A77D7">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3386A6B1">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4C0A35D0">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00BF38B5">
            <w:pPr>
              <w:jc w:val="center"/>
              <w:rPr>
                <w:color w:val="auto"/>
                <w:sz w:val="18"/>
                <w:szCs w:val="18"/>
                <w:highlight w:val="none"/>
              </w:rPr>
            </w:pPr>
          </w:p>
        </w:tc>
      </w:tr>
      <w:tr w14:paraId="66D5146E">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1632D79A">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1B12EC58">
            <w:pPr>
              <w:jc w:val="center"/>
              <w:rPr>
                <w:color w:val="auto"/>
                <w:sz w:val="18"/>
                <w:szCs w:val="18"/>
                <w:highlight w:val="none"/>
              </w:rPr>
            </w:pPr>
            <w:r>
              <w:rPr>
                <w:rFonts w:hint="eastAsia"/>
                <w:color w:val="auto"/>
                <w:sz w:val="18"/>
                <w:szCs w:val="18"/>
                <w:highlight w:val="none"/>
              </w:rPr>
              <w:t>扣则29</w:t>
            </w:r>
          </w:p>
        </w:tc>
        <w:tc>
          <w:tcPr>
            <w:tcW w:w="3118" w:type="dxa"/>
            <w:tcBorders>
              <w:top w:val="single" w:color="auto" w:sz="4" w:space="0"/>
              <w:left w:val="nil"/>
              <w:bottom w:val="single" w:color="auto" w:sz="4" w:space="0"/>
              <w:right w:val="single" w:color="auto" w:sz="4" w:space="0"/>
            </w:tcBorders>
            <w:noWrap w:val="0"/>
            <w:vAlign w:val="center"/>
          </w:tcPr>
          <w:p w14:paraId="3F15F9DE">
            <w:pPr>
              <w:jc w:val="left"/>
              <w:rPr>
                <w:color w:val="auto"/>
                <w:sz w:val="18"/>
                <w:szCs w:val="18"/>
                <w:highlight w:val="none"/>
              </w:rPr>
            </w:pPr>
            <w:r>
              <w:rPr>
                <w:rFonts w:hint="eastAsia"/>
                <w:color w:val="auto"/>
                <w:sz w:val="18"/>
                <w:szCs w:val="18"/>
                <w:highlight w:val="none"/>
              </w:rPr>
              <w:t>未按要求定期开展白蚁、红棕象甲等专项工作，未严格巡查、布置药箱、放药灭杀、建立台账工作的，甚至造成植物蚁害死亡、房屋建筑受损的。（若出现乔木、高大棕榈科植物死亡严重后果的，按扣分标准</w:t>
            </w:r>
            <w:r>
              <w:rPr>
                <w:rFonts w:hint="eastAsia"/>
                <w:color w:val="auto"/>
                <w:sz w:val="18"/>
                <w:szCs w:val="18"/>
                <w:highlight w:val="none"/>
                <w:lang w:val="en-US" w:eastAsia="zh-CN"/>
              </w:rPr>
              <w:t>6</w:t>
            </w:r>
            <w:r>
              <w:rPr>
                <w:rFonts w:hint="eastAsia"/>
                <w:color w:val="auto"/>
                <w:sz w:val="18"/>
                <w:szCs w:val="18"/>
                <w:highlight w:val="none"/>
              </w:rPr>
              <w:t>倍扣除）</w:t>
            </w:r>
          </w:p>
        </w:tc>
        <w:tc>
          <w:tcPr>
            <w:tcW w:w="503" w:type="dxa"/>
            <w:tcBorders>
              <w:top w:val="single" w:color="auto" w:sz="4" w:space="0"/>
              <w:left w:val="nil"/>
              <w:bottom w:val="single" w:color="auto" w:sz="4" w:space="0"/>
              <w:right w:val="single" w:color="auto" w:sz="4" w:space="0"/>
            </w:tcBorders>
            <w:noWrap w:val="0"/>
            <w:vAlign w:val="center"/>
          </w:tcPr>
          <w:p w14:paraId="4EFD79D0">
            <w:pPr>
              <w:widowControl/>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6033AE82">
            <w:pPr>
              <w:jc w:val="center"/>
              <w:rPr>
                <w:color w:val="auto"/>
                <w:sz w:val="18"/>
                <w:szCs w:val="18"/>
                <w:highlight w:val="none"/>
              </w:rPr>
            </w:pPr>
            <w:r>
              <w:rPr>
                <w:rFonts w:hint="eastAsia"/>
                <w:color w:val="auto"/>
                <w:sz w:val="18"/>
                <w:szCs w:val="18"/>
                <w:highlight w:val="none"/>
              </w:rPr>
              <w:t>扣0.5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50A33CCA">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4E0BC787">
            <w:pPr>
              <w:jc w:val="center"/>
              <w:rPr>
                <w:color w:val="auto"/>
                <w:sz w:val="18"/>
                <w:szCs w:val="18"/>
                <w:highlight w:val="none"/>
              </w:rPr>
            </w:pPr>
          </w:p>
        </w:tc>
      </w:tr>
      <w:tr w14:paraId="51468A57">
        <w:tblPrEx>
          <w:tblCellMar>
            <w:top w:w="0" w:type="dxa"/>
            <w:left w:w="108" w:type="dxa"/>
            <w:bottom w:w="0" w:type="dxa"/>
            <w:right w:w="108" w:type="dxa"/>
          </w:tblCellMar>
        </w:tblPrEx>
        <w:trPr>
          <w:cantSplit/>
          <w:trHeight w:val="298"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46E412ED">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61F1F1CC">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3</w:t>
            </w:r>
            <w:r>
              <w:rPr>
                <w:rFonts w:hint="eastAsia"/>
                <w:color w:val="auto"/>
                <w:sz w:val="18"/>
                <w:szCs w:val="18"/>
                <w:highlight w:val="none"/>
              </w:rPr>
              <w:t>0</w:t>
            </w:r>
          </w:p>
        </w:tc>
        <w:tc>
          <w:tcPr>
            <w:tcW w:w="3118" w:type="dxa"/>
            <w:tcBorders>
              <w:top w:val="single" w:color="auto" w:sz="4" w:space="0"/>
              <w:left w:val="nil"/>
              <w:bottom w:val="single" w:color="auto" w:sz="4" w:space="0"/>
              <w:right w:val="single" w:color="auto" w:sz="4" w:space="0"/>
            </w:tcBorders>
            <w:noWrap w:val="0"/>
            <w:vAlign w:val="center"/>
          </w:tcPr>
          <w:p w14:paraId="7DA0B23A">
            <w:pPr>
              <w:jc w:val="left"/>
              <w:rPr>
                <w:color w:val="auto"/>
                <w:sz w:val="18"/>
                <w:szCs w:val="18"/>
                <w:highlight w:val="none"/>
              </w:rPr>
            </w:pPr>
            <w:r>
              <w:rPr>
                <w:rFonts w:hint="eastAsia"/>
                <w:color w:val="auto"/>
                <w:sz w:val="18"/>
                <w:szCs w:val="18"/>
                <w:highlight w:val="none"/>
              </w:rPr>
              <w:t>防寒防冻工作不及时或措施不到位，造成植物受害的。</w:t>
            </w:r>
          </w:p>
        </w:tc>
        <w:tc>
          <w:tcPr>
            <w:tcW w:w="503" w:type="dxa"/>
            <w:tcBorders>
              <w:top w:val="single" w:color="auto" w:sz="4" w:space="0"/>
              <w:left w:val="nil"/>
              <w:bottom w:val="single" w:color="auto" w:sz="4" w:space="0"/>
              <w:right w:val="single" w:color="auto" w:sz="4" w:space="0"/>
            </w:tcBorders>
            <w:noWrap w:val="0"/>
            <w:vAlign w:val="center"/>
          </w:tcPr>
          <w:p w14:paraId="44172657">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4B3770DB">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75C37752">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3C329ED">
            <w:pPr>
              <w:jc w:val="center"/>
              <w:rPr>
                <w:color w:val="auto"/>
                <w:sz w:val="18"/>
                <w:szCs w:val="18"/>
                <w:highlight w:val="none"/>
              </w:rPr>
            </w:pPr>
          </w:p>
        </w:tc>
      </w:tr>
      <w:tr w14:paraId="5DCC5510">
        <w:tblPrEx>
          <w:tblCellMar>
            <w:top w:w="0" w:type="dxa"/>
            <w:left w:w="108" w:type="dxa"/>
            <w:bottom w:w="0" w:type="dxa"/>
            <w:right w:w="108" w:type="dxa"/>
          </w:tblCellMar>
        </w:tblPrEx>
        <w:trPr>
          <w:cantSplit/>
          <w:trHeight w:val="688"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710CED31">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408E6FAA">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3</w:t>
            </w:r>
            <w:r>
              <w:rPr>
                <w:rFonts w:hint="eastAsia"/>
                <w:color w:val="auto"/>
                <w:sz w:val="18"/>
                <w:szCs w:val="18"/>
                <w:highlight w:val="none"/>
              </w:rPr>
              <w:t>1</w:t>
            </w:r>
          </w:p>
        </w:tc>
        <w:tc>
          <w:tcPr>
            <w:tcW w:w="3118" w:type="dxa"/>
            <w:tcBorders>
              <w:top w:val="single" w:color="auto" w:sz="4" w:space="0"/>
              <w:left w:val="nil"/>
              <w:bottom w:val="single" w:color="auto" w:sz="4" w:space="0"/>
              <w:right w:val="single" w:color="auto" w:sz="4" w:space="0"/>
            </w:tcBorders>
            <w:noWrap w:val="0"/>
            <w:vAlign w:val="center"/>
          </w:tcPr>
          <w:p w14:paraId="4D76E2F3">
            <w:pPr>
              <w:jc w:val="left"/>
              <w:rPr>
                <w:color w:val="auto"/>
                <w:sz w:val="18"/>
                <w:szCs w:val="18"/>
                <w:highlight w:val="none"/>
              </w:rPr>
            </w:pPr>
            <w:r>
              <w:rPr>
                <w:rFonts w:hint="eastAsia"/>
                <w:color w:val="auto"/>
                <w:sz w:val="18"/>
                <w:szCs w:val="18"/>
                <w:highlight w:val="none"/>
              </w:rPr>
              <w:t>恶劣天气或突发事件响应不及时，危树、倒树或断枝未及时处理、歪斜树木未及时扶正和加固的，重要位置、影响交通及存在安全隐患的按扣分标准最高上限扣罚。</w:t>
            </w:r>
          </w:p>
        </w:tc>
        <w:tc>
          <w:tcPr>
            <w:tcW w:w="503" w:type="dxa"/>
            <w:tcBorders>
              <w:top w:val="single" w:color="auto" w:sz="4" w:space="0"/>
              <w:left w:val="nil"/>
              <w:bottom w:val="single" w:color="auto" w:sz="4" w:space="0"/>
              <w:right w:val="single" w:color="auto" w:sz="4" w:space="0"/>
            </w:tcBorders>
            <w:noWrap w:val="0"/>
            <w:vAlign w:val="center"/>
          </w:tcPr>
          <w:p w14:paraId="5C054FE7">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141106A7">
            <w:pPr>
              <w:jc w:val="center"/>
              <w:rPr>
                <w:color w:val="auto"/>
                <w:sz w:val="18"/>
                <w:szCs w:val="18"/>
                <w:highlight w:val="none"/>
              </w:rPr>
            </w:pPr>
            <w:r>
              <w:rPr>
                <w:rFonts w:hint="eastAsia"/>
                <w:color w:val="auto"/>
                <w:sz w:val="18"/>
                <w:szCs w:val="18"/>
                <w:highlight w:val="none"/>
              </w:rPr>
              <w:t>扣1</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587740CE">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1D1A2632">
            <w:pPr>
              <w:jc w:val="center"/>
              <w:rPr>
                <w:color w:val="auto"/>
                <w:sz w:val="18"/>
                <w:szCs w:val="18"/>
                <w:highlight w:val="none"/>
              </w:rPr>
            </w:pPr>
          </w:p>
        </w:tc>
      </w:tr>
      <w:tr w14:paraId="74C052C1">
        <w:tblPrEx>
          <w:tblCellMar>
            <w:top w:w="0" w:type="dxa"/>
            <w:left w:w="108" w:type="dxa"/>
            <w:bottom w:w="0" w:type="dxa"/>
            <w:right w:w="108" w:type="dxa"/>
          </w:tblCellMar>
        </w:tblPrEx>
        <w:trPr>
          <w:cantSplit/>
          <w:trHeight w:val="570"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6BB4B677">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620380C4">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3</w:t>
            </w:r>
            <w:r>
              <w:rPr>
                <w:rFonts w:hint="eastAsia"/>
                <w:color w:val="auto"/>
                <w:sz w:val="18"/>
                <w:szCs w:val="18"/>
                <w:highlight w:val="none"/>
              </w:rPr>
              <w:t>2</w:t>
            </w:r>
          </w:p>
        </w:tc>
        <w:tc>
          <w:tcPr>
            <w:tcW w:w="3118" w:type="dxa"/>
            <w:tcBorders>
              <w:top w:val="single" w:color="auto" w:sz="4" w:space="0"/>
              <w:left w:val="nil"/>
              <w:bottom w:val="single" w:color="auto" w:sz="4" w:space="0"/>
              <w:right w:val="single" w:color="auto" w:sz="4" w:space="0"/>
            </w:tcBorders>
            <w:noWrap w:val="0"/>
            <w:vAlign w:val="center"/>
          </w:tcPr>
          <w:p w14:paraId="7FBF0E21">
            <w:pPr>
              <w:jc w:val="left"/>
              <w:rPr>
                <w:rFonts w:hint="eastAsia" w:eastAsia="宋体"/>
                <w:color w:val="auto"/>
                <w:sz w:val="18"/>
                <w:szCs w:val="18"/>
                <w:highlight w:val="none"/>
                <w:lang w:eastAsia="zh-CN"/>
              </w:rPr>
            </w:pPr>
            <w:r>
              <w:rPr>
                <w:rFonts w:hint="eastAsia"/>
                <w:color w:val="auto"/>
                <w:sz w:val="18"/>
                <w:szCs w:val="18"/>
                <w:highlight w:val="none"/>
                <w:lang w:eastAsia="zh-CN"/>
              </w:rPr>
              <w:t>未按要求</w:t>
            </w:r>
            <w:r>
              <w:rPr>
                <w:rFonts w:hint="eastAsia" w:ascii="宋体" w:hAnsi="宋体" w:eastAsia="宋体" w:cs="宋体"/>
                <w:b w:val="0"/>
                <w:bCs w:val="0"/>
                <w:color w:val="auto"/>
                <w:sz w:val="18"/>
                <w:szCs w:val="18"/>
                <w:highlight w:val="none"/>
                <w:lang w:eastAsia="zh-CN"/>
              </w:rPr>
              <w:t>开展植物</w:t>
            </w:r>
            <w:r>
              <w:rPr>
                <w:rFonts w:hint="eastAsia" w:ascii="宋体" w:hAnsi="宋体" w:eastAsia="宋体" w:cs="宋体"/>
                <w:b w:val="0"/>
                <w:bCs w:val="0"/>
                <w:color w:val="auto"/>
                <w:sz w:val="18"/>
                <w:szCs w:val="18"/>
                <w:highlight w:val="none"/>
              </w:rPr>
              <w:t>健康安全诊断</w:t>
            </w:r>
            <w:r>
              <w:rPr>
                <w:rFonts w:hint="eastAsia" w:ascii="宋体" w:hAnsi="宋体" w:eastAsia="宋体" w:cs="宋体"/>
                <w:b w:val="0"/>
                <w:bCs w:val="0"/>
                <w:color w:val="auto"/>
                <w:sz w:val="18"/>
                <w:szCs w:val="18"/>
                <w:highlight w:val="none"/>
                <w:lang w:eastAsia="zh-CN"/>
              </w:rPr>
              <w:t>和古树名木</w:t>
            </w:r>
            <w:r>
              <w:rPr>
                <w:rFonts w:hint="eastAsia" w:ascii="宋体" w:hAnsi="宋体" w:eastAsia="宋体" w:cs="宋体"/>
                <w:b w:val="0"/>
                <w:bCs w:val="0"/>
                <w:color w:val="auto"/>
                <w:sz w:val="18"/>
                <w:szCs w:val="18"/>
                <w:highlight w:val="none"/>
              </w:rPr>
              <w:t>专项健康安全诊治</w:t>
            </w:r>
            <w:r>
              <w:rPr>
                <w:rFonts w:hint="eastAsia" w:ascii="宋体" w:hAnsi="宋体" w:eastAsia="宋体" w:cs="宋体"/>
                <w:b w:val="0"/>
                <w:bCs w:val="0"/>
                <w:color w:val="auto"/>
                <w:sz w:val="18"/>
                <w:szCs w:val="18"/>
                <w:highlight w:val="none"/>
                <w:lang w:eastAsia="zh-CN"/>
              </w:rPr>
              <w:t>的。</w:t>
            </w:r>
            <w:r>
              <w:rPr>
                <w:rFonts w:hint="eastAsia"/>
                <w:color w:val="auto"/>
                <w:sz w:val="18"/>
                <w:szCs w:val="18"/>
                <w:highlight w:val="none"/>
              </w:rPr>
              <w:t>绿地巡查不到位，危树、断枝、缺株、死桩等现象未及时处理。</w:t>
            </w:r>
            <w:r>
              <w:rPr>
                <w:rFonts w:hint="eastAsia"/>
                <w:color w:val="auto"/>
                <w:sz w:val="18"/>
                <w:szCs w:val="18"/>
                <w:highlight w:val="none"/>
                <w:lang w:eastAsia="zh-CN"/>
              </w:rPr>
              <w:t>（</w:t>
            </w:r>
            <w:r>
              <w:rPr>
                <w:rFonts w:hint="eastAsia"/>
                <w:color w:val="auto"/>
                <w:sz w:val="18"/>
                <w:szCs w:val="18"/>
                <w:highlight w:val="none"/>
              </w:rPr>
              <w:t>（若出现</w:t>
            </w:r>
            <w:r>
              <w:rPr>
                <w:rFonts w:hint="eastAsia"/>
                <w:color w:val="auto"/>
                <w:sz w:val="18"/>
                <w:szCs w:val="18"/>
                <w:highlight w:val="none"/>
                <w:lang w:eastAsia="zh-CN"/>
              </w:rPr>
              <w:t>古树名木等</w:t>
            </w:r>
            <w:r>
              <w:rPr>
                <w:rFonts w:hint="eastAsia"/>
                <w:color w:val="auto"/>
                <w:sz w:val="18"/>
                <w:szCs w:val="18"/>
                <w:highlight w:val="none"/>
              </w:rPr>
              <w:t>植物</w:t>
            </w:r>
            <w:r>
              <w:rPr>
                <w:rFonts w:hint="eastAsia"/>
                <w:color w:val="auto"/>
                <w:sz w:val="18"/>
                <w:szCs w:val="18"/>
                <w:highlight w:val="none"/>
                <w:lang w:eastAsia="zh-CN"/>
              </w:rPr>
              <w:t>管护不到位甚至</w:t>
            </w:r>
            <w:r>
              <w:rPr>
                <w:rFonts w:hint="eastAsia"/>
                <w:color w:val="auto"/>
                <w:sz w:val="18"/>
                <w:szCs w:val="18"/>
                <w:highlight w:val="none"/>
              </w:rPr>
              <w:t>死亡严重后果的，按扣分标准</w:t>
            </w:r>
            <w:r>
              <w:rPr>
                <w:rFonts w:hint="eastAsia"/>
                <w:color w:val="auto"/>
                <w:sz w:val="18"/>
                <w:szCs w:val="18"/>
                <w:highlight w:val="none"/>
                <w:lang w:val="en-US" w:eastAsia="zh-CN"/>
              </w:rPr>
              <w:t>6</w:t>
            </w:r>
            <w:r>
              <w:rPr>
                <w:rFonts w:hint="eastAsia"/>
                <w:color w:val="auto"/>
                <w:sz w:val="18"/>
                <w:szCs w:val="18"/>
                <w:highlight w:val="none"/>
              </w:rPr>
              <w:t>倍扣除）</w:t>
            </w:r>
            <w:r>
              <w:rPr>
                <w:rFonts w:hint="eastAsia"/>
                <w:color w:val="auto"/>
                <w:sz w:val="18"/>
                <w:szCs w:val="18"/>
                <w:highlight w:val="none"/>
                <w:lang w:eastAsia="zh-CN"/>
              </w:rPr>
              <w:t>）</w:t>
            </w:r>
          </w:p>
        </w:tc>
        <w:tc>
          <w:tcPr>
            <w:tcW w:w="503" w:type="dxa"/>
            <w:tcBorders>
              <w:top w:val="single" w:color="auto" w:sz="4" w:space="0"/>
              <w:left w:val="nil"/>
              <w:bottom w:val="single" w:color="auto" w:sz="4" w:space="0"/>
              <w:right w:val="single" w:color="auto" w:sz="4" w:space="0"/>
            </w:tcBorders>
            <w:noWrap w:val="0"/>
            <w:vAlign w:val="center"/>
          </w:tcPr>
          <w:p w14:paraId="6A66AD94">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4AD68532">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7F4D77FD">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C815D54">
            <w:pPr>
              <w:jc w:val="center"/>
              <w:rPr>
                <w:color w:val="auto"/>
                <w:sz w:val="18"/>
                <w:szCs w:val="18"/>
                <w:highlight w:val="none"/>
              </w:rPr>
            </w:pPr>
          </w:p>
        </w:tc>
      </w:tr>
      <w:tr w14:paraId="7CF1DFB2">
        <w:tblPrEx>
          <w:tblCellMar>
            <w:top w:w="0" w:type="dxa"/>
            <w:left w:w="108" w:type="dxa"/>
            <w:bottom w:w="0" w:type="dxa"/>
            <w:right w:w="108" w:type="dxa"/>
          </w:tblCellMar>
        </w:tblPrEx>
        <w:trPr>
          <w:cantSplit/>
          <w:trHeight w:val="236"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602F9A3C">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4E32A1F1">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3</w:t>
            </w:r>
            <w:r>
              <w:rPr>
                <w:rFonts w:hint="eastAsia"/>
                <w:color w:val="auto"/>
                <w:sz w:val="18"/>
                <w:szCs w:val="18"/>
                <w:highlight w:val="none"/>
              </w:rPr>
              <w:t>3</w:t>
            </w:r>
          </w:p>
        </w:tc>
        <w:tc>
          <w:tcPr>
            <w:tcW w:w="3118" w:type="dxa"/>
            <w:tcBorders>
              <w:top w:val="single" w:color="auto" w:sz="4" w:space="0"/>
              <w:left w:val="nil"/>
              <w:bottom w:val="single" w:color="auto" w:sz="4" w:space="0"/>
              <w:right w:val="single" w:color="auto" w:sz="4" w:space="0"/>
            </w:tcBorders>
            <w:noWrap w:val="0"/>
            <w:vAlign w:val="center"/>
          </w:tcPr>
          <w:p w14:paraId="50BF019B">
            <w:pPr>
              <w:jc w:val="left"/>
              <w:rPr>
                <w:color w:val="auto"/>
                <w:sz w:val="18"/>
                <w:szCs w:val="18"/>
                <w:highlight w:val="none"/>
              </w:rPr>
            </w:pPr>
            <w:r>
              <w:rPr>
                <w:rFonts w:hint="eastAsia"/>
                <w:color w:val="auto"/>
                <w:sz w:val="18"/>
                <w:szCs w:val="18"/>
                <w:highlight w:val="none"/>
              </w:rPr>
              <w:t>绿地存在黄土裸露现象。</w:t>
            </w:r>
          </w:p>
        </w:tc>
        <w:tc>
          <w:tcPr>
            <w:tcW w:w="503" w:type="dxa"/>
            <w:tcBorders>
              <w:top w:val="single" w:color="auto" w:sz="4" w:space="0"/>
              <w:left w:val="nil"/>
              <w:bottom w:val="single" w:color="auto" w:sz="4" w:space="0"/>
              <w:right w:val="single" w:color="auto" w:sz="4" w:space="0"/>
            </w:tcBorders>
            <w:noWrap w:val="0"/>
            <w:vAlign w:val="center"/>
          </w:tcPr>
          <w:p w14:paraId="6F358593">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5276D4ED">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61A738E3">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41F5BDAC">
            <w:pPr>
              <w:jc w:val="center"/>
              <w:rPr>
                <w:color w:val="auto"/>
                <w:sz w:val="18"/>
                <w:szCs w:val="18"/>
                <w:highlight w:val="none"/>
              </w:rPr>
            </w:pPr>
          </w:p>
        </w:tc>
      </w:tr>
      <w:tr w14:paraId="228B95FC">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0B9FF2C9">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3F9523CD">
            <w:pPr>
              <w:jc w:val="center"/>
              <w:rPr>
                <w:color w:val="auto"/>
                <w:sz w:val="18"/>
                <w:szCs w:val="18"/>
                <w:highlight w:val="none"/>
              </w:rPr>
            </w:pPr>
            <w:r>
              <w:rPr>
                <w:rFonts w:hint="eastAsia"/>
                <w:color w:val="auto"/>
                <w:sz w:val="18"/>
                <w:szCs w:val="18"/>
                <w:highlight w:val="none"/>
              </w:rPr>
              <w:t>扣则</w:t>
            </w:r>
            <w:r>
              <w:rPr>
                <w:color w:val="auto"/>
                <w:sz w:val="18"/>
                <w:szCs w:val="18"/>
                <w:highlight w:val="none"/>
              </w:rPr>
              <w:t>3</w:t>
            </w:r>
            <w:r>
              <w:rPr>
                <w:rFonts w:hint="eastAsia"/>
                <w:color w:val="auto"/>
                <w:sz w:val="18"/>
                <w:szCs w:val="18"/>
                <w:highlight w:val="none"/>
              </w:rPr>
              <w:t>4</w:t>
            </w:r>
          </w:p>
        </w:tc>
        <w:tc>
          <w:tcPr>
            <w:tcW w:w="3118" w:type="dxa"/>
            <w:tcBorders>
              <w:top w:val="single" w:color="auto" w:sz="4" w:space="0"/>
              <w:left w:val="nil"/>
              <w:bottom w:val="single" w:color="auto" w:sz="4" w:space="0"/>
              <w:right w:val="single" w:color="auto" w:sz="4" w:space="0"/>
            </w:tcBorders>
            <w:noWrap w:val="0"/>
            <w:vAlign w:val="center"/>
          </w:tcPr>
          <w:p w14:paraId="1184E647">
            <w:pPr>
              <w:jc w:val="left"/>
              <w:rPr>
                <w:color w:val="auto"/>
                <w:sz w:val="18"/>
                <w:szCs w:val="18"/>
                <w:highlight w:val="none"/>
              </w:rPr>
            </w:pPr>
            <w:r>
              <w:rPr>
                <w:rFonts w:hint="eastAsia"/>
                <w:color w:val="auto"/>
                <w:sz w:val="18"/>
                <w:szCs w:val="18"/>
                <w:highlight w:val="none"/>
              </w:rPr>
              <w:t>未及时补植苗木或补植苗木规格、数量、种植规范等不符合要求的。</w:t>
            </w:r>
          </w:p>
        </w:tc>
        <w:tc>
          <w:tcPr>
            <w:tcW w:w="503" w:type="dxa"/>
            <w:tcBorders>
              <w:top w:val="single" w:color="auto" w:sz="4" w:space="0"/>
              <w:left w:val="nil"/>
              <w:bottom w:val="single" w:color="auto" w:sz="4" w:space="0"/>
              <w:right w:val="single" w:color="auto" w:sz="4" w:space="0"/>
            </w:tcBorders>
            <w:noWrap w:val="0"/>
            <w:vAlign w:val="center"/>
          </w:tcPr>
          <w:p w14:paraId="0782FEE6">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0C4B053D">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64B2C46C">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7931B134">
            <w:pPr>
              <w:jc w:val="center"/>
              <w:rPr>
                <w:color w:val="auto"/>
                <w:sz w:val="18"/>
                <w:szCs w:val="18"/>
                <w:highlight w:val="none"/>
              </w:rPr>
            </w:pPr>
          </w:p>
        </w:tc>
      </w:tr>
      <w:tr w14:paraId="50CD71BD">
        <w:tblPrEx>
          <w:tblCellMar>
            <w:top w:w="0" w:type="dxa"/>
            <w:left w:w="108" w:type="dxa"/>
            <w:bottom w:w="0" w:type="dxa"/>
            <w:right w:w="108" w:type="dxa"/>
          </w:tblCellMar>
        </w:tblPrEx>
        <w:trPr>
          <w:cantSplit/>
          <w:trHeight w:val="688" w:hRule="atLeast"/>
          <w:jc w:val="center"/>
        </w:trPr>
        <w:tc>
          <w:tcPr>
            <w:tcW w:w="668" w:type="dxa"/>
            <w:vMerge w:val="restart"/>
            <w:tcBorders>
              <w:top w:val="nil"/>
              <w:left w:val="single" w:color="auto" w:sz="4" w:space="0"/>
              <w:bottom w:val="single" w:color="auto" w:sz="4" w:space="0"/>
              <w:right w:val="single" w:color="auto" w:sz="4" w:space="0"/>
            </w:tcBorders>
            <w:noWrap w:val="0"/>
            <w:vAlign w:val="center"/>
          </w:tcPr>
          <w:p w14:paraId="5C5245FE">
            <w:pPr>
              <w:jc w:val="center"/>
              <w:rPr>
                <w:color w:val="auto"/>
                <w:sz w:val="18"/>
                <w:szCs w:val="18"/>
                <w:highlight w:val="none"/>
              </w:rPr>
            </w:pPr>
            <w:r>
              <w:rPr>
                <w:color w:val="auto"/>
                <w:sz w:val="18"/>
                <w:szCs w:val="18"/>
                <w:highlight w:val="none"/>
              </w:rPr>
              <w:t>(</w:t>
            </w:r>
            <w:r>
              <w:rPr>
                <w:rFonts w:hint="eastAsia"/>
                <w:color w:val="auto"/>
                <w:sz w:val="18"/>
                <w:szCs w:val="18"/>
                <w:highlight w:val="none"/>
              </w:rPr>
              <w:t>五）设施维护</w:t>
            </w:r>
          </w:p>
        </w:tc>
        <w:tc>
          <w:tcPr>
            <w:tcW w:w="588" w:type="dxa"/>
            <w:tcBorders>
              <w:top w:val="single" w:color="auto" w:sz="4" w:space="0"/>
              <w:left w:val="nil"/>
              <w:bottom w:val="single" w:color="auto" w:sz="4" w:space="0"/>
              <w:right w:val="single" w:color="auto" w:sz="4" w:space="0"/>
            </w:tcBorders>
            <w:noWrap w:val="0"/>
            <w:vAlign w:val="center"/>
          </w:tcPr>
          <w:p w14:paraId="4C8D9C16">
            <w:pPr>
              <w:jc w:val="center"/>
              <w:rPr>
                <w:color w:val="auto"/>
                <w:sz w:val="18"/>
                <w:szCs w:val="18"/>
                <w:highlight w:val="none"/>
              </w:rPr>
            </w:pPr>
            <w:r>
              <w:rPr>
                <w:rFonts w:hint="eastAsia"/>
                <w:color w:val="auto"/>
                <w:sz w:val="18"/>
                <w:szCs w:val="18"/>
                <w:highlight w:val="none"/>
              </w:rPr>
              <w:t>扣则35</w:t>
            </w:r>
          </w:p>
        </w:tc>
        <w:tc>
          <w:tcPr>
            <w:tcW w:w="3118" w:type="dxa"/>
            <w:tcBorders>
              <w:top w:val="single" w:color="auto" w:sz="4" w:space="0"/>
              <w:left w:val="nil"/>
              <w:bottom w:val="single" w:color="auto" w:sz="4" w:space="0"/>
              <w:right w:val="single" w:color="auto" w:sz="4" w:space="0"/>
            </w:tcBorders>
            <w:noWrap w:val="0"/>
            <w:vAlign w:val="center"/>
          </w:tcPr>
          <w:p w14:paraId="6E52FE78">
            <w:pPr>
              <w:jc w:val="left"/>
              <w:rPr>
                <w:color w:val="auto"/>
                <w:sz w:val="18"/>
                <w:szCs w:val="18"/>
                <w:highlight w:val="none"/>
              </w:rPr>
            </w:pPr>
            <w:r>
              <w:rPr>
                <w:rFonts w:hint="eastAsia"/>
                <w:color w:val="auto"/>
                <w:sz w:val="18"/>
                <w:szCs w:val="18"/>
                <w:highlight w:val="none"/>
              </w:rPr>
              <w:t>因实施绿化养护工作造成园林设施、园林小品以及各项绿化配套设施损坏后未及时修复，或修复不符合公园要求的。</w:t>
            </w:r>
          </w:p>
        </w:tc>
        <w:tc>
          <w:tcPr>
            <w:tcW w:w="503" w:type="dxa"/>
            <w:tcBorders>
              <w:top w:val="single" w:color="auto" w:sz="4" w:space="0"/>
              <w:left w:val="nil"/>
              <w:bottom w:val="single" w:color="auto" w:sz="4" w:space="0"/>
              <w:right w:val="single" w:color="auto" w:sz="4" w:space="0"/>
            </w:tcBorders>
            <w:noWrap w:val="0"/>
            <w:vAlign w:val="center"/>
          </w:tcPr>
          <w:p w14:paraId="5317CBC4">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0FB5E616">
            <w:pPr>
              <w:jc w:val="center"/>
              <w:rPr>
                <w:color w:val="auto"/>
                <w:sz w:val="18"/>
                <w:szCs w:val="18"/>
                <w:highlight w:val="none"/>
              </w:rPr>
            </w:pPr>
            <w:r>
              <w:rPr>
                <w:rFonts w:hint="eastAsia"/>
                <w:color w:val="auto"/>
                <w:sz w:val="18"/>
                <w:szCs w:val="18"/>
                <w:highlight w:val="none"/>
              </w:rPr>
              <w:t>扣0.3</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7AD0ABC9">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9A6EEEC">
            <w:pPr>
              <w:jc w:val="center"/>
              <w:rPr>
                <w:color w:val="auto"/>
                <w:sz w:val="18"/>
                <w:szCs w:val="18"/>
                <w:highlight w:val="none"/>
              </w:rPr>
            </w:pPr>
          </w:p>
        </w:tc>
      </w:tr>
      <w:tr w14:paraId="10229990">
        <w:tblPrEx>
          <w:tblCellMar>
            <w:top w:w="0" w:type="dxa"/>
            <w:left w:w="108" w:type="dxa"/>
            <w:bottom w:w="0" w:type="dxa"/>
            <w:right w:w="108" w:type="dxa"/>
          </w:tblCellMar>
        </w:tblPrEx>
        <w:trPr>
          <w:cantSplit/>
          <w:trHeight w:val="462"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5D89CB48">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26CFE6F7">
            <w:pPr>
              <w:jc w:val="center"/>
              <w:rPr>
                <w:color w:val="auto"/>
                <w:sz w:val="18"/>
                <w:szCs w:val="18"/>
                <w:highlight w:val="none"/>
              </w:rPr>
            </w:pPr>
            <w:r>
              <w:rPr>
                <w:rFonts w:hint="eastAsia"/>
                <w:color w:val="auto"/>
                <w:sz w:val="18"/>
                <w:szCs w:val="18"/>
                <w:highlight w:val="none"/>
              </w:rPr>
              <w:t>扣则36</w:t>
            </w:r>
          </w:p>
        </w:tc>
        <w:tc>
          <w:tcPr>
            <w:tcW w:w="3118" w:type="dxa"/>
            <w:tcBorders>
              <w:top w:val="single" w:color="auto" w:sz="4" w:space="0"/>
              <w:left w:val="nil"/>
              <w:bottom w:val="single" w:color="auto" w:sz="4" w:space="0"/>
              <w:right w:val="single" w:color="auto" w:sz="4" w:space="0"/>
            </w:tcBorders>
            <w:noWrap w:val="0"/>
            <w:vAlign w:val="center"/>
          </w:tcPr>
          <w:p w14:paraId="1F0AFBE4">
            <w:pPr>
              <w:jc w:val="left"/>
              <w:rPr>
                <w:color w:val="auto"/>
                <w:sz w:val="18"/>
                <w:szCs w:val="18"/>
                <w:highlight w:val="none"/>
              </w:rPr>
            </w:pPr>
            <w:r>
              <w:rPr>
                <w:rFonts w:hint="eastAsia"/>
                <w:color w:val="auto"/>
                <w:sz w:val="18"/>
                <w:szCs w:val="18"/>
                <w:highlight w:val="none"/>
              </w:rPr>
              <w:t>未经批准安装、铺设园林设施，影响景观或存在安全隐患的。</w:t>
            </w:r>
          </w:p>
        </w:tc>
        <w:tc>
          <w:tcPr>
            <w:tcW w:w="503" w:type="dxa"/>
            <w:tcBorders>
              <w:top w:val="single" w:color="auto" w:sz="4" w:space="0"/>
              <w:left w:val="nil"/>
              <w:bottom w:val="single" w:color="auto" w:sz="4" w:space="0"/>
              <w:right w:val="single" w:color="auto" w:sz="4" w:space="0"/>
            </w:tcBorders>
            <w:noWrap w:val="0"/>
            <w:vAlign w:val="center"/>
          </w:tcPr>
          <w:p w14:paraId="6138799B">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48EF4643">
            <w:pPr>
              <w:jc w:val="center"/>
              <w:rPr>
                <w:color w:val="auto"/>
                <w:sz w:val="18"/>
                <w:szCs w:val="18"/>
                <w:highlight w:val="none"/>
              </w:rPr>
            </w:pPr>
            <w:r>
              <w:rPr>
                <w:rFonts w:hint="eastAsia"/>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6BAF9807">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699AA41D">
            <w:pPr>
              <w:jc w:val="center"/>
              <w:rPr>
                <w:color w:val="auto"/>
                <w:sz w:val="18"/>
                <w:szCs w:val="18"/>
                <w:highlight w:val="none"/>
              </w:rPr>
            </w:pPr>
          </w:p>
        </w:tc>
      </w:tr>
      <w:tr w14:paraId="22643CE1">
        <w:tblPrEx>
          <w:tblCellMar>
            <w:top w:w="0" w:type="dxa"/>
            <w:left w:w="108" w:type="dxa"/>
            <w:bottom w:w="0" w:type="dxa"/>
            <w:right w:w="108" w:type="dxa"/>
          </w:tblCellMar>
        </w:tblPrEx>
        <w:trPr>
          <w:cantSplit/>
          <w:trHeight w:val="293" w:hRule="atLeast"/>
          <w:jc w:val="center"/>
        </w:trPr>
        <w:tc>
          <w:tcPr>
            <w:tcW w:w="668" w:type="dxa"/>
            <w:vMerge w:val="continue"/>
            <w:tcBorders>
              <w:top w:val="nil"/>
              <w:left w:val="single" w:color="auto" w:sz="4" w:space="0"/>
              <w:bottom w:val="single" w:color="auto" w:sz="4" w:space="0"/>
              <w:right w:val="single" w:color="auto" w:sz="4" w:space="0"/>
            </w:tcBorders>
            <w:noWrap w:val="0"/>
            <w:vAlign w:val="center"/>
          </w:tcPr>
          <w:p w14:paraId="5BEEF576">
            <w:pPr>
              <w:widowControl/>
              <w:jc w:val="left"/>
              <w:rPr>
                <w:color w:val="auto"/>
                <w:sz w:val="18"/>
                <w:szCs w:val="18"/>
                <w:highlight w:val="none"/>
              </w:rPr>
            </w:pPr>
          </w:p>
        </w:tc>
        <w:tc>
          <w:tcPr>
            <w:tcW w:w="588" w:type="dxa"/>
            <w:tcBorders>
              <w:top w:val="single" w:color="auto" w:sz="4" w:space="0"/>
              <w:left w:val="nil"/>
              <w:bottom w:val="single" w:color="auto" w:sz="4" w:space="0"/>
              <w:right w:val="single" w:color="auto" w:sz="4" w:space="0"/>
            </w:tcBorders>
            <w:noWrap w:val="0"/>
            <w:vAlign w:val="center"/>
          </w:tcPr>
          <w:p w14:paraId="60DFBF44">
            <w:pPr>
              <w:jc w:val="center"/>
              <w:rPr>
                <w:color w:val="auto"/>
                <w:sz w:val="18"/>
                <w:szCs w:val="18"/>
                <w:highlight w:val="none"/>
              </w:rPr>
            </w:pPr>
            <w:r>
              <w:rPr>
                <w:rFonts w:hint="eastAsia"/>
                <w:color w:val="auto"/>
                <w:sz w:val="18"/>
                <w:szCs w:val="18"/>
                <w:highlight w:val="none"/>
              </w:rPr>
              <w:t>扣则37</w:t>
            </w:r>
          </w:p>
        </w:tc>
        <w:tc>
          <w:tcPr>
            <w:tcW w:w="3118" w:type="dxa"/>
            <w:tcBorders>
              <w:top w:val="single" w:color="auto" w:sz="4" w:space="0"/>
              <w:left w:val="nil"/>
              <w:bottom w:val="single" w:color="auto" w:sz="4" w:space="0"/>
              <w:right w:val="single" w:color="auto" w:sz="4" w:space="0"/>
            </w:tcBorders>
            <w:noWrap w:val="0"/>
            <w:vAlign w:val="center"/>
          </w:tcPr>
          <w:p w14:paraId="747429ED">
            <w:pPr>
              <w:jc w:val="left"/>
              <w:rPr>
                <w:color w:val="auto"/>
                <w:sz w:val="18"/>
                <w:szCs w:val="18"/>
                <w:highlight w:val="none"/>
              </w:rPr>
            </w:pPr>
            <w:r>
              <w:rPr>
                <w:rFonts w:hint="eastAsia"/>
                <w:color w:val="auto"/>
                <w:sz w:val="18"/>
                <w:szCs w:val="18"/>
                <w:highlight w:val="none"/>
              </w:rPr>
              <w:t>水电等设施损坏未及时修复的。</w:t>
            </w:r>
          </w:p>
        </w:tc>
        <w:tc>
          <w:tcPr>
            <w:tcW w:w="503" w:type="dxa"/>
            <w:tcBorders>
              <w:top w:val="single" w:color="auto" w:sz="4" w:space="0"/>
              <w:left w:val="nil"/>
              <w:bottom w:val="single" w:color="auto" w:sz="4" w:space="0"/>
              <w:right w:val="single" w:color="auto" w:sz="4" w:space="0"/>
            </w:tcBorders>
            <w:noWrap w:val="0"/>
            <w:vAlign w:val="center"/>
          </w:tcPr>
          <w:p w14:paraId="49E3D6B6">
            <w:pPr>
              <w:jc w:val="center"/>
              <w:rPr>
                <w:color w:val="auto"/>
                <w:sz w:val="18"/>
                <w:szCs w:val="18"/>
                <w:highlight w:val="none"/>
              </w:rPr>
            </w:pPr>
            <w:r>
              <w:rPr>
                <w:rFonts w:hint="eastAsia"/>
                <w:color w:val="auto"/>
                <w:sz w:val="18"/>
                <w:szCs w:val="18"/>
                <w:highlight w:val="none"/>
              </w:rPr>
              <w:t>每处/</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541836B1">
            <w:pPr>
              <w:jc w:val="center"/>
              <w:rPr>
                <w:color w:val="auto"/>
                <w:sz w:val="18"/>
                <w:szCs w:val="18"/>
                <w:highlight w:val="none"/>
              </w:rPr>
            </w:pPr>
            <w:r>
              <w:rPr>
                <w:rFonts w:hint="eastAsia"/>
                <w:color w:val="auto"/>
                <w:sz w:val="18"/>
                <w:szCs w:val="18"/>
                <w:highlight w:val="none"/>
              </w:rPr>
              <w:t>扣0.5</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2A9E52F9">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5357A4BB">
            <w:pPr>
              <w:jc w:val="center"/>
              <w:rPr>
                <w:color w:val="auto"/>
                <w:sz w:val="18"/>
                <w:szCs w:val="18"/>
                <w:highlight w:val="none"/>
              </w:rPr>
            </w:pPr>
          </w:p>
        </w:tc>
      </w:tr>
      <w:tr w14:paraId="720F2804">
        <w:tblPrEx>
          <w:tblCellMar>
            <w:top w:w="0" w:type="dxa"/>
            <w:left w:w="108" w:type="dxa"/>
            <w:bottom w:w="0" w:type="dxa"/>
            <w:right w:w="108" w:type="dxa"/>
          </w:tblCellMar>
        </w:tblPrEx>
        <w:trPr>
          <w:cantSplit/>
          <w:trHeight w:val="519"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D6D434F">
            <w:pPr>
              <w:jc w:val="center"/>
              <w:rPr>
                <w:color w:val="auto"/>
                <w:sz w:val="18"/>
                <w:szCs w:val="18"/>
                <w:highlight w:val="none"/>
              </w:rPr>
            </w:pPr>
            <w:r>
              <w:rPr>
                <w:rFonts w:hint="eastAsia"/>
                <w:color w:val="auto"/>
                <w:sz w:val="18"/>
                <w:szCs w:val="18"/>
                <w:highlight w:val="none"/>
              </w:rPr>
              <w:t>（六</w:t>
            </w:r>
            <w:r>
              <w:rPr>
                <w:color w:val="auto"/>
                <w:sz w:val="18"/>
                <w:szCs w:val="18"/>
                <w:highlight w:val="none"/>
              </w:rPr>
              <w:t>)</w:t>
            </w:r>
            <w:r>
              <w:rPr>
                <w:rFonts w:hint="eastAsia"/>
                <w:color w:val="auto"/>
                <w:sz w:val="18"/>
                <w:szCs w:val="18"/>
                <w:highlight w:val="none"/>
              </w:rPr>
              <w:t>专项工作考核</w:t>
            </w:r>
          </w:p>
        </w:tc>
        <w:tc>
          <w:tcPr>
            <w:tcW w:w="588" w:type="dxa"/>
            <w:tcBorders>
              <w:top w:val="single" w:color="auto" w:sz="4" w:space="0"/>
              <w:left w:val="nil"/>
              <w:bottom w:val="single" w:color="auto" w:sz="4" w:space="0"/>
              <w:right w:val="single" w:color="auto" w:sz="4" w:space="0"/>
            </w:tcBorders>
            <w:noWrap w:val="0"/>
            <w:vAlign w:val="center"/>
          </w:tcPr>
          <w:p w14:paraId="0751D357">
            <w:pPr>
              <w:jc w:val="center"/>
              <w:rPr>
                <w:color w:val="auto"/>
                <w:sz w:val="18"/>
                <w:szCs w:val="18"/>
                <w:highlight w:val="none"/>
              </w:rPr>
            </w:pPr>
            <w:r>
              <w:rPr>
                <w:rFonts w:hint="eastAsia"/>
                <w:color w:val="auto"/>
                <w:sz w:val="18"/>
                <w:szCs w:val="18"/>
                <w:highlight w:val="none"/>
              </w:rPr>
              <w:t>扣则38</w:t>
            </w:r>
          </w:p>
        </w:tc>
        <w:tc>
          <w:tcPr>
            <w:tcW w:w="3118" w:type="dxa"/>
            <w:tcBorders>
              <w:top w:val="single" w:color="auto" w:sz="4" w:space="0"/>
              <w:left w:val="nil"/>
              <w:bottom w:val="single" w:color="auto" w:sz="4" w:space="0"/>
              <w:right w:val="single" w:color="auto" w:sz="4" w:space="0"/>
            </w:tcBorders>
            <w:noWrap w:val="0"/>
            <w:vAlign w:val="center"/>
          </w:tcPr>
          <w:p w14:paraId="74192054">
            <w:pPr>
              <w:jc w:val="left"/>
              <w:rPr>
                <w:color w:val="auto"/>
                <w:sz w:val="18"/>
                <w:szCs w:val="18"/>
                <w:highlight w:val="none"/>
              </w:rPr>
            </w:pPr>
            <w:r>
              <w:rPr>
                <w:rFonts w:hint="eastAsia"/>
                <w:color w:val="auto"/>
                <w:sz w:val="18"/>
                <w:szCs w:val="18"/>
                <w:highlight w:val="none"/>
              </w:rPr>
              <w:t>未按要求完成公园下达的各种专项、临时性的养护任务的。</w:t>
            </w:r>
          </w:p>
        </w:tc>
        <w:tc>
          <w:tcPr>
            <w:tcW w:w="503" w:type="dxa"/>
            <w:tcBorders>
              <w:top w:val="single" w:color="auto" w:sz="4" w:space="0"/>
              <w:left w:val="nil"/>
              <w:bottom w:val="single" w:color="auto" w:sz="4" w:space="0"/>
              <w:right w:val="single" w:color="auto" w:sz="4" w:space="0"/>
            </w:tcBorders>
            <w:noWrap w:val="0"/>
            <w:vAlign w:val="center"/>
          </w:tcPr>
          <w:p w14:paraId="16DB46F8">
            <w:pPr>
              <w:jc w:val="center"/>
              <w:rPr>
                <w:color w:val="auto"/>
                <w:sz w:val="18"/>
                <w:szCs w:val="18"/>
                <w:highlight w:val="none"/>
              </w:rPr>
            </w:pPr>
            <w:r>
              <w:rPr>
                <w:rFonts w:hint="eastAsia"/>
                <w:color w:val="auto"/>
                <w:sz w:val="18"/>
                <w:szCs w:val="18"/>
                <w:highlight w:val="none"/>
              </w:rPr>
              <w:t>每项/</w:t>
            </w:r>
            <w:r>
              <w:rPr>
                <w:rFonts w:hint="eastAsia" w:ascii="宋体" w:hAnsi="宋体"/>
                <w:color w:val="auto"/>
                <w:sz w:val="18"/>
                <w:szCs w:val="18"/>
                <w:highlight w:val="none"/>
              </w:rPr>
              <w:t>次</w:t>
            </w:r>
          </w:p>
        </w:tc>
        <w:tc>
          <w:tcPr>
            <w:tcW w:w="1575" w:type="dxa"/>
            <w:gridSpan w:val="2"/>
            <w:tcBorders>
              <w:top w:val="single" w:color="auto" w:sz="4" w:space="0"/>
              <w:left w:val="nil"/>
              <w:bottom w:val="single" w:color="auto" w:sz="4" w:space="0"/>
              <w:right w:val="single" w:color="auto" w:sz="4" w:space="0"/>
            </w:tcBorders>
            <w:noWrap w:val="0"/>
            <w:vAlign w:val="center"/>
          </w:tcPr>
          <w:p w14:paraId="2D7C2E53">
            <w:pPr>
              <w:jc w:val="center"/>
              <w:rPr>
                <w:color w:val="auto"/>
                <w:sz w:val="18"/>
                <w:szCs w:val="18"/>
                <w:highlight w:val="none"/>
              </w:rPr>
            </w:pPr>
            <w:r>
              <w:rPr>
                <w:rFonts w:hint="eastAsia"/>
                <w:color w:val="auto"/>
                <w:sz w:val="18"/>
                <w:szCs w:val="18"/>
                <w:highlight w:val="none"/>
              </w:rPr>
              <w:t>扣1</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408CB08D">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413E0238">
            <w:pPr>
              <w:jc w:val="center"/>
              <w:rPr>
                <w:color w:val="auto"/>
                <w:sz w:val="18"/>
                <w:szCs w:val="18"/>
                <w:highlight w:val="none"/>
              </w:rPr>
            </w:pPr>
          </w:p>
        </w:tc>
      </w:tr>
      <w:tr w14:paraId="08CCB572">
        <w:tblPrEx>
          <w:tblCellMar>
            <w:top w:w="0" w:type="dxa"/>
            <w:left w:w="108" w:type="dxa"/>
            <w:bottom w:w="0" w:type="dxa"/>
            <w:right w:w="108" w:type="dxa"/>
          </w:tblCellMar>
        </w:tblPrEx>
        <w:trPr>
          <w:cantSplit/>
          <w:trHeight w:val="462"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FE96149">
            <w:pPr>
              <w:jc w:val="center"/>
              <w:rPr>
                <w:color w:val="auto"/>
                <w:sz w:val="18"/>
                <w:szCs w:val="18"/>
                <w:highlight w:val="none"/>
              </w:rPr>
            </w:pPr>
            <w:r>
              <w:rPr>
                <w:color w:val="auto"/>
                <w:sz w:val="18"/>
                <w:szCs w:val="18"/>
                <w:highlight w:val="none"/>
              </w:rPr>
              <w:t>(</w:t>
            </w:r>
            <w:r>
              <w:rPr>
                <w:rFonts w:hint="eastAsia"/>
                <w:color w:val="auto"/>
                <w:sz w:val="18"/>
                <w:szCs w:val="18"/>
                <w:highlight w:val="none"/>
              </w:rPr>
              <w:t>七</w:t>
            </w:r>
            <w:r>
              <w:rPr>
                <w:color w:val="auto"/>
                <w:sz w:val="18"/>
                <w:szCs w:val="18"/>
                <w:highlight w:val="none"/>
              </w:rPr>
              <w:t>)</w:t>
            </w:r>
            <w:r>
              <w:rPr>
                <w:rFonts w:hint="eastAsia"/>
                <w:color w:val="auto"/>
                <w:sz w:val="18"/>
                <w:szCs w:val="18"/>
                <w:highlight w:val="none"/>
              </w:rPr>
              <w:t>内业管理</w:t>
            </w:r>
          </w:p>
        </w:tc>
        <w:tc>
          <w:tcPr>
            <w:tcW w:w="588" w:type="dxa"/>
            <w:tcBorders>
              <w:top w:val="single" w:color="auto" w:sz="4" w:space="0"/>
              <w:left w:val="nil"/>
              <w:bottom w:val="single" w:color="auto" w:sz="4" w:space="0"/>
              <w:right w:val="single" w:color="auto" w:sz="4" w:space="0"/>
            </w:tcBorders>
            <w:noWrap w:val="0"/>
            <w:vAlign w:val="center"/>
          </w:tcPr>
          <w:p w14:paraId="4E9EEC1C">
            <w:pPr>
              <w:jc w:val="center"/>
              <w:rPr>
                <w:color w:val="auto"/>
                <w:sz w:val="18"/>
                <w:szCs w:val="18"/>
                <w:highlight w:val="none"/>
              </w:rPr>
            </w:pPr>
            <w:r>
              <w:rPr>
                <w:rFonts w:hint="eastAsia"/>
                <w:color w:val="auto"/>
                <w:sz w:val="18"/>
                <w:szCs w:val="18"/>
                <w:highlight w:val="none"/>
              </w:rPr>
              <w:t>扣则39</w:t>
            </w:r>
          </w:p>
        </w:tc>
        <w:tc>
          <w:tcPr>
            <w:tcW w:w="3118" w:type="dxa"/>
            <w:tcBorders>
              <w:top w:val="single" w:color="auto" w:sz="4" w:space="0"/>
              <w:left w:val="nil"/>
              <w:bottom w:val="single" w:color="auto" w:sz="4" w:space="0"/>
              <w:right w:val="single" w:color="auto" w:sz="4" w:space="0"/>
            </w:tcBorders>
            <w:noWrap w:val="0"/>
            <w:vAlign w:val="center"/>
          </w:tcPr>
          <w:p w14:paraId="636DD31B">
            <w:pPr>
              <w:rPr>
                <w:color w:val="auto"/>
                <w:highlight w:val="none"/>
              </w:rPr>
            </w:pPr>
            <w:r>
              <w:rPr>
                <w:rFonts w:hint="eastAsia" w:ascii="宋体" w:hAnsi="宋体"/>
                <w:color w:val="auto"/>
                <w:sz w:val="18"/>
                <w:szCs w:val="18"/>
                <w:highlight w:val="none"/>
              </w:rPr>
              <w:t>不按要求报送各类台</w:t>
            </w:r>
            <w:r>
              <w:rPr>
                <w:rFonts w:hint="eastAsia" w:ascii="宋体" w:hAnsi="宋体"/>
                <w:color w:val="auto"/>
                <w:sz w:val="18"/>
                <w:szCs w:val="18"/>
                <w:highlight w:val="none"/>
                <w:lang w:val="en-US" w:eastAsia="zh-CN"/>
              </w:rPr>
              <w:t>账</w:t>
            </w:r>
            <w:r>
              <w:rPr>
                <w:rFonts w:hint="eastAsia" w:ascii="宋体" w:hAnsi="宋体"/>
                <w:color w:val="auto"/>
                <w:sz w:val="18"/>
                <w:szCs w:val="18"/>
                <w:highlight w:val="none"/>
              </w:rPr>
              <w:t>资料</w:t>
            </w:r>
          </w:p>
          <w:p w14:paraId="7F60ABA6">
            <w:pPr>
              <w:rPr>
                <w:color w:val="auto"/>
                <w:highlight w:val="none"/>
              </w:rPr>
            </w:pPr>
            <w:r>
              <w:rPr>
                <w:rFonts w:hint="eastAsia"/>
                <w:color w:val="auto"/>
                <w:sz w:val="18"/>
                <w:szCs w:val="18"/>
                <w:highlight w:val="none"/>
              </w:rPr>
              <w:t>的，</w:t>
            </w:r>
            <w:r>
              <w:rPr>
                <w:rFonts w:hint="eastAsia" w:ascii="宋体" w:hAnsi="宋体"/>
                <w:color w:val="auto"/>
                <w:sz w:val="18"/>
                <w:szCs w:val="18"/>
                <w:highlight w:val="none"/>
              </w:rPr>
              <w:t>报送的资料数据弄虚作假</w:t>
            </w:r>
          </w:p>
          <w:p w14:paraId="440947C3">
            <w:pPr>
              <w:rPr>
                <w:color w:val="auto"/>
                <w:highlight w:val="none"/>
              </w:rPr>
            </w:pPr>
            <w:r>
              <w:rPr>
                <w:rFonts w:hint="eastAsia"/>
                <w:color w:val="auto"/>
                <w:sz w:val="18"/>
                <w:szCs w:val="18"/>
                <w:highlight w:val="none"/>
              </w:rPr>
              <w:t>的，</w:t>
            </w:r>
            <w:r>
              <w:rPr>
                <w:rFonts w:hint="eastAsia" w:ascii="宋体" w:hAnsi="宋体"/>
                <w:color w:val="auto"/>
                <w:sz w:val="18"/>
                <w:szCs w:val="18"/>
                <w:highlight w:val="none"/>
              </w:rPr>
              <w:t>内容不完整或不符合实际的</w:t>
            </w:r>
          </w:p>
          <w:p w14:paraId="34B2A90A">
            <w:pPr>
              <w:jc w:val="left"/>
              <w:rPr>
                <w:color w:val="auto"/>
                <w:sz w:val="18"/>
                <w:szCs w:val="18"/>
                <w:highlight w:val="none"/>
              </w:rPr>
            </w:pPr>
            <w:r>
              <w:rPr>
                <w:rFonts w:hint="eastAsia"/>
                <w:color w:val="auto"/>
                <w:sz w:val="18"/>
                <w:szCs w:val="18"/>
                <w:highlight w:val="none"/>
              </w:rPr>
              <w:t>，相关资料未按公园要求上报的。</w:t>
            </w:r>
          </w:p>
        </w:tc>
        <w:tc>
          <w:tcPr>
            <w:tcW w:w="503" w:type="dxa"/>
            <w:tcBorders>
              <w:top w:val="single" w:color="auto" w:sz="4" w:space="0"/>
              <w:left w:val="nil"/>
              <w:bottom w:val="single" w:color="auto" w:sz="4" w:space="0"/>
              <w:right w:val="single" w:color="auto" w:sz="4" w:space="0"/>
            </w:tcBorders>
            <w:noWrap w:val="0"/>
            <w:vAlign w:val="center"/>
          </w:tcPr>
          <w:p w14:paraId="63A01D53">
            <w:pPr>
              <w:jc w:val="center"/>
              <w:rPr>
                <w:color w:val="auto"/>
                <w:sz w:val="18"/>
                <w:szCs w:val="18"/>
                <w:highlight w:val="none"/>
              </w:rPr>
            </w:pPr>
            <w:r>
              <w:rPr>
                <w:rFonts w:hint="eastAsia"/>
                <w:color w:val="auto"/>
                <w:sz w:val="18"/>
                <w:szCs w:val="18"/>
                <w:highlight w:val="none"/>
              </w:rPr>
              <w:t>每次</w:t>
            </w:r>
          </w:p>
        </w:tc>
        <w:tc>
          <w:tcPr>
            <w:tcW w:w="1575" w:type="dxa"/>
            <w:gridSpan w:val="2"/>
            <w:tcBorders>
              <w:top w:val="single" w:color="auto" w:sz="4" w:space="0"/>
              <w:left w:val="nil"/>
              <w:bottom w:val="single" w:color="auto" w:sz="4" w:space="0"/>
              <w:right w:val="single" w:color="auto" w:sz="4" w:space="0"/>
            </w:tcBorders>
            <w:noWrap w:val="0"/>
            <w:vAlign w:val="center"/>
          </w:tcPr>
          <w:p w14:paraId="6028A8F2">
            <w:pPr>
              <w:jc w:val="center"/>
              <w:rPr>
                <w:color w:val="auto"/>
                <w:sz w:val="18"/>
                <w:szCs w:val="18"/>
                <w:highlight w:val="none"/>
              </w:rPr>
            </w:pPr>
            <w:r>
              <w:rPr>
                <w:rFonts w:hint="eastAsia"/>
                <w:color w:val="auto"/>
                <w:sz w:val="18"/>
                <w:szCs w:val="18"/>
                <w:highlight w:val="none"/>
              </w:rPr>
              <w:t>扣</w:t>
            </w:r>
            <w:r>
              <w:rPr>
                <w:color w:val="auto"/>
                <w:sz w:val="18"/>
                <w:szCs w:val="18"/>
                <w:highlight w:val="none"/>
              </w:rPr>
              <w:t>0.</w:t>
            </w:r>
            <w:r>
              <w:rPr>
                <w:rFonts w:hint="eastAsia"/>
                <w:color w:val="auto"/>
                <w:sz w:val="18"/>
                <w:szCs w:val="18"/>
                <w:highlight w:val="none"/>
              </w:rPr>
              <w:t>2</w:t>
            </w:r>
            <w:r>
              <w:rPr>
                <w:rFonts w:hint="eastAsia" w:ascii="宋体" w:hAnsi="宋体"/>
                <w:color w:val="auto"/>
                <w:sz w:val="18"/>
                <w:szCs w:val="18"/>
                <w:highlight w:val="none"/>
              </w:rPr>
              <w:t>分</w:t>
            </w:r>
          </w:p>
        </w:tc>
        <w:tc>
          <w:tcPr>
            <w:tcW w:w="570" w:type="dxa"/>
            <w:tcBorders>
              <w:top w:val="single" w:color="auto" w:sz="4" w:space="0"/>
              <w:left w:val="nil"/>
              <w:bottom w:val="single" w:color="auto" w:sz="4" w:space="0"/>
              <w:right w:val="single" w:color="auto" w:sz="4" w:space="0"/>
            </w:tcBorders>
            <w:noWrap w:val="0"/>
            <w:vAlign w:val="center"/>
          </w:tcPr>
          <w:p w14:paraId="45DD70B4">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D96B9E3">
            <w:pPr>
              <w:jc w:val="center"/>
              <w:rPr>
                <w:color w:val="auto"/>
                <w:sz w:val="18"/>
                <w:szCs w:val="18"/>
                <w:highlight w:val="none"/>
              </w:rPr>
            </w:pPr>
          </w:p>
        </w:tc>
      </w:tr>
      <w:tr w14:paraId="403A15CE">
        <w:tblPrEx>
          <w:tblCellMar>
            <w:top w:w="0" w:type="dxa"/>
            <w:left w:w="108" w:type="dxa"/>
            <w:bottom w:w="0" w:type="dxa"/>
            <w:right w:w="108" w:type="dxa"/>
          </w:tblCellMar>
        </w:tblPrEx>
        <w:trPr>
          <w:cantSplit/>
          <w:trHeight w:val="462"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35FBC608">
            <w:pPr>
              <w:jc w:val="center"/>
              <w:rPr>
                <w:color w:val="auto"/>
                <w:sz w:val="18"/>
                <w:szCs w:val="18"/>
                <w:highlight w:val="none"/>
              </w:rPr>
            </w:pPr>
            <w:r>
              <w:rPr>
                <w:color w:val="auto"/>
                <w:sz w:val="18"/>
                <w:szCs w:val="18"/>
                <w:highlight w:val="none"/>
              </w:rPr>
              <w:t>(</w:t>
            </w:r>
            <w:r>
              <w:rPr>
                <w:rFonts w:hint="eastAsia"/>
                <w:color w:val="auto"/>
                <w:sz w:val="18"/>
                <w:szCs w:val="18"/>
                <w:highlight w:val="none"/>
              </w:rPr>
              <w:t>八</w:t>
            </w:r>
            <w:r>
              <w:rPr>
                <w:color w:val="auto"/>
                <w:sz w:val="18"/>
                <w:szCs w:val="18"/>
                <w:highlight w:val="none"/>
              </w:rPr>
              <w:t>)</w:t>
            </w:r>
            <w:r>
              <w:rPr>
                <w:rFonts w:hint="eastAsia"/>
                <w:color w:val="auto"/>
                <w:sz w:val="18"/>
                <w:szCs w:val="18"/>
                <w:highlight w:val="none"/>
              </w:rPr>
              <w:t>其他</w:t>
            </w:r>
          </w:p>
        </w:tc>
        <w:tc>
          <w:tcPr>
            <w:tcW w:w="588" w:type="dxa"/>
            <w:tcBorders>
              <w:top w:val="single" w:color="auto" w:sz="4" w:space="0"/>
              <w:left w:val="nil"/>
              <w:bottom w:val="single" w:color="auto" w:sz="4" w:space="0"/>
              <w:right w:val="single" w:color="auto" w:sz="4" w:space="0"/>
            </w:tcBorders>
            <w:noWrap w:val="0"/>
            <w:vAlign w:val="center"/>
          </w:tcPr>
          <w:p w14:paraId="2E41CB32">
            <w:pPr>
              <w:jc w:val="center"/>
              <w:rPr>
                <w:color w:val="auto"/>
                <w:sz w:val="18"/>
                <w:szCs w:val="18"/>
                <w:highlight w:val="none"/>
              </w:rPr>
            </w:pPr>
            <w:r>
              <w:rPr>
                <w:rFonts w:hint="eastAsia"/>
                <w:color w:val="auto"/>
                <w:sz w:val="18"/>
                <w:szCs w:val="18"/>
                <w:highlight w:val="none"/>
              </w:rPr>
              <w:t>扣则40</w:t>
            </w:r>
          </w:p>
        </w:tc>
        <w:tc>
          <w:tcPr>
            <w:tcW w:w="3118" w:type="dxa"/>
            <w:tcBorders>
              <w:top w:val="single" w:color="auto" w:sz="4" w:space="0"/>
              <w:left w:val="nil"/>
              <w:bottom w:val="single" w:color="auto" w:sz="4" w:space="0"/>
              <w:right w:val="single" w:color="auto" w:sz="4" w:space="0"/>
            </w:tcBorders>
            <w:noWrap w:val="0"/>
            <w:vAlign w:val="center"/>
          </w:tcPr>
          <w:p w14:paraId="7AE95049">
            <w:pPr>
              <w:jc w:val="left"/>
              <w:rPr>
                <w:color w:val="auto"/>
                <w:sz w:val="18"/>
                <w:szCs w:val="18"/>
                <w:highlight w:val="none"/>
              </w:rPr>
            </w:pPr>
            <w:r>
              <w:rPr>
                <w:rFonts w:hint="eastAsia"/>
                <w:color w:val="auto"/>
                <w:sz w:val="18"/>
                <w:szCs w:val="18"/>
                <w:highlight w:val="none"/>
              </w:rPr>
              <w:t>其他未列举但涉及到安全或对园林景观有不良影响的。</w:t>
            </w:r>
          </w:p>
        </w:tc>
        <w:tc>
          <w:tcPr>
            <w:tcW w:w="503" w:type="dxa"/>
            <w:tcBorders>
              <w:top w:val="single" w:color="auto" w:sz="4" w:space="0"/>
              <w:left w:val="nil"/>
              <w:bottom w:val="single" w:color="auto" w:sz="4" w:space="0"/>
              <w:right w:val="single" w:color="auto" w:sz="4" w:space="0"/>
            </w:tcBorders>
            <w:noWrap w:val="0"/>
            <w:vAlign w:val="center"/>
          </w:tcPr>
          <w:p w14:paraId="42910734">
            <w:pPr>
              <w:jc w:val="center"/>
              <w:rPr>
                <w:color w:val="auto"/>
                <w:sz w:val="18"/>
                <w:szCs w:val="18"/>
                <w:highlight w:val="none"/>
              </w:rPr>
            </w:pPr>
          </w:p>
        </w:tc>
        <w:tc>
          <w:tcPr>
            <w:tcW w:w="1575" w:type="dxa"/>
            <w:gridSpan w:val="2"/>
            <w:tcBorders>
              <w:top w:val="single" w:color="auto" w:sz="4" w:space="0"/>
              <w:left w:val="nil"/>
              <w:bottom w:val="single" w:color="auto" w:sz="4" w:space="0"/>
              <w:right w:val="single" w:color="auto" w:sz="4" w:space="0"/>
            </w:tcBorders>
            <w:noWrap w:val="0"/>
            <w:vAlign w:val="center"/>
          </w:tcPr>
          <w:p w14:paraId="073175FA">
            <w:pPr>
              <w:jc w:val="center"/>
              <w:rPr>
                <w:color w:val="auto"/>
                <w:sz w:val="18"/>
                <w:szCs w:val="18"/>
                <w:highlight w:val="none"/>
              </w:rPr>
            </w:pPr>
            <w:r>
              <w:rPr>
                <w:rFonts w:hint="eastAsia"/>
                <w:color w:val="auto"/>
                <w:sz w:val="18"/>
                <w:szCs w:val="18"/>
                <w:highlight w:val="none"/>
              </w:rPr>
              <w:t>由公园视具体内容及扣分标准现场认定</w:t>
            </w:r>
          </w:p>
        </w:tc>
        <w:tc>
          <w:tcPr>
            <w:tcW w:w="570" w:type="dxa"/>
            <w:tcBorders>
              <w:top w:val="single" w:color="auto" w:sz="4" w:space="0"/>
              <w:left w:val="nil"/>
              <w:bottom w:val="single" w:color="auto" w:sz="4" w:space="0"/>
              <w:right w:val="single" w:color="auto" w:sz="4" w:space="0"/>
            </w:tcBorders>
            <w:noWrap w:val="0"/>
            <w:vAlign w:val="center"/>
          </w:tcPr>
          <w:p w14:paraId="7850199C">
            <w:pPr>
              <w:jc w:val="center"/>
              <w:rPr>
                <w:color w:val="auto"/>
                <w:sz w:val="18"/>
                <w:szCs w:val="18"/>
                <w:highlight w:val="none"/>
              </w:rPr>
            </w:pPr>
          </w:p>
        </w:tc>
        <w:tc>
          <w:tcPr>
            <w:tcW w:w="1875" w:type="dxa"/>
            <w:tcBorders>
              <w:top w:val="single" w:color="auto" w:sz="4" w:space="0"/>
              <w:left w:val="nil"/>
              <w:bottom w:val="single" w:color="auto" w:sz="4" w:space="0"/>
              <w:right w:val="single" w:color="auto" w:sz="4" w:space="0"/>
            </w:tcBorders>
            <w:noWrap w:val="0"/>
            <w:vAlign w:val="center"/>
          </w:tcPr>
          <w:p w14:paraId="232EF171">
            <w:pPr>
              <w:jc w:val="center"/>
              <w:rPr>
                <w:color w:val="auto"/>
                <w:sz w:val="18"/>
                <w:szCs w:val="18"/>
                <w:highlight w:val="none"/>
              </w:rPr>
            </w:pPr>
          </w:p>
        </w:tc>
      </w:tr>
      <w:tr w14:paraId="0CB1EB35">
        <w:tblPrEx>
          <w:tblCellMar>
            <w:top w:w="0" w:type="dxa"/>
            <w:left w:w="108" w:type="dxa"/>
            <w:bottom w:w="0" w:type="dxa"/>
            <w:right w:w="108" w:type="dxa"/>
          </w:tblCellMar>
        </w:tblPrEx>
        <w:trPr>
          <w:cantSplit/>
          <w:trHeight w:val="718" w:hRule="atLeast"/>
          <w:jc w:val="center"/>
        </w:trPr>
        <w:tc>
          <w:tcPr>
            <w:tcW w:w="8897" w:type="dxa"/>
            <w:gridSpan w:val="8"/>
            <w:tcBorders>
              <w:top w:val="single" w:color="auto" w:sz="4" w:space="0"/>
              <w:left w:val="single" w:color="auto" w:sz="4" w:space="0"/>
              <w:bottom w:val="single" w:color="auto" w:sz="4" w:space="0"/>
              <w:right w:val="single" w:color="auto" w:sz="4" w:space="0"/>
            </w:tcBorders>
            <w:noWrap w:val="0"/>
            <w:vAlign w:val="center"/>
          </w:tcPr>
          <w:p w14:paraId="56468CAD">
            <w:pPr>
              <w:jc w:val="center"/>
              <w:rPr>
                <w:color w:val="auto"/>
                <w:sz w:val="30"/>
                <w:szCs w:val="30"/>
                <w:highlight w:val="none"/>
              </w:rPr>
            </w:pPr>
            <w:r>
              <w:rPr>
                <w:rFonts w:hint="eastAsia"/>
                <w:color w:val="auto"/>
                <w:sz w:val="30"/>
                <w:szCs w:val="30"/>
                <w:highlight w:val="none"/>
              </w:rPr>
              <w:t>检查总</w:t>
            </w:r>
            <w:r>
              <w:rPr>
                <w:color w:val="auto"/>
                <w:sz w:val="30"/>
                <w:szCs w:val="30"/>
                <w:highlight w:val="none"/>
              </w:rPr>
              <w:t>得分：</w:t>
            </w:r>
          </w:p>
        </w:tc>
      </w:tr>
    </w:tbl>
    <w:p w14:paraId="23BBB512">
      <w:pPr>
        <w:rPr>
          <w:color w:val="auto"/>
          <w:sz w:val="24"/>
          <w:highlight w:val="none"/>
        </w:rPr>
      </w:pPr>
      <w:r>
        <w:rPr>
          <w:color w:val="auto"/>
          <w:sz w:val="24"/>
          <w:highlight w:val="none"/>
        </w:rPr>
        <w:t xml:space="preserve"> </w:t>
      </w:r>
    </w:p>
    <w:p w14:paraId="592439CE">
      <w:pPr>
        <w:pStyle w:val="10"/>
        <w:rPr>
          <w:color w:val="auto"/>
          <w:sz w:val="24"/>
          <w:highlight w:val="none"/>
        </w:rPr>
      </w:pPr>
      <w:r>
        <w:rPr>
          <w:rFonts w:hint="eastAsia"/>
          <w:color w:val="auto"/>
          <w:sz w:val="24"/>
          <w:highlight w:val="none"/>
        </w:rPr>
        <w:t>园容科技术负责人：</w:t>
      </w:r>
      <w:r>
        <w:rPr>
          <w:color w:val="auto"/>
          <w:sz w:val="24"/>
          <w:highlight w:val="none"/>
        </w:rPr>
        <w:t xml:space="preserve">   </w:t>
      </w:r>
      <w:r>
        <w:rPr>
          <w:rFonts w:hint="eastAsia"/>
          <w:color w:val="auto"/>
          <w:sz w:val="24"/>
          <w:highlight w:val="none"/>
        </w:rPr>
        <w:t xml:space="preserve">        </w:t>
      </w:r>
      <w:r>
        <w:rPr>
          <w:color w:val="auto"/>
          <w:sz w:val="24"/>
          <w:highlight w:val="none"/>
        </w:rPr>
        <w:t xml:space="preserve"> </w:t>
      </w:r>
      <w:r>
        <w:rPr>
          <w:rFonts w:hint="eastAsia"/>
          <w:color w:val="auto"/>
          <w:sz w:val="24"/>
          <w:highlight w:val="none"/>
        </w:rPr>
        <w:t xml:space="preserve"> 绿化检查员：</w:t>
      </w:r>
      <w:r>
        <w:rPr>
          <w:color w:val="auto"/>
          <w:sz w:val="24"/>
          <w:highlight w:val="none"/>
        </w:rPr>
        <w:t xml:space="preserve">     </w:t>
      </w:r>
      <w:r>
        <w:rPr>
          <w:rFonts w:hint="eastAsia"/>
          <w:color w:val="auto"/>
          <w:sz w:val="24"/>
          <w:highlight w:val="none"/>
        </w:rPr>
        <w:t xml:space="preserve">      养护公司技术员：</w:t>
      </w:r>
      <w:r>
        <w:rPr>
          <w:color w:val="auto"/>
          <w:sz w:val="24"/>
          <w:highlight w:val="none"/>
        </w:rPr>
        <w:t xml:space="preserve">  </w:t>
      </w:r>
    </w:p>
    <w:p w14:paraId="0AB5F630">
      <w:pPr>
        <w:rPr>
          <w:rFonts w:hint="eastAsia" w:ascii="宋体" w:hAnsi="宋体" w:eastAsia="宋体" w:cs="宋体"/>
          <w:b/>
          <w:bCs/>
          <w:color w:val="auto"/>
          <w:sz w:val="28"/>
          <w:szCs w:val="28"/>
          <w:highlight w:val="none"/>
        </w:rPr>
      </w:pPr>
    </w:p>
    <w:p w14:paraId="13EB1621">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eastAsia="zh-CN"/>
        </w:rPr>
        <w:t>2</w:t>
      </w:r>
      <w:r>
        <w:rPr>
          <w:rFonts w:hint="eastAsia" w:ascii="宋体" w:hAnsi="宋体" w:eastAsia="宋体" w:cs="宋体"/>
          <w:b/>
          <w:bCs/>
          <w:color w:val="auto"/>
          <w:sz w:val="28"/>
          <w:szCs w:val="28"/>
          <w:highlight w:val="none"/>
          <w:lang w:val="en-US" w:eastAsia="zh-CN"/>
        </w:rPr>
        <w:t>-2-3</w:t>
      </w:r>
    </w:p>
    <w:p w14:paraId="761B6F2D">
      <w:pPr>
        <w:jc w:val="center"/>
        <w:rPr>
          <w:rFonts w:ascii="宋体"/>
          <w:b/>
          <w:bCs/>
          <w:color w:val="auto"/>
          <w:sz w:val="32"/>
          <w:szCs w:val="32"/>
          <w:highlight w:val="none"/>
        </w:rPr>
      </w:pPr>
      <w:r>
        <w:rPr>
          <w:rFonts w:hint="eastAsia" w:ascii="宋体" w:hAnsi="宋体"/>
          <w:b/>
          <w:bCs/>
          <w:color w:val="auto"/>
          <w:sz w:val="32"/>
          <w:szCs w:val="32"/>
          <w:highlight w:val="none"/>
        </w:rPr>
        <w:t>南宁市人民公园绿化养护检查整改反馈表</w:t>
      </w:r>
    </w:p>
    <w:p w14:paraId="2C4F99DC">
      <w:pPr>
        <w:spacing w:line="400" w:lineRule="exact"/>
        <w:rPr>
          <w:rFonts w:ascii="宋体"/>
          <w:color w:val="auto"/>
          <w:highlight w:val="none"/>
        </w:rPr>
      </w:pPr>
    </w:p>
    <w:tbl>
      <w:tblPr>
        <w:tblStyle w:val="22"/>
        <w:tblW w:w="0" w:type="auto"/>
        <w:jc w:val="center"/>
        <w:tblLayout w:type="fixed"/>
        <w:tblCellMar>
          <w:top w:w="0" w:type="dxa"/>
          <w:left w:w="108" w:type="dxa"/>
          <w:bottom w:w="0" w:type="dxa"/>
          <w:right w:w="108" w:type="dxa"/>
        </w:tblCellMar>
      </w:tblPr>
      <w:tblGrid>
        <w:gridCol w:w="1253"/>
        <w:gridCol w:w="3263"/>
        <w:gridCol w:w="1879"/>
        <w:gridCol w:w="2441"/>
      </w:tblGrid>
      <w:tr w14:paraId="4452AA79">
        <w:tblPrEx>
          <w:tblCellMar>
            <w:top w:w="0" w:type="dxa"/>
            <w:left w:w="108" w:type="dxa"/>
            <w:bottom w:w="0" w:type="dxa"/>
            <w:right w:w="108" w:type="dxa"/>
          </w:tblCellMar>
        </w:tblPrEx>
        <w:trPr>
          <w:trHeight w:val="603" w:hRule="atLeast"/>
          <w:jc w:val="center"/>
        </w:trPr>
        <w:tc>
          <w:tcPr>
            <w:tcW w:w="1253" w:type="dxa"/>
            <w:tcBorders>
              <w:top w:val="single" w:color="auto" w:sz="4" w:space="0"/>
              <w:left w:val="single" w:color="auto" w:sz="4" w:space="0"/>
              <w:bottom w:val="single" w:color="auto" w:sz="4" w:space="0"/>
              <w:right w:val="single" w:color="auto" w:sz="4" w:space="0"/>
            </w:tcBorders>
            <w:noWrap w:val="0"/>
            <w:vAlign w:val="center"/>
          </w:tcPr>
          <w:p w14:paraId="3B6E8012">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检查时间</w:t>
            </w:r>
          </w:p>
        </w:tc>
        <w:tc>
          <w:tcPr>
            <w:tcW w:w="5142" w:type="dxa"/>
            <w:gridSpan w:val="2"/>
            <w:tcBorders>
              <w:top w:val="single" w:color="auto" w:sz="4" w:space="0"/>
              <w:left w:val="single" w:color="auto" w:sz="4" w:space="0"/>
              <w:bottom w:val="single" w:color="auto" w:sz="4" w:space="0"/>
              <w:right w:val="single" w:color="auto" w:sz="4" w:space="0"/>
            </w:tcBorders>
            <w:noWrap w:val="0"/>
            <w:vAlign w:val="center"/>
          </w:tcPr>
          <w:p w14:paraId="1A0F288D">
            <w:pPr>
              <w:widowControl/>
              <w:ind w:firstLine="840" w:firstLineChars="350"/>
              <w:rPr>
                <w:rFonts w:ascii="宋体" w:cs="宋体"/>
                <w:color w:val="auto"/>
                <w:kern w:val="0"/>
                <w:sz w:val="24"/>
                <w:szCs w:val="20"/>
                <w:highlight w:val="none"/>
              </w:rPr>
            </w:pPr>
            <w:r>
              <w:rPr>
                <w:rFonts w:hint="eastAsia" w:ascii="宋体" w:hAnsi="宋体" w:cs="宋体"/>
                <w:color w:val="auto"/>
                <w:kern w:val="0"/>
                <w:sz w:val="24"/>
                <w:szCs w:val="20"/>
                <w:highlight w:val="none"/>
              </w:rPr>
              <w:t>年    月    日</w:t>
            </w:r>
          </w:p>
        </w:tc>
        <w:tc>
          <w:tcPr>
            <w:tcW w:w="2441" w:type="dxa"/>
            <w:tcBorders>
              <w:top w:val="single" w:color="auto" w:sz="4" w:space="0"/>
              <w:left w:val="single" w:color="auto" w:sz="4" w:space="0"/>
              <w:bottom w:val="single" w:color="auto" w:sz="4" w:space="0"/>
              <w:right w:val="single" w:color="auto" w:sz="4" w:space="0"/>
            </w:tcBorders>
            <w:noWrap w:val="0"/>
            <w:vAlign w:val="center"/>
          </w:tcPr>
          <w:p w14:paraId="15938EE7">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编号：</w:t>
            </w:r>
          </w:p>
        </w:tc>
      </w:tr>
      <w:tr w14:paraId="4D7DF1D9">
        <w:tblPrEx>
          <w:tblCellMar>
            <w:top w:w="0" w:type="dxa"/>
            <w:left w:w="108" w:type="dxa"/>
            <w:bottom w:w="0" w:type="dxa"/>
            <w:right w:w="108" w:type="dxa"/>
          </w:tblCellMar>
        </w:tblPrEx>
        <w:trPr>
          <w:trHeight w:val="554" w:hRule="atLeast"/>
          <w:jc w:val="center"/>
        </w:trPr>
        <w:tc>
          <w:tcPr>
            <w:tcW w:w="1253" w:type="dxa"/>
            <w:tcBorders>
              <w:top w:val="nil"/>
              <w:left w:val="single" w:color="auto" w:sz="4" w:space="0"/>
              <w:bottom w:val="single" w:color="auto" w:sz="4" w:space="0"/>
              <w:right w:val="single" w:color="auto" w:sz="4" w:space="0"/>
            </w:tcBorders>
            <w:noWrap w:val="0"/>
            <w:vAlign w:val="center"/>
          </w:tcPr>
          <w:p w14:paraId="0727EBD6">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巡检人员</w:t>
            </w:r>
          </w:p>
        </w:tc>
        <w:tc>
          <w:tcPr>
            <w:tcW w:w="3263" w:type="dxa"/>
            <w:tcBorders>
              <w:top w:val="nil"/>
              <w:left w:val="nil"/>
              <w:bottom w:val="single" w:color="auto" w:sz="4" w:space="0"/>
              <w:right w:val="single" w:color="auto" w:sz="4" w:space="0"/>
            </w:tcBorders>
            <w:noWrap w:val="0"/>
            <w:vAlign w:val="center"/>
          </w:tcPr>
          <w:p w14:paraId="30467FDF">
            <w:pPr>
              <w:widowControl/>
              <w:jc w:val="right"/>
              <w:rPr>
                <w:rFonts w:ascii="宋体" w:cs="宋体"/>
                <w:color w:val="auto"/>
                <w:kern w:val="0"/>
                <w:sz w:val="24"/>
                <w:szCs w:val="20"/>
                <w:highlight w:val="none"/>
              </w:rPr>
            </w:pPr>
            <w:r>
              <w:rPr>
                <w:rFonts w:hint="eastAsia" w:ascii="宋体" w:hAnsi="宋体" w:cs="宋体"/>
                <w:color w:val="auto"/>
                <w:kern w:val="0"/>
                <w:sz w:val="24"/>
                <w:szCs w:val="20"/>
                <w:highlight w:val="none"/>
              </w:rPr>
              <w:t xml:space="preserve">  </w:t>
            </w:r>
          </w:p>
        </w:tc>
        <w:tc>
          <w:tcPr>
            <w:tcW w:w="1879" w:type="dxa"/>
            <w:tcBorders>
              <w:top w:val="nil"/>
              <w:left w:val="nil"/>
              <w:bottom w:val="single" w:color="auto" w:sz="4" w:space="0"/>
              <w:right w:val="single" w:color="auto" w:sz="4" w:space="0"/>
            </w:tcBorders>
            <w:noWrap w:val="0"/>
            <w:vAlign w:val="center"/>
          </w:tcPr>
          <w:p w14:paraId="4FC42147">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乙方签字确认</w:t>
            </w:r>
          </w:p>
        </w:tc>
        <w:tc>
          <w:tcPr>
            <w:tcW w:w="2441" w:type="dxa"/>
            <w:tcBorders>
              <w:top w:val="nil"/>
              <w:left w:val="nil"/>
              <w:bottom w:val="single" w:color="auto" w:sz="4" w:space="0"/>
              <w:right w:val="single" w:color="auto" w:sz="4" w:space="0"/>
            </w:tcBorders>
            <w:noWrap w:val="0"/>
            <w:vAlign w:val="center"/>
          </w:tcPr>
          <w:p w14:paraId="7555E58B">
            <w:pPr>
              <w:widowControl/>
              <w:jc w:val="left"/>
              <w:rPr>
                <w:rFonts w:ascii="宋体" w:cs="宋体"/>
                <w:color w:val="auto"/>
                <w:kern w:val="0"/>
                <w:sz w:val="24"/>
                <w:szCs w:val="20"/>
                <w:highlight w:val="none"/>
              </w:rPr>
            </w:pPr>
          </w:p>
        </w:tc>
      </w:tr>
      <w:tr w14:paraId="3B8BF1F0">
        <w:tblPrEx>
          <w:tblCellMar>
            <w:top w:w="0" w:type="dxa"/>
            <w:left w:w="108" w:type="dxa"/>
            <w:bottom w:w="0" w:type="dxa"/>
            <w:right w:w="108" w:type="dxa"/>
          </w:tblCellMar>
        </w:tblPrEx>
        <w:trPr>
          <w:trHeight w:val="649" w:hRule="atLeast"/>
          <w:jc w:val="center"/>
        </w:trPr>
        <w:tc>
          <w:tcPr>
            <w:tcW w:w="1253" w:type="dxa"/>
            <w:tcBorders>
              <w:top w:val="nil"/>
              <w:left w:val="single" w:color="auto" w:sz="4" w:space="0"/>
              <w:bottom w:val="single" w:color="auto" w:sz="4" w:space="0"/>
              <w:right w:val="single" w:color="auto" w:sz="4" w:space="0"/>
            </w:tcBorders>
            <w:noWrap w:val="0"/>
            <w:vAlign w:val="center"/>
          </w:tcPr>
          <w:p w14:paraId="394AD73C">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存在问题</w:t>
            </w:r>
          </w:p>
        </w:tc>
        <w:tc>
          <w:tcPr>
            <w:tcW w:w="7583" w:type="dxa"/>
            <w:gridSpan w:val="3"/>
            <w:tcBorders>
              <w:top w:val="single" w:color="auto" w:sz="4" w:space="0"/>
              <w:left w:val="nil"/>
              <w:bottom w:val="single" w:color="auto" w:sz="4" w:space="0"/>
              <w:right w:val="single" w:color="auto" w:sz="4" w:space="0"/>
            </w:tcBorders>
            <w:noWrap w:val="0"/>
            <w:vAlign w:val="center"/>
          </w:tcPr>
          <w:p w14:paraId="45BA0E63">
            <w:pPr>
              <w:widowControl/>
              <w:jc w:val="center"/>
              <w:rPr>
                <w:rFonts w:ascii="宋体" w:cs="宋体"/>
                <w:color w:val="auto"/>
                <w:kern w:val="0"/>
                <w:sz w:val="24"/>
                <w:szCs w:val="20"/>
                <w:highlight w:val="none"/>
              </w:rPr>
            </w:pPr>
          </w:p>
        </w:tc>
      </w:tr>
      <w:tr w14:paraId="45A61F68">
        <w:tblPrEx>
          <w:tblCellMar>
            <w:top w:w="0" w:type="dxa"/>
            <w:left w:w="108" w:type="dxa"/>
            <w:bottom w:w="0" w:type="dxa"/>
            <w:right w:w="108" w:type="dxa"/>
          </w:tblCellMar>
        </w:tblPrEx>
        <w:trPr>
          <w:trHeight w:val="717" w:hRule="atLeast"/>
          <w:jc w:val="center"/>
        </w:trPr>
        <w:tc>
          <w:tcPr>
            <w:tcW w:w="1253" w:type="dxa"/>
            <w:tcBorders>
              <w:top w:val="nil"/>
              <w:left w:val="single" w:color="auto" w:sz="4" w:space="0"/>
              <w:bottom w:val="single" w:color="auto" w:sz="4" w:space="0"/>
              <w:right w:val="single" w:color="auto" w:sz="4" w:space="0"/>
            </w:tcBorders>
            <w:noWrap w:val="0"/>
            <w:vAlign w:val="center"/>
          </w:tcPr>
          <w:p w14:paraId="1672B99C">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整改意见</w:t>
            </w:r>
          </w:p>
        </w:tc>
        <w:tc>
          <w:tcPr>
            <w:tcW w:w="7583" w:type="dxa"/>
            <w:gridSpan w:val="3"/>
            <w:tcBorders>
              <w:top w:val="single" w:color="auto" w:sz="4" w:space="0"/>
              <w:left w:val="nil"/>
              <w:bottom w:val="single" w:color="auto" w:sz="4" w:space="0"/>
              <w:right w:val="single" w:color="000000" w:sz="4" w:space="0"/>
            </w:tcBorders>
            <w:noWrap w:val="0"/>
            <w:vAlign w:val="center"/>
          </w:tcPr>
          <w:p w14:paraId="55DC5380">
            <w:pPr>
              <w:widowControl/>
              <w:jc w:val="center"/>
              <w:rPr>
                <w:rFonts w:ascii="宋体" w:cs="宋体"/>
                <w:color w:val="auto"/>
                <w:kern w:val="0"/>
                <w:sz w:val="24"/>
                <w:szCs w:val="20"/>
                <w:highlight w:val="none"/>
              </w:rPr>
            </w:pPr>
          </w:p>
        </w:tc>
      </w:tr>
      <w:tr w14:paraId="696E7B37">
        <w:tblPrEx>
          <w:tblCellMar>
            <w:top w:w="0" w:type="dxa"/>
            <w:left w:w="108" w:type="dxa"/>
            <w:bottom w:w="0" w:type="dxa"/>
            <w:right w:w="108" w:type="dxa"/>
          </w:tblCellMar>
        </w:tblPrEx>
        <w:trPr>
          <w:trHeight w:val="849" w:hRule="atLeast"/>
          <w:jc w:val="center"/>
        </w:trPr>
        <w:tc>
          <w:tcPr>
            <w:tcW w:w="1253" w:type="dxa"/>
            <w:tcBorders>
              <w:top w:val="nil"/>
              <w:left w:val="single" w:color="auto" w:sz="4" w:space="0"/>
              <w:bottom w:val="single" w:color="auto" w:sz="4" w:space="0"/>
              <w:right w:val="single" w:color="auto" w:sz="4" w:space="0"/>
            </w:tcBorders>
            <w:noWrap w:val="0"/>
            <w:vAlign w:val="center"/>
          </w:tcPr>
          <w:p w14:paraId="19EA6FEA">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管护单位</w:t>
            </w:r>
          </w:p>
        </w:tc>
        <w:tc>
          <w:tcPr>
            <w:tcW w:w="7583" w:type="dxa"/>
            <w:gridSpan w:val="3"/>
            <w:tcBorders>
              <w:top w:val="single" w:color="auto" w:sz="4" w:space="0"/>
              <w:left w:val="nil"/>
              <w:bottom w:val="single" w:color="auto" w:sz="4" w:space="0"/>
              <w:right w:val="single" w:color="auto" w:sz="4" w:space="0"/>
            </w:tcBorders>
            <w:noWrap w:val="0"/>
            <w:vAlign w:val="bottom"/>
          </w:tcPr>
          <w:p w14:paraId="699FE9B7">
            <w:pPr>
              <w:widowControl/>
              <w:jc w:val="right"/>
              <w:rPr>
                <w:rFonts w:ascii="宋体" w:cs="宋体"/>
                <w:color w:val="auto"/>
                <w:kern w:val="0"/>
                <w:sz w:val="24"/>
                <w:szCs w:val="20"/>
                <w:highlight w:val="none"/>
              </w:rPr>
            </w:pPr>
            <w:r>
              <w:rPr>
                <w:rFonts w:hint="eastAsia" w:ascii="宋体" w:hAnsi="宋体" w:cs="宋体"/>
                <w:color w:val="auto"/>
                <w:kern w:val="0"/>
                <w:sz w:val="24"/>
                <w:szCs w:val="20"/>
                <w:highlight w:val="none"/>
              </w:rPr>
              <w:t xml:space="preserve">                             （签字）   年   月   日   </w:t>
            </w:r>
          </w:p>
        </w:tc>
      </w:tr>
      <w:tr w14:paraId="480CFDE7">
        <w:tblPrEx>
          <w:tblCellMar>
            <w:top w:w="0" w:type="dxa"/>
            <w:left w:w="108" w:type="dxa"/>
            <w:bottom w:w="0" w:type="dxa"/>
            <w:right w:w="108" w:type="dxa"/>
          </w:tblCellMar>
        </w:tblPrEx>
        <w:trPr>
          <w:trHeight w:val="766" w:hRule="atLeast"/>
          <w:jc w:val="center"/>
        </w:trPr>
        <w:tc>
          <w:tcPr>
            <w:tcW w:w="1253" w:type="dxa"/>
            <w:tcBorders>
              <w:top w:val="nil"/>
              <w:left w:val="single" w:color="auto" w:sz="4" w:space="0"/>
              <w:bottom w:val="single" w:color="auto" w:sz="4" w:space="0"/>
              <w:right w:val="single" w:color="auto" w:sz="4" w:space="0"/>
            </w:tcBorders>
            <w:noWrap w:val="0"/>
            <w:vAlign w:val="center"/>
          </w:tcPr>
          <w:p w14:paraId="553EEDB8">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整改情况</w:t>
            </w:r>
          </w:p>
        </w:tc>
        <w:tc>
          <w:tcPr>
            <w:tcW w:w="7583" w:type="dxa"/>
            <w:gridSpan w:val="3"/>
            <w:tcBorders>
              <w:top w:val="single" w:color="auto" w:sz="4" w:space="0"/>
              <w:left w:val="nil"/>
              <w:bottom w:val="single" w:color="auto" w:sz="4" w:space="0"/>
              <w:right w:val="single" w:color="000000" w:sz="4" w:space="0"/>
            </w:tcBorders>
            <w:noWrap w:val="0"/>
            <w:vAlign w:val="bottom"/>
          </w:tcPr>
          <w:p w14:paraId="50C26254">
            <w:pPr>
              <w:widowControl/>
              <w:jc w:val="right"/>
              <w:rPr>
                <w:rFonts w:ascii="宋体" w:cs="宋体"/>
                <w:color w:val="auto"/>
                <w:kern w:val="0"/>
                <w:sz w:val="24"/>
                <w:szCs w:val="20"/>
                <w:highlight w:val="none"/>
              </w:rPr>
            </w:pPr>
            <w:r>
              <w:rPr>
                <w:rFonts w:hint="eastAsia" w:ascii="宋体" w:hAnsi="宋体" w:cs="宋体"/>
                <w:color w:val="auto"/>
                <w:kern w:val="0"/>
                <w:sz w:val="24"/>
                <w:szCs w:val="20"/>
                <w:highlight w:val="none"/>
              </w:rPr>
              <w:t xml:space="preserve">                             （签字）   年   月   日   </w:t>
            </w:r>
          </w:p>
        </w:tc>
      </w:tr>
      <w:tr w14:paraId="3258530C">
        <w:tblPrEx>
          <w:tblCellMar>
            <w:top w:w="0" w:type="dxa"/>
            <w:left w:w="108" w:type="dxa"/>
            <w:bottom w:w="0" w:type="dxa"/>
            <w:right w:w="108" w:type="dxa"/>
          </w:tblCellMar>
        </w:tblPrEx>
        <w:trPr>
          <w:trHeight w:val="761" w:hRule="atLeast"/>
          <w:jc w:val="center"/>
        </w:trPr>
        <w:tc>
          <w:tcPr>
            <w:tcW w:w="1253" w:type="dxa"/>
            <w:tcBorders>
              <w:top w:val="nil"/>
              <w:left w:val="single" w:color="auto" w:sz="4" w:space="0"/>
              <w:bottom w:val="single" w:color="auto" w:sz="4" w:space="0"/>
              <w:right w:val="single" w:color="auto" w:sz="4" w:space="0"/>
            </w:tcBorders>
            <w:noWrap w:val="0"/>
            <w:vAlign w:val="center"/>
          </w:tcPr>
          <w:p w14:paraId="7CE1887F">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整改前</w:t>
            </w:r>
          </w:p>
        </w:tc>
        <w:tc>
          <w:tcPr>
            <w:tcW w:w="7583" w:type="dxa"/>
            <w:gridSpan w:val="3"/>
            <w:tcBorders>
              <w:top w:val="single" w:color="auto" w:sz="4" w:space="0"/>
              <w:left w:val="nil"/>
              <w:bottom w:val="single" w:color="auto" w:sz="4" w:space="0"/>
              <w:right w:val="single" w:color="auto" w:sz="4" w:space="0"/>
            </w:tcBorders>
            <w:noWrap w:val="0"/>
            <w:vAlign w:val="center"/>
          </w:tcPr>
          <w:p w14:paraId="410DE81B">
            <w:pPr>
              <w:widowControl/>
              <w:jc w:val="center"/>
              <w:rPr>
                <w:rFonts w:ascii="宋体" w:cs="宋体"/>
                <w:color w:val="auto"/>
                <w:kern w:val="0"/>
                <w:sz w:val="24"/>
                <w:szCs w:val="20"/>
                <w:highlight w:val="none"/>
              </w:rPr>
            </w:pPr>
            <w:r>
              <w:rPr>
                <w:rFonts w:hint="eastAsia" w:ascii="宋体" w:hAnsi="宋体" w:cs="宋体"/>
                <w:color w:val="auto"/>
                <w:kern w:val="0"/>
                <w:sz w:val="24"/>
                <w:szCs w:val="20"/>
                <w:highlight w:val="none"/>
              </w:rPr>
              <w:t>（图片）</w:t>
            </w:r>
          </w:p>
        </w:tc>
      </w:tr>
      <w:tr w14:paraId="1FF1DDD1">
        <w:tblPrEx>
          <w:tblCellMar>
            <w:top w:w="0" w:type="dxa"/>
            <w:left w:w="108" w:type="dxa"/>
            <w:bottom w:w="0" w:type="dxa"/>
            <w:right w:w="108" w:type="dxa"/>
          </w:tblCellMar>
        </w:tblPrEx>
        <w:trPr>
          <w:trHeight w:val="1318" w:hRule="atLeast"/>
          <w:jc w:val="center"/>
        </w:trPr>
        <w:tc>
          <w:tcPr>
            <w:tcW w:w="1253" w:type="dxa"/>
            <w:tcBorders>
              <w:top w:val="nil"/>
              <w:left w:val="single" w:color="auto" w:sz="4" w:space="0"/>
              <w:bottom w:val="single" w:color="auto" w:sz="4" w:space="0"/>
              <w:right w:val="single" w:color="auto" w:sz="4" w:space="0"/>
            </w:tcBorders>
            <w:noWrap w:val="0"/>
            <w:vAlign w:val="center"/>
          </w:tcPr>
          <w:p w14:paraId="58A6CC27">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整改后</w:t>
            </w:r>
          </w:p>
        </w:tc>
        <w:tc>
          <w:tcPr>
            <w:tcW w:w="7583" w:type="dxa"/>
            <w:gridSpan w:val="3"/>
            <w:tcBorders>
              <w:top w:val="single" w:color="auto" w:sz="4" w:space="0"/>
              <w:left w:val="nil"/>
              <w:bottom w:val="single" w:color="auto" w:sz="4" w:space="0"/>
              <w:right w:val="single" w:color="auto" w:sz="4" w:space="0"/>
            </w:tcBorders>
            <w:noWrap w:val="0"/>
            <w:vAlign w:val="center"/>
          </w:tcPr>
          <w:p w14:paraId="6D27D04B">
            <w:pPr>
              <w:widowControl/>
              <w:jc w:val="center"/>
              <w:rPr>
                <w:rFonts w:ascii="宋体" w:cs="宋体"/>
                <w:color w:val="auto"/>
                <w:kern w:val="0"/>
                <w:sz w:val="24"/>
                <w:szCs w:val="20"/>
                <w:highlight w:val="none"/>
              </w:rPr>
            </w:pPr>
            <w:r>
              <w:rPr>
                <w:rFonts w:hint="eastAsia" w:ascii="宋体" w:hAnsi="宋体" w:cs="宋体"/>
                <w:color w:val="auto"/>
                <w:kern w:val="0"/>
                <w:sz w:val="24"/>
                <w:szCs w:val="20"/>
                <w:highlight w:val="none"/>
              </w:rPr>
              <w:t>（图片）</w:t>
            </w:r>
          </w:p>
        </w:tc>
      </w:tr>
    </w:tbl>
    <w:p w14:paraId="488582A5">
      <w:pPr>
        <w:spacing w:line="400" w:lineRule="exact"/>
        <w:rPr>
          <w:rFonts w:ascii="宋体"/>
          <w:color w:val="auto"/>
          <w:highlight w:val="none"/>
        </w:rPr>
      </w:pPr>
    </w:p>
    <w:p w14:paraId="0918704E">
      <w:pPr>
        <w:spacing w:line="520" w:lineRule="exact"/>
        <w:rPr>
          <w:rFonts w:ascii="宋体" w:hAnsi="宋体"/>
          <w:color w:val="auto"/>
          <w:highlight w:val="none"/>
        </w:rPr>
      </w:pPr>
      <w:r>
        <w:rPr>
          <w:rFonts w:hint="eastAsia" w:ascii="宋体" w:hAnsi="宋体"/>
          <w:color w:val="auto"/>
          <w:highlight w:val="none"/>
        </w:rPr>
        <w:t>说明：</w:t>
      </w:r>
      <w:r>
        <w:rPr>
          <w:color w:val="auto"/>
          <w:highlight w:val="none"/>
        </w:rPr>
        <w:t>1.</w:t>
      </w:r>
      <w:r>
        <w:rPr>
          <w:rFonts w:hint="eastAsia" w:ascii="宋体" w:hAnsi="宋体"/>
          <w:color w:val="auto"/>
          <w:highlight w:val="none"/>
        </w:rPr>
        <w:t>检查人员对扣分项给予限期整改，整改期限内同一地点同一事项不再重复扣分。中标单位未在整改期限内完成整改的，按未整改问题翻倍扣分。</w:t>
      </w:r>
    </w:p>
    <w:p w14:paraId="625DD700">
      <w:pPr>
        <w:rPr>
          <w:color w:val="auto"/>
          <w:highlight w:val="none"/>
        </w:rPr>
      </w:pPr>
      <w:r>
        <w:rPr>
          <w:color w:val="auto"/>
          <w:highlight w:val="none"/>
        </w:rPr>
        <w:t xml:space="preserve">      2.</w:t>
      </w:r>
      <w:r>
        <w:rPr>
          <w:rFonts w:hint="eastAsia" w:ascii="宋体" w:hAnsi="宋体"/>
          <w:color w:val="auto"/>
          <w:highlight w:val="none"/>
        </w:rPr>
        <w:t>一般扣分情况整改期限规定：</w:t>
      </w:r>
    </w:p>
    <w:p w14:paraId="19704139">
      <w:pPr>
        <w:ind w:firstLine="630" w:firstLineChars="300"/>
        <w:rPr>
          <w:color w:val="auto"/>
          <w:highlight w:val="none"/>
        </w:rPr>
      </w:pPr>
      <w:r>
        <w:rPr>
          <w:rFonts w:hint="eastAsia" w:ascii="宋体" w:hAnsi="宋体"/>
          <w:color w:val="auto"/>
          <w:highlight w:val="none"/>
        </w:rPr>
        <w:t>（</w:t>
      </w:r>
      <w:r>
        <w:rPr>
          <w:color w:val="auto"/>
          <w:highlight w:val="none"/>
        </w:rPr>
        <w:t>1</w:t>
      </w:r>
      <w:r>
        <w:rPr>
          <w:rFonts w:hint="eastAsia" w:ascii="宋体" w:hAnsi="宋体"/>
          <w:color w:val="auto"/>
          <w:highlight w:val="none"/>
        </w:rPr>
        <w:t>）违反安全操作规程、有安全隐患的情况立即整改；</w:t>
      </w:r>
    </w:p>
    <w:p w14:paraId="499338B3">
      <w:pPr>
        <w:ind w:firstLine="630" w:firstLineChars="300"/>
        <w:rPr>
          <w:rFonts w:ascii="宋体" w:hAnsi="宋体"/>
          <w:color w:val="auto"/>
          <w:highlight w:val="none"/>
        </w:rPr>
      </w:pPr>
      <w:r>
        <w:rPr>
          <w:rFonts w:hint="eastAsia" w:ascii="宋体" w:hAnsi="宋体"/>
          <w:color w:val="auto"/>
          <w:highlight w:val="none"/>
        </w:rPr>
        <w:t>（</w:t>
      </w:r>
      <w:r>
        <w:rPr>
          <w:rFonts w:hint="eastAsia"/>
          <w:color w:val="auto"/>
          <w:highlight w:val="none"/>
        </w:rPr>
        <w:t>2</w:t>
      </w:r>
      <w:r>
        <w:rPr>
          <w:rFonts w:hint="eastAsia" w:ascii="宋体" w:hAnsi="宋体"/>
          <w:color w:val="auto"/>
          <w:highlight w:val="none"/>
        </w:rPr>
        <w:t>）水电设施损坏整改时限为</w:t>
      </w:r>
      <w:r>
        <w:rPr>
          <w:color w:val="auto"/>
          <w:highlight w:val="none"/>
        </w:rPr>
        <w:t>2</w:t>
      </w:r>
      <w:r>
        <w:rPr>
          <w:rFonts w:hint="eastAsia" w:ascii="宋体" w:hAnsi="宋体"/>
          <w:color w:val="auto"/>
          <w:highlight w:val="none"/>
        </w:rPr>
        <w:t>个小时至</w:t>
      </w:r>
      <w:r>
        <w:rPr>
          <w:color w:val="auto"/>
          <w:highlight w:val="none"/>
        </w:rPr>
        <w:t>1</w:t>
      </w:r>
      <w:r>
        <w:rPr>
          <w:rFonts w:hint="eastAsia" w:ascii="宋体" w:hAnsi="宋体"/>
          <w:color w:val="auto"/>
          <w:highlight w:val="none"/>
        </w:rPr>
        <w:t>天；</w:t>
      </w:r>
    </w:p>
    <w:p w14:paraId="40B73134">
      <w:pPr>
        <w:ind w:firstLine="630" w:firstLineChars="300"/>
        <w:rPr>
          <w:color w:val="auto"/>
          <w:highlight w:val="none"/>
        </w:rPr>
      </w:pPr>
      <w:r>
        <w:rPr>
          <w:rFonts w:hint="eastAsia" w:ascii="宋体" w:hAnsi="宋体"/>
          <w:color w:val="auto"/>
          <w:highlight w:val="none"/>
        </w:rPr>
        <w:t>（</w:t>
      </w:r>
      <w:r>
        <w:rPr>
          <w:color w:val="auto"/>
          <w:highlight w:val="none"/>
        </w:rPr>
        <w:t>3</w:t>
      </w:r>
      <w:r>
        <w:rPr>
          <w:rFonts w:hint="eastAsia" w:ascii="宋体" w:hAnsi="宋体"/>
          <w:color w:val="auto"/>
          <w:highlight w:val="none"/>
        </w:rPr>
        <w:t>）倒伏树木的整改时限为</w:t>
      </w:r>
      <w:r>
        <w:rPr>
          <w:color w:val="auto"/>
          <w:highlight w:val="none"/>
        </w:rPr>
        <w:t>1</w:t>
      </w:r>
      <w:r>
        <w:rPr>
          <w:rFonts w:hint="eastAsia" w:ascii="宋体" w:hAnsi="宋体"/>
          <w:color w:val="auto"/>
          <w:highlight w:val="none"/>
        </w:rPr>
        <w:t>天，但重要节点位置的，须立即整改；</w:t>
      </w:r>
    </w:p>
    <w:p w14:paraId="7FB1F610">
      <w:pPr>
        <w:ind w:firstLine="630" w:firstLineChars="300"/>
        <w:rPr>
          <w:color w:val="auto"/>
          <w:highlight w:val="none"/>
        </w:rPr>
      </w:pPr>
      <w:r>
        <w:rPr>
          <w:rFonts w:hint="eastAsia" w:ascii="宋体" w:hAnsi="宋体"/>
          <w:color w:val="auto"/>
          <w:highlight w:val="none"/>
        </w:rPr>
        <w:t>（</w:t>
      </w:r>
      <w:r>
        <w:rPr>
          <w:rFonts w:hint="eastAsia"/>
          <w:color w:val="auto"/>
          <w:highlight w:val="none"/>
        </w:rPr>
        <w:t>4</w:t>
      </w:r>
      <w:r>
        <w:rPr>
          <w:rFonts w:hint="eastAsia" w:ascii="宋体" w:hAnsi="宋体"/>
          <w:color w:val="auto"/>
          <w:highlight w:val="none"/>
        </w:rPr>
        <w:t>）病虫害防治的整改时限为</w:t>
      </w:r>
      <w:r>
        <w:rPr>
          <w:color w:val="auto"/>
          <w:highlight w:val="none"/>
        </w:rPr>
        <w:t>1-</w:t>
      </w:r>
      <w:r>
        <w:rPr>
          <w:rFonts w:hint="eastAsia"/>
          <w:color w:val="auto"/>
          <w:highlight w:val="none"/>
        </w:rPr>
        <w:t>2</w:t>
      </w:r>
      <w:r>
        <w:rPr>
          <w:rFonts w:hint="eastAsia" w:ascii="宋体" w:hAnsi="宋体"/>
          <w:color w:val="auto"/>
          <w:highlight w:val="none"/>
        </w:rPr>
        <w:t>天；</w:t>
      </w:r>
    </w:p>
    <w:p w14:paraId="67058400">
      <w:pPr>
        <w:ind w:firstLine="630" w:firstLineChars="300"/>
        <w:rPr>
          <w:color w:val="auto"/>
          <w:highlight w:val="none"/>
        </w:rPr>
      </w:pPr>
      <w:r>
        <w:rPr>
          <w:rFonts w:hint="eastAsia" w:ascii="宋体" w:hAnsi="宋体"/>
          <w:color w:val="auto"/>
          <w:highlight w:val="none"/>
        </w:rPr>
        <w:t>（</w:t>
      </w:r>
      <w:r>
        <w:rPr>
          <w:color w:val="auto"/>
          <w:highlight w:val="none"/>
        </w:rPr>
        <w:t>5</w:t>
      </w:r>
      <w:r>
        <w:rPr>
          <w:rFonts w:hint="eastAsia" w:ascii="宋体" w:hAnsi="宋体"/>
          <w:color w:val="auto"/>
          <w:highlight w:val="none"/>
        </w:rPr>
        <w:t>）杂草整改时限为</w:t>
      </w:r>
      <w:r>
        <w:rPr>
          <w:color w:val="auto"/>
          <w:highlight w:val="none"/>
        </w:rPr>
        <w:t>1-</w:t>
      </w:r>
      <w:r>
        <w:rPr>
          <w:rFonts w:hint="eastAsia"/>
          <w:color w:val="auto"/>
          <w:highlight w:val="none"/>
        </w:rPr>
        <w:t>3</w:t>
      </w:r>
      <w:r>
        <w:rPr>
          <w:rFonts w:hint="eastAsia" w:ascii="宋体" w:hAnsi="宋体"/>
          <w:color w:val="auto"/>
          <w:highlight w:val="none"/>
        </w:rPr>
        <w:t>天；</w:t>
      </w:r>
    </w:p>
    <w:p w14:paraId="612E4222">
      <w:pPr>
        <w:ind w:firstLine="630" w:firstLineChars="300"/>
        <w:rPr>
          <w:rFonts w:ascii="宋体" w:hAnsi="宋体"/>
          <w:color w:val="auto"/>
          <w:highlight w:val="none"/>
        </w:rPr>
      </w:pPr>
      <w:r>
        <w:rPr>
          <w:rFonts w:hint="eastAsia" w:ascii="宋体" w:hAnsi="宋体"/>
          <w:color w:val="auto"/>
          <w:highlight w:val="none"/>
        </w:rPr>
        <w:t>（6）非自然倾斜树木、死株的整改时限为</w:t>
      </w:r>
      <w:r>
        <w:rPr>
          <w:rFonts w:ascii="宋体" w:hAnsi="宋体"/>
          <w:color w:val="auto"/>
          <w:highlight w:val="none"/>
        </w:rPr>
        <w:t>1-5</w:t>
      </w:r>
      <w:r>
        <w:rPr>
          <w:rFonts w:hint="eastAsia" w:ascii="宋体" w:hAnsi="宋体"/>
          <w:color w:val="auto"/>
          <w:highlight w:val="none"/>
        </w:rPr>
        <w:t>天；</w:t>
      </w:r>
    </w:p>
    <w:p w14:paraId="2759B6B5">
      <w:pPr>
        <w:ind w:firstLine="630" w:firstLineChars="300"/>
        <w:rPr>
          <w:color w:val="auto"/>
          <w:highlight w:val="none"/>
        </w:rPr>
      </w:pPr>
      <w:r>
        <w:rPr>
          <w:rFonts w:hint="eastAsia" w:ascii="宋体" w:hAnsi="宋体"/>
          <w:color w:val="auto"/>
          <w:highlight w:val="none"/>
        </w:rPr>
        <w:t>（</w:t>
      </w:r>
      <w:r>
        <w:rPr>
          <w:color w:val="auto"/>
          <w:highlight w:val="none"/>
        </w:rPr>
        <w:t>7</w:t>
      </w:r>
      <w:r>
        <w:rPr>
          <w:rFonts w:hint="eastAsia" w:ascii="宋体" w:hAnsi="宋体"/>
          <w:color w:val="auto"/>
          <w:highlight w:val="none"/>
        </w:rPr>
        <w:t>）园林设施破损整改时限为</w:t>
      </w:r>
      <w:r>
        <w:rPr>
          <w:color w:val="auto"/>
          <w:highlight w:val="none"/>
        </w:rPr>
        <w:t>1-5</w:t>
      </w:r>
      <w:r>
        <w:rPr>
          <w:rFonts w:hint="eastAsia" w:ascii="宋体" w:hAnsi="宋体"/>
          <w:color w:val="auto"/>
          <w:highlight w:val="none"/>
        </w:rPr>
        <w:t>天；</w:t>
      </w:r>
    </w:p>
    <w:p w14:paraId="57649001">
      <w:pPr>
        <w:ind w:firstLine="630" w:firstLineChars="300"/>
        <w:rPr>
          <w:color w:val="auto"/>
          <w:highlight w:val="none"/>
        </w:rPr>
      </w:pPr>
      <w:r>
        <w:rPr>
          <w:rFonts w:hint="eastAsia" w:ascii="宋体" w:hAnsi="宋体"/>
          <w:color w:val="auto"/>
          <w:highlight w:val="none"/>
        </w:rPr>
        <w:t>（</w:t>
      </w:r>
      <w:r>
        <w:rPr>
          <w:rFonts w:hint="eastAsia"/>
          <w:color w:val="auto"/>
          <w:highlight w:val="none"/>
        </w:rPr>
        <w:t>8</w:t>
      </w:r>
      <w:r>
        <w:rPr>
          <w:rFonts w:hint="eastAsia" w:ascii="宋体" w:hAnsi="宋体"/>
          <w:color w:val="auto"/>
          <w:highlight w:val="none"/>
        </w:rPr>
        <w:t>）黄土裸露整改时限为</w:t>
      </w:r>
      <w:r>
        <w:rPr>
          <w:color w:val="auto"/>
          <w:highlight w:val="none"/>
        </w:rPr>
        <w:t>1-7</w:t>
      </w:r>
      <w:r>
        <w:rPr>
          <w:rFonts w:hint="eastAsia" w:ascii="宋体" w:hAnsi="宋体"/>
          <w:color w:val="auto"/>
          <w:highlight w:val="none"/>
        </w:rPr>
        <w:t>天；</w:t>
      </w:r>
    </w:p>
    <w:p w14:paraId="20A1398B">
      <w:pPr>
        <w:ind w:firstLine="630" w:firstLineChars="300"/>
        <w:rPr>
          <w:color w:val="auto"/>
          <w:highlight w:val="none"/>
        </w:rPr>
      </w:pPr>
      <w:r>
        <w:rPr>
          <w:rFonts w:hint="eastAsia" w:ascii="宋体" w:hAnsi="宋体"/>
          <w:color w:val="auto"/>
          <w:highlight w:val="none"/>
        </w:rPr>
        <w:t>（</w:t>
      </w:r>
      <w:r>
        <w:rPr>
          <w:color w:val="auto"/>
          <w:highlight w:val="none"/>
        </w:rPr>
        <w:t>9</w:t>
      </w:r>
      <w:r>
        <w:rPr>
          <w:rFonts w:hint="eastAsia" w:ascii="宋体" w:hAnsi="宋体"/>
          <w:color w:val="auto"/>
          <w:highlight w:val="none"/>
        </w:rPr>
        <w:t>）管理用房整改时限为2-</w:t>
      </w:r>
      <w:r>
        <w:rPr>
          <w:color w:val="auto"/>
          <w:highlight w:val="none"/>
        </w:rPr>
        <w:t>1</w:t>
      </w:r>
      <w:r>
        <w:rPr>
          <w:rFonts w:hint="eastAsia"/>
          <w:color w:val="auto"/>
          <w:highlight w:val="none"/>
        </w:rPr>
        <w:t>0</w:t>
      </w:r>
      <w:r>
        <w:rPr>
          <w:rFonts w:hint="eastAsia" w:ascii="宋体" w:hAnsi="宋体"/>
          <w:color w:val="auto"/>
          <w:highlight w:val="none"/>
        </w:rPr>
        <w:t>天。</w:t>
      </w:r>
    </w:p>
    <w:p w14:paraId="3AAAEA23">
      <w:pPr>
        <w:ind w:firstLine="630" w:firstLineChars="300"/>
        <w:rPr>
          <w:color w:val="auto"/>
          <w:highlight w:val="none"/>
        </w:rPr>
      </w:pPr>
      <w:r>
        <w:rPr>
          <w:rFonts w:hint="eastAsia" w:ascii="宋体" w:hAnsi="宋体"/>
          <w:color w:val="auto"/>
          <w:highlight w:val="none"/>
        </w:rPr>
        <w:t>如情况特殊无法在规定期限内完成存在问题整改工作的，中标单位应及时将实际情况上报公园园容科，由园容科相关领导确定是否延长整改期限。整改工作完成后应将整改结果及相关材料（如现场整改照片）及时反馈至园容科。</w:t>
      </w:r>
    </w:p>
    <w:p w14:paraId="4D6CFF83">
      <w:pPr>
        <w:spacing w:line="400" w:lineRule="exact"/>
        <w:rPr>
          <w:rFonts w:ascii="宋体"/>
          <w:color w:val="auto"/>
          <w:highlight w:val="none"/>
        </w:rPr>
      </w:pPr>
    </w:p>
    <w:p w14:paraId="5221E766">
      <w:pPr>
        <w:spacing w:line="400" w:lineRule="exact"/>
        <w:rPr>
          <w:rFonts w:ascii="宋体"/>
          <w:color w:val="auto"/>
          <w:highlight w:val="none"/>
        </w:rPr>
      </w:pPr>
    </w:p>
    <w:p w14:paraId="119B2DEA">
      <w:pPr>
        <w:spacing w:line="400" w:lineRule="exact"/>
        <w:rPr>
          <w:rFonts w:ascii="宋体"/>
          <w:color w:val="auto"/>
          <w:highlight w:val="none"/>
        </w:rPr>
      </w:pPr>
    </w:p>
    <w:p w14:paraId="0E4A3B86">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val="en-US" w:eastAsia="zh-CN"/>
        </w:rPr>
        <w:t>2-2-4</w:t>
      </w:r>
    </w:p>
    <w:p w14:paraId="68A95DD1">
      <w:pPr>
        <w:jc w:val="center"/>
        <w:rPr>
          <w:rFonts w:ascii="宋体"/>
          <w:b/>
          <w:bCs/>
          <w:color w:val="auto"/>
          <w:sz w:val="32"/>
          <w:szCs w:val="32"/>
          <w:highlight w:val="none"/>
        </w:rPr>
      </w:pPr>
      <w:r>
        <w:rPr>
          <w:rFonts w:hint="eastAsia" w:ascii="宋体" w:hAnsi="宋体"/>
          <w:b/>
          <w:bCs/>
          <w:color w:val="auto"/>
          <w:sz w:val="32"/>
          <w:szCs w:val="32"/>
          <w:highlight w:val="none"/>
        </w:rPr>
        <w:t>人民公园绿化养护日常检查记录表</w:t>
      </w:r>
    </w:p>
    <w:p w14:paraId="2597A537">
      <w:pPr>
        <w:ind w:left="-3" w:leftChars="-257" w:hanging="537" w:hangingChars="192"/>
        <w:rPr>
          <w:rFonts w:ascii="宋体"/>
          <w:color w:val="auto"/>
          <w:sz w:val="28"/>
          <w:szCs w:val="28"/>
          <w:highlight w:val="none"/>
        </w:rPr>
      </w:pPr>
      <w:r>
        <w:rPr>
          <w:rFonts w:hint="eastAsia" w:ascii="宋体" w:hAnsi="宋体"/>
          <w:color w:val="auto"/>
          <w:sz w:val="28"/>
          <w:szCs w:val="28"/>
          <w:highlight w:val="none"/>
        </w:rPr>
        <w:t xml:space="preserve">        年   月                    </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416"/>
        <w:gridCol w:w="1096"/>
        <w:gridCol w:w="927"/>
        <w:gridCol w:w="2033"/>
        <w:gridCol w:w="2033"/>
      </w:tblGrid>
      <w:tr w14:paraId="5792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121E5C0">
            <w:pPr>
              <w:jc w:val="center"/>
              <w:rPr>
                <w:rFonts w:ascii="宋体"/>
                <w:color w:val="auto"/>
                <w:sz w:val="20"/>
                <w:szCs w:val="21"/>
                <w:highlight w:val="none"/>
              </w:rPr>
            </w:pPr>
            <w:r>
              <w:rPr>
                <w:rFonts w:hint="eastAsia" w:ascii="宋体" w:hAnsi="宋体"/>
                <w:color w:val="auto"/>
                <w:sz w:val="20"/>
                <w:szCs w:val="20"/>
                <w:highlight w:val="none"/>
              </w:rPr>
              <w:t>日期</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4BCA22BB">
            <w:pPr>
              <w:jc w:val="center"/>
              <w:rPr>
                <w:rFonts w:ascii="宋体"/>
                <w:color w:val="auto"/>
                <w:sz w:val="20"/>
                <w:szCs w:val="21"/>
                <w:highlight w:val="none"/>
              </w:rPr>
            </w:pPr>
            <w:r>
              <w:rPr>
                <w:rFonts w:hint="eastAsia" w:ascii="宋体" w:hAnsi="宋体"/>
                <w:color w:val="auto"/>
                <w:sz w:val="20"/>
                <w:szCs w:val="20"/>
                <w:highlight w:val="none"/>
              </w:rPr>
              <w:t>存在问题及发生地点</w:t>
            </w:r>
          </w:p>
        </w:tc>
        <w:tc>
          <w:tcPr>
            <w:tcW w:w="1096" w:type="dxa"/>
            <w:tcBorders>
              <w:top w:val="single" w:color="auto" w:sz="4" w:space="0"/>
              <w:left w:val="single" w:color="auto" w:sz="4" w:space="0"/>
              <w:bottom w:val="single" w:color="auto" w:sz="4" w:space="0"/>
              <w:right w:val="single" w:color="auto" w:sz="4" w:space="0"/>
            </w:tcBorders>
            <w:noWrap w:val="0"/>
            <w:vAlign w:val="top"/>
          </w:tcPr>
          <w:p w14:paraId="14A37BDB">
            <w:pPr>
              <w:jc w:val="center"/>
              <w:rPr>
                <w:rFonts w:ascii="宋体" w:hAnsi="宋体"/>
                <w:color w:val="auto"/>
                <w:sz w:val="20"/>
                <w:szCs w:val="20"/>
                <w:highlight w:val="none"/>
              </w:rPr>
            </w:pPr>
            <w:r>
              <w:rPr>
                <w:rFonts w:hint="eastAsia" w:ascii="宋体" w:hAnsi="宋体"/>
                <w:color w:val="auto"/>
                <w:sz w:val="20"/>
                <w:szCs w:val="20"/>
                <w:highlight w:val="none"/>
              </w:rPr>
              <w:t>扣分依据</w:t>
            </w:r>
          </w:p>
        </w:tc>
        <w:tc>
          <w:tcPr>
            <w:tcW w:w="927" w:type="dxa"/>
            <w:tcBorders>
              <w:top w:val="single" w:color="auto" w:sz="4" w:space="0"/>
              <w:left w:val="single" w:color="auto" w:sz="4" w:space="0"/>
              <w:bottom w:val="single" w:color="auto" w:sz="4" w:space="0"/>
              <w:right w:val="single" w:color="auto" w:sz="4" w:space="0"/>
            </w:tcBorders>
            <w:noWrap w:val="0"/>
            <w:vAlign w:val="top"/>
          </w:tcPr>
          <w:p w14:paraId="25634DBC">
            <w:pPr>
              <w:jc w:val="center"/>
              <w:rPr>
                <w:rFonts w:ascii="宋体"/>
                <w:color w:val="auto"/>
                <w:sz w:val="20"/>
                <w:szCs w:val="21"/>
                <w:highlight w:val="none"/>
              </w:rPr>
            </w:pPr>
            <w:r>
              <w:rPr>
                <w:rFonts w:hint="eastAsia" w:ascii="宋体" w:hAnsi="宋体"/>
                <w:color w:val="auto"/>
                <w:sz w:val="20"/>
                <w:szCs w:val="20"/>
                <w:highlight w:val="none"/>
              </w:rPr>
              <w:t>扣分</w:t>
            </w:r>
          </w:p>
        </w:tc>
        <w:tc>
          <w:tcPr>
            <w:tcW w:w="2033" w:type="dxa"/>
            <w:tcBorders>
              <w:top w:val="single" w:color="auto" w:sz="4" w:space="0"/>
              <w:left w:val="single" w:color="auto" w:sz="4" w:space="0"/>
              <w:bottom w:val="single" w:color="auto" w:sz="4" w:space="0"/>
              <w:right w:val="single" w:color="auto" w:sz="4" w:space="0"/>
            </w:tcBorders>
            <w:noWrap w:val="0"/>
            <w:vAlign w:val="top"/>
          </w:tcPr>
          <w:p w14:paraId="452C0841">
            <w:pPr>
              <w:jc w:val="center"/>
              <w:rPr>
                <w:rFonts w:ascii="宋体"/>
                <w:color w:val="auto"/>
                <w:sz w:val="20"/>
                <w:szCs w:val="21"/>
                <w:highlight w:val="none"/>
              </w:rPr>
            </w:pPr>
            <w:r>
              <w:rPr>
                <w:rFonts w:hint="eastAsia" w:ascii="宋体" w:hAnsi="宋体"/>
                <w:color w:val="auto"/>
                <w:sz w:val="20"/>
                <w:szCs w:val="20"/>
                <w:highlight w:val="none"/>
              </w:rPr>
              <w:t>公园检查人员签名</w:t>
            </w:r>
          </w:p>
        </w:tc>
        <w:tc>
          <w:tcPr>
            <w:tcW w:w="2033" w:type="dxa"/>
            <w:tcBorders>
              <w:top w:val="single" w:color="auto" w:sz="4" w:space="0"/>
              <w:left w:val="single" w:color="auto" w:sz="4" w:space="0"/>
              <w:bottom w:val="single" w:color="auto" w:sz="4" w:space="0"/>
              <w:right w:val="single" w:color="auto" w:sz="4" w:space="0"/>
            </w:tcBorders>
            <w:noWrap w:val="0"/>
            <w:vAlign w:val="top"/>
          </w:tcPr>
          <w:p w14:paraId="3001AEC8">
            <w:pPr>
              <w:jc w:val="center"/>
              <w:rPr>
                <w:rFonts w:ascii="宋体"/>
                <w:color w:val="auto"/>
                <w:sz w:val="20"/>
                <w:szCs w:val="21"/>
                <w:highlight w:val="none"/>
              </w:rPr>
            </w:pPr>
            <w:r>
              <w:rPr>
                <w:rFonts w:hint="eastAsia" w:ascii="宋体" w:hAnsi="宋体"/>
                <w:color w:val="auto"/>
                <w:sz w:val="20"/>
                <w:szCs w:val="20"/>
                <w:highlight w:val="none"/>
              </w:rPr>
              <w:t>乙方管理人员签名</w:t>
            </w:r>
          </w:p>
        </w:tc>
      </w:tr>
      <w:tr w14:paraId="39458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5834AB65">
            <w:pPr>
              <w:jc w:val="center"/>
              <w:rPr>
                <w:rFonts w:ascii="宋体"/>
                <w:color w:val="auto"/>
                <w:sz w:val="20"/>
                <w:szCs w:val="21"/>
                <w:highlight w:val="none"/>
              </w:rPr>
            </w:pPr>
            <w:r>
              <w:rPr>
                <w:rFonts w:hint="eastAsia" w:ascii="宋体" w:hAnsi="宋体"/>
                <w:color w:val="auto"/>
                <w:sz w:val="20"/>
                <w:szCs w:val="20"/>
                <w:highlight w:val="none"/>
              </w:rPr>
              <w:t>1</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75C3A955">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8309C0B">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62BF1760">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516E729">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3849B3D">
            <w:pPr>
              <w:jc w:val="center"/>
              <w:rPr>
                <w:rFonts w:ascii="宋体"/>
                <w:color w:val="auto"/>
                <w:sz w:val="20"/>
                <w:szCs w:val="21"/>
                <w:highlight w:val="none"/>
              </w:rPr>
            </w:pPr>
          </w:p>
        </w:tc>
      </w:tr>
      <w:tr w14:paraId="35E1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3547AD59">
            <w:pPr>
              <w:jc w:val="center"/>
              <w:rPr>
                <w:rFonts w:ascii="宋体"/>
                <w:color w:val="auto"/>
                <w:sz w:val="20"/>
                <w:szCs w:val="21"/>
                <w:highlight w:val="none"/>
              </w:rPr>
            </w:pPr>
            <w:r>
              <w:rPr>
                <w:rFonts w:hint="eastAsia" w:ascii="宋体" w:hAnsi="宋体"/>
                <w:color w:val="auto"/>
                <w:sz w:val="20"/>
                <w:szCs w:val="20"/>
                <w:highlight w:val="none"/>
              </w:rPr>
              <w:t>2</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16BBDF41">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7A45287">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1CE7224C">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769D26EC">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119F66F2">
            <w:pPr>
              <w:jc w:val="center"/>
              <w:rPr>
                <w:rFonts w:ascii="宋体"/>
                <w:color w:val="auto"/>
                <w:sz w:val="20"/>
                <w:szCs w:val="21"/>
                <w:highlight w:val="none"/>
              </w:rPr>
            </w:pPr>
          </w:p>
        </w:tc>
      </w:tr>
      <w:tr w14:paraId="2B3E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72FBDB4">
            <w:pPr>
              <w:jc w:val="center"/>
              <w:rPr>
                <w:rFonts w:ascii="宋体"/>
                <w:color w:val="auto"/>
                <w:sz w:val="20"/>
                <w:szCs w:val="21"/>
                <w:highlight w:val="none"/>
              </w:rPr>
            </w:pPr>
            <w:r>
              <w:rPr>
                <w:rFonts w:hint="eastAsia" w:ascii="宋体" w:hAnsi="宋体"/>
                <w:color w:val="auto"/>
                <w:sz w:val="20"/>
                <w:szCs w:val="20"/>
                <w:highlight w:val="none"/>
              </w:rPr>
              <w:t>3</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5282E549">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9834D83">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6C77D5C7">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7A647ADA">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719CF78B">
            <w:pPr>
              <w:jc w:val="center"/>
              <w:rPr>
                <w:rFonts w:ascii="宋体"/>
                <w:color w:val="auto"/>
                <w:sz w:val="20"/>
                <w:szCs w:val="21"/>
                <w:highlight w:val="none"/>
              </w:rPr>
            </w:pPr>
          </w:p>
        </w:tc>
      </w:tr>
      <w:tr w14:paraId="01AD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6A341C5C">
            <w:pPr>
              <w:jc w:val="center"/>
              <w:rPr>
                <w:rFonts w:ascii="宋体"/>
                <w:color w:val="auto"/>
                <w:sz w:val="20"/>
                <w:szCs w:val="21"/>
                <w:highlight w:val="none"/>
              </w:rPr>
            </w:pPr>
            <w:r>
              <w:rPr>
                <w:rFonts w:hint="eastAsia" w:ascii="宋体" w:hAnsi="宋体"/>
                <w:color w:val="auto"/>
                <w:sz w:val="20"/>
                <w:szCs w:val="20"/>
                <w:highlight w:val="none"/>
              </w:rPr>
              <w:t>4</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087E88F5">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010B433">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2A157045">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E18B74C">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BE047B3">
            <w:pPr>
              <w:jc w:val="center"/>
              <w:rPr>
                <w:rFonts w:ascii="宋体"/>
                <w:color w:val="auto"/>
                <w:sz w:val="20"/>
                <w:szCs w:val="21"/>
                <w:highlight w:val="none"/>
              </w:rPr>
            </w:pPr>
          </w:p>
        </w:tc>
      </w:tr>
      <w:tr w14:paraId="38B3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323107F0">
            <w:pPr>
              <w:jc w:val="center"/>
              <w:rPr>
                <w:rFonts w:ascii="宋体"/>
                <w:color w:val="auto"/>
                <w:sz w:val="20"/>
                <w:szCs w:val="21"/>
                <w:highlight w:val="none"/>
              </w:rPr>
            </w:pPr>
            <w:r>
              <w:rPr>
                <w:rFonts w:hint="eastAsia" w:ascii="宋体" w:hAnsi="宋体"/>
                <w:color w:val="auto"/>
                <w:sz w:val="20"/>
                <w:szCs w:val="20"/>
                <w:highlight w:val="none"/>
              </w:rPr>
              <w:t>5</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50C55A3C">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F9163AF">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3D11090D">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108B332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41C15FB">
            <w:pPr>
              <w:jc w:val="center"/>
              <w:rPr>
                <w:rFonts w:ascii="宋体"/>
                <w:color w:val="auto"/>
                <w:sz w:val="20"/>
                <w:szCs w:val="21"/>
                <w:highlight w:val="none"/>
              </w:rPr>
            </w:pPr>
          </w:p>
        </w:tc>
      </w:tr>
      <w:tr w14:paraId="346E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29D8E7CC">
            <w:pPr>
              <w:jc w:val="center"/>
              <w:rPr>
                <w:rFonts w:ascii="宋体"/>
                <w:color w:val="auto"/>
                <w:sz w:val="20"/>
                <w:szCs w:val="21"/>
                <w:highlight w:val="none"/>
              </w:rPr>
            </w:pPr>
            <w:r>
              <w:rPr>
                <w:rFonts w:hint="eastAsia" w:ascii="宋体" w:hAnsi="宋体"/>
                <w:color w:val="auto"/>
                <w:sz w:val="20"/>
                <w:szCs w:val="20"/>
                <w:highlight w:val="none"/>
              </w:rPr>
              <w:t>6</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14F0286F">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1489186">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6650FD7A">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4EF933B">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4891C691">
            <w:pPr>
              <w:jc w:val="center"/>
              <w:rPr>
                <w:rFonts w:ascii="宋体"/>
                <w:color w:val="auto"/>
                <w:sz w:val="20"/>
                <w:szCs w:val="21"/>
                <w:highlight w:val="none"/>
              </w:rPr>
            </w:pPr>
          </w:p>
        </w:tc>
      </w:tr>
      <w:tr w14:paraId="0842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3104EA34">
            <w:pPr>
              <w:jc w:val="center"/>
              <w:rPr>
                <w:rFonts w:ascii="宋体"/>
                <w:color w:val="auto"/>
                <w:sz w:val="20"/>
                <w:szCs w:val="21"/>
                <w:highlight w:val="none"/>
              </w:rPr>
            </w:pPr>
            <w:r>
              <w:rPr>
                <w:rFonts w:hint="eastAsia" w:ascii="宋体" w:hAnsi="宋体"/>
                <w:color w:val="auto"/>
                <w:sz w:val="20"/>
                <w:szCs w:val="20"/>
                <w:highlight w:val="none"/>
              </w:rPr>
              <w:t>7</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66BC51A2">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06A80E1D">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6DF51A7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0A9622A">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F030195">
            <w:pPr>
              <w:jc w:val="center"/>
              <w:rPr>
                <w:rFonts w:ascii="宋体"/>
                <w:color w:val="auto"/>
                <w:sz w:val="20"/>
                <w:szCs w:val="21"/>
                <w:highlight w:val="none"/>
              </w:rPr>
            </w:pPr>
          </w:p>
        </w:tc>
      </w:tr>
      <w:tr w14:paraId="6E75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69A418B1">
            <w:pPr>
              <w:jc w:val="center"/>
              <w:rPr>
                <w:rFonts w:ascii="宋体"/>
                <w:color w:val="auto"/>
                <w:sz w:val="20"/>
                <w:szCs w:val="21"/>
                <w:highlight w:val="none"/>
              </w:rPr>
            </w:pPr>
            <w:r>
              <w:rPr>
                <w:rFonts w:hint="eastAsia" w:ascii="宋体" w:hAnsi="宋体"/>
                <w:color w:val="auto"/>
                <w:sz w:val="20"/>
                <w:szCs w:val="20"/>
                <w:highlight w:val="none"/>
              </w:rPr>
              <w:t>8</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2B70E8F7">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B1024DF">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5A3B7874">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F326841">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9424AC1">
            <w:pPr>
              <w:jc w:val="center"/>
              <w:rPr>
                <w:rFonts w:ascii="宋体"/>
                <w:color w:val="auto"/>
                <w:sz w:val="20"/>
                <w:szCs w:val="21"/>
                <w:highlight w:val="none"/>
              </w:rPr>
            </w:pPr>
          </w:p>
        </w:tc>
      </w:tr>
      <w:tr w14:paraId="4740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1E5620B5">
            <w:pPr>
              <w:jc w:val="center"/>
              <w:rPr>
                <w:rFonts w:ascii="宋体"/>
                <w:color w:val="auto"/>
                <w:sz w:val="20"/>
                <w:szCs w:val="21"/>
                <w:highlight w:val="none"/>
              </w:rPr>
            </w:pPr>
            <w:r>
              <w:rPr>
                <w:rFonts w:hint="eastAsia" w:ascii="宋体" w:hAnsi="宋体"/>
                <w:color w:val="auto"/>
                <w:sz w:val="20"/>
                <w:szCs w:val="20"/>
                <w:highlight w:val="none"/>
              </w:rPr>
              <w:t>9</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1715397D">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7235480">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60A2FEA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FCE6F40">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442A4067">
            <w:pPr>
              <w:jc w:val="center"/>
              <w:rPr>
                <w:rFonts w:ascii="宋体"/>
                <w:color w:val="auto"/>
                <w:sz w:val="20"/>
                <w:szCs w:val="21"/>
                <w:highlight w:val="none"/>
              </w:rPr>
            </w:pPr>
          </w:p>
        </w:tc>
      </w:tr>
      <w:tr w14:paraId="4DD0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6DC2575D">
            <w:pPr>
              <w:jc w:val="center"/>
              <w:rPr>
                <w:rFonts w:ascii="宋体"/>
                <w:color w:val="auto"/>
                <w:sz w:val="20"/>
                <w:szCs w:val="21"/>
                <w:highlight w:val="none"/>
              </w:rPr>
            </w:pPr>
            <w:r>
              <w:rPr>
                <w:rFonts w:hint="eastAsia" w:ascii="宋体" w:hAnsi="宋体"/>
                <w:color w:val="auto"/>
                <w:sz w:val="20"/>
                <w:szCs w:val="20"/>
                <w:highlight w:val="none"/>
              </w:rPr>
              <w:t>10</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1E0F30D6">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30F2B633">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54A3D44B">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9DB2FDF">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5121DCF">
            <w:pPr>
              <w:jc w:val="center"/>
              <w:rPr>
                <w:rFonts w:ascii="宋体"/>
                <w:color w:val="auto"/>
                <w:sz w:val="20"/>
                <w:szCs w:val="21"/>
                <w:highlight w:val="none"/>
              </w:rPr>
            </w:pPr>
          </w:p>
        </w:tc>
      </w:tr>
      <w:tr w14:paraId="3BD7C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38A5EA8A">
            <w:pPr>
              <w:jc w:val="center"/>
              <w:rPr>
                <w:rFonts w:ascii="宋体"/>
                <w:color w:val="auto"/>
                <w:sz w:val="20"/>
                <w:szCs w:val="21"/>
                <w:highlight w:val="none"/>
              </w:rPr>
            </w:pPr>
            <w:r>
              <w:rPr>
                <w:rFonts w:hint="eastAsia" w:ascii="宋体" w:hAnsi="宋体"/>
                <w:color w:val="auto"/>
                <w:sz w:val="20"/>
                <w:szCs w:val="20"/>
                <w:highlight w:val="none"/>
              </w:rPr>
              <w:t>11</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2972E2FB">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1E1FCEB9">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59EC6894">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2739A3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EAFED2B">
            <w:pPr>
              <w:jc w:val="center"/>
              <w:rPr>
                <w:rFonts w:ascii="宋体"/>
                <w:color w:val="auto"/>
                <w:sz w:val="20"/>
                <w:szCs w:val="21"/>
                <w:highlight w:val="none"/>
              </w:rPr>
            </w:pPr>
          </w:p>
        </w:tc>
      </w:tr>
      <w:tr w14:paraId="28C8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168062D1">
            <w:pPr>
              <w:jc w:val="center"/>
              <w:rPr>
                <w:rFonts w:ascii="宋体"/>
                <w:color w:val="auto"/>
                <w:sz w:val="20"/>
                <w:szCs w:val="21"/>
                <w:highlight w:val="none"/>
              </w:rPr>
            </w:pPr>
            <w:r>
              <w:rPr>
                <w:rFonts w:hint="eastAsia" w:ascii="宋体" w:hAnsi="宋体"/>
                <w:color w:val="auto"/>
                <w:sz w:val="20"/>
                <w:szCs w:val="20"/>
                <w:highlight w:val="none"/>
              </w:rPr>
              <w:t>12</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2C461061">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CDDF329">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5808F789">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C2893AF">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4318DB08">
            <w:pPr>
              <w:jc w:val="center"/>
              <w:rPr>
                <w:rFonts w:ascii="宋体"/>
                <w:color w:val="auto"/>
                <w:sz w:val="20"/>
                <w:szCs w:val="21"/>
                <w:highlight w:val="none"/>
              </w:rPr>
            </w:pPr>
          </w:p>
        </w:tc>
      </w:tr>
      <w:tr w14:paraId="159D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59E3D7FC">
            <w:pPr>
              <w:jc w:val="center"/>
              <w:rPr>
                <w:rFonts w:ascii="宋体"/>
                <w:color w:val="auto"/>
                <w:sz w:val="20"/>
                <w:szCs w:val="21"/>
                <w:highlight w:val="none"/>
              </w:rPr>
            </w:pPr>
            <w:r>
              <w:rPr>
                <w:rFonts w:hint="eastAsia" w:ascii="宋体" w:hAnsi="宋体"/>
                <w:color w:val="auto"/>
                <w:sz w:val="20"/>
                <w:szCs w:val="20"/>
                <w:highlight w:val="none"/>
              </w:rPr>
              <w:t>13</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713C4695">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8D62131">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4AB224D7">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44EC7BF">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26C363FD">
            <w:pPr>
              <w:jc w:val="center"/>
              <w:rPr>
                <w:rFonts w:ascii="宋体"/>
                <w:color w:val="auto"/>
                <w:sz w:val="20"/>
                <w:szCs w:val="21"/>
                <w:highlight w:val="none"/>
              </w:rPr>
            </w:pPr>
          </w:p>
        </w:tc>
      </w:tr>
      <w:tr w14:paraId="5B3D1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1350B463">
            <w:pPr>
              <w:jc w:val="center"/>
              <w:rPr>
                <w:rFonts w:ascii="宋体"/>
                <w:color w:val="auto"/>
                <w:sz w:val="20"/>
                <w:szCs w:val="21"/>
                <w:highlight w:val="none"/>
              </w:rPr>
            </w:pPr>
            <w:r>
              <w:rPr>
                <w:rFonts w:hint="eastAsia" w:ascii="宋体" w:hAnsi="宋体"/>
                <w:color w:val="auto"/>
                <w:sz w:val="20"/>
                <w:szCs w:val="20"/>
                <w:highlight w:val="none"/>
              </w:rPr>
              <w:t>14</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4F0E8F1B">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3B0459F">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767D6A8F">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2EE039F3">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8B32650">
            <w:pPr>
              <w:jc w:val="center"/>
              <w:rPr>
                <w:rFonts w:ascii="宋体"/>
                <w:color w:val="auto"/>
                <w:sz w:val="20"/>
                <w:szCs w:val="21"/>
                <w:highlight w:val="none"/>
              </w:rPr>
            </w:pPr>
          </w:p>
        </w:tc>
      </w:tr>
      <w:tr w14:paraId="1D83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BD67554">
            <w:pPr>
              <w:jc w:val="center"/>
              <w:rPr>
                <w:rFonts w:ascii="宋体"/>
                <w:color w:val="auto"/>
                <w:sz w:val="20"/>
                <w:szCs w:val="21"/>
                <w:highlight w:val="none"/>
              </w:rPr>
            </w:pPr>
            <w:r>
              <w:rPr>
                <w:rFonts w:hint="eastAsia" w:ascii="宋体" w:hAnsi="宋体"/>
                <w:color w:val="auto"/>
                <w:sz w:val="20"/>
                <w:szCs w:val="20"/>
                <w:highlight w:val="none"/>
              </w:rPr>
              <w:t>15</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3A245E98">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3D32BAEE">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0B76F48F">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ED038B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1B1D172C">
            <w:pPr>
              <w:jc w:val="center"/>
              <w:rPr>
                <w:rFonts w:ascii="宋体"/>
                <w:color w:val="auto"/>
                <w:sz w:val="20"/>
                <w:szCs w:val="21"/>
                <w:highlight w:val="none"/>
              </w:rPr>
            </w:pPr>
          </w:p>
        </w:tc>
      </w:tr>
      <w:tr w14:paraId="64C1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62128B08">
            <w:pPr>
              <w:jc w:val="center"/>
              <w:rPr>
                <w:rFonts w:ascii="宋体"/>
                <w:color w:val="auto"/>
                <w:sz w:val="20"/>
                <w:szCs w:val="21"/>
                <w:highlight w:val="none"/>
              </w:rPr>
            </w:pPr>
            <w:r>
              <w:rPr>
                <w:rFonts w:hint="eastAsia" w:ascii="宋体" w:hAnsi="宋体"/>
                <w:color w:val="auto"/>
                <w:sz w:val="20"/>
                <w:szCs w:val="20"/>
                <w:highlight w:val="none"/>
              </w:rPr>
              <w:t>16</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07EF8AA3">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C595455">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4D0D3DE0">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7847377">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BC42EFA">
            <w:pPr>
              <w:jc w:val="center"/>
              <w:rPr>
                <w:rFonts w:ascii="宋体"/>
                <w:color w:val="auto"/>
                <w:sz w:val="20"/>
                <w:szCs w:val="21"/>
                <w:highlight w:val="none"/>
              </w:rPr>
            </w:pPr>
          </w:p>
        </w:tc>
      </w:tr>
      <w:tr w14:paraId="3CB4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02200B35">
            <w:pPr>
              <w:jc w:val="center"/>
              <w:rPr>
                <w:rFonts w:ascii="宋体"/>
                <w:color w:val="auto"/>
                <w:sz w:val="20"/>
                <w:szCs w:val="21"/>
                <w:highlight w:val="none"/>
              </w:rPr>
            </w:pPr>
            <w:r>
              <w:rPr>
                <w:rFonts w:hint="eastAsia" w:ascii="宋体" w:hAnsi="宋体"/>
                <w:color w:val="auto"/>
                <w:sz w:val="20"/>
                <w:szCs w:val="20"/>
                <w:highlight w:val="none"/>
              </w:rPr>
              <w:t>17</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6FB6513A">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6F631E20">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14AFC27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48D97DA">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6451F1E">
            <w:pPr>
              <w:jc w:val="center"/>
              <w:rPr>
                <w:rFonts w:ascii="宋体"/>
                <w:color w:val="auto"/>
                <w:sz w:val="20"/>
                <w:szCs w:val="21"/>
                <w:highlight w:val="none"/>
              </w:rPr>
            </w:pPr>
          </w:p>
        </w:tc>
      </w:tr>
      <w:tr w14:paraId="691ED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4712827A">
            <w:pPr>
              <w:jc w:val="center"/>
              <w:rPr>
                <w:rFonts w:ascii="宋体"/>
                <w:color w:val="auto"/>
                <w:sz w:val="20"/>
                <w:szCs w:val="21"/>
                <w:highlight w:val="none"/>
              </w:rPr>
            </w:pPr>
            <w:r>
              <w:rPr>
                <w:rFonts w:hint="eastAsia" w:ascii="宋体" w:hAnsi="宋体"/>
                <w:color w:val="auto"/>
                <w:sz w:val="20"/>
                <w:szCs w:val="20"/>
                <w:highlight w:val="none"/>
              </w:rPr>
              <w:t>18</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6EE590AC">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0D6195D8">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454D2801">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50E964B">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D9122AC">
            <w:pPr>
              <w:jc w:val="center"/>
              <w:rPr>
                <w:rFonts w:ascii="宋体"/>
                <w:color w:val="auto"/>
                <w:sz w:val="20"/>
                <w:szCs w:val="21"/>
                <w:highlight w:val="none"/>
              </w:rPr>
            </w:pPr>
          </w:p>
        </w:tc>
      </w:tr>
      <w:tr w14:paraId="1654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1A54B2D3">
            <w:pPr>
              <w:jc w:val="center"/>
              <w:rPr>
                <w:rFonts w:ascii="宋体"/>
                <w:color w:val="auto"/>
                <w:sz w:val="20"/>
                <w:szCs w:val="21"/>
                <w:highlight w:val="none"/>
              </w:rPr>
            </w:pPr>
            <w:r>
              <w:rPr>
                <w:rFonts w:hint="eastAsia" w:ascii="宋体" w:hAnsi="宋体"/>
                <w:color w:val="auto"/>
                <w:sz w:val="20"/>
                <w:szCs w:val="20"/>
                <w:highlight w:val="none"/>
              </w:rPr>
              <w:t>19</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2CE97543">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6E25AD4">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3D84F934">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225B16C">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C191A79">
            <w:pPr>
              <w:jc w:val="center"/>
              <w:rPr>
                <w:rFonts w:ascii="宋体"/>
                <w:color w:val="auto"/>
                <w:sz w:val="20"/>
                <w:szCs w:val="21"/>
                <w:highlight w:val="none"/>
              </w:rPr>
            </w:pPr>
          </w:p>
        </w:tc>
      </w:tr>
      <w:tr w14:paraId="490E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10CA0D1D">
            <w:pPr>
              <w:jc w:val="center"/>
              <w:rPr>
                <w:rFonts w:ascii="宋体"/>
                <w:color w:val="auto"/>
                <w:sz w:val="20"/>
                <w:szCs w:val="21"/>
                <w:highlight w:val="none"/>
              </w:rPr>
            </w:pPr>
            <w:r>
              <w:rPr>
                <w:rFonts w:hint="eastAsia" w:ascii="宋体" w:hAnsi="宋体"/>
                <w:color w:val="auto"/>
                <w:sz w:val="20"/>
                <w:szCs w:val="20"/>
                <w:highlight w:val="none"/>
              </w:rPr>
              <w:t>20</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01052AF7">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1BCBA13C">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5C928DD7">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CCAD9F1">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2206F07F">
            <w:pPr>
              <w:jc w:val="center"/>
              <w:rPr>
                <w:rFonts w:ascii="宋体"/>
                <w:color w:val="auto"/>
                <w:sz w:val="20"/>
                <w:szCs w:val="21"/>
                <w:highlight w:val="none"/>
              </w:rPr>
            </w:pPr>
          </w:p>
        </w:tc>
      </w:tr>
      <w:tr w14:paraId="640C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4FDF1FEF">
            <w:pPr>
              <w:jc w:val="center"/>
              <w:rPr>
                <w:rFonts w:ascii="宋体"/>
                <w:color w:val="auto"/>
                <w:sz w:val="20"/>
                <w:szCs w:val="21"/>
                <w:highlight w:val="none"/>
              </w:rPr>
            </w:pPr>
            <w:r>
              <w:rPr>
                <w:rFonts w:hint="eastAsia" w:ascii="宋体" w:hAnsi="宋体"/>
                <w:color w:val="auto"/>
                <w:sz w:val="20"/>
                <w:szCs w:val="20"/>
                <w:highlight w:val="none"/>
              </w:rPr>
              <w:t>21</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4A6F29D8">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4C57D2BD">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12A4AFB2">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2026026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7FC12978">
            <w:pPr>
              <w:jc w:val="center"/>
              <w:rPr>
                <w:rFonts w:ascii="宋体"/>
                <w:color w:val="auto"/>
                <w:sz w:val="20"/>
                <w:szCs w:val="21"/>
                <w:highlight w:val="none"/>
              </w:rPr>
            </w:pPr>
          </w:p>
        </w:tc>
      </w:tr>
      <w:tr w14:paraId="7D54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4B15D6F">
            <w:pPr>
              <w:jc w:val="center"/>
              <w:rPr>
                <w:rFonts w:ascii="宋体"/>
                <w:color w:val="auto"/>
                <w:sz w:val="20"/>
                <w:szCs w:val="21"/>
                <w:highlight w:val="none"/>
              </w:rPr>
            </w:pPr>
            <w:r>
              <w:rPr>
                <w:rFonts w:hint="eastAsia" w:ascii="宋体" w:hAnsi="宋体"/>
                <w:color w:val="auto"/>
                <w:sz w:val="20"/>
                <w:szCs w:val="20"/>
                <w:highlight w:val="none"/>
              </w:rPr>
              <w:t>22</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09C89914">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3886C11">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6D5CE9C5">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B2ABA9A">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273D5E5F">
            <w:pPr>
              <w:jc w:val="center"/>
              <w:rPr>
                <w:rFonts w:ascii="宋体"/>
                <w:color w:val="auto"/>
                <w:sz w:val="20"/>
                <w:szCs w:val="21"/>
                <w:highlight w:val="none"/>
              </w:rPr>
            </w:pPr>
          </w:p>
        </w:tc>
      </w:tr>
      <w:tr w14:paraId="17D2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32C46D1">
            <w:pPr>
              <w:jc w:val="center"/>
              <w:rPr>
                <w:rFonts w:ascii="宋体"/>
                <w:color w:val="auto"/>
                <w:sz w:val="20"/>
                <w:szCs w:val="21"/>
                <w:highlight w:val="none"/>
              </w:rPr>
            </w:pPr>
            <w:r>
              <w:rPr>
                <w:rFonts w:hint="eastAsia" w:ascii="宋体" w:hAnsi="宋体"/>
                <w:color w:val="auto"/>
                <w:sz w:val="20"/>
                <w:szCs w:val="20"/>
                <w:highlight w:val="none"/>
              </w:rPr>
              <w:t>23</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0AE0A69A">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0A6ABAB">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29DBD0A0">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4A422ADA">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2D4AA392">
            <w:pPr>
              <w:jc w:val="center"/>
              <w:rPr>
                <w:rFonts w:ascii="宋体"/>
                <w:color w:val="auto"/>
                <w:sz w:val="20"/>
                <w:szCs w:val="21"/>
                <w:highlight w:val="none"/>
              </w:rPr>
            </w:pPr>
          </w:p>
        </w:tc>
      </w:tr>
      <w:tr w14:paraId="5199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0F539601">
            <w:pPr>
              <w:jc w:val="center"/>
              <w:rPr>
                <w:rFonts w:ascii="宋体"/>
                <w:color w:val="auto"/>
                <w:sz w:val="20"/>
                <w:szCs w:val="21"/>
                <w:highlight w:val="none"/>
              </w:rPr>
            </w:pPr>
            <w:r>
              <w:rPr>
                <w:rFonts w:hint="eastAsia" w:ascii="宋体" w:hAnsi="宋体"/>
                <w:color w:val="auto"/>
                <w:sz w:val="20"/>
                <w:szCs w:val="20"/>
                <w:highlight w:val="none"/>
              </w:rPr>
              <w:t>24</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1FBAB51A">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0E5CA639">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4CF2E28B">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A459977">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6FA1064">
            <w:pPr>
              <w:jc w:val="center"/>
              <w:rPr>
                <w:rFonts w:ascii="宋体"/>
                <w:color w:val="auto"/>
                <w:sz w:val="20"/>
                <w:szCs w:val="21"/>
                <w:highlight w:val="none"/>
              </w:rPr>
            </w:pPr>
          </w:p>
        </w:tc>
      </w:tr>
      <w:tr w14:paraId="1B6F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7E13FCB">
            <w:pPr>
              <w:jc w:val="center"/>
              <w:rPr>
                <w:rFonts w:ascii="宋体"/>
                <w:color w:val="auto"/>
                <w:sz w:val="20"/>
                <w:szCs w:val="21"/>
                <w:highlight w:val="none"/>
              </w:rPr>
            </w:pPr>
            <w:r>
              <w:rPr>
                <w:rFonts w:hint="eastAsia" w:ascii="宋体" w:hAnsi="宋体"/>
                <w:color w:val="auto"/>
                <w:sz w:val="20"/>
                <w:szCs w:val="20"/>
                <w:highlight w:val="none"/>
              </w:rPr>
              <w:t>25</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5F5E19D4">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098EC891">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557A1CEB">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4E2CADFE">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2064809">
            <w:pPr>
              <w:jc w:val="center"/>
              <w:rPr>
                <w:rFonts w:ascii="宋体"/>
                <w:color w:val="auto"/>
                <w:sz w:val="20"/>
                <w:szCs w:val="21"/>
                <w:highlight w:val="none"/>
              </w:rPr>
            </w:pPr>
          </w:p>
        </w:tc>
      </w:tr>
      <w:tr w14:paraId="46D7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0DFA3A26">
            <w:pPr>
              <w:jc w:val="center"/>
              <w:rPr>
                <w:rFonts w:ascii="宋体"/>
                <w:color w:val="auto"/>
                <w:sz w:val="20"/>
                <w:szCs w:val="21"/>
                <w:highlight w:val="none"/>
              </w:rPr>
            </w:pPr>
            <w:r>
              <w:rPr>
                <w:rFonts w:hint="eastAsia" w:ascii="宋体" w:hAnsi="宋体"/>
                <w:color w:val="auto"/>
                <w:sz w:val="20"/>
                <w:szCs w:val="20"/>
                <w:highlight w:val="none"/>
              </w:rPr>
              <w:t>26</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29F598DA">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CB8B056">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677DAC9B">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F1EB8D5">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F3D9271">
            <w:pPr>
              <w:jc w:val="center"/>
              <w:rPr>
                <w:rFonts w:ascii="宋体"/>
                <w:color w:val="auto"/>
                <w:sz w:val="20"/>
                <w:szCs w:val="21"/>
                <w:highlight w:val="none"/>
              </w:rPr>
            </w:pPr>
          </w:p>
        </w:tc>
      </w:tr>
      <w:tr w14:paraId="124E4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7D16C40">
            <w:pPr>
              <w:jc w:val="center"/>
              <w:rPr>
                <w:rFonts w:ascii="宋体"/>
                <w:color w:val="auto"/>
                <w:sz w:val="20"/>
                <w:szCs w:val="21"/>
                <w:highlight w:val="none"/>
              </w:rPr>
            </w:pPr>
            <w:r>
              <w:rPr>
                <w:rFonts w:hint="eastAsia" w:ascii="宋体" w:hAnsi="宋体"/>
                <w:color w:val="auto"/>
                <w:sz w:val="20"/>
                <w:szCs w:val="20"/>
                <w:highlight w:val="none"/>
              </w:rPr>
              <w:t>27</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2D2552FE">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B722B72">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122ECCFD">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1DDC1A4A">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7C85D47">
            <w:pPr>
              <w:jc w:val="center"/>
              <w:rPr>
                <w:rFonts w:ascii="宋体"/>
                <w:color w:val="auto"/>
                <w:sz w:val="20"/>
                <w:szCs w:val="21"/>
                <w:highlight w:val="none"/>
              </w:rPr>
            </w:pPr>
          </w:p>
        </w:tc>
      </w:tr>
      <w:tr w14:paraId="736C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0DFFFBDA">
            <w:pPr>
              <w:jc w:val="center"/>
              <w:rPr>
                <w:rFonts w:ascii="宋体"/>
                <w:color w:val="auto"/>
                <w:sz w:val="20"/>
                <w:szCs w:val="21"/>
                <w:highlight w:val="none"/>
              </w:rPr>
            </w:pPr>
            <w:r>
              <w:rPr>
                <w:rFonts w:hint="eastAsia" w:ascii="宋体" w:hAnsi="宋体"/>
                <w:color w:val="auto"/>
                <w:sz w:val="20"/>
                <w:szCs w:val="20"/>
                <w:highlight w:val="none"/>
              </w:rPr>
              <w:t>28</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3F8A03E6">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33ABE99">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176BA5B0">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60F0718">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35AF725C">
            <w:pPr>
              <w:jc w:val="center"/>
              <w:rPr>
                <w:rFonts w:ascii="宋体"/>
                <w:color w:val="auto"/>
                <w:sz w:val="20"/>
                <w:szCs w:val="21"/>
                <w:highlight w:val="none"/>
              </w:rPr>
            </w:pPr>
          </w:p>
        </w:tc>
      </w:tr>
      <w:tr w14:paraId="6921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077E92F4">
            <w:pPr>
              <w:jc w:val="center"/>
              <w:rPr>
                <w:rFonts w:ascii="宋体"/>
                <w:color w:val="auto"/>
                <w:sz w:val="20"/>
                <w:szCs w:val="21"/>
                <w:highlight w:val="none"/>
              </w:rPr>
            </w:pPr>
            <w:r>
              <w:rPr>
                <w:rFonts w:hint="eastAsia" w:ascii="宋体" w:hAnsi="宋体"/>
                <w:color w:val="auto"/>
                <w:sz w:val="20"/>
                <w:szCs w:val="20"/>
                <w:highlight w:val="none"/>
              </w:rPr>
              <w:t>29</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02070060">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50F81F00">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230A19B2">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6D9CD7D7">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5C1682E3">
            <w:pPr>
              <w:jc w:val="center"/>
              <w:rPr>
                <w:rFonts w:ascii="宋体"/>
                <w:color w:val="auto"/>
                <w:sz w:val="20"/>
                <w:szCs w:val="21"/>
                <w:highlight w:val="none"/>
              </w:rPr>
            </w:pPr>
          </w:p>
        </w:tc>
      </w:tr>
      <w:tr w14:paraId="29E8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3302D6CE">
            <w:pPr>
              <w:jc w:val="center"/>
              <w:rPr>
                <w:rFonts w:ascii="宋体"/>
                <w:color w:val="auto"/>
                <w:sz w:val="20"/>
                <w:szCs w:val="21"/>
                <w:highlight w:val="none"/>
              </w:rPr>
            </w:pPr>
            <w:r>
              <w:rPr>
                <w:rFonts w:hint="eastAsia" w:ascii="宋体" w:hAnsi="宋体"/>
                <w:color w:val="auto"/>
                <w:sz w:val="20"/>
                <w:szCs w:val="20"/>
                <w:highlight w:val="none"/>
              </w:rPr>
              <w:t>30</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5F752798">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712AA5F9">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4867BB05">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78721CE2">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1A4AB32A">
            <w:pPr>
              <w:jc w:val="center"/>
              <w:rPr>
                <w:rFonts w:ascii="宋体"/>
                <w:color w:val="auto"/>
                <w:sz w:val="20"/>
                <w:szCs w:val="21"/>
                <w:highlight w:val="none"/>
              </w:rPr>
            </w:pPr>
          </w:p>
        </w:tc>
      </w:tr>
      <w:tr w14:paraId="56B0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7AD8A1C7">
            <w:pPr>
              <w:jc w:val="center"/>
              <w:rPr>
                <w:rFonts w:ascii="宋体"/>
                <w:color w:val="auto"/>
                <w:sz w:val="20"/>
                <w:szCs w:val="21"/>
                <w:highlight w:val="none"/>
              </w:rPr>
            </w:pPr>
            <w:r>
              <w:rPr>
                <w:rFonts w:hint="eastAsia" w:ascii="宋体" w:hAnsi="宋体"/>
                <w:color w:val="auto"/>
                <w:sz w:val="20"/>
                <w:szCs w:val="20"/>
                <w:highlight w:val="none"/>
              </w:rPr>
              <w:t>31</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32E373B3">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0F7A2BEC">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1FB04BC2">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27CE168F">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0164D929">
            <w:pPr>
              <w:jc w:val="center"/>
              <w:rPr>
                <w:rFonts w:ascii="宋体"/>
                <w:color w:val="auto"/>
                <w:sz w:val="20"/>
                <w:szCs w:val="21"/>
                <w:highlight w:val="none"/>
              </w:rPr>
            </w:pPr>
          </w:p>
        </w:tc>
      </w:tr>
      <w:tr w14:paraId="24A9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9" w:type="dxa"/>
            <w:tcBorders>
              <w:top w:val="single" w:color="auto" w:sz="4" w:space="0"/>
              <w:left w:val="single" w:color="auto" w:sz="4" w:space="0"/>
              <w:bottom w:val="single" w:color="auto" w:sz="4" w:space="0"/>
              <w:right w:val="single" w:color="auto" w:sz="4" w:space="0"/>
            </w:tcBorders>
            <w:noWrap w:val="0"/>
            <w:vAlign w:val="top"/>
          </w:tcPr>
          <w:p w14:paraId="5DA8B1ED">
            <w:pPr>
              <w:jc w:val="center"/>
              <w:rPr>
                <w:rFonts w:hint="default" w:ascii="宋体" w:eastAsia="宋体"/>
                <w:color w:val="auto"/>
                <w:sz w:val="20"/>
                <w:szCs w:val="21"/>
                <w:highlight w:val="none"/>
                <w:lang w:val="en-US" w:eastAsia="zh-CN"/>
              </w:rPr>
            </w:pPr>
            <w:r>
              <w:rPr>
                <w:rFonts w:hint="eastAsia" w:ascii="宋体"/>
                <w:color w:val="auto"/>
                <w:sz w:val="20"/>
                <w:szCs w:val="21"/>
                <w:highlight w:val="none"/>
                <w:lang w:val="en-US" w:eastAsia="zh-CN"/>
              </w:rPr>
              <w:t>32</w:t>
            </w:r>
          </w:p>
        </w:tc>
        <w:tc>
          <w:tcPr>
            <w:tcW w:w="2416" w:type="dxa"/>
            <w:tcBorders>
              <w:top w:val="single" w:color="auto" w:sz="4" w:space="0"/>
              <w:left w:val="single" w:color="auto" w:sz="4" w:space="0"/>
              <w:bottom w:val="single" w:color="auto" w:sz="4" w:space="0"/>
              <w:right w:val="single" w:color="auto" w:sz="4" w:space="0"/>
            </w:tcBorders>
            <w:noWrap w:val="0"/>
            <w:vAlign w:val="top"/>
          </w:tcPr>
          <w:p w14:paraId="3E2BC36F">
            <w:pPr>
              <w:jc w:val="center"/>
              <w:rPr>
                <w:rFonts w:ascii="宋体"/>
                <w:color w:val="auto"/>
                <w:sz w:val="20"/>
                <w:szCs w:val="21"/>
                <w:highlight w:val="none"/>
              </w:rPr>
            </w:pPr>
          </w:p>
        </w:tc>
        <w:tc>
          <w:tcPr>
            <w:tcW w:w="1096" w:type="dxa"/>
            <w:tcBorders>
              <w:top w:val="single" w:color="auto" w:sz="4" w:space="0"/>
              <w:left w:val="single" w:color="auto" w:sz="4" w:space="0"/>
              <w:bottom w:val="single" w:color="auto" w:sz="4" w:space="0"/>
              <w:right w:val="single" w:color="auto" w:sz="4" w:space="0"/>
            </w:tcBorders>
            <w:noWrap w:val="0"/>
            <w:vAlign w:val="top"/>
          </w:tcPr>
          <w:p w14:paraId="29807B8C">
            <w:pPr>
              <w:jc w:val="center"/>
              <w:rPr>
                <w:rFonts w:ascii="宋体"/>
                <w:color w:val="auto"/>
                <w:sz w:val="20"/>
                <w:szCs w:val="21"/>
                <w:highlight w:val="none"/>
              </w:rPr>
            </w:pPr>
          </w:p>
        </w:tc>
        <w:tc>
          <w:tcPr>
            <w:tcW w:w="927" w:type="dxa"/>
            <w:tcBorders>
              <w:top w:val="single" w:color="auto" w:sz="4" w:space="0"/>
              <w:left w:val="single" w:color="auto" w:sz="4" w:space="0"/>
              <w:bottom w:val="single" w:color="auto" w:sz="4" w:space="0"/>
              <w:right w:val="single" w:color="auto" w:sz="4" w:space="0"/>
            </w:tcBorders>
            <w:noWrap w:val="0"/>
            <w:vAlign w:val="top"/>
          </w:tcPr>
          <w:p w14:paraId="32288DE0">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78DD3D44">
            <w:pPr>
              <w:jc w:val="center"/>
              <w:rPr>
                <w:rFonts w:ascii="宋体"/>
                <w:color w:val="auto"/>
                <w:sz w:val="20"/>
                <w:szCs w:val="21"/>
                <w:highlight w:val="none"/>
              </w:rPr>
            </w:pPr>
          </w:p>
        </w:tc>
        <w:tc>
          <w:tcPr>
            <w:tcW w:w="2033" w:type="dxa"/>
            <w:tcBorders>
              <w:top w:val="single" w:color="auto" w:sz="4" w:space="0"/>
              <w:left w:val="single" w:color="auto" w:sz="4" w:space="0"/>
              <w:bottom w:val="single" w:color="auto" w:sz="4" w:space="0"/>
              <w:right w:val="single" w:color="auto" w:sz="4" w:space="0"/>
            </w:tcBorders>
            <w:noWrap w:val="0"/>
            <w:vAlign w:val="top"/>
          </w:tcPr>
          <w:p w14:paraId="1DF46ADB">
            <w:pPr>
              <w:jc w:val="center"/>
              <w:rPr>
                <w:rFonts w:ascii="宋体"/>
                <w:color w:val="auto"/>
                <w:sz w:val="20"/>
                <w:szCs w:val="21"/>
                <w:highlight w:val="none"/>
              </w:rPr>
            </w:pPr>
          </w:p>
        </w:tc>
      </w:tr>
    </w:tbl>
    <w:p w14:paraId="7B3D2761">
      <w:pPr>
        <w:rPr>
          <w:rFonts w:ascii="仿宋_GB2312" w:eastAsia="仿宋_GB2312"/>
          <w:b/>
          <w:bCs/>
          <w:color w:val="auto"/>
          <w:sz w:val="32"/>
          <w:szCs w:val="32"/>
          <w:highlight w:val="none"/>
        </w:rPr>
      </w:pPr>
    </w:p>
    <w:p w14:paraId="272305F2">
      <w:pPr>
        <w:rPr>
          <w:rFonts w:ascii="仿宋_GB2312" w:eastAsia="仿宋_GB2312"/>
          <w:b/>
          <w:bCs/>
          <w:color w:val="auto"/>
          <w:sz w:val="32"/>
          <w:szCs w:val="32"/>
          <w:highlight w:val="none"/>
        </w:rPr>
      </w:pPr>
    </w:p>
    <w:p w14:paraId="0317014F">
      <w:pPr>
        <w:rPr>
          <w:rFonts w:hint="eastAsia" w:ascii="宋体" w:hAnsi="宋体" w:eastAsia="宋体" w:cs="宋体"/>
          <w:b/>
          <w:bCs/>
          <w:color w:val="auto"/>
          <w:sz w:val="28"/>
          <w:szCs w:val="28"/>
          <w:highlight w:val="none"/>
          <w:lang w:val="en-US"/>
        </w:rPr>
      </w:pPr>
      <w:r>
        <w:rPr>
          <w:rFonts w:hint="eastAsia" w:ascii="宋体" w:hAnsi="宋体" w:eastAsia="宋体" w:cs="宋体"/>
          <w:b/>
          <w:bCs/>
          <w:color w:val="auto"/>
          <w:sz w:val="28"/>
          <w:szCs w:val="28"/>
          <w:highlight w:val="none"/>
        </w:rPr>
        <w:t>附件</w:t>
      </w:r>
      <w:r>
        <w:rPr>
          <w:rFonts w:hint="eastAsia" w:ascii="宋体" w:hAnsi="宋体" w:eastAsia="宋体" w:cs="宋体"/>
          <w:b/>
          <w:bCs/>
          <w:color w:val="auto"/>
          <w:sz w:val="28"/>
          <w:szCs w:val="28"/>
          <w:highlight w:val="none"/>
          <w:lang w:eastAsia="zh-CN"/>
        </w:rPr>
        <w:t>2</w:t>
      </w:r>
      <w:r>
        <w:rPr>
          <w:rFonts w:hint="eastAsia" w:ascii="宋体" w:hAnsi="宋体" w:eastAsia="宋体" w:cs="宋体"/>
          <w:b/>
          <w:bCs/>
          <w:color w:val="auto"/>
          <w:sz w:val="28"/>
          <w:szCs w:val="28"/>
          <w:highlight w:val="none"/>
          <w:lang w:val="en-US" w:eastAsia="zh-CN"/>
        </w:rPr>
        <w:t>-2-5</w:t>
      </w:r>
    </w:p>
    <w:p w14:paraId="7CBF8CF8">
      <w:pPr>
        <w:jc w:val="center"/>
        <w:rPr>
          <w:rFonts w:hAnsi="宋体"/>
          <w:color w:val="auto"/>
          <w:sz w:val="32"/>
          <w:szCs w:val="32"/>
          <w:highlight w:val="none"/>
        </w:rPr>
      </w:pPr>
      <w:r>
        <w:rPr>
          <w:rFonts w:hint="eastAsia" w:ascii="宋体" w:hAnsi="宋体"/>
          <w:b/>
          <w:bCs/>
          <w:color w:val="auto"/>
          <w:sz w:val="32"/>
          <w:szCs w:val="32"/>
          <w:highlight w:val="none"/>
        </w:rPr>
        <w:t>南宁市人民公园绿化养护月度检查评分表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3520"/>
        <w:gridCol w:w="2693"/>
      </w:tblGrid>
      <w:tr w14:paraId="4BDF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2117" w:type="dxa"/>
            <w:noWrap w:val="0"/>
            <w:vAlign w:val="center"/>
          </w:tcPr>
          <w:p w14:paraId="1515BC57">
            <w:pPr>
              <w:jc w:val="center"/>
              <w:rPr>
                <w:b/>
                <w:bCs/>
                <w:color w:val="auto"/>
                <w:sz w:val="28"/>
                <w:szCs w:val="28"/>
                <w:highlight w:val="none"/>
              </w:rPr>
            </w:pPr>
            <w:r>
              <w:rPr>
                <w:rFonts w:hint="eastAsia"/>
                <w:b/>
                <w:bCs/>
                <w:color w:val="auto"/>
                <w:sz w:val="28"/>
                <w:szCs w:val="28"/>
                <w:highlight w:val="none"/>
              </w:rPr>
              <w:t>检查时间</w:t>
            </w:r>
          </w:p>
        </w:tc>
        <w:tc>
          <w:tcPr>
            <w:tcW w:w="3520" w:type="dxa"/>
            <w:noWrap w:val="0"/>
            <w:vAlign w:val="center"/>
          </w:tcPr>
          <w:p w14:paraId="6D173C15">
            <w:pPr>
              <w:jc w:val="center"/>
              <w:rPr>
                <w:b/>
                <w:bCs/>
                <w:color w:val="auto"/>
                <w:sz w:val="28"/>
                <w:szCs w:val="28"/>
                <w:highlight w:val="none"/>
              </w:rPr>
            </w:pPr>
            <w:r>
              <w:rPr>
                <w:rFonts w:hint="eastAsia"/>
                <w:b/>
                <w:bCs/>
                <w:color w:val="auto"/>
                <w:sz w:val="28"/>
                <w:szCs w:val="28"/>
                <w:highlight w:val="none"/>
              </w:rPr>
              <w:t>检查得分</w:t>
            </w:r>
          </w:p>
        </w:tc>
        <w:tc>
          <w:tcPr>
            <w:tcW w:w="2693" w:type="dxa"/>
            <w:noWrap w:val="0"/>
            <w:vAlign w:val="center"/>
          </w:tcPr>
          <w:p w14:paraId="62499FD5">
            <w:pPr>
              <w:jc w:val="center"/>
              <w:rPr>
                <w:b/>
                <w:bCs/>
                <w:color w:val="auto"/>
                <w:sz w:val="28"/>
                <w:szCs w:val="28"/>
                <w:highlight w:val="none"/>
              </w:rPr>
            </w:pPr>
            <w:r>
              <w:rPr>
                <w:rFonts w:hint="eastAsia"/>
                <w:b/>
                <w:bCs/>
                <w:color w:val="auto"/>
                <w:sz w:val="28"/>
                <w:szCs w:val="28"/>
                <w:highlight w:val="none"/>
              </w:rPr>
              <w:t>备注</w:t>
            </w:r>
          </w:p>
        </w:tc>
      </w:tr>
      <w:tr w14:paraId="47C4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2117" w:type="dxa"/>
            <w:noWrap w:val="0"/>
            <w:vAlign w:val="center"/>
          </w:tcPr>
          <w:p w14:paraId="2B63EF64">
            <w:pPr>
              <w:jc w:val="center"/>
              <w:rPr>
                <w:b/>
                <w:bCs/>
                <w:color w:val="auto"/>
                <w:sz w:val="28"/>
                <w:szCs w:val="28"/>
                <w:highlight w:val="none"/>
              </w:rPr>
            </w:pPr>
          </w:p>
        </w:tc>
        <w:tc>
          <w:tcPr>
            <w:tcW w:w="3520" w:type="dxa"/>
            <w:noWrap w:val="0"/>
            <w:vAlign w:val="center"/>
          </w:tcPr>
          <w:p w14:paraId="03713A5C">
            <w:pPr>
              <w:jc w:val="center"/>
              <w:rPr>
                <w:b/>
                <w:bCs/>
                <w:color w:val="auto"/>
                <w:sz w:val="28"/>
                <w:szCs w:val="28"/>
                <w:highlight w:val="none"/>
              </w:rPr>
            </w:pPr>
          </w:p>
        </w:tc>
        <w:tc>
          <w:tcPr>
            <w:tcW w:w="2693" w:type="dxa"/>
            <w:noWrap w:val="0"/>
            <w:vAlign w:val="center"/>
          </w:tcPr>
          <w:p w14:paraId="25A57F85">
            <w:pPr>
              <w:jc w:val="center"/>
              <w:rPr>
                <w:b/>
                <w:bCs/>
                <w:color w:val="auto"/>
                <w:sz w:val="28"/>
                <w:szCs w:val="28"/>
                <w:highlight w:val="none"/>
              </w:rPr>
            </w:pPr>
          </w:p>
        </w:tc>
      </w:tr>
    </w:tbl>
    <w:p w14:paraId="1CF07276">
      <w:pPr>
        <w:jc w:val="left"/>
        <w:rPr>
          <w:b/>
          <w:bCs/>
          <w:color w:val="auto"/>
          <w:sz w:val="15"/>
          <w:szCs w:val="15"/>
          <w:highlight w:val="none"/>
        </w:rPr>
      </w:pPr>
    </w:p>
    <w:p w14:paraId="40011F27">
      <w:pPr>
        <w:jc w:val="left"/>
        <w:rPr>
          <w:b/>
          <w:bCs/>
          <w:color w:val="auto"/>
          <w:sz w:val="28"/>
          <w:szCs w:val="28"/>
          <w:highlight w:val="none"/>
        </w:rPr>
      </w:pPr>
      <w:r>
        <w:rPr>
          <w:rFonts w:hint="eastAsia"/>
          <w:b/>
          <w:bCs/>
          <w:color w:val="auto"/>
          <w:sz w:val="28"/>
          <w:szCs w:val="28"/>
          <w:highlight w:val="none"/>
        </w:rPr>
        <w:t>检查人员签字：</w:t>
      </w:r>
    </w:p>
    <w:p w14:paraId="6474DFCD">
      <w:pPr>
        <w:rPr>
          <w:color w:val="auto"/>
          <w:szCs w:val="21"/>
          <w:highlight w:val="none"/>
        </w:rPr>
      </w:pPr>
    </w:p>
    <w:p w14:paraId="24BDF63D">
      <w:pPr>
        <w:rPr>
          <w:color w:val="auto"/>
          <w:highlight w:val="none"/>
        </w:rPr>
      </w:pPr>
    </w:p>
    <w:p w14:paraId="7610BB1F">
      <w:pPr>
        <w:rPr>
          <w:color w:val="auto"/>
          <w:highlight w:val="none"/>
        </w:rPr>
      </w:pPr>
    </w:p>
    <w:p w14:paraId="53FFE78C">
      <w:pPr>
        <w:rPr>
          <w:color w:val="auto"/>
          <w:highlight w:val="none"/>
        </w:rPr>
      </w:pPr>
    </w:p>
    <w:p w14:paraId="7C8DE180">
      <w:pPr>
        <w:rPr>
          <w:color w:val="auto"/>
          <w:highlight w:val="none"/>
        </w:rPr>
      </w:pPr>
    </w:p>
    <w:p w14:paraId="7AFFB736">
      <w:pPr>
        <w:rPr>
          <w:color w:val="auto"/>
          <w:highlight w:val="none"/>
        </w:rPr>
      </w:pPr>
    </w:p>
    <w:p w14:paraId="4EE79AC5">
      <w:pPr>
        <w:rPr>
          <w:color w:val="auto"/>
          <w:highlight w:val="none"/>
        </w:rPr>
      </w:pPr>
    </w:p>
    <w:p w14:paraId="4D9DE187">
      <w:pPr>
        <w:rPr>
          <w:color w:val="auto"/>
          <w:highlight w:val="none"/>
        </w:rPr>
      </w:pPr>
    </w:p>
    <w:p w14:paraId="4356916E">
      <w:pPr>
        <w:rPr>
          <w:color w:val="auto"/>
          <w:highlight w:val="none"/>
        </w:rPr>
      </w:pPr>
    </w:p>
    <w:p w14:paraId="50674A74">
      <w:pPr>
        <w:rPr>
          <w:color w:val="auto"/>
          <w:highlight w:val="none"/>
        </w:rPr>
      </w:pPr>
    </w:p>
    <w:p w14:paraId="01C03127">
      <w:pPr>
        <w:rPr>
          <w:color w:val="auto"/>
          <w:highlight w:val="none"/>
        </w:rPr>
      </w:pPr>
    </w:p>
    <w:p w14:paraId="0C20E233">
      <w:pPr>
        <w:rPr>
          <w:color w:val="auto"/>
          <w:highlight w:val="none"/>
        </w:rPr>
      </w:pPr>
    </w:p>
    <w:p w14:paraId="34B2D674">
      <w:pPr>
        <w:rPr>
          <w:color w:val="auto"/>
          <w:highlight w:val="none"/>
        </w:rPr>
      </w:pPr>
    </w:p>
    <w:p w14:paraId="31919740">
      <w:pPr>
        <w:rPr>
          <w:color w:val="auto"/>
          <w:highlight w:val="none"/>
        </w:rPr>
      </w:pPr>
    </w:p>
    <w:p w14:paraId="70642587">
      <w:pPr>
        <w:rPr>
          <w:color w:val="auto"/>
          <w:highlight w:val="none"/>
        </w:rPr>
      </w:pPr>
    </w:p>
    <w:p w14:paraId="703C496F">
      <w:pPr>
        <w:rPr>
          <w:color w:val="auto"/>
          <w:highlight w:val="none"/>
        </w:rPr>
      </w:pPr>
    </w:p>
    <w:p w14:paraId="0ED27EF5">
      <w:pPr>
        <w:rPr>
          <w:color w:val="auto"/>
          <w:highlight w:val="none"/>
        </w:rPr>
      </w:pPr>
    </w:p>
    <w:p w14:paraId="2FCD2094">
      <w:pPr>
        <w:rPr>
          <w:color w:val="auto"/>
          <w:highlight w:val="none"/>
        </w:rPr>
      </w:pPr>
    </w:p>
    <w:p w14:paraId="7F6670D4">
      <w:pPr>
        <w:rPr>
          <w:color w:val="auto"/>
          <w:highlight w:val="none"/>
        </w:rPr>
      </w:pPr>
    </w:p>
    <w:p w14:paraId="19BF69FB">
      <w:pPr>
        <w:rPr>
          <w:color w:val="auto"/>
          <w:highlight w:val="none"/>
        </w:rPr>
      </w:pPr>
    </w:p>
    <w:p w14:paraId="2D494A14">
      <w:pPr>
        <w:rPr>
          <w:color w:val="auto"/>
          <w:highlight w:val="none"/>
        </w:rPr>
      </w:pPr>
    </w:p>
    <w:p w14:paraId="6DF9E368">
      <w:pPr>
        <w:rPr>
          <w:color w:val="auto"/>
          <w:highlight w:val="none"/>
        </w:rPr>
      </w:pPr>
    </w:p>
    <w:p w14:paraId="05542276">
      <w:pPr>
        <w:rPr>
          <w:color w:val="auto"/>
          <w:highlight w:val="none"/>
        </w:rPr>
      </w:pPr>
    </w:p>
    <w:p w14:paraId="79C38AE6">
      <w:pPr>
        <w:rPr>
          <w:color w:val="auto"/>
          <w:highlight w:val="none"/>
        </w:rPr>
      </w:pPr>
    </w:p>
    <w:p w14:paraId="63B35C75">
      <w:pPr>
        <w:rPr>
          <w:color w:val="auto"/>
          <w:highlight w:val="none"/>
        </w:rPr>
      </w:pPr>
    </w:p>
    <w:p w14:paraId="7D727DB0">
      <w:pPr>
        <w:rPr>
          <w:color w:val="auto"/>
          <w:highlight w:val="none"/>
        </w:rPr>
      </w:pPr>
    </w:p>
    <w:p w14:paraId="5838B6DA">
      <w:pPr>
        <w:rPr>
          <w:color w:val="auto"/>
          <w:highlight w:val="none"/>
        </w:rPr>
      </w:pPr>
    </w:p>
    <w:p w14:paraId="64FB5783">
      <w:pPr>
        <w:rPr>
          <w:color w:val="auto"/>
          <w:highlight w:val="none"/>
        </w:rPr>
      </w:pPr>
    </w:p>
    <w:p w14:paraId="4767D467">
      <w:pPr>
        <w:rPr>
          <w:color w:val="auto"/>
          <w:highlight w:val="none"/>
        </w:rPr>
      </w:pPr>
    </w:p>
    <w:p w14:paraId="47C27C62">
      <w:pPr>
        <w:rPr>
          <w:color w:val="auto"/>
          <w:highlight w:val="none"/>
        </w:rPr>
      </w:pPr>
    </w:p>
    <w:p w14:paraId="1BDCE3E1">
      <w:pPr>
        <w:rPr>
          <w:color w:val="auto"/>
          <w:highlight w:val="none"/>
        </w:rPr>
      </w:pPr>
    </w:p>
    <w:p w14:paraId="078E1DF8">
      <w:pPr>
        <w:rPr>
          <w:color w:val="auto"/>
          <w:highlight w:val="none"/>
        </w:rPr>
      </w:pPr>
    </w:p>
    <w:p w14:paraId="74F895E9">
      <w:pPr>
        <w:rPr>
          <w:color w:val="auto"/>
          <w:highlight w:val="none"/>
        </w:rPr>
      </w:pPr>
    </w:p>
    <w:p w14:paraId="332AB127">
      <w:pPr>
        <w:rPr>
          <w:color w:val="auto"/>
          <w:highlight w:val="none"/>
        </w:rPr>
      </w:pPr>
    </w:p>
    <w:p w14:paraId="01EA4F6F">
      <w:pPr>
        <w:rPr>
          <w:color w:val="auto"/>
          <w:highlight w:val="none"/>
        </w:rPr>
      </w:pPr>
    </w:p>
    <w:p w14:paraId="244C4799">
      <w:pPr>
        <w:rPr>
          <w:color w:val="auto"/>
          <w:highlight w:val="none"/>
        </w:rPr>
      </w:pPr>
    </w:p>
    <w:p w14:paraId="1A720849">
      <w:pPr>
        <w:rPr>
          <w:color w:val="auto"/>
          <w:highlight w:val="none"/>
        </w:rPr>
      </w:pPr>
    </w:p>
    <w:p w14:paraId="72A8D8FA">
      <w:pPr>
        <w:rPr>
          <w:color w:val="auto"/>
          <w:highlight w:val="none"/>
        </w:rPr>
      </w:pPr>
    </w:p>
    <w:p w14:paraId="3E264166">
      <w:pPr>
        <w:rPr>
          <w:color w:val="auto"/>
          <w:highlight w:val="none"/>
        </w:rPr>
      </w:pPr>
    </w:p>
    <w:p w14:paraId="4E5EC6BD">
      <w:pPr>
        <w:rPr>
          <w:color w:val="auto"/>
          <w:highlight w:val="none"/>
        </w:rPr>
      </w:pPr>
    </w:p>
    <w:p w14:paraId="1D788FA3">
      <w:pPr>
        <w:rPr>
          <w:color w:val="auto"/>
          <w:highlight w:val="none"/>
        </w:rPr>
      </w:pPr>
    </w:p>
    <w:p w14:paraId="28AD24D1">
      <w:pPr>
        <w:rPr>
          <w:color w:val="auto"/>
          <w:highlight w:val="none"/>
        </w:rPr>
      </w:pPr>
    </w:p>
    <w:p w14:paraId="769A4A3F">
      <w:pPr>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lang w:eastAsia="zh-CN"/>
        </w:rPr>
        <w:t>附件2</w:t>
      </w:r>
      <w:r>
        <w:rPr>
          <w:rFonts w:hint="eastAsia" w:ascii="宋体" w:hAnsi="宋体" w:eastAsia="宋体" w:cs="宋体"/>
          <w:b/>
          <w:bCs/>
          <w:color w:val="auto"/>
          <w:sz w:val="28"/>
          <w:szCs w:val="28"/>
          <w:highlight w:val="none"/>
          <w:lang w:val="en-US" w:eastAsia="zh-CN"/>
        </w:rPr>
        <w:t>-2-6</w:t>
      </w:r>
    </w:p>
    <w:p w14:paraId="578D04DC">
      <w:pPr>
        <w:jc w:val="center"/>
        <w:rPr>
          <w:rFonts w:ascii="宋体" w:hAnsi="宋体"/>
          <w:b/>
          <w:bCs/>
          <w:color w:val="auto"/>
          <w:sz w:val="32"/>
          <w:szCs w:val="32"/>
          <w:highlight w:val="none"/>
        </w:rPr>
      </w:pPr>
      <w:r>
        <w:rPr>
          <w:rFonts w:hint="eastAsia" w:ascii="宋体" w:hAnsi="宋体"/>
          <w:b/>
          <w:bCs/>
          <w:color w:val="auto"/>
          <w:sz w:val="32"/>
          <w:szCs w:val="32"/>
          <w:highlight w:val="none"/>
        </w:rPr>
        <w:t>人民公园专项工作检查评分表</w:t>
      </w:r>
    </w:p>
    <w:p w14:paraId="066D2AC0">
      <w:pPr>
        <w:jc w:val="center"/>
        <w:rPr>
          <w:rFonts w:ascii="宋体" w:hAnsi="宋体"/>
          <w:b/>
          <w:bCs/>
          <w:color w:val="auto"/>
          <w:sz w:val="32"/>
          <w:szCs w:val="32"/>
          <w:highlight w:val="none"/>
        </w:rPr>
      </w:pPr>
    </w:p>
    <w:p w14:paraId="20659D4C">
      <w:pPr>
        <w:jc w:val="left"/>
        <w:rPr>
          <w:rFonts w:ascii="宋体" w:hAnsi="宋体"/>
          <w:b/>
          <w:bCs/>
          <w:color w:val="auto"/>
          <w:sz w:val="24"/>
          <w:highlight w:val="none"/>
        </w:rPr>
      </w:pPr>
      <w:r>
        <w:rPr>
          <w:rFonts w:hint="eastAsia" w:ascii="宋体" w:hAnsi="宋体"/>
          <w:b/>
          <w:bCs/>
          <w:color w:val="auto"/>
          <w:sz w:val="24"/>
          <w:highlight w:val="none"/>
        </w:rPr>
        <w:t>日期：                           专项工作内容：</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366"/>
        <w:gridCol w:w="2409"/>
        <w:gridCol w:w="2391"/>
        <w:gridCol w:w="703"/>
        <w:gridCol w:w="1109"/>
        <w:gridCol w:w="1418"/>
      </w:tblGrid>
      <w:tr w14:paraId="60BFE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643" w:type="dxa"/>
            <w:noWrap w:val="0"/>
            <w:vAlign w:val="center"/>
          </w:tcPr>
          <w:p w14:paraId="403BDD06">
            <w:pPr>
              <w:jc w:val="center"/>
              <w:rPr>
                <w:rFonts w:ascii="宋体"/>
                <w:b/>
                <w:bCs/>
                <w:color w:val="auto"/>
                <w:sz w:val="20"/>
                <w:szCs w:val="21"/>
                <w:highlight w:val="none"/>
              </w:rPr>
            </w:pPr>
            <w:r>
              <w:rPr>
                <w:rFonts w:hint="eastAsia" w:ascii="宋体" w:hAnsi="宋体"/>
                <w:b/>
                <w:bCs/>
                <w:color w:val="auto"/>
                <w:sz w:val="20"/>
                <w:szCs w:val="21"/>
                <w:highlight w:val="none"/>
              </w:rPr>
              <w:t>项目</w:t>
            </w:r>
          </w:p>
        </w:tc>
        <w:tc>
          <w:tcPr>
            <w:tcW w:w="366" w:type="dxa"/>
            <w:noWrap w:val="0"/>
            <w:vAlign w:val="center"/>
          </w:tcPr>
          <w:p w14:paraId="393FFD05">
            <w:pPr>
              <w:jc w:val="center"/>
              <w:rPr>
                <w:rFonts w:ascii="宋体"/>
                <w:b/>
                <w:bCs/>
                <w:color w:val="auto"/>
                <w:sz w:val="20"/>
                <w:szCs w:val="21"/>
                <w:highlight w:val="none"/>
              </w:rPr>
            </w:pPr>
            <w:r>
              <w:rPr>
                <w:rFonts w:hint="eastAsia" w:ascii="宋体" w:hAnsi="宋体"/>
                <w:b/>
                <w:bCs/>
                <w:color w:val="auto"/>
                <w:sz w:val="20"/>
                <w:szCs w:val="21"/>
                <w:highlight w:val="none"/>
              </w:rPr>
              <w:t>序号</w:t>
            </w:r>
          </w:p>
        </w:tc>
        <w:tc>
          <w:tcPr>
            <w:tcW w:w="2409" w:type="dxa"/>
            <w:noWrap w:val="0"/>
            <w:vAlign w:val="center"/>
          </w:tcPr>
          <w:p w14:paraId="51269A49">
            <w:pPr>
              <w:jc w:val="center"/>
              <w:rPr>
                <w:rFonts w:ascii="宋体"/>
                <w:b/>
                <w:bCs/>
                <w:color w:val="auto"/>
                <w:sz w:val="20"/>
                <w:szCs w:val="21"/>
                <w:highlight w:val="none"/>
              </w:rPr>
            </w:pPr>
            <w:r>
              <w:rPr>
                <w:rFonts w:hint="eastAsia" w:ascii="宋体" w:hAnsi="宋体"/>
                <w:b/>
                <w:bCs/>
                <w:color w:val="auto"/>
                <w:sz w:val="20"/>
                <w:szCs w:val="21"/>
                <w:highlight w:val="none"/>
              </w:rPr>
              <w:t>要   求</w:t>
            </w:r>
          </w:p>
        </w:tc>
        <w:tc>
          <w:tcPr>
            <w:tcW w:w="2391" w:type="dxa"/>
            <w:noWrap w:val="0"/>
            <w:vAlign w:val="center"/>
          </w:tcPr>
          <w:p w14:paraId="4FA4F04B">
            <w:pPr>
              <w:jc w:val="center"/>
              <w:rPr>
                <w:rFonts w:ascii="宋体"/>
                <w:b/>
                <w:bCs/>
                <w:color w:val="auto"/>
                <w:sz w:val="20"/>
                <w:szCs w:val="21"/>
                <w:highlight w:val="none"/>
              </w:rPr>
            </w:pPr>
            <w:r>
              <w:rPr>
                <w:rFonts w:hint="eastAsia" w:ascii="宋体" w:hAnsi="宋体"/>
                <w:b/>
                <w:bCs/>
                <w:color w:val="auto"/>
                <w:sz w:val="20"/>
                <w:szCs w:val="21"/>
                <w:highlight w:val="none"/>
              </w:rPr>
              <w:t>考核标准</w:t>
            </w:r>
          </w:p>
        </w:tc>
        <w:tc>
          <w:tcPr>
            <w:tcW w:w="703" w:type="dxa"/>
            <w:noWrap w:val="0"/>
            <w:vAlign w:val="center"/>
          </w:tcPr>
          <w:p w14:paraId="7CCC0B62">
            <w:pPr>
              <w:jc w:val="center"/>
              <w:rPr>
                <w:rFonts w:ascii="宋体"/>
                <w:b/>
                <w:bCs/>
                <w:color w:val="auto"/>
                <w:sz w:val="20"/>
                <w:szCs w:val="21"/>
                <w:highlight w:val="none"/>
              </w:rPr>
            </w:pPr>
            <w:r>
              <w:rPr>
                <w:rFonts w:hint="eastAsia" w:ascii="宋体" w:hAnsi="宋体"/>
                <w:b/>
                <w:bCs/>
                <w:color w:val="auto"/>
                <w:sz w:val="20"/>
                <w:szCs w:val="21"/>
                <w:highlight w:val="none"/>
              </w:rPr>
              <w:t>扣分</w:t>
            </w:r>
          </w:p>
        </w:tc>
        <w:tc>
          <w:tcPr>
            <w:tcW w:w="1109" w:type="dxa"/>
            <w:noWrap w:val="0"/>
            <w:vAlign w:val="center"/>
          </w:tcPr>
          <w:p w14:paraId="1A9A4933">
            <w:pPr>
              <w:widowControl/>
              <w:jc w:val="left"/>
              <w:rPr>
                <w:rFonts w:ascii="宋体"/>
                <w:b/>
                <w:bCs/>
                <w:color w:val="auto"/>
                <w:sz w:val="20"/>
                <w:szCs w:val="21"/>
                <w:highlight w:val="none"/>
              </w:rPr>
            </w:pPr>
            <w:r>
              <w:rPr>
                <w:rFonts w:hint="eastAsia" w:ascii="宋体" w:hAnsi="宋体"/>
                <w:b/>
                <w:bCs/>
                <w:color w:val="auto"/>
                <w:sz w:val="20"/>
                <w:szCs w:val="21"/>
                <w:highlight w:val="none"/>
              </w:rPr>
              <w:t>扣分原因</w:t>
            </w:r>
          </w:p>
        </w:tc>
        <w:tc>
          <w:tcPr>
            <w:tcW w:w="1418" w:type="dxa"/>
            <w:noWrap w:val="0"/>
            <w:vAlign w:val="center"/>
          </w:tcPr>
          <w:p w14:paraId="6B669EC5">
            <w:pPr>
              <w:widowControl/>
              <w:jc w:val="center"/>
              <w:rPr>
                <w:rFonts w:ascii="宋体"/>
                <w:b/>
                <w:bCs/>
                <w:color w:val="auto"/>
                <w:sz w:val="20"/>
                <w:szCs w:val="21"/>
                <w:highlight w:val="none"/>
              </w:rPr>
            </w:pPr>
            <w:r>
              <w:rPr>
                <w:rFonts w:hint="eastAsia" w:ascii="宋体" w:hAnsi="宋体"/>
                <w:b/>
                <w:bCs/>
                <w:color w:val="auto"/>
                <w:sz w:val="20"/>
                <w:szCs w:val="21"/>
                <w:highlight w:val="none"/>
              </w:rPr>
              <w:t>整改结果</w:t>
            </w:r>
          </w:p>
        </w:tc>
      </w:tr>
      <w:tr w14:paraId="6F08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43" w:type="dxa"/>
            <w:vMerge w:val="restart"/>
            <w:noWrap w:val="0"/>
            <w:vAlign w:val="center"/>
          </w:tcPr>
          <w:p w14:paraId="28CAFBC5">
            <w:pPr>
              <w:jc w:val="center"/>
              <w:rPr>
                <w:rFonts w:hint="eastAsia" w:ascii="宋体" w:hAnsi="宋体"/>
                <w:bCs/>
                <w:color w:val="auto"/>
                <w:sz w:val="20"/>
                <w:szCs w:val="21"/>
                <w:highlight w:val="none"/>
              </w:rPr>
            </w:pPr>
            <w:r>
              <w:rPr>
                <w:rFonts w:hint="eastAsia" w:ascii="宋体" w:hAnsi="宋体"/>
                <w:bCs/>
                <w:color w:val="auto"/>
                <w:sz w:val="20"/>
                <w:szCs w:val="21"/>
                <w:highlight w:val="none"/>
              </w:rPr>
              <w:t>专项工作要求管理</w:t>
            </w:r>
          </w:p>
          <w:p w14:paraId="0CE52265">
            <w:pPr>
              <w:rPr>
                <w:color w:val="auto"/>
                <w:sz w:val="24"/>
                <w:szCs w:val="20"/>
                <w:highlight w:val="none"/>
              </w:rPr>
            </w:pPr>
          </w:p>
          <w:p w14:paraId="6DEFB5A6">
            <w:pPr>
              <w:rPr>
                <w:color w:val="auto"/>
                <w:sz w:val="24"/>
                <w:szCs w:val="20"/>
                <w:highlight w:val="none"/>
              </w:rPr>
            </w:pPr>
            <w:r>
              <w:rPr>
                <w:color w:val="auto"/>
                <w:sz w:val="24"/>
                <w:szCs w:val="20"/>
                <w:highlight w:val="none"/>
              </w:rPr>
              <w:t xml:space="preserve">   </w:t>
            </w:r>
          </w:p>
        </w:tc>
        <w:tc>
          <w:tcPr>
            <w:tcW w:w="366" w:type="dxa"/>
            <w:noWrap w:val="0"/>
            <w:vAlign w:val="center"/>
          </w:tcPr>
          <w:p w14:paraId="1D798524">
            <w:pPr>
              <w:jc w:val="center"/>
              <w:rPr>
                <w:rFonts w:ascii="宋体" w:hAnsi="宋体"/>
                <w:bCs/>
                <w:color w:val="auto"/>
                <w:sz w:val="20"/>
                <w:szCs w:val="21"/>
                <w:highlight w:val="none"/>
              </w:rPr>
            </w:pPr>
            <w:r>
              <w:rPr>
                <w:rFonts w:ascii="宋体" w:hAnsi="宋体"/>
                <w:bCs/>
                <w:color w:val="auto"/>
                <w:sz w:val="20"/>
                <w:szCs w:val="21"/>
                <w:highlight w:val="none"/>
              </w:rPr>
              <w:t>1</w:t>
            </w:r>
          </w:p>
        </w:tc>
        <w:tc>
          <w:tcPr>
            <w:tcW w:w="2409" w:type="dxa"/>
            <w:noWrap w:val="0"/>
            <w:vAlign w:val="center"/>
          </w:tcPr>
          <w:p w14:paraId="04450B0F">
            <w:pPr>
              <w:jc w:val="center"/>
              <w:rPr>
                <w:rFonts w:ascii="宋体"/>
                <w:bCs/>
                <w:color w:val="auto"/>
                <w:sz w:val="20"/>
                <w:szCs w:val="21"/>
                <w:highlight w:val="none"/>
              </w:rPr>
            </w:pPr>
            <w:r>
              <w:rPr>
                <w:rFonts w:hint="eastAsia" w:ascii="宋体"/>
                <w:bCs/>
                <w:color w:val="auto"/>
                <w:sz w:val="20"/>
                <w:szCs w:val="21"/>
                <w:highlight w:val="none"/>
              </w:rPr>
              <w:t>提前提交专项工作计划、计划符合公园实际情况</w:t>
            </w:r>
          </w:p>
        </w:tc>
        <w:tc>
          <w:tcPr>
            <w:tcW w:w="2391" w:type="dxa"/>
            <w:noWrap w:val="0"/>
            <w:vAlign w:val="center"/>
          </w:tcPr>
          <w:p w14:paraId="01E4B727">
            <w:pPr>
              <w:jc w:val="center"/>
              <w:rPr>
                <w:rFonts w:ascii="宋体"/>
                <w:bCs/>
                <w:color w:val="auto"/>
                <w:sz w:val="20"/>
                <w:szCs w:val="21"/>
                <w:highlight w:val="none"/>
              </w:rPr>
            </w:pPr>
            <w:r>
              <w:rPr>
                <w:rFonts w:hint="eastAsia" w:ascii="宋体"/>
                <w:bCs/>
                <w:color w:val="auto"/>
                <w:sz w:val="20"/>
                <w:szCs w:val="21"/>
                <w:highlight w:val="none"/>
              </w:rPr>
              <w:t>不按时制</w:t>
            </w:r>
            <w:r>
              <w:rPr>
                <w:rFonts w:hint="eastAsia" w:ascii="宋体"/>
                <w:bCs/>
                <w:color w:val="auto"/>
                <w:sz w:val="20"/>
                <w:szCs w:val="21"/>
                <w:highlight w:val="none"/>
                <w:lang w:val="en-US" w:eastAsia="zh-CN"/>
              </w:rPr>
              <w:t>订</w:t>
            </w:r>
            <w:r>
              <w:rPr>
                <w:rFonts w:hint="eastAsia" w:ascii="宋体"/>
                <w:bCs/>
                <w:color w:val="auto"/>
                <w:sz w:val="20"/>
                <w:szCs w:val="21"/>
                <w:highlight w:val="none"/>
              </w:rPr>
              <w:t>计划、或不符合公园实际情况的，扣1分</w:t>
            </w:r>
          </w:p>
        </w:tc>
        <w:tc>
          <w:tcPr>
            <w:tcW w:w="703" w:type="dxa"/>
            <w:noWrap w:val="0"/>
            <w:vAlign w:val="center"/>
          </w:tcPr>
          <w:p w14:paraId="64866366">
            <w:pPr>
              <w:jc w:val="center"/>
              <w:rPr>
                <w:rFonts w:ascii="宋体"/>
                <w:bCs/>
                <w:color w:val="auto"/>
                <w:sz w:val="20"/>
                <w:szCs w:val="21"/>
                <w:highlight w:val="none"/>
              </w:rPr>
            </w:pPr>
          </w:p>
        </w:tc>
        <w:tc>
          <w:tcPr>
            <w:tcW w:w="1109" w:type="dxa"/>
            <w:noWrap w:val="0"/>
            <w:vAlign w:val="center"/>
          </w:tcPr>
          <w:p w14:paraId="66812D10">
            <w:pPr>
              <w:jc w:val="center"/>
              <w:rPr>
                <w:rFonts w:ascii="宋体"/>
                <w:bCs/>
                <w:color w:val="auto"/>
                <w:sz w:val="20"/>
                <w:szCs w:val="21"/>
                <w:highlight w:val="none"/>
              </w:rPr>
            </w:pPr>
          </w:p>
        </w:tc>
        <w:tc>
          <w:tcPr>
            <w:tcW w:w="1418" w:type="dxa"/>
            <w:noWrap w:val="0"/>
            <w:vAlign w:val="center"/>
          </w:tcPr>
          <w:p w14:paraId="15184640">
            <w:pPr>
              <w:jc w:val="center"/>
              <w:rPr>
                <w:rFonts w:ascii="宋体"/>
                <w:bCs/>
                <w:color w:val="auto"/>
                <w:sz w:val="20"/>
                <w:szCs w:val="21"/>
                <w:highlight w:val="none"/>
              </w:rPr>
            </w:pPr>
          </w:p>
        </w:tc>
      </w:tr>
      <w:tr w14:paraId="2BF7A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643" w:type="dxa"/>
            <w:vMerge w:val="continue"/>
            <w:noWrap w:val="0"/>
            <w:vAlign w:val="center"/>
          </w:tcPr>
          <w:p w14:paraId="20DF4311">
            <w:pPr>
              <w:jc w:val="center"/>
              <w:rPr>
                <w:rFonts w:ascii="宋体"/>
                <w:bCs/>
                <w:color w:val="auto"/>
                <w:sz w:val="20"/>
                <w:szCs w:val="21"/>
                <w:highlight w:val="none"/>
              </w:rPr>
            </w:pPr>
          </w:p>
        </w:tc>
        <w:tc>
          <w:tcPr>
            <w:tcW w:w="366" w:type="dxa"/>
            <w:noWrap w:val="0"/>
            <w:vAlign w:val="center"/>
          </w:tcPr>
          <w:p w14:paraId="4AEB801E">
            <w:pPr>
              <w:jc w:val="center"/>
              <w:rPr>
                <w:rFonts w:ascii="宋体" w:hAnsi="宋体"/>
                <w:bCs/>
                <w:color w:val="auto"/>
                <w:sz w:val="20"/>
                <w:szCs w:val="21"/>
                <w:highlight w:val="none"/>
              </w:rPr>
            </w:pPr>
            <w:r>
              <w:rPr>
                <w:rFonts w:ascii="宋体" w:hAnsi="宋体"/>
                <w:bCs/>
                <w:color w:val="auto"/>
                <w:sz w:val="20"/>
                <w:szCs w:val="21"/>
                <w:highlight w:val="none"/>
              </w:rPr>
              <w:t>2</w:t>
            </w:r>
          </w:p>
        </w:tc>
        <w:tc>
          <w:tcPr>
            <w:tcW w:w="2409" w:type="dxa"/>
            <w:noWrap w:val="0"/>
            <w:vAlign w:val="center"/>
          </w:tcPr>
          <w:p w14:paraId="71D0BB27">
            <w:pPr>
              <w:jc w:val="center"/>
              <w:rPr>
                <w:rFonts w:ascii="宋体"/>
                <w:bCs/>
                <w:color w:val="auto"/>
                <w:sz w:val="20"/>
                <w:szCs w:val="21"/>
                <w:highlight w:val="none"/>
              </w:rPr>
            </w:pPr>
            <w:r>
              <w:rPr>
                <w:rFonts w:hint="eastAsia" w:ascii="宋体"/>
                <w:bCs/>
                <w:color w:val="auto"/>
                <w:sz w:val="20"/>
                <w:szCs w:val="21"/>
                <w:highlight w:val="none"/>
              </w:rPr>
              <w:t>按计划落实专项工作人员和生产资料</w:t>
            </w:r>
          </w:p>
        </w:tc>
        <w:tc>
          <w:tcPr>
            <w:tcW w:w="2391" w:type="dxa"/>
            <w:noWrap w:val="0"/>
            <w:vAlign w:val="center"/>
          </w:tcPr>
          <w:p w14:paraId="0AFCAC3E">
            <w:pPr>
              <w:jc w:val="center"/>
              <w:rPr>
                <w:rFonts w:ascii="宋体"/>
                <w:bCs/>
                <w:color w:val="auto"/>
                <w:sz w:val="20"/>
                <w:szCs w:val="21"/>
                <w:highlight w:val="none"/>
              </w:rPr>
            </w:pPr>
            <w:r>
              <w:rPr>
                <w:rFonts w:hint="eastAsia" w:ascii="宋体"/>
                <w:bCs/>
                <w:color w:val="auto"/>
                <w:sz w:val="20"/>
                <w:szCs w:val="21"/>
                <w:highlight w:val="none"/>
              </w:rPr>
              <w:t>不按计划落实人员及工作所需材料，扣1分</w:t>
            </w:r>
          </w:p>
        </w:tc>
        <w:tc>
          <w:tcPr>
            <w:tcW w:w="703" w:type="dxa"/>
            <w:noWrap w:val="0"/>
            <w:vAlign w:val="center"/>
          </w:tcPr>
          <w:p w14:paraId="06D2C14D">
            <w:pPr>
              <w:jc w:val="center"/>
              <w:rPr>
                <w:rFonts w:ascii="宋体"/>
                <w:bCs/>
                <w:color w:val="auto"/>
                <w:sz w:val="20"/>
                <w:szCs w:val="21"/>
                <w:highlight w:val="none"/>
              </w:rPr>
            </w:pPr>
          </w:p>
        </w:tc>
        <w:tc>
          <w:tcPr>
            <w:tcW w:w="1109" w:type="dxa"/>
            <w:noWrap w:val="0"/>
            <w:vAlign w:val="center"/>
          </w:tcPr>
          <w:p w14:paraId="4FEA10D5">
            <w:pPr>
              <w:jc w:val="center"/>
              <w:rPr>
                <w:rFonts w:ascii="宋体"/>
                <w:bCs/>
                <w:color w:val="auto"/>
                <w:sz w:val="20"/>
                <w:szCs w:val="21"/>
                <w:highlight w:val="none"/>
              </w:rPr>
            </w:pPr>
          </w:p>
        </w:tc>
        <w:tc>
          <w:tcPr>
            <w:tcW w:w="1418" w:type="dxa"/>
            <w:noWrap w:val="0"/>
            <w:vAlign w:val="center"/>
          </w:tcPr>
          <w:p w14:paraId="7AB2AA09">
            <w:pPr>
              <w:jc w:val="center"/>
              <w:rPr>
                <w:rFonts w:ascii="宋体"/>
                <w:bCs/>
                <w:color w:val="auto"/>
                <w:sz w:val="20"/>
                <w:szCs w:val="21"/>
                <w:highlight w:val="none"/>
              </w:rPr>
            </w:pPr>
          </w:p>
        </w:tc>
      </w:tr>
      <w:tr w14:paraId="30BC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643" w:type="dxa"/>
            <w:vMerge w:val="continue"/>
            <w:noWrap w:val="0"/>
            <w:vAlign w:val="center"/>
          </w:tcPr>
          <w:p w14:paraId="71AB427C">
            <w:pPr>
              <w:jc w:val="center"/>
              <w:rPr>
                <w:rFonts w:ascii="宋体"/>
                <w:bCs/>
                <w:color w:val="auto"/>
                <w:sz w:val="20"/>
                <w:szCs w:val="21"/>
                <w:highlight w:val="none"/>
              </w:rPr>
            </w:pPr>
          </w:p>
        </w:tc>
        <w:tc>
          <w:tcPr>
            <w:tcW w:w="366" w:type="dxa"/>
            <w:noWrap w:val="0"/>
            <w:vAlign w:val="center"/>
          </w:tcPr>
          <w:p w14:paraId="325172B4">
            <w:pPr>
              <w:jc w:val="center"/>
              <w:rPr>
                <w:rFonts w:ascii="宋体" w:hAnsi="宋体"/>
                <w:bCs/>
                <w:color w:val="auto"/>
                <w:sz w:val="20"/>
                <w:szCs w:val="21"/>
                <w:highlight w:val="none"/>
              </w:rPr>
            </w:pPr>
            <w:r>
              <w:rPr>
                <w:rFonts w:ascii="宋体" w:hAnsi="宋体"/>
                <w:bCs/>
                <w:color w:val="auto"/>
                <w:sz w:val="20"/>
                <w:szCs w:val="21"/>
                <w:highlight w:val="none"/>
              </w:rPr>
              <w:t>3</w:t>
            </w:r>
          </w:p>
        </w:tc>
        <w:tc>
          <w:tcPr>
            <w:tcW w:w="2409" w:type="dxa"/>
            <w:noWrap w:val="0"/>
            <w:vAlign w:val="center"/>
          </w:tcPr>
          <w:p w14:paraId="0213DD38">
            <w:pPr>
              <w:jc w:val="center"/>
              <w:rPr>
                <w:rFonts w:ascii="宋体" w:hAnsi="宋体"/>
                <w:bCs/>
                <w:color w:val="auto"/>
                <w:sz w:val="20"/>
                <w:szCs w:val="21"/>
                <w:highlight w:val="none"/>
              </w:rPr>
            </w:pPr>
            <w:r>
              <w:rPr>
                <w:rFonts w:hint="eastAsia" w:ascii="宋体" w:hAnsi="宋体"/>
                <w:bCs/>
                <w:color w:val="auto"/>
                <w:sz w:val="20"/>
                <w:szCs w:val="21"/>
                <w:highlight w:val="none"/>
              </w:rPr>
              <w:t>按规范及技术要求开展专项工作。</w:t>
            </w:r>
          </w:p>
        </w:tc>
        <w:tc>
          <w:tcPr>
            <w:tcW w:w="2391" w:type="dxa"/>
            <w:noWrap w:val="0"/>
            <w:vAlign w:val="center"/>
          </w:tcPr>
          <w:p w14:paraId="45459466">
            <w:pPr>
              <w:jc w:val="center"/>
              <w:rPr>
                <w:rFonts w:ascii="宋体"/>
                <w:bCs/>
                <w:color w:val="auto"/>
                <w:sz w:val="20"/>
                <w:szCs w:val="21"/>
                <w:highlight w:val="none"/>
              </w:rPr>
            </w:pPr>
            <w:r>
              <w:rPr>
                <w:rFonts w:hint="eastAsia" w:ascii="宋体"/>
                <w:bCs/>
                <w:color w:val="auto"/>
                <w:sz w:val="20"/>
                <w:szCs w:val="21"/>
                <w:highlight w:val="none"/>
              </w:rPr>
              <w:t>未按操作规范、技术要求实施专项工作的，扣1分</w:t>
            </w:r>
          </w:p>
        </w:tc>
        <w:tc>
          <w:tcPr>
            <w:tcW w:w="703" w:type="dxa"/>
            <w:noWrap w:val="0"/>
            <w:vAlign w:val="center"/>
          </w:tcPr>
          <w:p w14:paraId="28B5E06B">
            <w:pPr>
              <w:jc w:val="center"/>
              <w:rPr>
                <w:rFonts w:ascii="宋体"/>
                <w:bCs/>
                <w:color w:val="auto"/>
                <w:sz w:val="20"/>
                <w:szCs w:val="21"/>
                <w:highlight w:val="none"/>
              </w:rPr>
            </w:pPr>
          </w:p>
        </w:tc>
        <w:tc>
          <w:tcPr>
            <w:tcW w:w="1109" w:type="dxa"/>
            <w:noWrap w:val="0"/>
            <w:vAlign w:val="center"/>
          </w:tcPr>
          <w:p w14:paraId="0F59FA80">
            <w:pPr>
              <w:jc w:val="center"/>
              <w:rPr>
                <w:rFonts w:ascii="宋体"/>
                <w:bCs/>
                <w:color w:val="auto"/>
                <w:sz w:val="20"/>
                <w:szCs w:val="21"/>
                <w:highlight w:val="none"/>
              </w:rPr>
            </w:pPr>
          </w:p>
        </w:tc>
        <w:tc>
          <w:tcPr>
            <w:tcW w:w="1418" w:type="dxa"/>
            <w:noWrap w:val="0"/>
            <w:vAlign w:val="center"/>
          </w:tcPr>
          <w:p w14:paraId="2F9706B1">
            <w:pPr>
              <w:jc w:val="center"/>
              <w:rPr>
                <w:rFonts w:ascii="宋体"/>
                <w:bCs/>
                <w:color w:val="auto"/>
                <w:sz w:val="20"/>
                <w:szCs w:val="21"/>
                <w:highlight w:val="none"/>
              </w:rPr>
            </w:pPr>
          </w:p>
        </w:tc>
      </w:tr>
      <w:tr w14:paraId="6A3DE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643" w:type="dxa"/>
            <w:vMerge w:val="continue"/>
            <w:noWrap w:val="0"/>
            <w:vAlign w:val="center"/>
          </w:tcPr>
          <w:p w14:paraId="2B24ABB0">
            <w:pPr>
              <w:jc w:val="center"/>
              <w:rPr>
                <w:rFonts w:ascii="宋体"/>
                <w:bCs/>
                <w:color w:val="auto"/>
                <w:sz w:val="20"/>
                <w:szCs w:val="21"/>
                <w:highlight w:val="none"/>
              </w:rPr>
            </w:pPr>
          </w:p>
        </w:tc>
        <w:tc>
          <w:tcPr>
            <w:tcW w:w="366" w:type="dxa"/>
            <w:noWrap w:val="0"/>
            <w:vAlign w:val="center"/>
          </w:tcPr>
          <w:p w14:paraId="27B2127B">
            <w:pPr>
              <w:jc w:val="center"/>
              <w:rPr>
                <w:rFonts w:ascii="宋体" w:hAnsi="宋体"/>
                <w:bCs/>
                <w:color w:val="auto"/>
                <w:sz w:val="20"/>
                <w:szCs w:val="21"/>
                <w:highlight w:val="none"/>
              </w:rPr>
            </w:pPr>
            <w:r>
              <w:rPr>
                <w:rFonts w:ascii="宋体" w:hAnsi="宋体"/>
                <w:bCs/>
                <w:color w:val="auto"/>
                <w:sz w:val="20"/>
                <w:szCs w:val="21"/>
                <w:highlight w:val="none"/>
              </w:rPr>
              <w:t>4</w:t>
            </w:r>
          </w:p>
        </w:tc>
        <w:tc>
          <w:tcPr>
            <w:tcW w:w="2409" w:type="dxa"/>
            <w:noWrap w:val="0"/>
            <w:vAlign w:val="center"/>
          </w:tcPr>
          <w:p w14:paraId="64A46F9F">
            <w:pPr>
              <w:jc w:val="center"/>
              <w:rPr>
                <w:rFonts w:ascii="宋体" w:hAnsi="宋体"/>
                <w:bCs/>
                <w:color w:val="auto"/>
                <w:sz w:val="20"/>
                <w:szCs w:val="21"/>
                <w:highlight w:val="none"/>
              </w:rPr>
            </w:pPr>
            <w:r>
              <w:rPr>
                <w:rFonts w:hint="eastAsia" w:ascii="宋体" w:hAnsi="宋体"/>
                <w:bCs/>
                <w:color w:val="auto"/>
                <w:sz w:val="20"/>
                <w:szCs w:val="21"/>
                <w:highlight w:val="none"/>
              </w:rPr>
              <w:t>完成工作后三天内需及时上报各项资料。</w:t>
            </w:r>
          </w:p>
        </w:tc>
        <w:tc>
          <w:tcPr>
            <w:tcW w:w="2391" w:type="dxa"/>
            <w:noWrap w:val="0"/>
            <w:vAlign w:val="center"/>
          </w:tcPr>
          <w:p w14:paraId="57145C4A">
            <w:pPr>
              <w:jc w:val="center"/>
              <w:rPr>
                <w:rFonts w:ascii="宋体"/>
                <w:bCs/>
                <w:color w:val="auto"/>
                <w:sz w:val="20"/>
                <w:szCs w:val="21"/>
                <w:highlight w:val="none"/>
              </w:rPr>
            </w:pPr>
            <w:r>
              <w:rPr>
                <w:rFonts w:hint="eastAsia" w:ascii="宋体"/>
                <w:bCs/>
                <w:color w:val="auto"/>
                <w:sz w:val="20"/>
                <w:szCs w:val="21"/>
                <w:highlight w:val="none"/>
              </w:rPr>
              <w:t>未按要求上报资料的，扣1分。</w:t>
            </w:r>
          </w:p>
        </w:tc>
        <w:tc>
          <w:tcPr>
            <w:tcW w:w="703" w:type="dxa"/>
            <w:noWrap w:val="0"/>
            <w:vAlign w:val="center"/>
          </w:tcPr>
          <w:p w14:paraId="09BBF2C1">
            <w:pPr>
              <w:jc w:val="center"/>
              <w:rPr>
                <w:rFonts w:ascii="宋体"/>
                <w:bCs/>
                <w:color w:val="auto"/>
                <w:sz w:val="20"/>
                <w:szCs w:val="21"/>
                <w:highlight w:val="none"/>
              </w:rPr>
            </w:pPr>
          </w:p>
        </w:tc>
        <w:tc>
          <w:tcPr>
            <w:tcW w:w="1109" w:type="dxa"/>
            <w:noWrap w:val="0"/>
            <w:vAlign w:val="center"/>
          </w:tcPr>
          <w:p w14:paraId="208B35BA">
            <w:pPr>
              <w:jc w:val="center"/>
              <w:rPr>
                <w:rFonts w:ascii="宋体"/>
                <w:bCs/>
                <w:color w:val="auto"/>
                <w:sz w:val="20"/>
                <w:szCs w:val="21"/>
                <w:highlight w:val="none"/>
              </w:rPr>
            </w:pPr>
          </w:p>
        </w:tc>
        <w:tc>
          <w:tcPr>
            <w:tcW w:w="1418" w:type="dxa"/>
            <w:noWrap w:val="0"/>
            <w:vAlign w:val="center"/>
          </w:tcPr>
          <w:p w14:paraId="10160923">
            <w:pPr>
              <w:jc w:val="center"/>
              <w:rPr>
                <w:rFonts w:ascii="宋体"/>
                <w:bCs/>
                <w:color w:val="auto"/>
                <w:sz w:val="20"/>
                <w:szCs w:val="21"/>
                <w:highlight w:val="none"/>
              </w:rPr>
            </w:pPr>
          </w:p>
        </w:tc>
      </w:tr>
      <w:tr w14:paraId="5844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1" w:hRule="atLeast"/>
          <w:jc w:val="center"/>
        </w:trPr>
        <w:tc>
          <w:tcPr>
            <w:tcW w:w="643" w:type="dxa"/>
            <w:vMerge w:val="continue"/>
            <w:noWrap w:val="0"/>
            <w:vAlign w:val="center"/>
          </w:tcPr>
          <w:p w14:paraId="43A21016">
            <w:pPr>
              <w:jc w:val="center"/>
              <w:rPr>
                <w:rFonts w:ascii="宋体"/>
                <w:bCs/>
                <w:color w:val="auto"/>
                <w:sz w:val="20"/>
                <w:szCs w:val="21"/>
                <w:highlight w:val="none"/>
              </w:rPr>
            </w:pPr>
          </w:p>
        </w:tc>
        <w:tc>
          <w:tcPr>
            <w:tcW w:w="366" w:type="dxa"/>
            <w:noWrap w:val="0"/>
            <w:vAlign w:val="center"/>
          </w:tcPr>
          <w:p w14:paraId="0EFFCCD9">
            <w:pPr>
              <w:jc w:val="center"/>
              <w:rPr>
                <w:rFonts w:ascii="宋体" w:hAnsi="宋体"/>
                <w:bCs/>
                <w:color w:val="auto"/>
                <w:sz w:val="20"/>
                <w:szCs w:val="21"/>
                <w:highlight w:val="none"/>
              </w:rPr>
            </w:pPr>
            <w:r>
              <w:rPr>
                <w:rFonts w:ascii="宋体" w:hAnsi="宋体"/>
                <w:bCs/>
                <w:color w:val="auto"/>
                <w:sz w:val="20"/>
                <w:szCs w:val="21"/>
                <w:highlight w:val="none"/>
              </w:rPr>
              <w:t>5</w:t>
            </w:r>
          </w:p>
        </w:tc>
        <w:tc>
          <w:tcPr>
            <w:tcW w:w="2409" w:type="dxa"/>
            <w:noWrap w:val="0"/>
            <w:vAlign w:val="center"/>
          </w:tcPr>
          <w:p w14:paraId="76EE27D6">
            <w:pPr>
              <w:jc w:val="center"/>
              <w:rPr>
                <w:rFonts w:ascii="宋体" w:hAnsi="宋体"/>
                <w:bCs/>
                <w:color w:val="auto"/>
                <w:sz w:val="20"/>
                <w:szCs w:val="21"/>
                <w:highlight w:val="none"/>
              </w:rPr>
            </w:pPr>
            <w:r>
              <w:rPr>
                <w:rFonts w:hint="eastAsia" w:ascii="宋体" w:hAnsi="宋体"/>
                <w:bCs/>
                <w:color w:val="auto"/>
                <w:sz w:val="20"/>
                <w:szCs w:val="21"/>
                <w:highlight w:val="none"/>
              </w:rPr>
              <w:t>现场人员未按投标文件拟投入本项目的人数、学历、专业、技术等级等要求配备。</w:t>
            </w:r>
          </w:p>
        </w:tc>
        <w:tc>
          <w:tcPr>
            <w:tcW w:w="2391" w:type="dxa"/>
            <w:noWrap w:val="0"/>
            <w:vAlign w:val="center"/>
          </w:tcPr>
          <w:p w14:paraId="5D157994">
            <w:pPr>
              <w:jc w:val="center"/>
              <w:rPr>
                <w:rFonts w:ascii="宋体"/>
                <w:bCs/>
                <w:color w:val="auto"/>
                <w:sz w:val="20"/>
                <w:szCs w:val="21"/>
                <w:highlight w:val="none"/>
              </w:rPr>
            </w:pPr>
            <w:r>
              <w:rPr>
                <w:rFonts w:hint="eastAsia" w:ascii="宋体" w:hAnsi="宋体"/>
                <w:color w:val="auto"/>
                <w:sz w:val="20"/>
                <w:szCs w:val="21"/>
                <w:highlight w:val="none"/>
              </w:rPr>
              <w:t>每少（或不符合条件）1人，扣1分。</w:t>
            </w:r>
          </w:p>
        </w:tc>
        <w:tc>
          <w:tcPr>
            <w:tcW w:w="703" w:type="dxa"/>
            <w:noWrap w:val="0"/>
            <w:vAlign w:val="center"/>
          </w:tcPr>
          <w:p w14:paraId="2CA3BF33">
            <w:pPr>
              <w:jc w:val="center"/>
              <w:rPr>
                <w:rFonts w:ascii="宋体"/>
                <w:bCs/>
                <w:color w:val="auto"/>
                <w:sz w:val="20"/>
                <w:szCs w:val="21"/>
                <w:highlight w:val="none"/>
              </w:rPr>
            </w:pPr>
          </w:p>
        </w:tc>
        <w:tc>
          <w:tcPr>
            <w:tcW w:w="1109" w:type="dxa"/>
            <w:noWrap w:val="0"/>
            <w:vAlign w:val="center"/>
          </w:tcPr>
          <w:p w14:paraId="25F08220">
            <w:pPr>
              <w:jc w:val="center"/>
              <w:rPr>
                <w:rFonts w:ascii="宋体"/>
                <w:bCs/>
                <w:color w:val="auto"/>
                <w:sz w:val="20"/>
                <w:szCs w:val="21"/>
                <w:highlight w:val="none"/>
              </w:rPr>
            </w:pPr>
          </w:p>
        </w:tc>
        <w:tc>
          <w:tcPr>
            <w:tcW w:w="1418" w:type="dxa"/>
            <w:noWrap w:val="0"/>
            <w:vAlign w:val="center"/>
          </w:tcPr>
          <w:p w14:paraId="74AC4E91">
            <w:pPr>
              <w:jc w:val="center"/>
              <w:rPr>
                <w:rFonts w:ascii="宋体"/>
                <w:bCs/>
                <w:color w:val="auto"/>
                <w:sz w:val="20"/>
                <w:szCs w:val="21"/>
                <w:highlight w:val="none"/>
              </w:rPr>
            </w:pPr>
          </w:p>
        </w:tc>
      </w:tr>
      <w:tr w14:paraId="7125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43" w:type="dxa"/>
            <w:vMerge w:val="continue"/>
            <w:noWrap w:val="0"/>
            <w:vAlign w:val="top"/>
          </w:tcPr>
          <w:p w14:paraId="607CAA1D">
            <w:pPr>
              <w:rPr>
                <w:color w:val="auto"/>
                <w:sz w:val="24"/>
                <w:szCs w:val="20"/>
                <w:highlight w:val="none"/>
              </w:rPr>
            </w:pPr>
          </w:p>
        </w:tc>
        <w:tc>
          <w:tcPr>
            <w:tcW w:w="366" w:type="dxa"/>
            <w:noWrap w:val="0"/>
            <w:vAlign w:val="top"/>
          </w:tcPr>
          <w:p w14:paraId="455D0C6F">
            <w:pPr>
              <w:jc w:val="center"/>
              <w:rPr>
                <w:rFonts w:ascii="宋体" w:hAnsi="宋体"/>
                <w:bCs/>
                <w:color w:val="auto"/>
                <w:sz w:val="20"/>
                <w:szCs w:val="21"/>
                <w:highlight w:val="none"/>
              </w:rPr>
            </w:pPr>
          </w:p>
          <w:p w14:paraId="7DE5D637">
            <w:pPr>
              <w:jc w:val="center"/>
              <w:rPr>
                <w:rFonts w:ascii="宋体" w:hAnsi="宋体"/>
                <w:bCs/>
                <w:color w:val="auto"/>
                <w:sz w:val="20"/>
                <w:szCs w:val="21"/>
                <w:highlight w:val="none"/>
              </w:rPr>
            </w:pPr>
          </w:p>
          <w:p w14:paraId="6C497CFA">
            <w:pPr>
              <w:jc w:val="center"/>
              <w:rPr>
                <w:rFonts w:ascii="宋体" w:hAnsi="宋体"/>
                <w:bCs/>
                <w:color w:val="auto"/>
                <w:sz w:val="20"/>
                <w:szCs w:val="21"/>
                <w:highlight w:val="none"/>
              </w:rPr>
            </w:pPr>
            <w:r>
              <w:rPr>
                <w:rFonts w:hint="eastAsia" w:ascii="宋体" w:hAnsi="宋体"/>
                <w:bCs/>
                <w:color w:val="auto"/>
                <w:sz w:val="20"/>
                <w:szCs w:val="21"/>
                <w:highlight w:val="none"/>
              </w:rPr>
              <w:t>6</w:t>
            </w:r>
          </w:p>
          <w:p w14:paraId="09097074">
            <w:pPr>
              <w:jc w:val="center"/>
              <w:rPr>
                <w:rFonts w:ascii="宋体" w:hAnsi="宋体"/>
                <w:bCs/>
                <w:color w:val="auto"/>
                <w:sz w:val="20"/>
                <w:szCs w:val="21"/>
                <w:highlight w:val="none"/>
              </w:rPr>
            </w:pPr>
          </w:p>
          <w:p w14:paraId="2B831177">
            <w:pPr>
              <w:jc w:val="center"/>
              <w:rPr>
                <w:rFonts w:ascii="宋体" w:hAnsi="宋体"/>
                <w:bCs/>
                <w:color w:val="auto"/>
                <w:sz w:val="20"/>
                <w:szCs w:val="21"/>
                <w:highlight w:val="none"/>
              </w:rPr>
            </w:pPr>
          </w:p>
        </w:tc>
        <w:tc>
          <w:tcPr>
            <w:tcW w:w="2409" w:type="dxa"/>
            <w:noWrap w:val="0"/>
            <w:vAlign w:val="center"/>
          </w:tcPr>
          <w:p w14:paraId="016C9C27">
            <w:pPr>
              <w:jc w:val="center"/>
              <w:rPr>
                <w:rFonts w:ascii="宋体" w:hAnsi="宋体"/>
                <w:bCs/>
                <w:color w:val="auto"/>
                <w:sz w:val="20"/>
                <w:szCs w:val="21"/>
                <w:highlight w:val="none"/>
              </w:rPr>
            </w:pPr>
            <w:r>
              <w:rPr>
                <w:rFonts w:hint="eastAsia" w:ascii="宋体" w:hAnsi="宋体"/>
                <w:bCs/>
                <w:color w:val="auto"/>
                <w:sz w:val="20"/>
                <w:szCs w:val="21"/>
                <w:highlight w:val="none"/>
              </w:rPr>
              <w:t>中标单位拖欠工资，或未能按照高温、节假日加班费等政策性津贴按规定执行。</w:t>
            </w:r>
          </w:p>
        </w:tc>
        <w:tc>
          <w:tcPr>
            <w:tcW w:w="2391" w:type="dxa"/>
            <w:noWrap w:val="0"/>
            <w:vAlign w:val="center"/>
          </w:tcPr>
          <w:p w14:paraId="01755BB0">
            <w:pPr>
              <w:jc w:val="center"/>
              <w:rPr>
                <w:color w:val="auto"/>
                <w:sz w:val="20"/>
                <w:szCs w:val="21"/>
                <w:highlight w:val="none"/>
              </w:rPr>
            </w:pPr>
            <w:r>
              <w:rPr>
                <w:rFonts w:hint="eastAsia"/>
                <w:color w:val="auto"/>
                <w:sz w:val="20"/>
                <w:szCs w:val="21"/>
                <w:highlight w:val="none"/>
              </w:rPr>
              <w:t>出现拖欠工资或未能按规定执行政策性津贴，每次扣1分。</w:t>
            </w:r>
          </w:p>
        </w:tc>
        <w:tc>
          <w:tcPr>
            <w:tcW w:w="703" w:type="dxa"/>
            <w:noWrap w:val="0"/>
            <w:vAlign w:val="top"/>
          </w:tcPr>
          <w:p w14:paraId="02FA4A6A">
            <w:pPr>
              <w:rPr>
                <w:color w:val="auto"/>
                <w:sz w:val="24"/>
                <w:szCs w:val="20"/>
                <w:highlight w:val="none"/>
              </w:rPr>
            </w:pPr>
          </w:p>
        </w:tc>
        <w:tc>
          <w:tcPr>
            <w:tcW w:w="1109" w:type="dxa"/>
            <w:noWrap w:val="0"/>
            <w:vAlign w:val="top"/>
          </w:tcPr>
          <w:p w14:paraId="3BAF1F39">
            <w:pPr>
              <w:rPr>
                <w:color w:val="auto"/>
                <w:sz w:val="24"/>
                <w:szCs w:val="20"/>
                <w:highlight w:val="none"/>
              </w:rPr>
            </w:pPr>
          </w:p>
        </w:tc>
        <w:tc>
          <w:tcPr>
            <w:tcW w:w="1418" w:type="dxa"/>
            <w:noWrap w:val="0"/>
            <w:vAlign w:val="top"/>
          </w:tcPr>
          <w:p w14:paraId="0B9182CF">
            <w:pPr>
              <w:rPr>
                <w:color w:val="auto"/>
                <w:sz w:val="24"/>
                <w:szCs w:val="20"/>
                <w:highlight w:val="none"/>
              </w:rPr>
            </w:pPr>
          </w:p>
        </w:tc>
      </w:tr>
    </w:tbl>
    <w:p w14:paraId="499B2830">
      <w:pPr>
        <w:rPr>
          <w:rFonts w:ascii="仿宋_GB2312" w:eastAsia="仿宋_GB2312"/>
          <w:b/>
          <w:bCs/>
          <w:color w:val="auto"/>
          <w:sz w:val="32"/>
          <w:szCs w:val="32"/>
          <w:highlight w:val="none"/>
        </w:rPr>
      </w:pPr>
    </w:p>
    <w:p w14:paraId="06D2D7B4">
      <w:pPr>
        <w:rPr>
          <w:rFonts w:ascii="仿宋_GB2312" w:eastAsia="仿宋_GB2312"/>
          <w:b/>
          <w:bCs/>
          <w:color w:val="auto"/>
          <w:sz w:val="32"/>
          <w:szCs w:val="32"/>
          <w:highlight w:val="none"/>
        </w:rPr>
      </w:pPr>
    </w:p>
    <w:p w14:paraId="2FC8C80E">
      <w:pPr>
        <w:rPr>
          <w:rFonts w:ascii="仿宋_GB2312" w:eastAsia="仿宋_GB2312"/>
          <w:b/>
          <w:bCs/>
          <w:color w:val="auto"/>
          <w:sz w:val="32"/>
          <w:szCs w:val="32"/>
          <w:highlight w:val="none"/>
        </w:rPr>
      </w:pPr>
    </w:p>
    <w:p w14:paraId="7C3856E5">
      <w:pPr>
        <w:pStyle w:val="29"/>
        <w:rPr>
          <w:color w:val="auto"/>
          <w:highlight w:val="none"/>
        </w:rPr>
      </w:pPr>
    </w:p>
    <w:p w14:paraId="15E4BD99">
      <w:pPr>
        <w:pStyle w:val="10"/>
        <w:rPr>
          <w:color w:val="auto"/>
          <w:highlight w:val="none"/>
        </w:rPr>
      </w:pPr>
    </w:p>
    <w:p w14:paraId="436C6448">
      <w:pPr>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附件2-2-7</w:t>
      </w:r>
    </w:p>
    <w:p w14:paraId="09E876BA">
      <w:pPr>
        <w:jc w:val="center"/>
        <w:rPr>
          <w:rFonts w:ascii="宋体"/>
          <w:b/>
          <w:bCs/>
          <w:color w:val="auto"/>
          <w:sz w:val="32"/>
          <w:szCs w:val="32"/>
          <w:highlight w:val="none"/>
        </w:rPr>
      </w:pPr>
      <w:r>
        <w:rPr>
          <w:rFonts w:hint="eastAsia" w:ascii="宋体" w:hAnsi="宋体"/>
          <w:b/>
          <w:bCs/>
          <w:color w:val="auto"/>
          <w:sz w:val="32"/>
          <w:szCs w:val="32"/>
          <w:highlight w:val="none"/>
        </w:rPr>
        <w:t>南宁市人民公园绿化养护月度考核综合评分表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2449"/>
        <w:gridCol w:w="1424"/>
        <w:gridCol w:w="1425"/>
        <w:gridCol w:w="1425"/>
        <w:gridCol w:w="1425"/>
      </w:tblGrid>
      <w:tr w14:paraId="5FB9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4F3AF106">
            <w:pPr>
              <w:jc w:val="center"/>
              <w:rPr>
                <w:rFonts w:ascii="宋体" w:hAnsi="宋体"/>
                <w:b/>
                <w:bCs/>
                <w:color w:val="auto"/>
                <w:sz w:val="20"/>
                <w:szCs w:val="21"/>
                <w:highlight w:val="none"/>
              </w:rPr>
            </w:pPr>
            <w:r>
              <w:rPr>
                <w:rFonts w:hint="eastAsia" w:ascii="宋体" w:hAnsi="宋体"/>
                <w:b/>
                <w:bCs/>
                <w:color w:val="auto"/>
                <w:sz w:val="20"/>
                <w:szCs w:val="21"/>
                <w:highlight w:val="none"/>
              </w:rPr>
              <w:t>序号</w:t>
            </w:r>
          </w:p>
        </w:tc>
        <w:tc>
          <w:tcPr>
            <w:tcW w:w="2449" w:type="dxa"/>
            <w:noWrap w:val="0"/>
            <w:vAlign w:val="center"/>
          </w:tcPr>
          <w:p w14:paraId="1FDEED9E">
            <w:pPr>
              <w:jc w:val="center"/>
              <w:rPr>
                <w:rFonts w:ascii="宋体" w:hAnsi="宋体"/>
                <w:b/>
                <w:bCs/>
                <w:color w:val="auto"/>
                <w:sz w:val="20"/>
                <w:szCs w:val="21"/>
                <w:highlight w:val="none"/>
              </w:rPr>
            </w:pPr>
            <w:r>
              <w:rPr>
                <w:rFonts w:hint="eastAsia" w:ascii="宋体" w:hAnsi="宋体"/>
                <w:b/>
                <w:bCs/>
                <w:color w:val="auto"/>
                <w:sz w:val="20"/>
                <w:szCs w:val="21"/>
                <w:highlight w:val="none"/>
              </w:rPr>
              <w:t>考核内容</w:t>
            </w:r>
          </w:p>
        </w:tc>
        <w:tc>
          <w:tcPr>
            <w:tcW w:w="1424" w:type="dxa"/>
            <w:noWrap w:val="0"/>
            <w:vAlign w:val="center"/>
          </w:tcPr>
          <w:p w14:paraId="6DB20E53">
            <w:pPr>
              <w:jc w:val="center"/>
              <w:rPr>
                <w:rFonts w:ascii="宋体" w:hAnsi="宋体"/>
                <w:b/>
                <w:bCs/>
                <w:color w:val="auto"/>
                <w:sz w:val="20"/>
                <w:szCs w:val="21"/>
                <w:highlight w:val="none"/>
              </w:rPr>
            </w:pPr>
            <w:r>
              <w:rPr>
                <w:rFonts w:hint="eastAsia" w:ascii="宋体" w:hAnsi="宋体"/>
                <w:b/>
                <w:bCs/>
                <w:color w:val="auto"/>
                <w:sz w:val="20"/>
                <w:szCs w:val="21"/>
                <w:highlight w:val="none"/>
              </w:rPr>
              <w:t>当月得（扣）分</w:t>
            </w:r>
          </w:p>
        </w:tc>
        <w:tc>
          <w:tcPr>
            <w:tcW w:w="1425" w:type="dxa"/>
            <w:noWrap w:val="0"/>
            <w:vAlign w:val="center"/>
          </w:tcPr>
          <w:p w14:paraId="14A7B781">
            <w:pPr>
              <w:jc w:val="center"/>
              <w:rPr>
                <w:rFonts w:ascii="宋体" w:hAnsi="宋体"/>
                <w:b/>
                <w:bCs/>
                <w:color w:val="auto"/>
                <w:sz w:val="20"/>
                <w:szCs w:val="21"/>
                <w:highlight w:val="none"/>
              </w:rPr>
            </w:pPr>
            <w:r>
              <w:rPr>
                <w:rFonts w:hint="eastAsia" w:ascii="宋体" w:hAnsi="宋体"/>
                <w:b/>
                <w:bCs/>
                <w:color w:val="auto"/>
                <w:sz w:val="20"/>
                <w:szCs w:val="21"/>
                <w:highlight w:val="none"/>
              </w:rPr>
              <w:t>计算比例</w:t>
            </w:r>
          </w:p>
        </w:tc>
        <w:tc>
          <w:tcPr>
            <w:tcW w:w="1425" w:type="dxa"/>
            <w:noWrap w:val="0"/>
            <w:vAlign w:val="center"/>
          </w:tcPr>
          <w:p w14:paraId="6526060F">
            <w:pPr>
              <w:jc w:val="center"/>
              <w:rPr>
                <w:rFonts w:ascii="宋体" w:hAnsi="宋体"/>
                <w:b/>
                <w:bCs/>
                <w:color w:val="auto"/>
                <w:sz w:val="20"/>
                <w:szCs w:val="21"/>
                <w:highlight w:val="none"/>
              </w:rPr>
            </w:pPr>
            <w:r>
              <w:rPr>
                <w:rFonts w:hint="eastAsia" w:ascii="宋体" w:hAnsi="宋体"/>
                <w:b/>
                <w:bCs/>
                <w:color w:val="auto"/>
                <w:sz w:val="20"/>
                <w:szCs w:val="21"/>
                <w:highlight w:val="none"/>
              </w:rPr>
              <w:t>综合得分</w:t>
            </w:r>
          </w:p>
        </w:tc>
        <w:tc>
          <w:tcPr>
            <w:tcW w:w="1425" w:type="dxa"/>
            <w:noWrap w:val="0"/>
            <w:vAlign w:val="center"/>
          </w:tcPr>
          <w:p w14:paraId="7C7AF2E0">
            <w:pPr>
              <w:jc w:val="center"/>
              <w:rPr>
                <w:rFonts w:ascii="宋体" w:hAnsi="宋体"/>
                <w:b/>
                <w:bCs/>
                <w:color w:val="auto"/>
                <w:sz w:val="20"/>
                <w:szCs w:val="21"/>
                <w:highlight w:val="none"/>
              </w:rPr>
            </w:pPr>
            <w:r>
              <w:rPr>
                <w:rFonts w:hint="eastAsia" w:ascii="宋体" w:hAnsi="宋体"/>
                <w:b/>
                <w:bCs/>
                <w:color w:val="auto"/>
                <w:sz w:val="20"/>
                <w:szCs w:val="21"/>
                <w:highlight w:val="none"/>
              </w:rPr>
              <w:t>备注</w:t>
            </w:r>
          </w:p>
        </w:tc>
      </w:tr>
      <w:tr w14:paraId="5749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22B401A2">
            <w:pPr>
              <w:jc w:val="center"/>
              <w:rPr>
                <w:rFonts w:ascii="宋体" w:hAnsi="宋体"/>
                <w:b/>
                <w:bCs/>
                <w:color w:val="auto"/>
                <w:sz w:val="20"/>
                <w:szCs w:val="21"/>
                <w:highlight w:val="none"/>
              </w:rPr>
            </w:pPr>
            <w:r>
              <w:rPr>
                <w:rFonts w:hint="eastAsia" w:ascii="宋体" w:hAnsi="宋体"/>
                <w:b/>
                <w:bCs/>
                <w:color w:val="auto"/>
                <w:sz w:val="20"/>
                <w:szCs w:val="21"/>
                <w:highlight w:val="none"/>
              </w:rPr>
              <w:t>1</w:t>
            </w:r>
          </w:p>
        </w:tc>
        <w:tc>
          <w:tcPr>
            <w:tcW w:w="2449" w:type="dxa"/>
            <w:noWrap w:val="0"/>
            <w:vAlign w:val="center"/>
          </w:tcPr>
          <w:p w14:paraId="5E5A8FAA">
            <w:pPr>
              <w:jc w:val="center"/>
              <w:rPr>
                <w:rFonts w:ascii="宋体" w:hAnsi="宋体"/>
                <w:b/>
                <w:bCs/>
                <w:color w:val="auto"/>
                <w:sz w:val="20"/>
                <w:szCs w:val="21"/>
                <w:highlight w:val="none"/>
              </w:rPr>
            </w:pPr>
            <w:r>
              <w:rPr>
                <w:rFonts w:hint="eastAsia" w:ascii="宋体" w:hAnsi="宋体"/>
                <w:b/>
                <w:bCs/>
                <w:color w:val="auto"/>
                <w:sz w:val="20"/>
                <w:szCs w:val="21"/>
                <w:highlight w:val="none"/>
              </w:rPr>
              <w:t>日常检查</w:t>
            </w:r>
          </w:p>
        </w:tc>
        <w:tc>
          <w:tcPr>
            <w:tcW w:w="1424" w:type="dxa"/>
            <w:noWrap w:val="0"/>
            <w:vAlign w:val="center"/>
          </w:tcPr>
          <w:p w14:paraId="5CE17E26">
            <w:pPr>
              <w:jc w:val="center"/>
              <w:rPr>
                <w:rFonts w:ascii="宋体" w:hAnsi="宋体"/>
                <w:b/>
                <w:bCs/>
                <w:color w:val="auto"/>
                <w:sz w:val="20"/>
                <w:szCs w:val="21"/>
                <w:highlight w:val="none"/>
              </w:rPr>
            </w:pPr>
          </w:p>
        </w:tc>
        <w:tc>
          <w:tcPr>
            <w:tcW w:w="1425" w:type="dxa"/>
            <w:noWrap w:val="0"/>
            <w:vAlign w:val="center"/>
          </w:tcPr>
          <w:p w14:paraId="4469722E">
            <w:pPr>
              <w:jc w:val="center"/>
              <w:rPr>
                <w:rFonts w:ascii="宋体" w:hAnsi="宋体"/>
                <w:b/>
                <w:bCs/>
                <w:color w:val="auto"/>
                <w:sz w:val="20"/>
                <w:szCs w:val="21"/>
                <w:highlight w:val="none"/>
              </w:rPr>
            </w:pPr>
            <w:r>
              <w:rPr>
                <w:rFonts w:hint="eastAsia" w:ascii="宋体" w:hAnsi="宋体"/>
                <w:b/>
                <w:bCs/>
                <w:color w:val="auto"/>
                <w:sz w:val="20"/>
                <w:szCs w:val="21"/>
                <w:highlight w:val="none"/>
              </w:rPr>
              <w:t>*30%</w:t>
            </w:r>
          </w:p>
        </w:tc>
        <w:tc>
          <w:tcPr>
            <w:tcW w:w="1425" w:type="dxa"/>
            <w:noWrap w:val="0"/>
            <w:vAlign w:val="center"/>
          </w:tcPr>
          <w:p w14:paraId="50A42FBB">
            <w:pPr>
              <w:jc w:val="center"/>
              <w:rPr>
                <w:rFonts w:ascii="宋体" w:hAnsi="宋体"/>
                <w:b/>
                <w:bCs/>
                <w:color w:val="auto"/>
                <w:sz w:val="20"/>
                <w:szCs w:val="21"/>
                <w:highlight w:val="none"/>
              </w:rPr>
            </w:pPr>
          </w:p>
        </w:tc>
        <w:tc>
          <w:tcPr>
            <w:tcW w:w="1425" w:type="dxa"/>
            <w:noWrap w:val="0"/>
            <w:vAlign w:val="center"/>
          </w:tcPr>
          <w:p w14:paraId="18124739">
            <w:pPr>
              <w:jc w:val="center"/>
              <w:rPr>
                <w:rFonts w:ascii="宋体" w:hAnsi="宋体"/>
                <w:b/>
                <w:bCs/>
                <w:color w:val="auto"/>
                <w:sz w:val="20"/>
                <w:szCs w:val="21"/>
                <w:highlight w:val="none"/>
              </w:rPr>
            </w:pPr>
          </w:p>
        </w:tc>
      </w:tr>
      <w:tr w14:paraId="3B8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255C6A3A">
            <w:pPr>
              <w:jc w:val="center"/>
              <w:rPr>
                <w:rFonts w:ascii="宋体" w:hAnsi="宋体"/>
                <w:b/>
                <w:bCs/>
                <w:color w:val="auto"/>
                <w:sz w:val="20"/>
                <w:szCs w:val="21"/>
                <w:highlight w:val="none"/>
              </w:rPr>
            </w:pPr>
            <w:r>
              <w:rPr>
                <w:rFonts w:hint="eastAsia" w:ascii="宋体" w:hAnsi="宋体"/>
                <w:b/>
                <w:bCs/>
                <w:color w:val="auto"/>
                <w:sz w:val="20"/>
                <w:szCs w:val="21"/>
                <w:highlight w:val="none"/>
              </w:rPr>
              <w:t>2</w:t>
            </w:r>
          </w:p>
        </w:tc>
        <w:tc>
          <w:tcPr>
            <w:tcW w:w="2449" w:type="dxa"/>
            <w:noWrap w:val="0"/>
            <w:vAlign w:val="center"/>
          </w:tcPr>
          <w:p w14:paraId="3AF41EAD">
            <w:pPr>
              <w:jc w:val="center"/>
              <w:rPr>
                <w:rFonts w:ascii="宋体" w:hAnsi="宋体"/>
                <w:b/>
                <w:bCs/>
                <w:color w:val="auto"/>
                <w:sz w:val="20"/>
                <w:szCs w:val="21"/>
                <w:highlight w:val="none"/>
              </w:rPr>
            </w:pPr>
            <w:r>
              <w:rPr>
                <w:rFonts w:hint="eastAsia" w:ascii="宋体" w:hAnsi="宋体"/>
                <w:b/>
                <w:bCs/>
                <w:color w:val="auto"/>
                <w:sz w:val="20"/>
                <w:szCs w:val="21"/>
                <w:highlight w:val="none"/>
              </w:rPr>
              <w:t>月度检查</w:t>
            </w:r>
          </w:p>
        </w:tc>
        <w:tc>
          <w:tcPr>
            <w:tcW w:w="1424" w:type="dxa"/>
            <w:noWrap w:val="0"/>
            <w:vAlign w:val="center"/>
          </w:tcPr>
          <w:p w14:paraId="1B057A6A">
            <w:pPr>
              <w:jc w:val="center"/>
              <w:rPr>
                <w:rFonts w:ascii="宋体" w:hAnsi="宋体"/>
                <w:b/>
                <w:bCs/>
                <w:color w:val="auto"/>
                <w:sz w:val="20"/>
                <w:szCs w:val="21"/>
                <w:highlight w:val="none"/>
              </w:rPr>
            </w:pPr>
          </w:p>
        </w:tc>
        <w:tc>
          <w:tcPr>
            <w:tcW w:w="1425" w:type="dxa"/>
            <w:noWrap w:val="0"/>
            <w:vAlign w:val="center"/>
          </w:tcPr>
          <w:p w14:paraId="62905ABB">
            <w:pPr>
              <w:jc w:val="center"/>
              <w:rPr>
                <w:rFonts w:ascii="宋体" w:hAnsi="宋体"/>
                <w:b/>
                <w:bCs/>
                <w:color w:val="auto"/>
                <w:sz w:val="20"/>
                <w:szCs w:val="21"/>
                <w:highlight w:val="none"/>
              </w:rPr>
            </w:pPr>
            <w:r>
              <w:rPr>
                <w:rFonts w:hint="eastAsia" w:ascii="宋体" w:hAnsi="宋体"/>
                <w:b/>
                <w:bCs/>
                <w:color w:val="auto"/>
                <w:sz w:val="20"/>
                <w:szCs w:val="21"/>
                <w:highlight w:val="none"/>
              </w:rPr>
              <w:t>*70%</w:t>
            </w:r>
          </w:p>
        </w:tc>
        <w:tc>
          <w:tcPr>
            <w:tcW w:w="1425" w:type="dxa"/>
            <w:noWrap w:val="0"/>
            <w:vAlign w:val="center"/>
          </w:tcPr>
          <w:p w14:paraId="43510046">
            <w:pPr>
              <w:jc w:val="center"/>
              <w:rPr>
                <w:rFonts w:ascii="宋体" w:hAnsi="宋体"/>
                <w:b/>
                <w:bCs/>
                <w:color w:val="auto"/>
                <w:sz w:val="20"/>
                <w:szCs w:val="21"/>
                <w:highlight w:val="none"/>
              </w:rPr>
            </w:pPr>
          </w:p>
        </w:tc>
        <w:tc>
          <w:tcPr>
            <w:tcW w:w="1425" w:type="dxa"/>
            <w:noWrap w:val="0"/>
            <w:vAlign w:val="center"/>
          </w:tcPr>
          <w:p w14:paraId="418EF1B6">
            <w:pPr>
              <w:jc w:val="center"/>
              <w:rPr>
                <w:rFonts w:ascii="宋体" w:hAnsi="宋体"/>
                <w:b/>
                <w:bCs/>
                <w:color w:val="auto"/>
                <w:sz w:val="20"/>
                <w:szCs w:val="21"/>
                <w:highlight w:val="none"/>
              </w:rPr>
            </w:pPr>
          </w:p>
        </w:tc>
      </w:tr>
      <w:tr w14:paraId="1F377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1EC53818">
            <w:pPr>
              <w:jc w:val="center"/>
              <w:rPr>
                <w:rFonts w:ascii="宋体" w:hAnsi="宋体"/>
                <w:b/>
                <w:bCs/>
                <w:color w:val="auto"/>
                <w:sz w:val="20"/>
                <w:szCs w:val="21"/>
                <w:highlight w:val="none"/>
              </w:rPr>
            </w:pPr>
            <w:r>
              <w:rPr>
                <w:rFonts w:hint="eastAsia" w:ascii="宋体" w:hAnsi="宋体"/>
                <w:b/>
                <w:bCs/>
                <w:color w:val="auto"/>
                <w:sz w:val="20"/>
                <w:szCs w:val="21"/>
                <w:highlight w:val="none"/>
              </w:rPr>
              <w:t>3</w:t>
            </w:r>
          </w:p>
        </w:tc>
        <w:tc>
          <w:tcPr>
            <w:tcW w:w="2449" w:type="dxa"/>
            <w:noWrap w:val="0"/>
            <w:vAlign w:val="center"/>
          </w:tcPr>
          <w:p w14:paraId="73060918">
            <w:pPr>
              <w:jc w:val="center"/>
              <w:rPr>
                <w:rFonts w:ascii="宋体" w:hAnsi="宋体"/>
                <w:b/>
                <w:bCs/>
                <w:color w:val="auto"/>
                <w:sz w:val="20"/>
                <w:szCs w:val="21"/>
                <w:highlight w:val="none"/>
              </w:rPr>
            </w:pPr>
            <w:r>
              <w:rPr>
                <w:rFonts w:hint="eastAsia" w:ascii="宋体" w:hAnsi="宋体"/>
                <w:b/>
                <w:bCs/>
                <w:color w:val="auto"/>
                <w:sz w:val="20"/>
                <w:szCs w:val="21"/>
                <w:highlight w:val="none"/>
              </w:rPr>
              <w:t>专项工作扣分</w:t>
            </w:r>
          </w:p>
        </w:tc>
        <w:tc>
          <w:tcPr>
            <w:tcW w:w="1424" w:type="dxa"/>
            <w:noWrap w:val="0"/>
            <w:vAlign w:val="center"/>
          </w:tcPr>
          <w:p w14:paraId="7F29DB7A">
            <w:pPr>
              <w:jc w:val="center"/>
              <w:rPr>
                <w:rFonts w:ascii="宋体" w:hAnsi="宋体"/>
                <w:b/>
                <w:bCs/>
                <w:color w:val="auto"/>
                <w:sz w:val="20"/>
                <w:szCs w:val="21"/>
                <w:highlight w:val="none"/>
              </w:rPr>
            </w:pPr>
          </w:p>
        </w:tc>
        <w:tc>
          <w:tcPr>
            <w:tcW w:w="1425" w:type="dxa"/>
            <w:noWrap w:val="0"/>
            <w:vAlign w:val="center"/>
          </w:tcPr>
          <w:p w14:paraId="4B5B7A36">
            <w:pPr>
              <w:jc w:val="center"/>
              <w:rPr>
                <w:rFonts w:ascii="宋体" w:hAnsi="宋体"/>
                <w:b/>
                <w:bCs/>
                <w:color w:val="auto"/>
                <w:sz w:val="20"/>
                <w:szCs w:val="21"/>
                <w:highlight w:val="none"/>
              </w:rPr>
            </w:pPr>
            <w:r>
              <w:rPr>
                <w:rFonts w:hint="eastAsia" w:ascii="宋体" w:hAnsi="宋体"/>
                <w:b/>
                <w:bCs/>
                <w:color w:val="auto"/>
                <w:sz w:val="20"/>
                <w:szCs w:val="21"/>
                <w:highlight w:val="none"/>
              </w:rPr>
              <w:t>*1</w:t>
            </w:r>
          </w:p>
        </w:tc>
        <w:tc>
          <w:tcPr>
            <w:tcW w:w="1425" w:type="dxa"/>
            <w:noWrap w:val="0"/>
            <w:vAlign w:val="center"/>
          </w:tcPr>
          <w:p w14:paraId="5ECEAC05">
            <w:pPr>
              <w:jc w:val="center"/>
              <w:rPr>
                <w:rFonts w:ascii="宋体" w:hAnsi="宋体"/>
                <w:b/>
                <w:bCs/>
                <w:color w:val="auto"/>
                <w:sz w:val="20"/>
                <w:szCs w:val="21"/>
                <w:highlight w:val="none"/>
              </w:rPr>
            </w:pPr>
          </w:p>
        </w:tc>
        <w:tc>
          <w:tcPr>
            <w:tcW w:w="1425" w:type="dxa"/>
            <w:noWrap w:val="0"/>
            <w:vAlign w:val="center"/>
          </w:tcPr>
          <w:p w14:paraId="58AA79B8">
            <w:pPr>
              <w:jc w:val="center"/>
              <w:rPr>
                <w:rFonts w:ascii="宋体" w:hAnsi="宋体"/>
                <w:b/>
                <w:bCs/>
                <w:color w:val="auto"/>
                <w:sz w:val="20"/>
                <w:szCs w:val="21"/>
                <w:highlight w:val="none"/>
              </w:rPr>
            </w:pPr>
          </w:p>
        </w:tc>
      </w:tr>
      <w:tr w14:paraId="6ACD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1B109292">
            <w:pPr>
              <w:jc w:val="center"/>
              <w:rPr>
                <w:rFonts w:ascii="宋体" w:hAnsi="宋体"/>
                <w:b/>
                <w:bCs/>
                <w:color w:val="auto"/>
                <w:sz w:val="20"/>
                <w:szCs w:val="21"/>
                <w:highlight w:val="none"/>
              </w:rPr>
            </w:pPr>
            <w:r>
              <w:rPr>
                <w:rFonts w:hint="eastAsia" w:ascii="宋体" w:hAnsi="宋体"/>
                <w:b/>
                <w:bCs/>
                <w:color w:val="auto"/>
                <w:sz w:val="20"/>
                <w:szCs w:val="21"/>
                <w:highlight w:val="none"/>
              </w:rPr>
              <w:t>4</w:t>
            </w:r>
          </w:p>
        </w:tc>
        <w:tc>
          <w:tcPr>
            <w:tcW w:w="2449" w:type="dxa"/>
            <w:noWrap w:val="0"/>
            <w:vAlign w:val="center"/>
          </w:tcPr>
          <w:p w14:paraId="063D85B5">
            <w:pPr>
              <w:jc w:val="center"/>
              <w:rPr>
                <w:rFonts w:ascii="宋体" w:hAnsi="宋体"/>
                <w:b/>
                <w:bCs/>
                <w:color w:val="auto"/>
                <w:sz w:val="20"/>
                <w:szCs w:val="21"/>
                <w:highlight w:val="none"/>
              </w:rPr>
            </w:pPr>
            <w:r>
              <w:rPr>
                <w:rFonts w:hint="eastAsia" w:ascii="宋体" w:hAnsi="宋体"/>
                <w:b/>
                <w:bCs/>
                <w:color w:val="auto"/>
                <w:sz w:val="20"/>
                <w:szCs w:val="21"/>
                <w:highlight w:val="none"/>
              </w:rPr>
              <w:t>逾期未整改扣分</w:t>
            </w:r>
          </w:p>
        </w:tc>
        <w:tc>
          <w:tcPr>
            <w:tcW w:w="1424" w:type="dxa"/>
            <w:noWrap w:val="0"/>
            <w:vAlign w:val="center"/>
          </w:tcPr>
          <w:p w14:paraId="149DFFB5">
            <w:pPr>
              <w:jc w:val="center"/>
              <w:rPr>
                <w:rFonts w:ascii="宋体" w:hAnsi="宋体"/>
                <w:b/>
                <w:bCs/>
                <w:color w:val="auto"/>
                <w:sz w:val="20"/>
                <w:szCs w:val="21"/>
                <w:highlight w:val="none"/>
              </w:rPr>
            </w:pPr>
          </w:p>
        </w:tc>
        <w:tc>
          <w:tcPr>
            <w:tcW w:w="1425" w:type="dxa"/>
            <w:noWrap w:val="0"/>
            <w:vAlign w:val="center"/>
          </w:tcPr>
          <w:p w14:paraId="4CD774F9">
            <w:pPr>
              <w:jc w:val="center"/>
              <w:rPr>
                <w:rFonts w:ascii="宋体" w:hAnsi="宋体"/>
                <w:b/>
                <w:bCs/>
                <w:color w:val="auto"/>
                <w:sz w:val="20"/>
                <w:szCs w:val="21"/>
                <w:highlight w:val="none"/>
              </w:rPr>
            </w:pPr>
            <w:r>
              <w:rPr>
                <w:rFonts w:hint="eastAsia" w:ascii="宋体" w:hAnsi="宋体"/>
                <w:b/>
                <w:bCs/>
                <w:color w:val="auto"/>
                <w:sz w:val="20"/>
                <w:szCs w:val="21"/>
                <w:highlight w:val="none"/>
              </w:rPr>
              <w:t>*1</w:t>
            </w:r>
          </w:p>
        </w:tc>
        <w:tc>
          <w:tcPr>
            <w:tcW w:w="1425" w:type="dxa"/>
            <w:noWrap w:val="0"/>
            <w:vAlign w:val="center"/>
          </w:tcPr>
          <w:p w14:paraId="2BB16568">
            <w:pPr>
              <w:jc w:val="center"/>
              <w:rPr>
                <w:rFonts w:ascii="宋体" w:hAnsi="宋体"/>
                <w:b/>
                <w:bCs/>
                <w:color w:val="auto"/>
                <w:sz w:val="20"/>
                <w:szCs w:val="21"/>
                <w:highlight w:val="none"/>
              </w:rPr>
            </w:pPr>
          </w:p>
        </w:tc>
        <w:tc>
          <w:tcPr>
            <w:tcW w:w="1425" w:type="dxa"/>
            <w:noWrap w:val="0"/>
            <w:vAlign w:val="center"/>
          </w:tcPr>
          <w:p w14:paraId="1ED60690">
            <w:pPr>
              <w:jc w:val="center"/>
              <w:rPr>
                <w:rFonts w:ascii="宋体" w:hAnsi="宋体"/>
                <w:b/>
                <w:bCs/>
                <w:color w:val="auto"/>
                <w:sz w:val="20"/>
                <w:szCs w:val="21"/>
                <w:highlight w:val="none"/>
              </w:rPr>
            </w:pPr>
          </w:p>
        </w:tc>
      </w:tr>
      <w:tr w14:paraId="7CB99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49748082">
            <w:pPr>
              <w:jc w:val="center"/>
              <w:rPr>
                <w:rFonts w:ascii="宋体" w:hAnsi="宋体"/>
                <w:b/>
                <w:bCs/>
                <w:color w:val="auto"/>
                <w:sz w:val="20"/>
                <w:szCs w:val="21"/>
                <w:highlight w:val="none"/>
              </w:rPr>
            </w:pPr>
            <w:r>
              <w:rPr>
                <w:rFonts w:hint="eastAsia" w:ascii="宋体" w:hAnsi="宋体"/>
                <w:b/>
                <w:bCs/>
                <w:color w:val="auto"/>
                <w:sz w:val="20"/>
                <w:szCs w:val="21"/>
                <w:highlight w:val="none"/>
              </w:rPr>
              <w:t>5</w:t>
            </w:r>
          </w:p>
        </w:tc>
        <w:tc>
          <w:tcPr>
            <w:tcW w:w="2449" w:type="dxa"/>
            <w:noWrap w:val="0"/>
            <w:vAlign w:val="center"/>
          </w:tcPr>
          <w:p w14:paraId="75335B26">
            <w:pPr>
              <w:jc w:val="center"/>
              <w:rPr>
                <w:rFonts w:ascii="宋体" w:hAnsi="宋体"/>
                <w:b/>
                <w:bCs/>
                <w:color w:val="auto"/>
                <w:sz w:val="20"/>
                <w:szCs w:val="21"/>
                <w:highlight w:val="none"/>
              </w:rPr>
            </w:pPr>
            <w:r>
              <w:rPr>
                <w:rFonts w:hint="eastAsia" w:ascii="宋体" w:hAnsi="宋体"/>
                <w:b/>
                <w:bCs/>
                <w:color w:val="auto"/>
                <w:sz w:val="20"/>
                <w:szCs w:val="21"/>
                <w:highlight w:val="none"/>
              </w:rPr>
              <w:t>违反考勤制度及公园其它管理规定扣分</w:t>
            </w:r>
          </w:p>
        </w:tc>
        <w:tc>
          <w:tcPr>
            <w:tcW w:w="1424" w:type="dxa"/>
            <w:noWrap w:val="0"/>
            <w:vAlign w:val="center"/>
          </w:tcPr>
          <w:p w14:paraId="79281D04">
            <w:pPr>
              <w:jc w:val="center"/>
              <w:rPr>
                <w:rFonts w:ascii="宋体" w:hAnsi="宋体"/>
                <w:b/>
                <w:bCs/>
                <w:color w:val="auto"/>
                <w:sz w:val="20"/>
                <w:szCs w:val="21"/>
                <w:highlight w:val="none"/>
              </w:rPr>
            </w:pPr>
          </w:p>
        </w:tc>
        <w:tc>
          <w:tcPr>
            <w:tcW w:w="1425" w:type="dxa"/>
            <w:noWrap w:val="0"/>
            <w:vAlign w:val="center"/>
          </w:tcPr>
          <w:p w14:paraId="29A98A94">
            <w:pPr>
              <w:jc w:val="center"/>
              <w:rPr>
                <w:rFonts w:ascii="宋体" w:hAnsi="宋体"/>
                <w:b/>
                <w:bCs/>
                <w:color w:val="auto"/>
                <w:sz w:val="20"/>
                <w:szCs w:val="21"/>
                <w:highlight w:val="none"/>
              </w:rPr>
            </w:pPr>
            <w:r>
              <w:rPr>
                <w:rFonts w:hint="eastAsia" w:ascii="宋体" w:hAnsi="宋体"/>
                <w:b/>
                <w:bCs/>
                <w:color w:val="auto"/>
                <w:sz w:val="20"/>
                <w:szCs w:val="21"/>
                <w:highlight w:val="none"/>
              </w:rPr>
              <w:t>*1</w:t>
            </w:r>
          </w:p>
        </w:tc>
        <w:tc>
          <w:tcPr>
            <w:tcW w:w="1425" w:type="dxa"/>
            <w:noWrap w:val="0"/>
            <w:vAlign w:val="center"/>
          </w:tcPr>
          <w:p w14:paraId="2535B364">
            <w:pPr>
              <w:jc w:val="center"/>
              <w:rPr>
                <w:rFonts w:ascii="宋体" w:hAnsi="宋体"/>
                <w:b/>
                <w:bCs/>
                <w:color w:val="auto"/>
                <w:sz w:val="20"/>
                <w:szCs w:val="21"/>
                <w:highlight w:val="none"/>
              </w:rPr>
            </w:pPr>
          </w:p>
        </w:tc>
        <w:tc>
          <w:tcPr>
            <w:tcW w:w="1425" w:type="dxa"/>
            <w:noWrap w:val="0"/>
            <w:vAlign w:val="center"/>
          </w:tcPr>
          <w:p w14:paraId="3A60D83E">
            <w:pPr>
              <w:jc w:val="center"/>
              <w:rPr>
                <w:rFonts w:ascii="宋体" w:hAnsi="宋体"/>
                <w:b/>
                <w:bCs/>
                <w:color w:val="auto"/>
                <w:sz w:val="20"/>
                <w:szCs w:val="21"/>
                <w:highlight w:val="none"/>
              </w:rPr>
            </w:pPr>
          </w:p>
        </w:tc>
      </w:tr>
      <w:tr w14:paraId="3179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703B35DB">
            <w:pPr>
              <w:jc w:val="center"/>
              <w:rPr>
                <w:rFonts w:ascii="宋体" w:hAnsi="宋体"/>
                <w:b/>
                <w:bCs/>
                <w:color w:val="auto"/>
                <w:sz w:val="20"/>
                <w:szCs w:val="21"/>
                <w:highlight w:val="none"/>
              </w:rPr>
            </w:pPr>
            <w:r>
              <w:rPr>
                <w:rFonts w:hint="eastAsia" w:ascii="宋体" w:hAnsi="宋体"/>
                <w:b/>
                <w:bCs/>
                <w:color w:val="auto"/>
                <w:sz w:val="20"/>
                <w:szCs w:val="21"/>
                <w:highlight w:val="none"/>
              </w:rPr>
              <w:t>6</w:t>
            </w:r>
          </w:p>
        </w:tc>
        <w:tc>
          <w:tcPr>
            <w:tcW w:w="2449" w:type="dxa"/>
            <w:noWrap w:val="0"/>
            <w:vAlign w:val="center"/>
          </w:tcPr>
          <w:p w14:paraId="1998A633">
            <w:pPr>
              <w:jc w:val="center"/>
              <w:rPr>
                <w:rFonts w:ascii="宋体" w:hAnsi="宋体"/>
                <w:b/>
                <w:bCs/>
                <w:color w:val="auto"/>
                <w:sz w:val="20"/>
                <w:szCs w:val="21"/>
                <w:highlight w:val="none"/>
              </w:rPr>
            </w:pPr>
            <w:r>
              <w:rPr>
                <w:rFonts w:hint="eastAsia" w:ascii="宋体" w:hAnsi="宋体"/>
                <w:b/>
                <w:bCs/>
                <w:color w:val="auto"/>
                <w:sz w:val="20"/>
                <w:szCs w:val="21"/>
                <w:highlight w:val="none"/>
              </w:rPr>
              <w:t>其它扣分</w:t>
            </w:r>
          </w:p>
        </w:tc>
        <w:tc>
          <w:tcPr>
            <w:tcW w:w="1424" w:type="dxa"/>
            <w:noWrap w:val="0"/>
            <w:vAlign w:val="center"/>
          </w:tcPr>
          <w:p w14:paraId="130AA372">
            <w:pPr>
              <w:jc w:val="center"/>
              <w:rPr>
                <w:rFonts w:ascii="宋体" w:hAnsi="宋体"/>
                <w:b/>
                <w:bCs/>
                <w:color w:val="auto"/>
                <w:sz w:val="20"/>
                <w:szCs w:val="21"/>
                <w:highlight w:val="none"/>
              </w:rPr>
            </w:pPr>
          </w:p>
        </w:tc>
        <w:tc>
          <w:tcPr>
            <w:tcW w:w="1425" w:type="dxa"/>
            <w:noWrap w:val="0"/>
            <w:vAlign w:val="center"/>
          </w:tcPr>
          <w:p w14:paraId="6A42A448">
            <w:pPr>
              <w:jc w:val="center"/>
              <w:rPr>
                <w:rFonts w:ascii="宋体" w:hAnsi="宋体"/>
                <w:b/>
                <w:bCs/>
                <w:color w:val="auto"/>
                <w:sz w:val="20"/>
                <w:szCs w:val="21"/>
                <w:highlight w:val="none"/>
              </w:rPr>
            </w:pPr>
            <w:r>
              <w:rPr>
                <w:rFonts w:hint="eastAsia" w:ascii="宋体" w:hAnsi="宋体"/>
                <w:b/>
                <w:bCs/>
                <w:color w:val="auto"/>
                <w:sz w:val="20"/>
                <w:szCs w:val="21"/>
                <w:highlight w:val="none"/>
              </w:rPr>
              <w:t>*1</w:t>
            </w:r>
          </w:p>
        </w:tc>
        <w:tc>
          <w:tcPr>
            <w:tcW w:w="1425" w:type="dxa"/>
            <w:noWrap w:val="0"/>
            <w:vAlign w:val="center"/>
          </w:tcPr>
          <w:p w14:paraId="114C661F">
            <w:pPr>
              <w:jc w:val="center"/>
              <w:rPr>
                <w:rFonts w:ascii="宋体" w:hAnsi="宋体"/>
                <w:b/>
                <w:bCs/>
                <w:color w:val="auto"/>
                <w:sz w:val="20"/>
                <w:szCs w:val="21"/>
                <w:highlight w:val="none"/>
              </w:rPr>
            </w:pPr>
          </w:p>
        </w:tc>
        <w:tc>
          <w:tcPr>
            <w:tcW w:w="1425" w:type="dxa"/>
            <w:noWrap w:val="0"/>
            <w:vAlign w:val="center"/>
          </w:tcPr>
          <w:p w14:paraId="686C2AA5">
            <w:pPr>
              <w:jc w:val="center"/>
              <w:rPr>
                <w:rFonts w:ascii="宋体" w:hAnsi="宋体"/>
                <w:b/>
                <w:bCs/>
                <w:color w:val="auto"/>
                <w:sz w:val="20"/>
                <w:szCs w:val="21"/>
                <w:highlight w:val="none"/>
              </w:rPr>
            </w:pPr>
          </w:p>
        </w:tc>
      </w:tr>
      <w:tr w14:paraId="37AF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458" w:type="dxa"/>
            <w:noWrap w:val="0"/>
            <w:vAlign w:val="center"/>
          </w:tcPr>
          <w:p w14:paraId="39EB9A33">
            <w:pPr>
              <w:jc w:val="center"/>
              <w:rPr>
                <w:rFonts w:ascii="宋体" w:hAnsi="宋体"/>
                <w:b/>
                <w:bCs/>
                <w:color w:val="auto"/>
                <w:sz w:val="20"/>
                <w:szCs w:val="21"/>
                <w:highlight w:val="none"/>
              </w:rPr>
            </w:pPr>
          </w:p>
        </w:tc>
        <w:tc>
          <w:tcPr>
            <w:tcW w:w="5298" w:type="dxa"/>
            <w:gridSpan w:val="3"/>
            <w:noWrap w:val="0"/>
            <w:vAlign w:val="center"/>
          </w:tcPr>
          <w:p w14:paraId="0506B377">
            <w:pPr>
              <w:jc w:val="center"/>
              <w:rPr>
                <w:rFonts w:ascii="宋体" w:hAnsi="宋体"/>
                <w:b/>
                <w:bCs/>
                <w:color w:val="auto"/>
                <w:sz w:val="20"/>
                <w:szCs w:val="21"/>
                <w:highlight w:val="none"/>
              </w:rPr>
            </w:pPr>
            <w:r>
              <w:rPr>
                <w:rFonts w:hint="eastAsia" w:ascii="宋体" w:hAnsi="宋体"/>
                <w:b/>
                <w:bCs/>
                <w:color w:val="auto"/>
                <w:sz w:val="20"/>
                <w:szCs w:val="21"/>
                <w:highlight w:val="none"/>
              </w:rPr>
              <w:t>当月考核综合评分合计（1+2-3-4-5-6）</w:t>
            </w:r>
          </w:p>
        </w:tc>
        <w:tc>
          <w:tcPr>
            <w:tcW w:w="1425" w:type="dxa"/>
            <w:noWrap w:val="0"/>
            <w:vAlign w:val="center"/>
          </w:tcPr>
          <w:p w14:paraId="07A9222E">
            <w:pPr>
              <w:jc w:val="center"/>
              <w:rPr>
                <w:rFonts w:ascii="宋体" w:hAnsi="宋体"/>
                <w:b/>
                <w:bCs/>
                <w:color w:val="auto"/>
                <w:sz w:val="20"/>
                <w:szCs w:val="21"/>
                <w:highlight w:val="none"/>
              </w:rPr>
            </w:pPr>
          </w:p>
        </w:tc>
        <w:tc>
          <w:tcPr>
            <w:tcW w:w="1425" w:type="dxa"/>
            <w:noWrap w:val="0"/>
            <w:vAlign w:val="center"/>
          </w:tcPr>
          <w:p w14:paraId="76A65120">
            <w:pPr>
              <w:jc w:val="center"/>
              <w:rPr>
                <w:rFonts w:ascii="宋体" w:hAnsi="宋体"/>
                <w:b/>
                <w:bCs/>
                <w:color w:val="auto"/>
                <w:sz w:val="20"/>
                <w:szCs w:val="21"/>
                <w:highlight w:val="none"/>
              </w:rPr>
            </w:pPr>
          </w:p>
        </w:tc>
      </w:tr>
    </w:tbl>
    <w:p w14:paraId="631B786E">
      <w:pPr>
        <w:widowControl/>
        <w:jc w:val="left"/>
        <w:rPr>
          <w:rFonts w:ascii="仿宋_GB2312" w:eastAsia="仿宋_GB2312"/>
          <w:b/>
          <w:bCs/>
          <w:color w:val="auto"/>
          <w:kern w:val="0"/>
          <w:sz w:val="32"/>
          <w:szCs w:val="32"/>
          <w:highlight w:val="none"/>
        </w:rPr>
        <w:sectPr>
          <w:pgSz w:w="11911" w:h="16838"/>
          <w:pgMar w:top="1417" w:right="1417" w:bottom="1417" w:left="1417" w:header="720" w:footer="720" w:gutter="0"/>
          <w:cols w:space="720" w:num="1"/>
          <w:rtlGutter w:val="0"/>
          <w:docGrid w:linePitch="312" w:charSpace="0"/>
        </w:sectPr>
      </w:pPr>
    </w:p>
    <w:p w14:paraId="2C092494">
      <w:pPr>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附件2-2-8</w:t>
      </w:r>
    </w:p>
    <w:p w14:paraId="2BA8C41A">
      <w:pPr>
        <w:widowControl/>
        <w:jc w:val="center"/>
        <w:rPr>
          <w:rFonts w:ascii="宋体" w:hAnsi="宋体"/>
          <w:b/>
          <w:bCs/>
          <w:color w:val="auto"/>
          <w:sz w:val="32"/>
          <w:szCs w:val="32"/>
          <w:highlight w:val="none"/>
        </w:rPr>
      </w:pPr>
      <w:r>
        <w:rPr>
          <w:rFonts w:hint="eastAsia" w:ascii="宋体" w:hAnsi="宋体"/>
          <w:b/>
          <w:bCs/>
          <w:color w:val="auto"/>
          <w:sz w:val="32"/>
          <w:szCs w:val="32"/>
          <w:highlight w:val="none"/>
        </w:rPr>
        <w:t>南宁市人民公园绿化养护月度结算表</w:t>
      </w:r>
    </w:p>
    <w:p w14:paraId="6F7870D2">
      <w:pPr>
        <w:widowControl/>
        <w:jc w:val="center"/>
        <w:rPr>
          <w:rFonts w:ascii="宋体" w:hAnsi="宋体"/>
          <w:color w:val="auto"/>
          <w:kern w:val="0"/>
          <w:sz w:val="32"/>
          <w:szCs w:val="32"/>
          <w:highlight w:val="none"/>
        </w:rPr>
      </w:pPr>
      <w:r>
        <w:rPr>
          <w:rFonts w:hint="eastAsia" w:ascii="宋体" w:hAnsi="宋体"/>
          <w:color w:val="auto"/>
          <w:kern w:val="0"/>
          <w:sz w:val="32"/>
          <w:szCs w:val="32"/>
          <w:highlight w:val="none"/>
        </w:rPr>
        <w:t>（    年   月）</w:t>
      </w:r>
    </w:p>
    <w:p w14:paraId="0448EEA2">
      <w:pPr>
        <w:widowControl/>
        <w:ind w:firstLine="600" w:firstLineChars="200"/>
        <w:jc w:val="left"/>
        <w:rPr>
          <w:color w:val="auto"/>
          <w:kern w:val="0"/>
          <w:sz w:val="30"/>
          <w:szCs w:val="30"/>
          <w:highlight w:val="none"/>
        </w:rPr>
      </w:pPr>
      <w:r>
        <w:rPr>
          <w:rFonts w:hint="eastAsia"/>
          <w:color w:val="auto"/>
          <w:kern w:val="0"/>
          <w:sz w:val="30"/>
          <w:szCs w:val="30"/>
          <w:highlight w:val="none"/>
        </w:rPr>
        <w:t>当月考核等级：合格或优秀</w:t>
      </w:r>
    </w:p>
    <w:p w14:paraId="40E55EA3">
      <w:pPr>
        <w:widowControl/>
        <w:jc w:val="left"/>
        <w:rPr>
          <w:color w:val="auto"/>
          <w:kern w:val="0"/>
          <w:highlight w:val="none"/>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2458"/>
        <w:gridCol w:w="2527"/>
        <w:gridCol w:w="2977"/>
      </w:tblGrid>
      <w:tr w14:paraId="71FF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510" w:type="dxa"/>
            <w:noWrap w:val="0"/>
            <w:vAlign w:val="center"/>
          </w:tcPr>
          <w:p w14:paraId="11DEC3F0">
            <w:pPr>
              <w:widowControl/>
              <w:jc w:val="center"/>
              <w:rPr>
                <w:color w:val="auto"/>
                <w:kern w:val="0"/>
                <w:sz w:val="20"/>
                <w:szCs w:val="20"/>
                <w:highlight w:val="none"/>
              </w:rPr>
            </w:pPr>
            <w:r>
              <w:rPr>
                <w:rFonts w:hint="eastAsia"/>
                <w:color w:val="auto"/>
                <w:kern w:val="0"/>
                <w:sz w:val="20"/>
                <w:szCs w:val="20"/>
                <w:highlight w:val="none"/>
              </w:rPr>
              <w:t>序号</w:t>
            </w:r>
          </w:p>
        </w:tc>
        <w:tc>
          <w:tcPr>
            <w:tcW w:w="2458" w:type="dxa"/>
            <w:noWrap w:val="0"/>
            <w:vAlign w:val="center"/>
          </w:tcPr>
          <w:p w14:paraId="373DF99B">
            <w:pPr>
              <w:widowControl/>
              <w:jc w:val="center"/>
              <w:rPr>
                <w:color w:val="auto"/>
                <w:kern w:val="0"/>
                <w:sz w:val="20"/>
                <w:szCs w:val="20"/>
                <w:highlight w:val="none"/>
              </w:rPr>
            </w:pPr>
            <w:r>
              <w:rPr>
                <w:rFonts w:hint="eastAsia"/>
                <w:color w:val="auto"/>
                <w:kern w:val="0"/>
                <w:sz w:val="20"/>
                <w:szCs w:val="20"/>
                <w:highlight w:val="none"/>
              </w:rPr>
              <w:t>项目</w:t>
            </w:r>
          </w:p>
        </w:tc>
        <w:tc>
          <w:tcPr>
            <w:tcW w:w="2527" w:type="dxa"/>
            <w:noWrap w:val="0"/>
            <w:vAlign w:val="center"/>
          </w:tcPr>
          <w:p w14:paraId="21175E81">
            <w:pPr>
              <w:widowControl/>
              <w:jc w:val="center"/>
              <w:rPr>
                <w:color w:val="auto"/>
                <w:kern w:val="0"/>
                <w:sz w:val="20"/>
                <w:szCs w:val="20"/>
                <w:highlight w:val="none"/>
              </w:rPr>
            </w:pPr>
            <w:r>
              <w:rPr>
                <w:rFonts w:hint="eastAsia"/>
                <w:color w:val="auto"/>
                <w:kern w:val="0"/>
                <w:sz w:val="20"/>
                <w:szCs w:val="20"/>
                <w:highlight w:val="none"/>
              </w:rPr>
              <w:t>金额（元）</w:t>
            </w:r>
          </w:p>
        </w:tc>
        <w:tc>
          <w:tcPr>
            <w:tcW w:w="2977" w:type="dxa"/>
            <w:noWrap w:val="0"/>
            <w:vAlign w:val="center"/>
          </w:tcPr>
          <w:p w14:paraId="67032DB2">
            <w:pPr>
              <w:widowControl/>
              <w:jc w:val="center"/>
              <w:rPr>
                <w:color w:val="auto"/>
                <w:kern w:val="0"/>
                <w:sz w:val="20"/>
                <w:szCs w:val="20"/>
                <w:highlight w:val="none"/>
              </w:rPr>
            </w:pPr>
            <w:r>
              <w:rPr>
                <w:rFonts w:hint="eastAsia"/>
                <w:color w:val="auto"/>
                <w:kern w:val="0"/>
                <w:sz w:val="20"/>
                <w:szCs w:val="20"/>
                <w:highlight w:val="none"/>
              </w:rPr>
              <w:t>备  注</w:t>
            </w:r>
          </w:p>
        </w:tc>
      </w:tr>
      <w:tr w14:paraId="61CD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0" w:type="dxa"/>
            <w:noWrap w:val="0"/>
            <w:vAlign w:val="center"/>
          </w:tcPr>
          <w:p w14:paraId="5BDB5ADD">
            <w:pPr>
              <w:widowControl/>
              <w:jc w:val="center"/>
              <w:rPr>
                <w:color w:val="auto"/>
                <w:kern w:val="0"/>
                <w:sz w:val="20"/>
                <w:szCs w:val="20"/>
                <w:highlight w:val="none"/>
              </w:rPr>
            </w:pPr>
            <w:r>
              <w:rPr>
                <w:rFonts w:hint="eastAsia"/>
                <w:color w:val="auto"/>
                <w:kern w:val="0"/>
                <w:sz w:val="20"/>
                <w:szCs w:val="20"/>
                <w:highlight w:val="none"/>
              </w:rPr>
              <w:t>1</w:t>
            </w:r>
          </w:p>
        </w:tc>
        <w:tc>
          <w:tcPr>
            <w:tcW w:w="2458" w:type="dxa"/>
            <w:noWrap w:val="0"/>
            <w:vAlign w:val="center"/>
          </w:tcPr>
          <w:p w14:paraId="611B6B71">
            <w:pPr>
              <w:widowControl/>
              <w:jc w:val="center"/>
              <w:rPr>
                <w:color w:val="auto"/>
                <w:kern w:val="0"/>
                <w:sz w:val="20"/>
                <w:szCs w:val="20"/>
                <w:highlight w:val="none"/>
              </w:rPr>
            </w:pPr>
            <w:r>
              <w:rPr>
                <w:rFonts w:hint="eastAsia" w:ascii="宋体" w:hAnsi="宋体"/>
                <w:color w:val="auto"/>
                <w:sz w:val="20"/>
                <w:szCs w:val="20"/>
                <w:highlight w:val="none"/>
              </w:rPr>
              <w:t>月度考核综合评分</w:t>
            </w:r>
            <w:r>
              <w:rPr>
                <w:rFonts w:hint="eastAsia"/>
                <w:color w:val="auto"/>
                <w:kern w:val="0"/>
                <w:sz w:val="20"/>
                <w:szCs w:val="20"/>
                <w:highlight w:val="none"/>
              </w:rPr>
              <w:t>得款</w:t>
            </w:r>
          </w:p>
        </w:tc>
        <w:tc>
          <w:tcPr>
            <w:tcW w:w="2527" w:type="dxa"/>
            <w:noWrap w:val="0"/>
            <w:vAlign w:val="center"/>
          </w:tcPr>
          <w:p w14:paraId="5D5E94C3">
            <w:pPr>
              <w:widowControl/>
              <w:jc w:val="center"/>
              <w:rPr>
                <w:color w:val="auto"/>
                <w:kern w:val="0"/>
                <w:sz w:val="20"/>
                <w:szCs w:val="20"/>
                <w:highlight w:val="none"/>
              </w:rPr>
            </w:pPr>
          </w:p>
        </w:tc>
        <w:tc>
          <w:tcPr>
            <w:tcW w:w="2977" w:type="dxa"/>
            <w:noWrap w:val="0"/>
            <w:vAlign w:val="center"/>
          </w:tcPr>
          <w:p w14:paraId="00760B3E">
            <w:pPr>
              <w:widowControl/>
              <w:jc w:val="center"/>
              <w:rPr>
                <w:rFonts w:hint="eastAsia" w:eastAsia="宋体"/>
                <w:color w:val="auto"/>
                <w:kern w:val="0"/>
                <w:sz w:val="20"/>
                <w:szCs w:val="20"/>
                <w:highlight w:val="none"/>
                <w:lang w:eastAsia="zh-CN"/>
              </w:rPr>
            </w:pPr>
            <w:r>
              <w:rPr>
                <w:rFonts w:hint="default"/>
                <w:color w:val="auto"/>
                <w:kern w:val="0"/>
                <w:sz w:val="20"/>
                <w:szCs w:val="20"/>
                <w:highlight w:val="none"/>
                <w:lang w:val="en-US"/>
              </w:rPr>
              <w:t>全年</w:t>
            </w:r>
            <w:r>
              <w:rPr>
                <w:rFonts w:hint="eastAsia"/>
                <w:color w:val="auto"/>
                <w:kern w:val="0"/>
                <w:sz w:val="20"/>
                <w:szCs w:val="20"/>
                <w:highlight w:val="none"/>
              </w:rPr>
              <w:t>养护经费/</w:t>
            </w:r>
            <w:r>
              <w:rPr>
                <w:rFonts w:hint="default"/>
                <w:color w:val="auto"/>
                <w:kern w:val="0"/>
                <w:sz w:val="20"/>
                <w:szCs w:val="20"/>
                <w:highlight w:val="none"/>
                <w:lang w:val="en-US"/>
              </w:rPr>
              <w:t>12</w:t>
            </w:r>
          </w:p>
        </w:tc>
      </w:tr>
      <w:tr w14:paraId="4D28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10" w:type="dxa"/>
            <w:vMerge w:val="restart"/>
            <w:noWrap w:val="0"/>
            <w:vAlign w:val="center"/>
          </w:tcPr>
          <w:p w14:paraId="6A4B2F96">
            <w:pPr>
              <w:widowControl/>
              <w:jc w:val="center"/>
              <w:rPr>
                <w:color w:val="auto"/>
                <w:kern w:val="0"/>
                <w:sz w:val="20"/>
                <w:szCs w:val="20"/>
                <w:highlight w:val="none"/>
              </w:rPr>
            </w:pPr>
            <w:r>
              <w:rPr>
                <w:rFonts w:hint="eastAsia"/>
                <w:color w:val="auto"/>
                <w:kern w:val="0"/>
                <w:sz w:val="20"/>
                <w:szCs w:val="20"/>
                <w:highlight w:val="none"/>
              </w:rPr>
              <w:t>2</w:t>
            </w:r>
          </w:p>
        </w:tc>
        <w:tc>
          <w:tcPr>
            <w:tcW w:w="2458" w:type="dxa"/>
            <w:vMerge w:val="restart"/>
            <w:noWrap w:val="0"/>
            <w:vAlign w:val="center"/>
          </w:tcPr>
          <w:p w14:paraId="057972AE">
            <w:pPr>
              <w:widowControl/>
              <w:jc w:val="center"/>
              <w:rPr>
                <w:color w:val="auto"/>
                <w:kern w:val="0"/>
                <w:sz w:val="20"/>
                <w:szCs w:val="20"/>
                <w:highlight w:val="none"/>
              </w:rPr>
            </w:pPr>
            <w:r>
              <w:rPr>
                <w:rFonts w:hint="eastAsia"/>
                <w:color w:val="auto"/>
                <w:kern w:val="0"/>
                <w:sz w:val="20"/>
                <w:szCs w:val="20"/>
                <w:highlight w:val="none"/>
              </w:rPr>
              <w:t>当月扣款</w:t>
            </w:r>
          </w:p>
        </w:tc>
        <w:tc>
          <w:tcPr>
            <w:tcW w:w="2527" w:type="dxa"/>
            <w:noWrap w:val="0"/>
            <w:vAlign w:val="center"/>
          </w:tcPr>
          <w:p w14:paraId="76B7C83B">
            <w:pPr>
              <w:widowControl/>
              <w:jc w:val="center"/>
              <w:rPr>
                <w:color w:val="auto"/>
                <w:kern w:val="0"/>
                <w:sz w:val="20"/>
                <w:szCs w:val="20"/>
                <w:highlight w:val="none"/>
              </w:rPr>
            </w:pPr>
          </w:p>
        </w:tc>
        <w:tc>
          <w:tcPr>
            <w:tcW w:w="2977" w:type="dxa"/>
            <w:noWrap w:val="0"/>
            <w:vAlign w:val="center"/>
          </w:tcPr>
          <w:p w14:paraId="23D2FD1E">
            <w:pPr>
              <w:widowControl/>
              <w:jc w:val="center"/>
              <w:rPr>
                <w:color w:val="auto"/>
                <w:kern w:val="0"/>
                <w:sz w:val="20"/>
                <w:szCs w:val="20"/>
                <w:highlight w:val="none"/>
              </w:rPr>
            </w:pPr>
          </w:p>
        </w:tc>
      </w:tr>
      <w:tr w14:paraId="0B5D0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10" w:type="dxa"/>
            <w:vMerge w:val="continue"/>
            <w:noWrap w:val="0"/>
            <w:vAlign w:val="center"/>
          </w:tcPr>
          <w:p w14:paraId="5DD24E69">
            <w:pPr>
              <w:widowControl/>
              <w:jc w:val="center"/>
              <w:rPr>
                <w:color w:val="auto"/>
                <w:kern w:val="0"/>
                <w:sz w:val="20"/>
                <w:szCs w:val="20"/>
                <w:highlight w:val="none"/>
              </w:rPr>
            </w:pPr>
          </w:p>
        </w:tc>
        <w:tc>
          <w:tcPr>
            <w:tcW w:w="2458" w:type="dxa"/>
            <w:vMerge w:val="continue"/>
            <w:noWrap w:val="0"/>
            <w:vAlign w:val="center"/>
          </w:tcPr>
          <w:p w14:paraId="42BC3472">
            <w:pPr>
              <w:widowControl/>
              <w:jc w:val="center"/>
              <w:rPr>
                <w:color w:val="auto"/>
                <w:kern w:val="0"/>
                <w:sz w:val="20"/>
                <w:szCs w:val="20"/>
                <w:highlight w:val="none"/>
              </w:rPr>
            </w:pPr>
          </w:p>
        </w:tc>
        <w:tc>
          <w:tcPr>
            <w:tcW w:w="2527" w:type="dxa"/>
            <w:noWrap w:val="0"/>
            <w:vAlign w:val="center"/>
          </w:tcPr>
          <w:p w14:paraId="589B93BF">
            <w:pPr>
              <w:widowControl/>
              <w:jc w:val="center"/>
              <w:rPr>
                <w:color w:val="auto"/>
                <w:kern w:val="0"/>
                <w:sz w:val="20"/>
                <w:szCs w:val="20"/>
                <w:highlight w:val="none"/>
              </w:rPr>
            </w:pPr>
          </w:p>
        </w:tc>
        <w:tc>
          <w:tcPr>
            <w:tcW w:w="2977" w:type="dxa"/>
            <w:noWrap w:val="0"/>
            <w:vAlign w:val="center"/>
          </w:tcPr>
          <w:p w14:paraId="2269AD08">
            <w:pPr>
              <w:widowControl/>
              <w:jc w:val="center"/>
              <w:rPr>
                <w:color w:val="auto"/>
                <w:kern w:val="0"/>
                <w:sz w:val="20"/>
                <w:szCs w:val="20"/>
                <w:highlight w:val="none"/>
              </w:rPr>
            </w:pPr>
          </w:p>
        </w:tc>
      </w:tr>
      <w:tr w14:paraId="21AD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10" w:type="dxa"/>
            <w:vMerge w:val="continue"/>
            <w:noWrap w:val="0"/>
            <w:vAlign w:val="center"/>
          </w:tcPr>
          <w:p w14:paraId="4ECCA5FC">
            <w:pPr>
              <w:widowControl/>
              <w:jc w:val="center"/>
              <w:rPr>
                <w:color w:val="auto"/>
                <w:kern w:val="0"/>
                <w:sz w:val="20"/>
                <w:szCs w:val="20"/>
                <w:highlight w:val="none"/>
              </w:rPr>
            </w:pPr>
          </w:p>
        </w:tc>
        <w:tc>
          <w:tcPr>
            <w:tcW w:w="2458" w:type="dxa"/>
            <w:vMerge w:val="continue"/>
            <w:noWrap w:val="0"/>
            <w:vAlign w:val="center"/>
          </w:tcPr>
          <w:p w14:paraId="40E1DE8E">
            <w:pPr>
              <w:widowControl/>
              <w:jc w:val="center"/>
              <w:rPr>
                <w:color w:val="auto"/>
                <w:kern w:val="0"/>
                <w:sz w:val="20"/>
                <w:szCs w:val="20"/>
                <w:highlight w:val="none"/>
              </w:rPr>
            </w:pPr>
          </w:p>
        </w:tc>
        <w:tc>
          <w:tcPr>
            <w:tcW w:w="2527" w:type="dxa"/>
            <w:noWrap w:val="0"/>
            <w:vAlign w:val="center"/>
          </w:tcPr>
          <w:p w14:paraId="5C4174E2">
            <w:pPr>
              <w:widowControl/>
              <w:jc w:val="center"/>
              <w:rPr>
                <w:color w:val="auto"/>
                <w:kern w:val="0"/>
                <w:sz w:val="20"/>
                <w:szCs w:val="20"/>
                <w:highlight w:val="none"/>
              </w:rPr>
            </w:pPr>
          </w:p>
        </w:tc>
        <w:tc>
          <w:tcPr>
            <w:tcW w:w="2977" w:type="dxa"/>
            <w:noWrap w:val="0"/>
            <w:vAlign w:val="center"/>
          </w:tcPr>
          <w:p w14:paraId="44D88356">
            <w:pPr>
              <w:widowControl/>
              <w:jc w:val="center"/>
              <w:rPr>
                <w:color w:val="auto"/>
                <w:kern w:val="0"/>
                <w:sz w:val="20"/>
                <w:szCs w:val="20"/>
                <w:highlight w:val="none"/>
              </w:rPr>
            </w:pPr>
          </w:p>
        </w:tc>
      </w:tr>
      <w:tr w14:paraId="5934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10" w:type="dxa"/>
            <w:vMerge w:val="continue"/>
            <w:noWrap w:val="0"/>
            <w:vAlign w:val="center"/>
          </w:tcPr>
          <w:p w14:paraId="4AD719E9">
            <w:pPr>
              <w:widowControl/>
              <w:jc w:val="center"/>
              <w:rPr>
                <w:color w:val="auto"/>
                <w:kern w:val="0"/>
                <w:sz w:val="20"/>
                <w:szCs w:val="20"/>
                <w:highlight w:val="none"/>
              </w:rPr>
            </w:pPr>
          </w:p>
        </w:tc>
        <w:tc>
          <w:tcPr>
            <w:tcW w:w="2458" w:type="dxa"/>
            <w:vMerge w:val="continue"/>
            <w:noWrap w:val="0"/>
            <w:vAlign w:val="center"/>
          </w:tcPr>
          <w:p w14:paraId="5756DB40">
            <w:pPr>
              <w:widowControl/>
              <w:jc w:val="center"/>
              <w:rPr>
                <w:color w:val="auto"/>
                <w:kern w:val="0"/>
                <w:sz w:val="20"/>
                <w:szCs w:val="20"/>
                <w:highlight w:val="none"/>
              </w:rPr>
            </w:pPr>
          </w:p>
        </w:tc>
        <w:tc>
          <w:tcPr>
            <w:tcW w:w="2527" w:type="dxa"/>
            <w:noWrap w:val="0"/>
            <w:vAlign w:val="center"/>
          </w:tcPr>
          <w:p w14:paraId="3E123528">
            <w:pPr>
              <w:widowControl/>
              <w:jc w:val="center"/>
              <w:rPr>
                <w:color w:val="auto"/>
                <w:kern w:val="0"/>
                <w:sz w:val="20"/>
                <w:szCs w:val="20"/>
                <w:highlight w:val="none"/>
              </w:rPr>
            </w:pPr>
          </w:p>
        </w:tc>
        <w:tc>
          <w:tcPr>
            <w:tcW w:w="2977" w:type="dxa"/>
            <w:noWrap w:val="0"/>
            <w:vAlign w:val="center"/>
          </w:tcPr>
          <w:p w14:paraId="6826E10E">
            <w:pPr>
              <w:widowControl/>
              <w:jc w:val="center"/>
              <w:rPr>
                <w:color w:val="auto"/>
                <w:kern w:val="0"/>
                <w:sz w:val="20"/>
                <w:szCs w:val="20"/>
                <w:highlight w:val="none"/>
              </w:rPr>
            </w:pPr>
          </w:p>
        </w:tc>
      </w:tr>
      <w:tr w14:paraId="7E06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10" w:type="dxa"/>
            <w:noWrap w:val="0"/>
            <w:vAlign w:val="center"/>
          </w:tcPr>
          <w:p w14:paraId="7333FF87">
            <w:pPr>
              <w:widowControl/>
              <w:jc w:val="center"/>
              <w:rPr>
                <w:color w:val="auto"/>
                <w:kern w:val="0"/>
                <w:sz w:val="20"/>
                <w:szCs w:val="20"/>
                <w:highlight w:val="none"/>
              </w:rPr>
            </w:pPr>
            <w:r>
              <w:rPr>
                <w:rFonts w:hint="eastAsia"/>
                <w:color w:val="auto"/>
                <w:kern w:val="0"/>
                <w:sz w:val="20"/>
                <w:szCs w:val="20"/>
                <w:highlight w:val="none"/>
              </w:rPr>
              <w:t>3</w:t>
            </w:r>
          </w:p>
        </w:tc>
        <w:tc>
          <w:tcPr>
            <w:tcW w:w="2458" w:type="dxa"/>
            <w:noWrap w:val="0"/>
            <w:vAlign w:val="center"/>
          </w:tcPr>
          <w:p w14:paraId="79EB534D">
            <w:pPr>
              <w:widowControl/>
              <w:jc w:val="center"/>
              <w:rPr>
                <w:color w:val="auto"/>
                <w:kern w:val="0"/>
                <w:sz w:val="20"/>
                <w:szCs w:val="20"/>
                <w:highlight w:val="none"/>
              </w:rPr>
            </w:pPr>
            <w:r>
              <w:rPr>
                <w:rFonts w:hint="eastAsia"/>
                <w:color w:val="auto"/>
                <w:kern w:val="0"/>
                <w:sz w:val="20"/>
                <w:szCs w:val="20"/>
                <w:highlight w:val="none"/>
              </w:rPr>
              <w:t>当月养护经费</w:t>
            </w:r>
          </w:p>
        </w:tc>
        <w:tc>
          <w:tcPr>
            <w:tcW w:w="2527" w:type="dxa"/>
            <w:noWrap w:val="0"/>
            <w:vAlign w:val="center"/>
          </w:tcPr>
          <w:p w14:paraId="7A2D3531">
            <w:pPr>
              <w:widowControl/>
              <w:jc w:val="center"/>
              <w:rPr>
                <w:color w:val="auto"/>
                <w:kern w:val="0"/>
                <w:sz w:val="20"/>
                <w:szCs w:val="20"/>
                <w:highlight w:val="none"/>
              </w:rPr>
            </w:pPr>
          </w:p>
        </w:tc>
        <w:tc>
          <w:tcPr>
            <w:tcW w:w="2977" w:type="dxa"/>
            <w:noWrap w:val="0"/>
            <w:vAlign w:val="center"/>
          </w:tcPr>
          <w:p w14:paraId="31F9AA01">
            <w:pPr>
              <w:widowControl/>
              <w:jc w:val="center"/>
              <w:rPr>
                <w:color w:val="auto"/>
                <w:kern w:val="0"/>
                <w:sz w:val="20"/>
                <w:szCs w:val="20"/>
                <w:highlight w:val="none"/>
              </w:rPr>
            </w:pPr>
            <w:r>
              <w:rPr>
                <w:rFonts w:hint="eastAsia" w:ascii="宋体" w:hAnsi="宋体"/>
                <w:color w:val="auto"/>
                <w:sz w:val="20"/>
                <w:szCs w:val="20"/>
                <w:highlight w:val="none"/>
              </w:rPr>
              <w:t>月度考核综合评分</w:t>
            </w:r>
            <w:r>
              <w:rPr>
                <w:rFonts w:hint="eastAsia"/>
                <w:color w:val="auto"/>
                <w:kern w:val="0"/>
                <w:sz w:val="20"/>
                <w:szCs w:val="20"/>
                <w:highlight w:val="none"/>
              </w:rPr>
              <w:t>得款-当月扣款金额</w:t>
            </w:r>
          </w:p>
        </w:tc>
      </w:tr>
      <w:tr w14:paraId="4510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510" w:type="dxa"/>
            <w:noWrap w:val="0"/>
            <w:vAlign w:val="center"/>
          </w:tcPr>
          <w:p w14:paraId="5C975632">
            <w:pPr>
              <w:widowControl/>
              <w:jc w:val="center"/>
              <w:rPr>
                <w:color w:val="auto"/>
                <w:kern w:val="0"/>
                <w:sz w:val="20"/>
                <w:szCs w:val="20"/>
                <w:highlight w:val="none"/>
              </w:rPr>
            </w:pPr>
          </w:p>
        </w:tc>
        <w:tc>
          <w:tcPr>
            <w:tcW w:w="2458" w:type="dxa"/>
            <w:noWrap w:val="0"/>
            <w:vAlign w:val="center"/>
          </w:tcPr>
          <w:p w14:paraId="0AEFE1DF">
            <w:pPr>
              <w:widowControl/>
              <w:jc w:val="center"/>
              <w:rPr>
                <w:color w:val="auto"/>
                <w:kern w:val="0"/>
                <w:sz w:val="24"/>
                <w:szCs w:val="20"/>
                <w:highlight w:val="none"/>
              </w:rPr>
            </w:pPr>
            <w:r>
              <w:rPr>
                <w:rFonts w:hint="eastAsia"/>
                <w:color w:val="auto"/>
                <w:kern w:val="0"/>
                <w:sz w:val="24"/>
                <w:szCs w:val="20"/>
                <w:highlight w:val="none"/>
              </w:rPr>
              <w:t>签字确认</w:t>
            </w:r>
          </w:p>
        </w:tc>
        <w:tc>
          <w:tcPr>
            <w:tcW w:w="5504" w:type="dxa"/>
            <w:gridSpan w:val="2"/>
            <w:noWrap w:val="0"/>
            <w:vAlign w:val="top"/>
          </w:tcPr>
          <w:p w14:paraId="1CF3D1C4">
            <w:pPr>
              <w:widowControl/>
              <w:jc w:val="center"/>
              <w:rPr>
                <w:color w:val="auto"/>
                <w:kern w:val="0"/>
                <w:sz w:val="20"/>
                <w:szCs w:val="20"/>
                <w:highlight w:val="none"/>
              </w:rPr>
            </w:pPr>
          </w:p>
        </w:tc>
      </w:tr>
    </w:tbl>
    <w:p w14:paraId="6A605F16">
      <w:pPr>
        <w:spacing w:line="480" w:lineRule="exact"/>
        <w:ind w:firstLine="779" w:firstLineChars="371"/>
        <w:rPr>
          <w:color w:val="auto"/>
          <w:highlight w:val="none"/>
        </w:rPr>
      </w:pPr>
      <w:r>
        <w:rPr>
          <w:rFonts w:hint="eastAsia" w:ascii="宋体" w:hAnsi="宋体"/>
          <w:color w:val="auto"/>
          <w:highlight w:val="none"/>
        </w:rPr>
        <w:t>说明：①综合评分90分（含90分）按合同规定拨付当月养护经费；②综合评分85分以上的（含85分），按合同规定拨付当月养护经费（当月有扣款项的，需扣除），即当月养护经费＝</w:t>
      </w:r>
      <w:r>
        <w:rPr>
          <w:rFonts w:hint="default" w:ascii="宋体" w:hAnsi="宋体"/>
          <w:color w:val="auto"/>
          <w:highlight w:val="none"/>
          <w:lang w:val="en-US"/>
        </w:rPr>
        <w:t>全年</w:t>
      </w:r>
      <w:r>
        <w:rPr>
          <w:rFonts w:hint="eastAsia" w:ascii="宋体" w:hAnsi="宋体"/>
          <w:color w:val="auto"/>
          <w:highlight w:val="none"/>
        </w:rPr>
        <w:t>养护经费/</w:t>
      </w:r>
      <w:r>
        <w:rPr>
          <w:rFonts w:hint="default" w:ascii="宋体" w:hAnsi="宋体"/>
          <w:color w:val="auto"/>
          <w:highlight w:val="none"/>
          <w:lang w:val="en-US"/>
        </w:rPr>
        <w:t>12</w:t>
      </w:r>
      <w:r>
        <w:rPr>
          <w:rFonts w:hint="eastAsia" w:ascii="宋体" w:hAnsi="宋体"/>
          <w:color w:val="auto"/>
          <w:highlight w:val="none"/>
        </w:rPr>
        <w:t>个月-各项扣款金额（整改未逾期、各项检查、违反车辆管理规定、经核实的市级以上媒体投诉等）</w:t>
      </w:r>
    </w:p>
    <w:p w14:paraId="45558F8E">
      <w:pPr>
        <w:widowControl/>
        <w:jc w:val="left"/>
        <w:rPr>
          <w:color w:val="auto"/>
          <w:kern w:val="0"/>
          <w:highlight w:val="none"/>
        </w:rPr>
      </w:pPr>
    </w:p>
    <w:p w14:paraId="715851B5">
      <w:pPr>
        <w:widowControl/>
        <w:jc w:val="left"/>
        <w:rPr>
          <w:color w:val="auto"/>
          <w:kern w:val="0"/>
          <w:highlight w:val="none"/>
        </w:rPr>
      </w:pPr>
    </w:p>
    <w:p w14:paraId="769159AA">
      <w:pPr>
        <w:widowControl/>
        <w:jc w:val="left"/>
        <w:rPr>
          <w:color w:val="auto"/>
          <w:kern w:val="0"/>
          <w:highlight w:val="none"/>
        </w:rPr>
      </w:pPr>
    </w:p>
    <w:p w14:paraId="7030D79E">
      <w:pPr>
        <w:widowControl/>
        <w:jc w:val="left"/>
        <w:rPr>
          <w:color w:val="auto"/>
          <w:kern w:val="0"/>
          <w:highlight w:val="none"/>
        </w:rPr>
      </w:pPr>
    </w:p>
    <w:p w14:paraId="2BF19719">
      <w:pPr>
        <w:widowControl/>
        <w:jc w:val="left"/>
        <w:rPr>
          <w:color w:val="auto"/>
          <w:kern w:val="0"/>
          <w:highlight w:val="none"/>
        </w:rPr>
      </w:pPr>
    </w:p>
    <w:p w14:paraId="5E498545">
      <w:pPr>
        <w:widowControl/>
        <w:jc w:val="left"/>
        <w:rPr>
          <w:color w:val="auto"/>
          <w:kern w:val="0"/>
          <w:highlight w:val="none"/>
        </w:rPr>
      </w:pPr>
    </w:p>
    <w:p w14:paraId="7B756583">
      <w:pPr>
        <w:widowControl/>
        <w:jc w:val="left"/>
        <w:rPr>
          <w:color w:val="auto"/>
          <w:kern w:val="0"/>
          <w:highlight w:val="none"/>
        </w:rPr>
      </w:pPr>
    </w:p>
    <w:p w14:paraId="5D30FBC7">
      <w:pPr>
        <w:widowControl/>
        <w:jc w:val="left"/>
        <w:rPr>
          <w:color w:val="auto"/>
          <w:kern w:val="0"/>
          <w:highlight w:val="none"/>
        </w:rPr>
      </w:pPr>
    </w:p>
    <w:p w14:paraId="7F92312A">
      <w:pPr>
        <w:pStyle w:val="10"/>
        <w:rPr>
          <w:color w:val="auto"/>
          <w:kern w:val="0"/>
          <w:highlight w:val="none"/>
        </w:rPr>
      </w:pPr>
    </w:p>
    <w:p w14:paraId="7DC1BB6E">
      <w:pPr>
        <w:widowControl/>
        <w:jc w:val="left"/>
        <w:rPr>
          <w:color w:val="auto"/>
          <w:kern w:val="0"/>
          <w:highlight w:val="none"/>
        </w:rPr>
      </w:pPr>
    </w:p>
    <w:p w14:paraId="543B286D">
      <w:pPr>
        <w:rPr>
          <w:rFonts w:hint="eastAsia" w:ascii="宋体" w:hAnsi="宋体" w:eastAsia="宋体" w:cs="宋体"/>
          <w:b/>
          <w:bCs/>
          <w:color w:val="auto"/>
          <w:sz w:val="28"/>
          <w:szCs w:val="28"/>
          <w:highlight w:val="none"/>
          <w:lang w:val="en-US" w:eastAsia="zh-CN"/>
        </w:rPr>
      </w:pPr>
    </w:p>
    <w:p w14:paraId="1B66D569">
      <w:pPr>
        <w:rPr>
          <w:rFonts w:hint="default"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附件2-2-9</w:t>
      </w:r>
    </w:p>
    <w:p w14:paraId="1063F6D3">
      <w:pPr>
        <w:widowControl/>
        <w:jc w:val="center"/>
        <w:rPr>
          <w:rFonts w:ascii="宋体" w:hAnsi="宋体"/>
          <w:b/>
          <w:bCs/>
          <w:color w:val="auto"/>
          <w:sz w:val="32"/>
          <w:szCs w:val="32"/>
          <w:highlight w:val="none"/>
        </w:rPr>
      </w:pPr>
      <w:r>
        <w:rPr>
          <w:rFonts w:hint="eastAsia" w:ascii="宋体" w:hAnsi="宋体"/>
          <w:b/>
          <w:bCs/>
          <w:color w:val="auto"/>
          <w:sz w:val="32"/>
          <w:szCs w:val="32"/>
          <w:highlight w:val="none"/>
        </w:rPr>
        <w:t>南宁市人民公园绿化养护月度结算表</w:t>
      </w:r>
    </w:p>
    <w:p w14:paraId="40D4468B">
      <w:pPr>
        <w:widowControl/>
        <w:jc w:val="center"/>
        <w:rPr>
          <w:rFonts w:ascii="宋体" w:hAnsi="宋体"/>
          <w:color w:val="auto"/>
          <w:kern w:val="0"/>
          <w:sz w:val="32"/>
          <w:szCs w:val="32"/>
          <w:highlight w:val="none"/>
        </w:rPr>
      </w:pPr>
      <w:r>
        <w:rPr>
          <w:rFonts w:hint="eastAsia" w:ascii="宋体" w:hAnsi="宋体"/>
          <w:color w:val="auto"/>
          <w:kern w:val="0"/>
          <w:sz w:val="32"/>
          <w:szCs w:val="32"/>
          <w:highlight w:val="none"/>
        </w:rPr>
        <w:t>（    年   月）</w:t>
      </w:r>
    </w:p>
    <w:p w14:paraId="02FBE6C3">
      <w:pPr>
        <w:widowControl/>
        <w:jc w:val="left"/>
        <w:rPr>
          <w:color w:val="auto"/>
          <w:kern w:val="0"/>
          <w:sz w:val="30"/>
          <w:szCs w:val="30"/>
          <w:highlight w:val="none"/>
        </w:rPr>
      </w:pPr>
      <w:r>
        <w:rPr>
          <w:rFonts w:hint="eastAsia"/>
          <w:color w:val="auto"/>
          <w:kern w:val="0"/>
          <w:sz w:val="30"/>
          <w:szCs w:val="30"/>
          <w:highlight w:val="none"/>
        </w:rPr>
        <w:t>当月考核等级：不合格</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458"/>
        <w:gridCol w:w="2527"/>
        <w:gridCol w:w="2977"/>
      </w:tblGrid>
      <w:tr w14:paraId="504B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683" w:type="dxa"/>
            <w:noWrap w:val="0"/>
            <w:vAlign w:val="center"/>
          </w:tcPr>
          <w:p w14:paraId="283A5B6A">
            <w:pPr>
              <w:widowControl/>
              <w:jc w:val="center"/>
              <w:rPr>
                <w:color w:val="auto"/>
                <w:kern w:val="0"/>
                <w:sz w:val="20"/>
                <w:szCs w:val="20"/>
                <w:highlight w:val="none"/>
              </w:rPr>
            </w:pPr>
            <w:r>
              <w:rPr>
                <w:rFonts w:hint="eastAsia"/>
                <w:color w:val="auto"/>
                <w:kern w:val="0"/>
                <w:sz w:val="20"/>
                <w:szCs w:val="20"/>
                <w:highlight w:val="none"/>
              </w:rPr>
              <w:t>序号</w:t>
            </w:r>
          </w:p>
        </w:tc>
        <w:tc>
          <w:tcPr>
            <w:tcW w:w="2458" w:type="dxa"/>
            <w:noWrap w:val="0"/>
            <w:vAlign w:val="center"/>
          </w:tcPr>
          <w:p w14:paraId="04C9FCFA">
            <w:pPr>
              <w:widowControl/>
              <w:jc w:val="center"/>
              <w:rPr>
                <w:color w:val="auto"/>
                <w:kern w:val="0"/>
                <w:sz w:val="20"/>
                <w:szCs w:val="20"/>
                <w:highlight w:val="none"/>
              </w:rPr>
            </w:pPr>
            <w:r>
              <w:rPr>
                <w:rFonts w:hint="eastAsia"/>
                <w:color w:val="auto"/>
                <w:kern w:val="0"/>
                <w:sz w:val="20"/>
                <w:szCs w:val="20"/>
                <w:highlight w:val="none"/>
              </w:rPr>
              <w:t>项目</w:t>
            </w:r>
          </w:p>
        </w:tc>
        <w:tc>
          <w:tcPr>
            <w:tcW w:w="2527" w:type="dxa"/>
            <w:noWrap w:val="0"/>
            <w:vAlign w:val="center"/>
          </w:tcPr>
          <w:p w14:paraId="76E843E0">
            <w:pPr>
              <w:widowControl/>
              <w:jc w:val="center"/>
              <w:rPr>
                <w:color w:val="auto"/>
                <w:kern w:val="0"/>
                <w:sz w:val="20"/>
                <w:szCs w:val="20"/>
                <w:highlight w:val="none"/>
              </w:rPr>
            </w:pPr>
            <w:r>
              <w:rPr>
                <w:rFonts w:hint="eastAsia"/>
                <w:color w:val="auto"/>
                <w:kern w:val="0"/>
                <w:sz w:val="20"/>
                <w:szCs w:val="20"/>
                <w:highlight w:val="none"/>
              </w:rPr>
              <w:t>金额（元）</w:t>
            </w:r>
          </w:p>
        </w:tc>
        <w:tc>
          <w:tcPr>
            <w:tcW w:w="2977" w:type="dxa"/>
            <w:noWrap w:val="0"/>
            <w:vAlign w:val="center"/>
          </w:tcPr>
          <w:p w14:paraId="3EEEBD6C">
            <w:pPr>
              <w:widowControl/>
              <w:jc w:val="center"/>
              <w:rPr>
                <w:color w:val="auto"/>
                <w:kern w:val="0"/>
                <w:sz w:val="20"/>
                <w:szCs w:val="20"/>
                <w:highlight w:val="none"/>
              </w:rPr>
            </w:pPr>
            <w:r>
              <w:rPr>
                <w:rFonts w:hint="eastAsia"/>
                <w:color w:val="auto"/>
                <w:kern w:val="0"/>
                <w:sz w:val="20"/>
                <w:szCs w:val="20"/>
                <w:highlight w:val="none"/>
              </w:rPr>
              <w:t>备  注</w:t>
            </w:r>
          </w:p>
        </w:tc>
      </w:tr>
      <w:tr w14:paraId="7A20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83" w:type="dxa"/>
            <w:noWrap w:val="0"/>
            <w:vAlign w:val="center"/>
          </w:tcPr>
          <w:p w14:paraId="7D4BD1B4">
            <w:pPr>
              <w:widowControl/>
              <w:jc w:val="center"/>
              <w:rPr>
                <w:color w:val="auto"/>
                <w:kern w:val="0"/>
                <w:sz w:val="20"/>
                <w:szCs w:val="20"/>
                <w:highlight w:val="none"/>
              </w:rPr>
            </w:pPr>
            <w:r>
              <w:rPr>
                <w:rFonts w:hint="eastAsia"/>
                <w:color w:val="auto"/>
                <w:kern w:val="0"/>
                <w:sz w:val="20"/>
                <w:szCs w:val="20"/>
                <w:highlight w:val="none"/>
              </w:rPr>
              <w:t>1</w:t>
            </w:r>
          </w:p>
        </w:tc>
        <w:tc>
          <w:tcPr>
            <w:tcW w:w="2458" w:type="dxa"/>
            <w:noWrap w:val="0"/>
            <w:vAlign w:val="center"/>
          </w:tcPr>
          <w:p w14:paraId="0ECE2158">
            <w:pPr>
              <w:widowControl/>
              <w:jc w:val="center"/>
              <w:rPr>
                <w:color w:val="auto"/>
                <w:kern w:val="0"/>
                <w:sz w:val="20"/>
                <w:szCs w:val="20"/>
                <w:highlight w:val="none"/>
              </w:rPr>
            </w:pPr>
            <w:r>
              <w:rPr>
                <w:rFonts w:hint="eastAsia" w:ascii="宋体" w:hAnsi="宋体"/>
                <w:color w:val="auto"/>
                <w:sz w:val="20"/>
                <w:szCs w:val="20"/>
                <w:highlight w:val="none"/>
              </w:rPr>
              <w:t>月度考核综合评分</w:t>
            </w:r>
            <w:r>
              <w:rPr>
                <w:rFonts w:hint="eastAsia"/>
                <w:color w:val="auto"/>
                <w:kern w:val="0"/>
                <w:sz w:val="20"/>
                <w:szCs w:val="20"/>
                <w:highlight w:val="none"/>
              </w:rPr>
              <w:t>得款</w:t>
            </w:r>
          </w:p>
        </w:tc>
        <w:tc>
          <w:tcPr>
            <w:tcW w:w="2527" w:type="dxa"/>
            <w:noWrap w:val="0"/>
            <w:vAlign w:val="center"/>
          </w:tcPr>
          <w:p w14:paraId="102F98E1">
            <w:pPr>
              <w:widowControl/>
              <w:jc w:val="center"/>
              <w:rPr>
                <w:color w:val="auto"/>
                <w:kern w:val="0"/>
                <w:sz w:val="20"/>
                <w:szCs w:val="20"/>
                <w:highlight w:val="none"/>
              </w:rPr>
            </w:pPr>
          </w:p>
        </w:tc>
        <w:tc>
          <w:tcPr>
            <w:tcW w:w="2977" w:type="dxa"/>
            <w:noWrap w:val="0"/>
            <w:vAlign w:val="center"/>
          </w:tcPr>
          <w:p w14:paraId="20305366">
            <w:pPr>
              <w:tabs>
                <w:tab w:val="left" w:pos="540"/>
              </w:tabs>
              <w:spacing w:line="320" w:lineRule="exact"/>
              <w:jc w:val="center"/>
              <w:rPr>
                <w:rFonts w:ascii="宋体" w:hAnsi="宋体"/>
                <w:color w:val="auto"/>
                <w:sz w:val="20"/>
                <w:szCs w:val="20"/>
                <w:highlight w:val="none"/>
              </w:rPr>
            </w:pPr>
            <w:r>
              <w:rPr>
                <w:rFonts w:hint="eastAsia" w:ascii="宋体" w:hAnsi="宋体"/>
                <w:color w:val="auto"/>
                <w:sz w:val="20"/>
                <w:szCs w:val="20"/>
                <w:highlight w:val="none"/>
              </w:rPr>
              <w:t>全年养护经费/</w:t>
            </w:r>
            <w:r>
              <w:rPr>
                <w:rFonts w:hint="default" w:ascii="宋体" w:hAnsi="宋体"/>
                <w:color w:val="auto"/>
                <w:sz w:val="20"/>
                <w:szCs w:val="20"/>
                <w:highlight w:val="none"/>
                <w:lang w:val="en-US"/>
              </w:rPr>
              <w:t>12</w:t>
            </w:r>
            <w:r>
              <w:rPr>
                <w:rFonts w:hint="eastAsia" w:ascii="宋体" w:hAnsi="宋体"/>
                <w:color w:val="auto"/>
                <w:sz w:val="20"/>
                <w:szCs w:val="20"/>
                <w:highlight w:val="none"/>
              </w:rPr>
              <w:t>-（85-月度考核综合考核得分）*500元</w:t>
            </w:r>
          </w:p>
        </w:tc>
      </w:tr>
      <w:tr w14:paraId="5A14B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683" w:type="dxa"/>
            <w:vMerge w:val="restart"/>
            <w:noWrap w:val="0"/>
            <w:vAlign w:val="center"/>
          </w:tcPr>
          <w:p w14:paraId="74A8B310">
            <w:pPr>
              <w:widowControl/>
              <w:jc w:val="center"/>
              <w:rPr>
                <w:color w:val="auto"/>
                <w:kern w:val="0"/>
                <w:sz w:val="20"/>
                <w:szCs w:val="20"/>
                <w:highlight w:val="none"/>
              </w:rPr>
            </w:pPr>
            <w:r>
              <w:rPr>
                <w:rFonts w:hint="eastAsia"/>
                <w:color w:val="auto"/>
                <w:kern w:val="0"/>
                <w:sz w:val="20"/>
                <w:szCs w:val="20"/>
                <w:highlight w:val="none"/>
              </w:rPr>
              <w:t>2</w:t>
            </w:r>
          </w:p>
        </w:tc>
        <w:tc>
          <w:tcPr>
            <w:tcW w:w="2458" w:type="dxa"/>
            <w:vMerge w:val="restart"/>
            <w:noWrap w:val="0"/>
            <w:vAlign w:val="center"/>
          </w:tcPr>
          <w:p w14:paraId="17582522">
            <w:pPr>
              <w:widowControl/>
              <w:jc w:val="center"/>
              <w:rPr>
                <w:color w:val="auto"/>
                <w:kern w:val="0"/>
                <w:sz w:val="20"/>
                <w:szCs w:val="20"/>
                <w:highlight w:val="none"/>
              </w:rPr>
            </w:pPr>
            <w:r>
              <w:rPr>
                <w:rFonts w:hint="eastAsia"/>
                <w:color w:val="auto"/>
                <w:kern w:val="0"/>
                <w:sz w:val="20"/>
                <w:szCs w:val="20"/>
                <w:highlight w:val="none"/>
              </w:rPr>
              <w:t>当月扣款</w:t>
            </w:r>
          </w:p>
        </w:tc>
        <w:tc>
          <w:tcPr>
            <w:tcW w:w="2527" w:type="dxa"/>
            <w:noWrap w:val="0"/>
            <w:vAlign w:val="center"/>
          </w:tcPr>
          <w:p w14:paraId="461090D9">
            <w:pPr>
              <w:widowControl/>
              <w:jc w:val="center"/>
              <w:rPr>
                <w:color w:val="auto"/>
                <w:kern w:val="0"/>
                <w:sz w:val="20"/>
                <w:szCs w:val="20"/>
                <w:highlight w:val="none"/>
              </w:rPr>
            </w:pPr>
          </w:p>
        </w:tc>
        <w:tc>
          <w:tcPr>
            <w:tcW w:w="2977" w:type="dxa"/>
            <w:noWrap w:val="0"/>
            <w:vAlign w:val="center"/>
          </w:tcPr>
          <w:p w14:paraId="21006BF6">
            <w:pPr>
              <w:widowControl/>
              <w:jc w:val="center"/>
              <w:rPr>
                <w:color w:val="auto"/>
                <w:kern w:val="0"/>
                <w:sz w:val="20"/>
                <w:szCs w:val="20"/>
                <w:highlight w:val="none"/>
              </w:rPr>
            </w:pPr>
          </w:p>
        </w:tc>
      </w:tr>
      <w:tr w14:paraId="1E25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83" w:type="dxa"/>
            <w:vMerge w:val="continue"/>
            <w:noWrap w:val="0"/>
            <w:vAlign w:val="center"/>
          </w:tcPr>
          <w:p w14:paraId="259EAEE3">
            <w:pPr>
              <w:widowControl/>
              <w:jc w:val="center"/>
              <w:rPr>
                <w:color w:val="auto"/>
                <w:kern w:val="0"/>
                <w:sz w:val="20"/>
                <w:szCs w:val="20"/>
                <w:highlight w:val="none"/>
              </w:rPr>
            </w:pPr>
          </w:p>
        </w:tc>
        <w:tc>
          <w:tcPr>
            <w:tcW w:w="2458" w:type="dxa"/>
            <w:vMerge w:val="continue"/>
            <w:noWrap w:val="0"/>
            <w:vAlign w:val="center"/>
          </w:tcPr>
          <w:p w14:paraId="56A2E39D">
            <w:pPr>
              <w:widowControl/>
              <w:jc w:val="center"/>
              <w:rPr>
                <w:color w:val="auto"/>
                <w:kern w:val="0"/>
                <w:sz w:val="20"/>
                <w:szCs w:val="20"/>
                <w:highlight w:val="none"/>
              </w:rPr>
            </w:pPr>
          </w:p>
        </w:tc>
        <w:tc>
          <w:tcPr>
            <w:tcW w:w="2527" w:type="dxa"/>
            <w:noWrap w:val="0"/>
            <w:vAlign w:val="center"/>
          </w:tcPr>
          <w:p w14:paraId="372996AD">
            <w:pPr>
              <w:widowControl/>
              <w:jc w:val="center"/>
              <w:rPr>
                <w:color w:val="auto"/>
                <w:kern w:val="0"/>
                <w:sz w:val="20"/>
                <w:szCs w:val="20"/>
                <w:highlight w:val="none"/>
              </w:rPr>
            </w:pPr>
          </w:p>
        </w:tc>
        <w:tc>
          <w:tcPr>
            <w:tcW w:w="2977" w:type="dxa"/>
            <w:noWrap w:val="0"/>
            <w:vAlign w:val="center"/>
          </w:tcPr>
          <w:p w14:paraId="70972489">
            <w:pPr>
              <w:widowControl/>
              <w:jc w:val="center"/>
              <w:rPr>
                <w:color w:val="auto"/>
                <w:kern w:val="0"/>
                <w:sz w:val="20"/>
                <w:szCs w:val="20"/>
                <w:highlight w:val="none"/>
              </w:rPr>
            </w:pPr>
          </w:p>
        </w:tc>
      </w:tr>
      <w:tr w14:paraId="051D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683" w:type="dxa"/>
            <w:vMerge w:val="continue"/>
            <w:noWrap w:val="0"/>
            <w:vAlign w:val="center"/>
          </w:tcPr>
          <w:p w14:paraId="74CEF68E">
            <w:pPr>
              <w:widowControl/>
              <w:jc w:val="center"/>
              <w:rPr>
                <w:color w:val="auto"/>
                <w:kern w:val="0"/>
                <w:sz w:val="20"/>
                <w:szCs w:val="20"/>
                <w:highlight w:val="none"/>
              </w:rPr>
            </w:pPr>
          </w:p>
        </w:tc>
        <w:tc>
          <w:tcPr>
            <w:tcW w:w="2458" w:type="dxa"/>
            <w:vMerge w:val="continue"/>
            <w:noWrap w:val="0"/>
            <w:vAlign w:val="center"/>
          </w:tcPr>
          <w:p w14:paraId="2FD36D94">
            <w:pPr>
              <w:widowControl/>
              <w:jc w:val="center"/>
              <w:rPr>
                <w:color w:val="auto"/>
                <w:kern w:val="0"/>
                <w:sz w:val="20"/>
                <w:szCs w:val="20"/>
                <w:highlight w:val="none"/>
              </w:rPr>
            </w:pPr>
          </w:p>
        </w:tc>
        <w:tc>
          <w:tcPr>
            <w:tcW w:w="2527" w:type="dxa"/>
            <w:noWrap w:val="0"/>
            <w:vAlign w:val="center"/>
          </w:tcPr>
          <w:p w14:paraId="7CA30338">
            <w:pPr>
              <w:widowControl/>
              <w:jc w:val="center"/>
              <w:rPr>
                <w:color w:val="auto"/>
                <w:kern w:val="0"/>
                <w:sz w:val="20"/>
                <w:szCs w:val="20"/>
                <w:highlight w:val="none"/>
              </w:rPr>
            </w:pPr>
          </w:p>
        </w:tc>
        <w:tc>
          <w:tcPr>
            <w:tcW w:w="2977" w:type="dxa"/>
            <w:noWrap w:val="0"/>
            <w:vAlign w:val="center"/>
          </w:tcPr>
          <w:p w14:paraId="045DDE62">
            <w:pPr>
              <w:widowControl/>
              <w:jc w:val="center"/>
              <w:rPr>
                <w:color w:val="auto"/>
                <w:kern w:val="0"/>
                <w:sz w:val="20"/>
                <w:szCs w:val="20"/>
                <w:highlight w:val="none"/>
              </w:rPr>
            </w:pPr>
          </w:p>
        </w:tc>
      </w:tr>
      <w:tr w14:paraId="783D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83" w:type="dxa"/>
            <w:vMerge w:val="continue"/>
            <w:noWrap w:val="0"/>
            <w:vAlign w:val="center"/>
          </w:tcPr>
          <w:p w14:paraId="21D8BAB1">
            <w:pPr>
              <w:widowControl/>
              <w:jc w:val="center"/>
              <w:rPr>
                <w:color w:val="auto"/>
                <w:kern w:val="0"/>
                <w:sz w:val="20"/>
                <w:szCs w:val="20"/>
                <w:highlight w:val="none"/>
              </w:rPr>
            </w:pPr>
          </w:p>
        </w:tc>
        <w:tc>
          <w:tcPr>
            <w:tcW w:w="2458" w:type="dxa"/>
            <w:vMerge w:val="continue"/>
            <w:noWrap w:val="0"/>
            <w:vAlign w:val="center"/>
          </w:tcPr>
          <w:p w14:paraId="138511F8">
            <w:pPr>
              <w:widowControl/>
              <w:jc w:val="center"/>
              <w:rPr>
                <w:color w:val="auto"/>
                <w:kern w:val="0"/>
                <w:sz w:val="20"/>
                <w:szCs w:val="20"/>
                <w:highlight w:val="none"/>
              </w:rPr>
            </w:pPr>
          </w:p>
        </w:tc>
        <w:tc>
          <w:tcPr>
            <w:tcW w:w="2527" w:type="dxa"/>
            <w:noWrap w:val="0"/>
            <w:vAlign w:val="center"/>
          </w:tcPr>
          <w:p w14:paraId="08FB83F6">
            <w:pPr>
              <w:widowControl/>
              <w:jc w:val="center"/>
              <w:rPr>
                <w:color w:val="auto"/>
                <w:kern w:val="0"/>
                <w:sz w:val="20"/>
                <w:szCs w:val="20"/>
                <w:highlight w:val="none"/>
              </w:rPr>
            </w:pPr>
          </w:p>
        </w:tc>
        <w:tc>
          <w:tcPr>
            <w:tcW w:w="2977" w:type="dxa"/>
            <w:noWrap w:val="0"/>
            <w:vAlign w:val="center"/>
          </w:tcPr>
          <w:p w14:paraId="425ECA26">
            <w:pPr>
              <w:widowControl/>
              <w:jc w:val="center"/>
              <w:rPr>
                <w:color w:val="auto"/>
                <w:kern w:val="0"/>
                <w:sz w:val="20"/>
                <w:szCs w:val="20"/>
                <w:highlight w:val="none"/>
              </w:rPr>
            </w:pPr>
          </w:p>
        </w:tc>
      </w:tr>
      <w:tr w14:paraId="3612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683" w:type="dxa"/>
            <w:noWrap w:val="0"/>
            <w:vAlign w:val="center"/>
          </w:tcPr>
          <w:p w14:paraId="7EC35AE9">
            <w:pPr>
              <w:widowControl/>
              <w:jc w:val="center"/>
              <w:rPr>
                <w:color w:val="auto"/>
                <w:kern w:val="0"/>
                <w:sz w:val="20"/>
                <w:szCs w:val="20"/>
                <w:highlight w:val="none"/>
              </w:rPr>
            </w:pPr>
            <w:r>
              <w:rPr>
                <w:rFonts w:hint="eastAsia"/>
                <w:color w:val="auto"/>
                <w:kern w:val="0"/>
                <w:sz w:val="20"/>
                <w:szCs w:val="20"/>
                <w:highlight w:val="none"/>
              </w:rPr>
              <w:t>3</w:t>
            </w:r>
          </w:p>
        </w:tc>
        <w:tc>
          <w:tcPr>
            <w:tcW w:w="2458" w:type="dxa"/>
            <w:noWrap w:val="0"/>
            <w:vAlign w:val="center"/>
          </w:tcPr>
          <w:p w14:paraId="2E295A61">
            <w:pPr>
              <w:widowControl/>
              <w:jc w:val="center"/>
              <w:rPr>
                <w:color w:val="auto"/>
                <w:kern w:val="0"/>
                <w:sz w:val="20"/>
                <w:szCs w:val="20"/>
                <w:highlight w:val="none"/>
              </w:rPr>
            </w:pPr>
            <w:r>
              <w:rPr>
                <w:rFonts w:hint="eastAsia"/>
                <w:color w:val="auto"/>
                <w:kern w:val="0"/>
                <w:sz w:val="20"/>
                <w:szCs w:val="20"/>
                <w:highlight w:val="none"/>
              </w:rPr>
              <w:t>当月养护经费</w:t>
            </w:r>
          </w:p>
        </w:tc>
        <w:tc>
          <w:tcPr>
            <w:tcW w:w="2527" w:type="dxa"/>
            <w:noWrap w:val="0"/>
            <w:vAlign w:val="center"/>
          </w:tcPr>
          <w:p w14:paraId="57AEBFF9">
            <w:pPr>
              <w:widowControl/>
              <w:jc w:val="center"/>
              <w:rPr>
                <w:color w:val="auto"/>
                <w:kern w:val="0"/>
                <w:sz w:val="20"/>
                <w:szCs w:val="20"/>
                <w:highlight w:val="none"/>
              </w:rPr>
            </w:pPr>
          </w:p>
        </w:tc>
        <w:tc>
          <w:tcPr>
            <w:tcW w:w="2977" w:type="dxa"/>
            <w:noWrap w:val="0"/>
            <w:vAlign w:val="center"/>
          </w:tcPr>
          <w:p w14:paraId="1273E58D">
            <w:pPr>
              <w:widowControl/>
              <w:jc w:val="center"/>
              <w:rPr>
                <w:color w:val="auto"/>
                <w:kern w:val="0"/>
                <w:sz w:val="20"/>
                <w:szCs w:val="20"/>
                <w:highlight w:val="none"/>
              </w:rPr>
            </w:pPr>
            <w:r>
              <w:rPr>
                <w:rFonts w:hint="eastAsia" w:ascii="宋体" w:hAnsi="宋体"/>
                <w:color w:val="auto"/>
                <w:sz w:val="20"/>
                <w:szCs w:val="20"/>
                <w:highlight w:val="none"/>
              </w:rPr>
              <w:t>月度考核综合评分</w:t>
            </w:r>
            <w:r>
              <w:rPr>
                <w:rFonts w:hint="eastAsia"/>
                <w:color w:val="auto"/>
                <w:kern w:val="0"/>
                <w:sz w:val="20"/>
                <w:szCs w:val="20"/>
                <w:highlight w:val="none"/>
              </w:rPr>
              <w:t>得款-当月扣款金额</w:t>
            </w:r>
          </w:p>
        </w:tc>
      </w:tr>
      <w:tr w14:paraId="1BC0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683" w:type="dxa"/>
            <w:noWrap w:val="0"/>
            <w:vAlign w:val="center"/>
          </w:tcPr>
          <w:p w14:paraId="47704C4A">
            <w:pPr>
              <w:widowControl/>
              <w:jc w:val="center"/>
              <w:rPr>
                <w:color w:val="auto"/>
                <w:kern w:val="0"/>
                <w:sz w:val="20"/>
                <w:szCs w:val="20"/>
                <w:highlight w:val="none"/>
              </w:rPr>
            </w:pPr>
          </w:p>
        </w:tc>
        <w:tc>
          <w:tcPr>
            <w:tcW w:w="2458" w:type="dxa"/>
            <w:noWrap w:val="0"/>
            <w:vAlign w:val="center"/>
          </w:tcPr>
          <w:p w14:paraId="221ECF67">
            <w:pPr>
              <w:widowControl/>
              <w:jc w:val="center"/>
              <w:rPr>
                <w:color w:val="auto"/>
                <w:kern w:val="0"/>
                <w:sz w:val="24"/>
                <w:szCs w:val="20"/>
                <w:highlight w:val="none"/>
              </w:rPr>
            </w:pPr>
            <w:r>
              <w:rPr>
                <w:rFonts w:hint="eastAsia"/>
                <w:color w:val="auto"/>
                <w:kern w:val="0"/>
                <w:sz w:val="24"/>
                <w:szCs w:val="20"/>
                <w:highlight w:val="none"/>
              </w:rPr>
              <w:t>签字确认</w:t>
            </w:r>
          </w:p>
        </w:tc>
        <w:tc>
          <w:tcPr>
            <w:tcW w:w="2527" w:type="dxa"/>
            <w:noWrap w:val="0"/>
            <w:vAlign w:val="top"/>
          </w:tcPr>
          <w:p w14:paraId="189CE98C">
            <w:pPr>
              <w:widowControl/>
              <w:jc w:val="center"/>
              <w:rPr>
                <w:color w:val="auto"/>
                <w:kern w:val="0"/>
                <w:sz w:val="20"/>
                <w:szCs w:val="20"/>
                <w:highlight w:val="none"/>
              </w:rPr>
            </w:pPr>
          </w:p>
        </w:tc>
        <w:tc>
          <w:tcPr>
            <w:tcW w:w="2977" w:type="dxa"/>
            <w:noWrap w:val="0"/>
            <w:vAlign w:val="top"/>
          </w:tcPr>
          <w:p w14:paraId="75265234">
            <w:pPr>
              <w:widowControl/>
              <w:jc w:val="center"/>
              <w:rPr>
                <w:color w:val="auto"/>
                <w:kern w:val="0"/>
                <w:sz w:val="20"/>
                <w:szCs w:val="20"/>
                <w:highlight w:val="none"/>
              </w:rPr>
            </w:pPr>
          </w:p>
        </w:tc>
      </w:tr>
    </w:tbl>
    <w:p w14:paraId="7FF2ED16">
      <w:pPr>
        <w:widowControl/>
        <w:jc w:val="left"/>
        <w:rPr>
          <w:color w:val="auto"/>
          <w:kern w:val="0"/>
          <w:highlight w:val="none"/>
        </w:rPr>
      </w:pPr>
    </w:p>
    <w:p w14:paraId="7E663A57">
      <w:pPr>
        <w:spacing w:line="400" w:lineRule="exact"/>
        <w:ind w:firstLine="420" w:firstLineChars="200"/>
        <w:rPr>
          <w:rFonts w:ascii="宋体"/>
          <w:color w:val="auto"/>
          <w:highlight w:val="none"/>
        </w:rPr>
      </w:pPr>
      <w:r>
        <w:rPr>
          <w:rFonts w:hint="eastAsia" w:ascii="宋体" w:hAnsi="宋体"/>
          <w:color w:val="auto"/>
          <w:highlight w:val="none"/>
        </w:rPr>
        <w:t>说明：月度考核综合评分低于85分（不含85分），视得分情况发放当月养护经费（当月有扣款项的，需扣除），</w:t>
      </w:r>
      <w:r>
        <w:rPr>
          <w:rFonts w:hint="eastAsia" w:ascii="宋体"/>
          <w:color w:val="auto"/>
          <w:highlight w:val="none"/>
        </w:rPr>
        <w:t>即</w:t>
      </w:r>
      <w:r>
        <w:rPr>
          <w:rFonts w:hint="eastAsia" w:ascii="宋体" w:hAnsi="宋体"/>
          <w:color w:val="auto"/>
          <w:highlight w:val="none"/>
        </w:rPr>
        <w:t>月实付养护经费＝</w:t>
      </w:r>
      <w:r>
        <w:rPr>
          <w:rFonts w:hint="default" w:ascii="宋体" w:hAnsi="宋体"/>
          <w:color w:val="auto"/>
          <w:highlight w:val="none"/>
          <w:lang w:val="en-US"/>
        </w:rPr>
        <w:t>全年</w:t>
      </w:r>
      <w:r>
        <w:rPr>
          <w:rFonts w:hint="eastAsia" w:ascii="宋体" w:hAnsi="宋体"/>
          <w:color w:val="auto"/>
          <w:highlight w:val="none"/>
        </w:rPr>
        <w:t>养护经费</w:t>
      </w:r>
      <w:r>
        <w:rPr>
          <w:rFonts w:ascii="宋体" w:hAnsi="宋体"/>
          <w:color w:val="auto"/>
          <w:highlight w:val="none"/>
        </w:rPr>
        <w:t>/</w:t>
      </w:r>
      <w:r>
        <w:rPr>
          <w:rFonts w:hint="default" w:ascii="宋体" w:hAnsi="宋体"/>
          <w:color w:val="auto"/>
          <w:highlight w:val="none"/>
          <w:lang w:val="en-US"/>
        </w:rPr>
        <w:t>12</w:t>
      </w:r>
      <w:r>
        <w:rPr>
          <w:rFonts w:hint="eastAsia" w:ascii="宋体" w:hAnsi="宋体"/>
          <w:color w:val="auto"/>
          <w:highlight w:val="none"/>
        </w:rPr>
        <w:t>个月-（85-月度考核综合考核得分）*500元</w:t>
      </w:r>
      <w:r>
        <w:rPr>
          <w:rFonts w:hint="eastAsia" w:ascii="宋体"/>
          <w:color w:val="auto"/>
          <w:highlight w:val="none"/>
        </w:rPr>
        <w:t>-</w:t>
      </w:r>
      <w:r>
        <w:rPr>
          <w:rFonts w:hint="eastAsia" w:ascii="宋体" w:hAnsi="宋体"/>
          <w:color w:val="auto"/>
          <w:highlight w:val="none"/>
        </w:rPr>
        <w:t>各项扣款金额（整改未逾期、各项检查、违反公园管理规定、经核实的市级以上媒体投诉等）。</w:t>
      </w:r>
    </w:p>
    <w:p w14:paraId="335F2FE1">
      <w:pPr>
        <w:spacing w:line="240" w:lineRule="auto"/>
        <w:ind w:right="-334" w:rightChars="-159"/>
        <w:jc w:val="both"/>
        <w:rPr>
          <w:rFonts w:hint="eastAsia" w:ascii="宋体" w:hAnsi="宋体" w:eastAsia="宋体" w:cs="Times New Roman"/>
          <w:b w:val="0"/>
          <w:bCs w:val="0"/>
          <w:color w:val="auto"/>
          <w:sz w:val="28"/>
          <w:szCs w:val="28"/>
          <w:highlight w:val="none"/>
        </w:rPr>
      </w:pPr>
    </w:p>
    <w:p w14:paraId="668FB0CC">
      <w:pPr>
        <w:ind w:right="-334" w:rightChars="-159"/>
        <w:jc w:val="left"/>
        <w:rPr>
          <w:rFonts w:hint="eastAsia" w:ascii="宋体" w:hAnsi="宋体" w:eastAsia="宋体" w:cs="宋体"/>
          <w:b/>
          <w:bCs/>
          <w:color w:val="auto"/>
          <w:sz w:val="28"/>
          <w:szCs w:val="28"/>
          <w:highlight w:val="none"/>
          <w:lang w:val="en-US" w:eastAsia="zh-CN"/>
        </w:rPr>
      </w:pPr>
    </w:p>
    <w:p w14:paraId="6E259A53">
      <w:pPr>
        <w:pageBreakBefore w:val="0"/>
        <w:numPr>
          <w:ilvl w:val="0"/>
          <w:numId w:val="0"/>
        </w:numPr>
        <w:kinsoku/>
        <w:wordWrap w:val="0"/>
        <w:overflowPunct/>
        <w:topLinePunct w:val="0"/>
        <w:bidi w:val="0"/>
        <w:ind w:firstLine="321" w:firstLineChars="100"/>
        <w:outlineLvl w:val="2"/>
        <w:rPr>
          <w:rFonts w:hint="eastAsia" w:ascii="宋体" w:hAnsi="宋体" w:eastAsia="宋体" w:cs="宋体"/>
          <w:b/>
          <w:color w:val="auto"/>
          <w:sz w:val="32"/>
          <w:szCs w:val="32"/>
          <w:highlight w:val="none"/>
        </w:rPr>
        <w:sectPr>
          <w:pgSz w:w="11906" w:h="16838"/>
          <w:pgMar w:top="1440" w:right="1304" w:bottom="1440" w:left="1304" w:header="851" w:footer="992" w:gutter="0"/>
          <w:pgBorders>
            <w:top w:val="none" w:sz="0" w:space="0"/>
            <w:left w:val="none" w:sz="0" w:space="0"/>
            <w:bottom w:val="none" w:sz="0" w:space="0"/>
            <w:right w:val="none" w:sz="0" w:space="0"/>
          </w:pgBorders>
          <w:cols w:space="720" w:num="1"/>
          <w:docGrid w:type="lines" w:linePitch="312" w:charSpace="0"/>
        </w:sectPr>
      </w:pPr>
    </w:p>
    <w:p w14:paraId="0B73A3B2">
      <w:pPr>
        <w:spacing w:line="580" w:lineRule="exact"/>
        <w:jc w:val="left"/>
        <w:outlineLvl w:val="1"/>
        <w:rPr>
          <w:rFonts w:hint="eastAsia" w:ascii="宋体" w:hAnsi="宋体" w:eastAsia="宋体" w:cs="宋体"/>
          <w:b/>
          <w:bCs w:val="0"/>
          <w:color w:val="auto"/>
          <w:sz w:val="28"/>
          <w:szCs w:val="28"/>
          <w:highlight w:val="none"/>
          <w:lang w:val="en-US" w:eastAsia="zh-CN"/>
        </w:rPr>
      </w:pPr>
      <w:r>
        <w:rPr>
          <w:rFonts w:hint="eastAsia" w:ascii="宋体" w:hAnsi="宋体" w:eastAsia="宋体" w:cs="宋体"/>
          <w:b/>
          <w:bCs w:val="0"/>
          <w:color w:val="auto"/>
          <w:sz w:val="28"/>
          <w:szCs w:val="28"/>
          <w:highlight w:val="none"/>
        </w:rPr>
        <w:t>附件</w:t>
      </w:r>
      <w:r>
        <w:rPr>
          <w:rFonts w:hint="eastAsia" w:ascii="宋体" w:hAnsi="宋体" w:eastAsia="宋体" w:cs="宋体"/>
          <w:b/>
          <w:bCs w:val="0"/>
          <w:color w:val="auto"/>
          <w:sz w:val="28"/>
          <w:szCs w:val="28"/>
          <w:highlight w:val="none"/>
          <w:lang w:val="en-US" w:eastAsia="zh-CN"/>
        </w:rPr>
        <w:t>3</w:t>
      </w:r>
      <w:r>
        <w:rPr>
          <w:rFonts w:hint="eastAsia" w:ascii="宋体" w:hAnsi="宋体" w:cs="宋体"/>
          <w:b/>
          <w:bCs w:val="0"/>
          <w:color w:val="auto"/>
          <w:sz w:val="28"/>
          <w:szCs w:val="28"/>
          <w:highlight w:val="none"/>
          <w:lang w:val="en-US" w:eastAsia="zh-CN"/>
        </w:rPr>
        <w:t>：</w:t>
      </w:r>
      <w:r>
        <w:rPr>
          <w:rFonts w:hint="eastAsia" w:ascii="宋体" w:hAnsi="宋体" w:eastAsia="宋体" w:cs="宋体"/>
          <w:b/>
          <w:bCs w:val="0"/>
          <w:color w:val="auto"/>
          <w:sz w:val="28"/>
          <w:szCs w:val="28"/>
          <w:highlight w:val="none"/>
          <w:lang w:val="en-US" w:eastAsia="zh-CN"/>
        </w:rPr>
        <w:t>南宁市金花茶公园绿化养护服务范围图及考核办法</w:t>
      </w:r>
    </w:p>
    <w:p w14:paraId="14D9A9B6">
      <w:pPr>
        <w:spacing w:line="276" w:lineRule="auto"/>
        <w:jc w:val="both"/>
        <w:rPr>
          <w:rFonts w:hint="eastAsia" w:ascii="宋体" w:hAnsi="宋体" w:eastAsia="宋体" w:cs="宋体"/>
          <w:b/>
          <w:bCs/>
          <w:color w:val="auto"/>
          <w:sz w:val="24"/>
          <w:szCs w:val="24"/>
          <w:highlight w:val="none"/>
        </w:rPr>
      </w:pPr>
      <w:r>
        <w:rPr>
          <w:rFonts w:ascii="宋体" w:hAnsi="宋体" w:cs="宋体"/>
          <w:b/>
          <w:color w:val="auto"/>
          <w:sz w:val="30"/>
          <w:szCs w:val="30"/>
          <w:highlight w:val="none"/>
        </w:rPr>
        <w:drawing>
          <wp:anchor distT="0" distB="0" distL="114300" distR="114300" simplePos="0" relativeHeight="251665408" behindDoc="1" locked="0" layoutInCell="1" allowOverlap="1">
            <wp:simplePos x="0" y="0"/>
            <wp:positionH relativeFrom="column">
              <wp:posOffset>309245</wp:posOffset>
            </wp:positionH>
            <wp:positionV relativeFrom="paragraph">
              <wp:posOffset>4546600</wp:posOffset>
            </wp:positionV>
            <wp:extent cx="4791075" cy="3829050"/>
            <wp:effectExtent l="0" t="0" r="9525" b="0"/>
            <wp:wrapNone/>
            <wp:docPr id="24" name="图片 11" descr="0716桃村路小游园购买绿化养护服务区域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0716桃村路小游园购买绿化养护服务区域图"/>
                    <pic:cNvPicPr>
                      <a:picLocks noChangeAspect="1"/>
                    </pic:cNvPicPr>
                  </pic:nvPicPr>
                  <pic:blipFill>
                    <a:blip r:embed="rId20"/>
                    <a:stretch>
                      <a:fillRect/>
                    </a:stretch>
                  </pic:blipFill>
                  <pic:spPr>
                    <a:xfrm>
                      <a:off x="0" y="0"/>
                      <a:ext cx="4791075" cy="3829050"/>
                    </a:xfrm>
                    <a:prstGeom prst="rect">
                      <a:avLst/>
                    </a:prstGeom>
                    <a:noFill/>
                    <a:ln>
                      <a:noFill/>
                    </a:ln>
                  </pic:spPr>
                </pic:pic>
              </a:graphicData>
            </a:graphic>
          </wp:anchor>
        </w:drawing>
      </w:r>
      <w:r>
        <w:rPr>
          <w:rFonts w:ascii="宋体" w:hAnsi="宋体" w:cs="宋体"/>
          <w:b/>
          <w:color w:val="auto"/>
          <w:sz w:val="30"/>
          <w:szCs w:val="30"/>
          <w:highlight w:val="none"/>
        </w:rPr>
        <w:drawing>
          <wp:anchor distT="0" distB="0" distL="114300" distR="114300" simplePos="0" relativeHeight="251664384" behindDoc="1" locked="0" layoutInCell="1" allowOverlap="1">
            <wp:simplePos x="0" y="0"/>
            <wp:positionH relativeFrom="column">
              <wp:posOffset>202565</wp:posOffset>
            </wp:positionH>
            <wp:positionV relativeFrom="paragraph">
              <wp:posOffset>122555</wp:posOffset>
            </wp:positionV>
            <wp:extent cx="5657850" cy="4352925"/>
            <wp:effectExtent l="0" t="0" r="0" b="9525"/>
            <wp:wrapNone/>
            <wp:docPr id="21" name="图片 7" descr="D:/单位/2024年/9月/服务区域.jpg服务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D:/单位/2024年/9月/服务区域.jpg服务区域"/>
                    <pic:cNvPicPr>
                      <a:picLocks noChangeAspect="1"/>
                    </pic:cNvPicPr>
                  </pic:nvPicPr>
                  <pic:blipFill>
                    <a:blip r:embed="rId21"/>
                    <a:srcRect l="4033" r="4033"/>
                    <a:stretch>
                      <a:fillRect/>
                    </a:stretch>
                  </pic:blipFill>
                  <pic:spPr>
                    <a:xfrm>
                      <a:off x="0" y="0"/>
                      <a:ext cx="5657850" cy="4352925"/>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附件3-1</w:t>
      </w:r>
      <w:r>
        <w:rPr>
          <w:rFonts w:hint="eastAsia" w:ascii="宋体" w:hAnsi="宋体" w:eastAsia="宋体" w:cs="宋体"/>
          <w:b/>
          <w:bCs/>
          <w:color w:val="auto"/>
          <w:sz w:val="24"/>
          <w:szCs w:val="24"/>
          <w:highlight w:val="none"/>
        </w:rPr>
        <w:t>南宁市金花茶公园园区、桃村路小游园绿化养护服务</w:t>
      </w:r>
      <w:r>
        <w:rPr>
          <w:rFonts w:hint="eastAsia" w:ascii="宋体" w:hAnsi="宋体" w:eastAsia="宋体" w:cs="宋体"/>
          <w:b/>
          <w:bCs/>
          <w:color w:val="auto"/>
          <w:sz w:val="24"/>
          <w:szCs w:val="24"/>
          <w:highlight w:val="none"/>
          <w:lang w:val="en-US" w:eastAsia="zh-CN"/>
        </w:rPr>
        <w:t>范围</w:t>
      </w:r>
      <w:r>
        <w:rPr>
          <w:rFonts w:hint="eastAsia" w:ascii="宋体" w:hAnsi="宋体" w:eastAsia="宋体" w:cs="宋体"/>
          <w:b/>
          <w:bCs/>
          <w:color w:val="auto"/>
          <w:sz w:val="24"/>
          <w:szCs w:val="24"/>
          <w:highlight w:val="none"/>
        </w:rPr>
        <w:t>图</w:t>
      </w:r>
    </w:p>
    <w:p w14:paraId="1117ED1D">
      <w:pPr>
        <w:pageBreakBefore w:val="0"/>
        <w:numPr>
          <w:ilvl w:val="0"/>
          <w:numId w:val="0"/>
        </w:numPr>
        <w:kinsoku/>
        <w:wordWrap w:val="0"/>
        <w:overflowPunct/>
        <w:topLinePunct w:val="0"/>
        <w:bidi w:val="0"/>
        <w:ind w:firstLine="321" w:firstLineChars="100"/>
        <w:outlineLvl w:val="2"/>
        <w:rPr>
          <w:rFonts w:hint="eastAsia" w:ascii="宋体" w:hAnsi="宋体" w:eastAsia="宋体" w:cs="宋体"/>
          <w:b/>
          <w:color w:val="auto"/>
          <w:sz w:val="32"/>
          <w:szCs w:val="32"/>
          <w:highlight w:val="none"/>
        </w:rPr>
        <w:sectPr>
          <w:pgSz w:w="11906" w:h="16838"/>
          <w:pgMar w:top="1440" w:right="1304" w:bottom="1440" w:left="1304" w:header="851" w:footer="992" w:gutter="0"/>
          <w:pgBorders>
            <w:top w:val="none" w:sz="0" w:space="0"/>
            <w:left w:val="none" w:sz="0" w:space="0"/>
            <w:bottom w:val="none" w:sz="0" w:space="0"/>
            <w:right w:val="none" w:sz="0" w:space="0"/>
          </w:pgBorders>
          <w:cols w:space="720" w:num="1"/>
          <w:docGrid w:type="lines" w:linePitch="312" w:charSpace="0"/>
        </w:sectPr>
      </w:pPr>
    </w:p>
    <w:p w14:paraId="168DDE9F">
      <w:pPr>
        <w:spacing w:line="276" w:lineRule="auto"/>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附件3-2</w:t>
      </w:r>
    </w:p>
    <w:p w14:paraId="5E965D8C">
      <w:pPr>
        <w:jc w:val="center"/>
        <w:rPr>
          <w:rFonts w:ascii="宋体" w:hAnsi="宋体"/>
          <w:b/>
          <w:bCs/>
          <w:color w:val="auto"/>
          <w:sz w:val="24"/>
          <w:szCs w:val="24"/>
          <w:highlight w:val="none"/>
        </w:rPr>
      </w:pPr>
      <w:r>
        <w:rPr>
          <w:rFonts w:hint="eastAsia" w:ascii="宋体" w:hAnsi="宋体"/>
          <w:b/>
          <w:bCs/>
          <w:color w:val="auto"/>
          <w:sz w:val="24"/>
          <w:szCs w:val="24"/>
          <w:highlight w:val="none"/>
        </w:rPr>
        <w:t>南宁市金花茶公园绿化养护服务考核办法</w:t>
      </w:r>
    </w:p>
    <w:p w14:paraId="0A1F2A40">
      <w:pPr>
        <w:spacing w:line="400" w:lineRule="exact"/>
        <w:ind w:firstLine="482" w:firstLineChars="200"/>
        <w:outlineLvl w:val="9"/>
        <w:rPr>
          <w:rFonts w:ascii="宋体" w:hAnsi="宋体"/>
          <w:b/>
          <w:bCs/>
          <w:color w:val="auto"/>
          <w:sz w:val="24"/>
          <w:szCs w:val="24"/>
          <w:highlight w:val="none"/>
        </w:rPr>
      </w:pPr>
      <w:r>
        <w:rPr>
          <w:rFonts w:hint="eastAsia" w:ascii="宋体" w:hAnsi="宋体"/>
          <w:b/>
          <w:bCs/>
          <w:color w:val="auto"/>
          <w:sz w:val="24"/>
          <w:szCs w:val="24"/>
          <w:highlight w:val="none"/>
        </w:rPr>
        <w:t>一、考核实施机构和形式</w:t>
      </w:r>
    </w:p>
    <w:p w14:paraId="7D194664">
      <w:pPr>
        <w:spacing w:line="400" w:lineRule="exact"/>
        <w:ind w:firstLine="448" w:firstLineChars="187"/>
        <w:rPr>
          <w:rFonts w:ascii="宋体"/>
          <w:color w:val="auto"/>
          <w:sz w:val="24"/>
          <w:szCs w:val="24"/>
          <w:highlight w:val="none"/>
        </w:rPr>
      </w:pPr>
      <w:r>
        <w:rPr>
          <w:rFonts w:hint="eastAsia" w:ascii="宋体" w:hAnsi="宋体"/>
          <w:color w:val="auto"/>
          <w:sz w:val="24"/>
          <w:szCs w:val="24"/>
          <w:highlight w:val="none"/>
        </w:rPr>
        <w:t>由南宁市金花茶公园（以下简称公园）园容科对服务中标供应商的绿化养护管理工作和养护质量进行检查和考核，检查考核结果与养护经费挂钩。</w:t>
      </w:r>
    </w:p>
    <w:p w14:paraId="43BD64AE">
      <w:pPr>
        <w:spacing w:line="400" w:lineRule="exact"/>
        <w:ind w:left="560"/>
        <w:outlineLvl w:val="9"/>
        <w:rPr>
          <w:rFonts w:ascii="宋体"/>
          <w:b/>
          <w:bCs/>
          <w:color w:val="auto"/>
          <w:sz w:val="24"/>
          <w:szCs w:val="24"/>
          <w:highlight w:val="none"/>
        </w:rPr>
      </w:pPr>
      <w:r>
        <w:rPr>
          <w:rFonts w:hint="eastAsia" w:ascii="宋体" w:hAnsi="宋体"/>
          <w:b/>
          <w:bCs/>
          <w:color w:val="auto"/>
          <w:sz w:val="24"/>
          <w:szCs w:val="24"/>
          <w:highlight w:val="none"/>
        </w:rPr>
        <w:t>二、考核范围</w:t>
      </w:r>
    </w:p>
    <w:p w14:paraId="08C38D5D">
      <w:pPr>
        <w:autoSpaceDE w:val="0"/>
        <w:autoSpaceDN w:val="0"/>
        <w:adjustRightInd w:val="0"/>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1、南宁市金花茶公园区域及桃村路小游园的绿化养护，详见附件1。具体如下：全年养护管理工作内容主要有日常巡查管理，乔木、灌木、茶花、草坪、地被、垂直绿化、时令草花等植物的绿化日常养护工作（包括淋水及排水等水分管理、松土除杂、树盘及片植植物边线修整、施肥、植物修剪、清理干枯枝、病虫害防治、补植及移植、黄土裸露补植、植物清洗、清理过高土、粉碎树叶制造</w:t>
      </w:r>
      <w:r>
        <w:rPr>
          <w:rFonts w:hint="eastAsia" w:ascii="宋体" w:hAnsi="宋体" w:cs="宋体"/>
          <w:color w:val="auto"/>
          <w:sz w:val="24"/>
          <w:szCs w:val="24"/>
          <w:highlight w:val="none"/>
        </w:rPr>
        <w:t>改良土壤基质</w:t>
      </w:r>
      <w:r>
        <w:rPr>
          <w:rFonts w:hint="eastAsia" w:ascii="宋体" w:hAnsi="宋体"/>
          <w:color w:val="auto"/>
          <w:sz w:val="24"/>
          <w:szCs w:val="24"/>
          <w:highlight w:val="none"/>
        </w:rPr>
        <w:t>、应急抢险或突发事件处理、茶花展的布展与撤展、重大活动保障等涉及绿化养护、绿地管理等工作）。同时，负责绿化工作区域内安全生产、绿地保护，防止人为破坏，及时发现，及时上报。</w:t>
      </w:r>
    </w:p>
    <w:p w14:paraId="4EC404EA">
      <w:pPr>
        <w:spacing w:line="400" w:lineRule="exact"/>
        <w:ind w:firstLine="448" w:firstLineChars="187"/>
        <w:rPr>
          <w:rFonts w:ascii="宋体"/>
          <w:color w:val="auto"/>
          <w:sz w:val="24"/>
          <w:szCs w:val="24"/>
          <w:highlight w:val="none"/>
        </w:rPr>
      </w:pPr>
      <w:r>
        <w:rPr>
          <w:rFonts w:hint="eastAsia" w:ascii="宋体" w:hAnsi="宋体"/>
          <w:color w:val="auto"/>
          <w:sz w:val="24"/>
          <w:szCs w:val="24"/>
          <w:highlight w:val="none"/>
        </w:rPr>
        <w:t>2、中标供应商根据养护任务而制定的工作计划和工作完成汇总报表等管理工作情况。</w:t>
      </w:r>
    </w:p>
    <w:p w14:paraId="59AEBF0B">
      <w:pPr>
        <w:spacing w:line="400" w:lineRule="exact"/>
        <w:ind w:firstLine="448" w:firstLineChars="187"/>
        <w:rPr>
          <w:rFonts w:ascii="宋体"/>
          <w:color w:val="auto"/>
          <w:sz w:val="24"/>
          <w:szCs w:val="24"/>
          <w:highlight w:val="none"/>
        </w:rPr>
      </w:pPr>
      <w:r>
        <w:rPr>
          <w:rFonts w:hint="eastAsia" w:ascii="宋体" w:hAnsi="宋体"/>
          <w:color w:val="auto"/>
          <w:sz w:val="24"/>
          <w:szCs w:val="24"/>
          <w:highlight w:val="none"/>
        </w:rPr>
        <w:t>3、金花茶公园专项突击、社会投诉、网上信访、媒体曝光、市长热线投诉、“数字城管”等案件以及被有关部门督办等情况，临时安排的其它绿化养护工作的有关情况。</w:t>
      </w:r>
    </w:p>
    <w:p w14:paraId="718FD1DF">
      <w:pPr>
        <w:spacing w:line="400" w:lineRule="exact"/>
        <w:ind w:firstLine="448" w:firstLineChars="187"/>
        <w:rPr>
          <w:rFonts w:ascii="宋体"/>
          <w:color w:val="auto"/>
          <w:sz w:val="24"/>
          <w:szCs w:val="24"/>
          <w:highlight w:val="none"/>
        </w:rPr>
      </w:pPr>
      <w:r>
        <w:rPr>
          <w:rFonts w:hint="eastAsia" w:ascii="宋体" w:hAnsi="宋体"/>
          <w:color w:val="auto"/>
          <w:sz w:val="24"/>
          <w:szCs w:val="24"/>
          <w:highlight w:val="none"/>
        </w:rPr>
        <w:t>4、承包单位投标文件承诺投入的人员、车辆及园林机械设备、设施等响应投入情况的考核。</w:t>
      </w:r>
    </w:p>
    <w:p w14:paraId="1177F203">
      <w:pPr>
        <w:spacing w:line="400" w:lineRule="exact"/>
        <w:ind w:firstLine="482" w:firstLineChars="200"/>
        <w:outlineLvl w:val="9"/>
        <w:rPr>
          <w:rFonts w:ascii="宋体"/>
          <w:b/>
          <w:bCs/>
          <w:color w:val="auto"/>
          <w:sz w:val="24"/>
          <w:szCs w:val="24"/>
          <w:highlight w:val="none"/>
        </w:rPr>
      </w:pPr>
      <w:r>
        <w:rPr>
          <w:rFonts w:hint="eastAsia" w:ascii="宋体" w:hAnsi="宋体"/>
          <w:b/>
          <w:bCs/>
          <w:color w:val="auto"/>
          <w:sz w:val="24"/>
          <w:szCs w:val="24"/>
          <w:highlight w:val="none"/>
        </w:rPr>
        <w:t>三、考核标准和依据</w:t>
      </w:r>
    </w:p>
    <w:p w14:paraId="7592DB3C">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1、中标供应商与公园签订的绿化养护管理合同；</w:t>
      </w:r>
    </w:p>
    <w:p w14:paraId="218AC564">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2、招标文件中规定的技术规范、标准、要求；</w:t>
      </w:r>
    </w:p>
    <w:p w14:paraId="19999644">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3、中标供应商在其投标时的各种资料及承诺；</w:t>
      </w:r>
    </w:p>
    <w:p w14:paraId="16DDF208">
      <w:pPr>
        <w:spacing w:line="400" w:lineRule="exact"/>
        <w:rPr>
          <w:rFonts w:ascii="宋体"/>
          <w:color w:val="auto"/>
          <w:sz w:val="24"/>
          <w:szCs w:val="24"/>
          <w:highlight w:val="none"/>
        </w:rPr>
      </w:pPr>
      <w:r>
        <w:rPr>
          <w:rFonts w:hint="eastAsia" w:ascii="宋体" w:hAnsi="宋体"/>
          <w:color w:val="auto"/>
          <w:sz w:val="24"/>
          <w:szCs w:val="24"/>
          <w:highlight w:val="none"/>
        </w:rPr>
        <w:t xml:space="preserve">    4、《一级绿地养护质量要求表》、《茶花养护质量要求表》、《一级花坛养护质量要求表》、《南宁市金花茶公园绿化养护日常检查考核评分表》和</w:t>
      </w:r>
      <w:r>
        <w:rPr>
          <w:rFonts w:hint="eastAsia" w:ascii="黑体" w:eastAsia="黑体"/>
          <w:color w:val="auto"/>
          <w:sz w:val="24"/>
          <w:szCs w:val="24"/>
          <w:highlight w:val="none"/>
        </w:rPr>
        <w:t>《</w:t>
      </w:r>
      <w:r>
        <w:rPr>
          <w:rFonts w:hint="eastAsia" w:ascii="宋体" w:hAnsi="宋体"/>
          <w:color w:val="auto"/>
          <w:sz w:val="24"/>
          <w:szCs w:val="24"/>
          <w:highlight w:val="none"/>
        </w:rPr>
        <w:t>南宁市金花茶公园绿化养护月度检查考核评分表》（见附件</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2-1至附件</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2-5）；</w:t>
      </w:r>
    </w:p>
    <w:p w14:paraId="1049C6B6">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5、公园制定的安全生产操作规程等有关养护工作的规定；</w:t>
      </w:r>
    </w:p>
    <w:p w14:paraId="487657A5">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6、公园有关会议纪要以及临时安排工作通知要求；</w:t>
      </w:r>
    </w:p>
    <w:p w14:paraId="10578E45">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7、公园及其他相关单位等涉及金花茶公园绿化养护管理工作的相关文件和精神。</w:t>
      </w:r>
    </w:p>
    <w:p w14:paraId="5FA3D99C">
      <w:pPr>
        <w:spacing w:line="400" w:lineRule="exact"/>
        <w:ind w:firstLine="482" w:firstLineChars="200"/>
        <w:outlineLvl w:val="9"/>
        <w:rPr>
          <w:rFonts w:ascii="宋体" w:hAnsi="宋体"/>
          <w:b/>
          <w:bCs/>
          <w:color w:val="auto"/>
          <w:sz w:val="24"/>
          <w:szCs w:val="24"/>
          <w:highlight w:val="none"/>
        </w:rPr>
      </w:pPr>
      <w:r>
        <w:rPr>
          <w:rFonts w:hint="eastAsia" w:ascii="宋体" w:hAnsi="宋体"/>
          <w:b/>
          <w:bCs/>
          <w:color w:val="auto"/>
          <w:sz w:val="24"/>
          <w:szCs w:val="24"/>
          <w:highlight w:val="none"/>
        </w:rPr>
        <w:t>四、考核责任分工</w:t>
      </w:r>
    </w:p>
    <w:p w14:paraId="7F3B47A4">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1、公园绿化养护日常巡查工作由公园负责，成立日常巡查工作小组，小组成员由公园园容管理科技术员、中标供应商现场负责人或</w:t>
      </w:r>
      <w:r>
        <w:rPr>
          <w:rFonts w:hint="eastAsia" w:ascii="宋体" w:hAnsi="宋体"/>
          <w:color w:val="auto"/>
          <w:kern w:val="0"/>
          <w:sz w:val="24"/>
          <w:szCs w:val="24"/>
          <w:highlight w:val="none"/>
        </w:rPr>
        <w:t>技术员</w:t>
      </w:r>
      <w:r>
        <w:rPr>
          <w:rFonts w:hint="eastAsia" w:ascii="宋体" w:hAnsi="宋体"/>
          <w:color w:val="auto"/>
          <w:sz w:val="24"/>
          <w:szCs w:val="24"/>
          <w:highlight w:val="none"/>
        </w:rPr>
        <w:t>组成。具体职责包括：组织人员巡查、日常巡查记录、下发整改通知、结果整理保存、上报。中标供应商必须委派1名现场负责人或</w:t>
      </w:r>
      <w:r>
        <w:rPr>
          <w:rFonts w:hint="eastAsia" w:ascii="宋体" w:hAnsi="宋体"/>
          <w:color w:val="auto"/>
          <w:kern w:val="0"/>
          <w:sz w:val="24"/>
          <w:szCs w:val="24"/>
          <w:highlight w:val="none"/>
        </w:rPr>
        <w:t>技术员</w:t>
      </w:r>
      <w:r>
        <w:rPr>
          <w:rFonts w:hint="eastAsia" w:ascii="宋体" w:hAnsi="宋体"/>
          <w:color w:val="auto"/>
          <w:sz w:val="24"/>
          <w:szCs w:val="24"/>
          <w:highlight w:val="none"/>
        </w:rPr>
        <w:t>参加日常巡查工作。</w:t>
      </w:r>
    </w:p>
    <w:p w14:paraId="21545458">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此外，中标供应商也要每个工作日由1名现场负责人或</w:t>
      </w:r>
      <w:r>
        <w:rPr>
          <w:rFonts w:hint="eastAsia" w:ascii="宋体" w:hAnsi="宋体"/>
          <w:color w:val="auto"/>
          <w:kern w:val="0"/>
          <w:sz w:val="24"/>
          <w:szCs w:val="24"/>
          <w:highlight w:val="none"/>
        </w:rPr>
        <w:t>技术员</w:t>
      </w:r>
      <w:r>
        <w:rPr>
          <w:rFonts w:hint="eastAsia" w:ascii="宋体" w:hAnsi="宋体"/>
          <w:color w:val="auto"/>
          <w:sz w:val="24"/>
          <w:szCs w:val="24"/>
          <w:highlight w:val="none"/>
        </w:rPr>
        <w:t>组织日常工作自查巡查，记录巡查发现问题并及时整改。</w:t>
      </w:r>
    </w:p>
    <w:p w14:paraId="16F81D55">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2、绿化养护月度考核工作由公园相关领导及园容管理科工作人员、中标供应商现场管理人员组成月度考核小组，公园参与考核人员具体职责包括：组织人员、检查记录、月度考核评分、经费核算。</w:t>
      </w:r>
    </w:p>
    <w:p w14:paraId="786C6D7E">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3、专项考评按照实际工作情况安排，由中标供应商上报专项工作计划，经公园及园容管理科相关领导审批后，指派技术员现场监督及指导工作计划开展，同时公园安排相关领导及园容管理科工作人员、中标供应商现场管理人员等组成专项考评小组就专项工作执行情况进行考评。</w:t>
      </w:r>
    </w:p>
    <w:p w14:paraId="502BFE80">
      <w:pPr>
        <w:spacing w:line="400" w:lineRule="exact"/>
        <w:ind w:firstLine="480" w:firstLineChars="200"/>
        <w:rPr>
          <w:rFonts w:ascii="宋体" w:hAnsi="宋体"/>
          <w:b/>
          <w:bCs/>
          <w:color w:val="auto"/>
          <w:sz w:val="24"/>
          <w:szCs w:val="24"/>
          <w:highlight w:val="none"/>
        </w:rPr>
      </w:pPr>
      <w:r>
        <w:rPr>
          <w:rFonts w:hint="eastAsia" w:ascii="宋体" w:hAnsi="宋体"/>
          <w:color w:val="auto"/>
          <w:sz w:val="24"/>
          <w:szCs w:val="24"/>
          <w:highlight w:val="none"/>
        </w:rPr>
        <w:t>4、中标供应商要按“服务需求一览表”中的服务项目的具体内容和考核标准做好日常管理和作业，并积极配合金花茶公园开展日常巡查及月度考核、专项考评工作。如遇突发事故或其他不可抗力因素，中标供应商要按制定的应急预案开展工作。</w:t>
      </w:r>
    </w:p>
    <w:p w14:paraId="7B674994">
      <w:pPr>
        <w:spacing w:line="400" w:lineRule="exact"/>
        <w:ind w:firstLine="482" w:firstLineChars="200"/>
        <w:outlineLvl w:val="9"/>
        <w:rPr>
          <w:rFonts w:ascii="宋体"/>
          <w:b/>
          <w:bCs/>
          <w:color w:val="auto"/>
          <w:sz w:val="24"/>
          <w:szCs w:val="24"/>
          <w:highlight w:val="none"/>
        </w:rPr>
      </w:pPr>
      <w:r>
        <w:rPr>
          <w:rFonts w:hint="eastAsia" w:ascii="宋体" w:hAnsi="宋体"/>
          <w:b/>
          <w:bCs/>
          <w:color w:val="auto"/>
          <w:sz w:val="24"/>
          <w:szCs w:val="24"/>
          <w:highlight w:val="none"/>
        </w:rPr>
        <w:t>五、考核办法及等级评定</w:t>
      </w:r>
    </w:p>
    <w:p w14:paraId="6681A668">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 xml:space="preserve">  考核分为日常工作考核、专项考核和月考核。</w:t>
      </w:r>
    </w:p>
    <w:p w14:paraId="524A59EB">
      <w:pPr>
        <w:spacing w:line="400" w:lineRule="exact"/>
        <w:ind w:firstLine="354" w:firstLineChars="147"/>
        <w:outlineLvl w:val="9"/>
        <w:rPr>
          <w:rFonts w:ascii="宋体"/>
          <w:b/>
          <w:bCs/>
          <w:color w:val="auto"/>
          <w:sz w:val="24"/>
          <w:szCs w:val="24"/>
          <w:highlight w:val="none"/>
        </w:rPr>
      </w:pPr>
      <w:r>
        <w:rPr>
          <w:rFonts w:hint="eastAsia" w:ascii="宋体" w:hAnsi="宋体"/>
          <w:b/>
          <w:bCs/>
          <w:color w:val="auto"/>
          <w:sz w:val="24"/>
          <w:szCs w:val="24"/>
          <w:highlight w:val="none"/>
        </w:rPr>
        <w:t>（一）日常工作考核</w:t>
      </w:r>
    </w:p>
    <w:p w14:paraId="0FDB3FAF">
      <w:pPr>
        <w:spacing w:line="400" w:lineRule="exact"/>
        <w:ind w:firstLine="448" w:firstLineChars="187"/>
        <w:rPr>
          <w:rFonts w:ascii="宋体" w:hAnsi="宋体"/>
          <w:color w:val="auto"/>
          <w:sz w:val="24"/>
          <w:szCs w:val="24"/>
          <w:highlight w:val="none"/>
        </w:rPr>
      </w:pPr>
      <w:r>
        <w:rPr>
          <w:rFonts w:hint="eastAsia" w:ascii="宋体" w:hAnsi="宋体"/>
          <w:color w:val="auto"/>
          <w:sz w:val="24"/>
          <w:szCs w:val="24"/>
          <w:highlight w:val="none"/>
        </w:rPr>
        <w:t>日常工作考核由公园园容管理科负责，以考核日常养护工作情况为主，结合内业管理工作进行</w:t>
      </w:r>
    </w:p>
    <w:p w14:paraId="3BD9FC49">
      <w:pPr>
        <w:spacing w:line="400" w:lineRule="exact"/>
        <w:ind w:firstLine="451" w:firstLineChars="187"/>
        <w:rPr>
          <w:rFonts w:ascii="宋体"/>
          <w:b/>
          <w:bCs/>
          <w:color w:val="auto"/>
          <w:sz w:val="24"/>
          <w:szCs w:val="24"/>
          <w:highlight w:val="none"/>
        </w:rPr>
      </w:pPr>
      <w:r>
        <w:rPr>
          <w:rFonts w:hint="eastAsia" w:ascii="宋体" w:hAnsi="宋体"/>
          <w:b/>
          <w:bCs/>
          <w:color w:val="auto"/>
          <w:sz w:val="24"/>
          <w:szCs w:val="24"/>
          <w:highlight w:val="none"/>
        </w:rPr>
        <w:t>1、日常养护工作情况考核</w:t>
      </w:r>
    </w:p>
    <w:p w14:paraId="45D86CBD">
      <w:pPr>
        <w:spacing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公园园容管理科根据绿化养护标准要求以及中标供应商提供的工作计划，定期或不定期对中标供应商的养护工作进行检查，检查内容包括人员投入、机械设备、安全生产和作业规范、乔木、灌木、茶花、草坪、地被、垂直绿化、时令草花等植物的绿化日常养护工作。主要包括水分管理、松土除杂、树盘及片植植物边线修整、施肥、植物修剪、清理干枯枝、病虫害防治、补植及移植、黄土裸露补植、植物清洗、清理过高土、应急抢险或突发事件处理、花展、重大活动保障等涉及绿化养护、绿地管理等。对发现不达标的情况记入《南宁市金花茶公园日常检查记录表》（附件</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2-6），要求其整改并视情形按《南宁市金花茶公园绿化养护日常考核评分标准》进行扣分。记录情况应当场由检査人员及中标供应商管理人员签字确认。中标供应商应进行自查，发现问题及时整改。</w:t>
      </w:r>
    </w:p>
    <w:p w14:paraId="1BEB1FF6">
      <w:pPr>
        <w:spacing w:line="400" w:lineRule="exact"/>
        <w:ind w:firstLine="448" w:firstLineChars="187"/>
        <w:rPr>
          <w:rFonts w:ascii="宋体"/>
          <w:color w:val="auto"/>
          <w:sz w:val="24"/>
          <w:szCs w:val="24"/>
          <w:highlight w:val="none"/>
        </w:rPr>
      </w:pPr>
      <w:r>
        <w:rPr>
          <w:rFonts w:hint="eastAsia" w:ascii="宋体" w:hAnsi="宋体"/>
          <w:color w:val="auto"/>
          <w:sz w:val="24"/>
          <w:szCs w:val="24"/>
          <w:highlight w:val="none"/>
        </w:rPr>
        <w:t>日常检查作出扣分决定的，园容科检查人员应及时告知中标供应商管理人员，并拍照或摄像留档，填写《南宁市金花茶公园日常检查记录表》。若需要中标供应商到现场接受指导时，中标供应商应在半小时内派人到场。</w:t>
      </w:r>
    </w:p>
    <w:p w14:paraId="2E44658F">
      <w:pPr>
        <w:spacing w:line="400" w:lineRule="exact"/>
        <w:ind w:firstLine="448" w:firstLineChars="187"/>
        <w:rPr>
          <w:rFonts w:ascii="宋体"/>
          <w:color w:val="auto"/>
          <w:sz w:val="24"/>
          <w:szCs w:val="24"/>
          <w:highlight w:val="none"/>
        </w:rPr>
      </w:pPr>
      <w:r>
        <w:rPr>
          <w:rFonts w:hint="eastAsia" w:ascii="宋体" w:hAnsi="宋体"/>
          <w:color w:val="auto"/>
          <w:sz w:val="24"/>
          <w:szCs w:val="24"/>
          <w:highlight w:val="none"/>
        </w:rPr>
        <w:t>中标供应商若对扣分有异议，可向园容科提出现场复议，复议原则上需中标供应商自行提交复议证据材料。复议或申诉有效期为一个工作日，逾期可视为自动放弃复议权。</w:t>
      </w:r>
    </w:p>
    <w:p w14:paraId="293BA24A">
      <w:pPr>
        <w:spacing w:line="400" w:lineRule="exact"/>
        <w:ind w:firstLine="451" w:firstLineChars="187"/>
        <w:outlineLvl w:val="9"/>
        <w:rPr>
          <w:rFonts w:ascii="宋体"/>
          <w:b/>
          <w:bCs/>
          <w:color w:val="auto"/>
          <w:sz w:val="24"/>
          <w:szCs w:val="24"/>
          <w:highlight w:val="none"/>
        </w:rPr>
      </w:pPr>
      <w:r>
        <w:rPr>
          <w:rFonts w:hint="eastAsia" w:ascii="宋体" w:hAnsi="宋体"/>
          <w:b/>
          <w:bCs/>
          <w:color w:val="auto"/>
          <w:sz w:val="24"/>
          <w:szCs w:val="24"/>
          <w:highlight w:val="none"/>
        </w:rPr>
        <w:t>2、内业管理工作考核</w:t>
      </w:r>
    </w:p>
    <w:p w14:paraId="12C4ADE4">
      <w:pPr>
        <w:spacing w:line="400" w:lineRule="exact"/>
        <w:ind w:firstLine="448" w:firstLineChars="187"/>
        <w:rPr>
          <w:rFonts w:ascii="宋体"/>
          <w:color w:val="auto"/>
          <w:sz w:val="24"/>
          <w:szCs w:val="24"/>
          <w:highlight w:val="none"/>
        </w:rPr>
      </w:pPr>
      <w:r>
        <w:rPr>
          <w:rFonts w:hint="eastAsia" w:ascii="宋体" w:hAnsi="宋体"/>
          <w:color w:val="auto"/>
          <w:sz w:val="24"/>
          <w:szCs w:val="24"/>
          <w:highlight w:val="none"/>
        </w:rPr>
        <w:t>内业管理工作主要内容有：</w:t>
      </w:r>
    </w:p>
    <w:p w14:paraId="22814C9B">
      <w:pPr>
        <w:spacing w:line="400" w:lineRule="exact"/>
        <w:ind w:firstLine="240" w:firstLineChars="100"/>
        <w:rPr>
          <w:rFonts w:ascii="宋体"/>
          <w:color w:val="auto"/>
          <w:sz w:val="24"/>
          <w:szCs w:val="24"/>
          <w:highlight w:val="none"/>
        </w:rPr>
      </w:pPr>
      <w:r>
        <w:rPr>
          <w:rFonts w:hint="eastAsia" w:ascii="宋体" w:hAnsi="宋体"/>
          <w:color w:val="auto"/>
          <w:sz w:val="24"/>
          <w:szCs w:val="24"/>
          <w:highlight w:val="none"/>
        </w:rPr>
        <w:t>（1）每月20日前呈报下月养护工作计划。</w:t>
      </w:r>
    </w:p>
    <w:p w14:paraId="4D1A103A">
      <w:pPr>
        <w:spacing w:line="400" w:lineRule="exact"/>
        <w:ind w:firstLine="240" w:firstLineChars="100"/>
        <w:rPr>
          <w:rFonts w:ascii="宋体"/>
          <w:color w:val="auto"/>
          <w:sz w:val="24"/>
          <w:szCs w:val="24"/>
          <w:highlight w:val="none"/>
        </w:rPr>
      </w:pPr>
      <w:r>
        <w:rPr>
          <w:rFonts w:hint="eastAsia" w:ascii="宋体" w:hAnsi="宋体"/>
          <w:color w:val="auto"/>
          <w:sz w:val="24"/>
          <w:szCs w:val="24"/>
          <w:highlight w:val="none"/>
        </w:rPr>
        <w:t xml:space="preserve">（2）每月5日前呈报上月的工作完成情况报告及考勤表。 </w:t>
      </w:r>
    </w:p>
    <w:p w14:paraId="6ACC894F">
      <w:pPr>
        <w:spacing w:line="400" w:lineRule="exact"/>
        <w:ind w:firstLine="240" w:firstLineChars="100"/>
        <w:rPr>
          <w:rFonts w:ascii="宋体"/>
          <w:color w:val="auto"/>
          <w:sz w:val="24"/>
          <w:szCs w:val="24"/>
          <w:highlight w:val="none"/>
        </w:rPr>
      </w:pPr>
      <w:r>
        <w:rPr>
          <w:rFonts w:hint="eastAsia" w:ascii="宋体" w:hAnsi="宋体"/>
          <w:color w:val="auto"/>
          <w:sz w:val="24"/>
          <w:szCs w:val="24"/>
          <w:highlight w:val="none"/>
        </w:rPr>
        <w:t>（3）上述资料上交时间如遇节假日则提前顺推至正常工作日上交。</w:t>
      </w:r>
    </w:p>
    <w:p w14:paraId="1B5A033F">
      <w:pPr>
        <w:spacing w:line="400" w:lineRule="exact"/>
        <w:ind w:firstLine="240" w:firstLineChars="100"/>
        <w:rPr>
          <w:rFonts w:ascii="宋体" w:hAnsi="宋体"/>
          <w:color w:val="auto"/>
          <w:sz w:val="24"/>
          <w:szCs w:val="24"/>
          <w:highlight w:val="none"/>
        </w:rPr>
      </w:pPr>
      <w:r>
        <w:rPr>
          <w:rFonts w:hint="eastAsia" w:ascii="宋体" w:hAnsi="宋体"/>
          <w:color w:val="auto"/>
          <w:sz w:val="24"/>
          <w:szCs w:val="24"/>
          <w:highlight w:val="none"/>
        </w:rPr>
        <w:t>（4）其他要求上报的资料数据，以通知为准。</w:t>
      </w:r>
    </w:p>
    <w:p w14:paraId="298C704D">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程序: 现场巡查→下发整改通知→复查验收→上报结果→纳入当月考核</w:t>
      </w:r>
    </w:p>
    <w:p w14:paraId="7B2FAEB9">
      <w:pPr>
        <w:spacing w:line="400" w:lineRule="exact"/>
        <w:ind w:left="560"/>
        <w:outlineLvl w:val="9"/>
        <w:rPr>
          <w:rFonts w:ascii="宋体" w:hAnsi="宋体"/>
          <w:b/>
          <w:color w:val="auto"/>
          <w:sz w:val="24"/>
          <w:szCs w:val="24"/>
          <w:highlight w:val="none"/>
        </w:rPr>
      </w:pPr>
      <w:r>
        <w:rPr>
          <w:rFonts w:hint="eastAsia" w:ascii="宋体" w:hAnsi="宋体"/>
          <w:b/>
          <w:color w:val="auto"/>
          <w:sz w:val="24"/>
          <w:szCs w:val="24"/>
          <w:highlight w:val="none"/>
        </w:rPr>
        <w:t>（二）专项考评</w:t>
      </w:r>
    </w:p>
    <w:p w14:paraId="4D9352A6">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①大面积施肥专项考评</w:t>
      </w:r>
    </w:p>
    <w:p w14:paraId="4E637794">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春秋两季，中标供应商应对管养绿地全面施肥至少各一次，观花乔灌木有特别施肥需要的（如孕蕾期、花后），应增加施肥次数。每年1月初及8月初，中标供应商应及时上交当年施肥工作计划至公园园容管理科，纳入专项考评。</w:t>
      </w:r>
    </w:p>
    <w:p w14:paraId="7B0B4355">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②大面积淋水抗旱专项考评</w:t>
      </w:r>
    </w:p>
    <w:p w14:paraId="2B424F5F">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旱季（一般为9-12月），中标供应商应根据实际情况对管养绿地开展大面积淋水抗旱工作。每年8月下旬，中标供应商应及时上交淋水抗旱工作计划至公园园容管理科，纳入专项考评。</w:t>
      </w:r>
    </w:p>
    <w:p w14:paraId="60E1994F">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③专项病虫害防治考评</w:t>
      </w:r>
    </w:p>
    <w:p w14:paraId="3D7EBF4F">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④灾害应对专项考评</w:t>
      </w:r>
    </w:p>
    <w:p w14:paraId="3EEA216C">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出现台风预警、长时间低温、洪涝等极端恶劣天气灾害，或其他因不可抗力因素产生的突击维护工作。</w:t>
      </w:r>
    </w:p>
    <w:p w14:paraId="1D7B4FBE">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⑤活动专项考评</w:t>
      </w:r>
    </w:p>
    <w:p w14:paraId="5CCEF5F5">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国家级、区级、市级等迎检工作以及花展布置。</w:t>
      </w:r>
    </w:p>
    <w:p w14:paraId="53DB88BE">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第①—④专项考评，中标供应商按要求上交专项工作计划，经公园及园容管理科相关领导审批后，由园容科指派技术员现场监督及指导中标供应商现场负责人按工作计划实施。实施完毕后，根据工作计划内容制表，由专项考评小组复查验收。如专项工作未能按质按量完成，专项考评小组视实际情况及工作完成度进行扣分，每项专项工作扣分上限为10分。当月所有专项考评扣分分值合计后，计入当月月度考核总评分。</w:t>
      </w:r>
    </w:p>
    <w:p w14:paraId="01579749">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第⑤活动专项考评，因特殊情况需开展重点整治或重要突击活动时，经公园下发通知，中标供应商按要求上交专项工作计划；公园未专门下发通知的，不需中标供应商上交专项工作计划。第⑤活动专项考评检查考核办法如下：</w:t>
      </w:r>
    </w:p>
    <w:p w14:paraId="2E309726">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国家级、区级、市级等迎检工作纳入月度考核。国家级、区级、市级迎检工作中被自治区、南宁市、主管局等上级扣分的按被扣分的三倍进行扣分，扣分不设上限，纳入当月考核结果。媒体曝光及相关部门投诉、市民游客投诉的，按绿化养护考核细则进行三倍扣分，扣分不设上限，纳入当月考核结果。</w:t>
      </w:r>
    </w:p>
    <w:p w14:paraId="686A72CA">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各活动专项考评收到非本公园反馈的问题信息时已过问题发生当月的，纳入收到月份的考核。</w:t>
      </w:r>
    </w:p>
    <w:p w14:paraId="6A9E8751">
      <w:pPr>
        <w:spacing w:line="400" w:lineRule="exact"/>
        <w:ind w:left="560"/>
        <w:outlineLvl w:val="9"/>
        <w:rPr>
          <w:rFonts w:ascii="宋体"/>
          <w:b/>
          <w:bCs/>
          <w:color w:val="auto"/>
          <w:sz w:val="24"/>
          <w:szCs w:val="24"/>
          <w:highlight w:val="none"/>
        </w:rPr>
      </w:pPr>
      <w:r>
        <w:rPr>
          <w:rFonts w:hint="eastAsia" w:ascii="宋体" w:hAnsi="宋体"/>
          <w:b/>
          <w:color w:val="auto"/>
          <w:sz w:val="24"/>
          <w:szCs w:val="24"/>
          <w:highlight w:val="none"/>
        </w:rPr>
        <w:t>（三）月考核：即</w:t>
      </w:r>
      <w:r>
        <w:rPr>
          <w:rFonts w:hint="eastAsia" w:ascii="宋体" w:hAnsi="宋体"/>
          <w:b/>
          <w:bCs/>
          <w:color w:val="auto"/>
          <w:sz w:val="24"/>
          <w:szCs w:val="24"/>
          <w:highlight w:val="none"/>
        </w:rPr>
        <w:t>养护效果考核</w:t>
      </w:r>
    </w:p>
    <w:p w14:paraId="1A58A6D6">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养护效果考核每月进行一次，考核由公园组织的考核小组进行，主要由园容科代表执行，考核小组由3名或3名以上技术管理人员组成。按照《南宁市金花茶公园绿化养护月度检查考核评分表》内容进行考核评分，考核时中标供应商项目管理人员与技术人员均需到场。每月月度检查结果详细列明考核情况及存在问题，扣分情况，双方项目管理人员签字确认。</w:t>
      </w:r>
    </w:p>
    <w:p w14:paraId="52C35224">
      <w:pPr>
        <w:spacing w:line="400" w:lineRule="exact"/>
        <w:ind w:firstLine="451" w:firstLineChars="187"/>
        <w:outlineLvl w:val="9"/>
        <w:rPr>
          <w:rFonts w:ascii="宋体" w:hAnsi="宋体"/>
          <w:b/>
          <w:bCs/>
          <w:color w:val="auto"/>
          <w:sz w:val="24"/>
          <w:szCs w:val="24"/>
          <w:highlight w:val="none"/>
        </w:rPr>
      </w:pPr>
      <w:r>
        <w:rPr>
          <w:rFonts w:hint="eastAsia" w:ascii="宋体" w:hAnsi="宋体"/>
          <w:b/>
          <w:bCs/>
          <w:color w:val="auto"/>
          <w:sz w:val="24"/>
          <w:szCs w:val="24"/>
          <w:highlight w:val="none"/>
        </w:rPr>
        <w:t>（四）考核结果评定运用及服务费核算细则</w:t>
      </w:r>
    </w:p>
    <w:p w14:paraId="05BC918E">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每月月度考核结果由公园统一编制《绿化养护月度考核通报表》（附件</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2-7），详细列明日常巡查、中标供应商自查、月度检查、专项考评的扣分情况、扣款情况、综合得分、应发款（月度服务费）数额，及当月考核主要存在的问题，双方签字盖章，一式三份，一份作为申请当月服务费用的凭证之一，公园和中标供应商各存一份。</w:t>
      </w:r>
    </w:p>
    <w:p w14:paraId="09B4C5D3">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①计分办法：</w:t>
      </w:r>
    </w:p>
    <w:p w14:paraId="6BEFB3B9">
      <w:pPr>
        <w:widowControl/>
        <w:ind w:firstLine="432"/>
        <w:jc w:val="left"/>
        <w:rPr>
          <w:rFonts w:ascii="宋体" w:hAnsi="宋体"/>
          <w:color w:val="auto"/>
          <w:sz w:val="24"/>
          <w:szCs w:val="24"/>
          <w:highlight w:val="none"/>
        </w:rPr>
      </w:pPr>
      <w:r>
        <w:rPr>
          <w:rFonts w:hint="eastAsia" w:ascii="宋体" w:hAnsi="宋体"/>
          <w:color w:val="auto"/>
          <w:sz w:val="24"/>
          <w:szCs w:val="24"/>
          <w:highlight w:val="none"/>
        </w:rPr>
        <w:t>每次月度检查完毕，</w:t>
      </w:r>
      <w:r>
        <w:rPr>
          <w:rFonts w:hint="eastAsia" w:ascii="宋体" w:hAnsi="宋体"/>
          <w:color w:val="auto"/>
          <w:sz w:val="24"/>
          <w:szCs w:val="24"/>
          <w:highlight w:val="none"/>
          <w:lang w:val="en-US" w:eastAsia="zh-CN"/>
        </w:rPr>
        <w:t>公园</w:t>
      </w:r>
      <w:r>
        <w:rPr>
          <w:rFonts w:hint="eastAsia" w:ascii="宋体" w:hAnsi="宋体"/>
          <w:color w:val="auto"/>
          <w:sz w:val="24"/>
          <w:szCs w:val="24"/>
          <w:highlight w:val="none"/>
        </w:rPr>
        <w:t>考核小组根据每个考核组成员的计分情况，集体讨论决定分值。</w:t>
      </w:r>
    </w:p>
    <w:p w14:paraId="243BD8A4">
      <w:pPr>
        <w:spacing w:line="400" w:lineRule="exact"/>
        <w:ind w:firstLine="482" w:firstLineChars="200"/>
        <w:rPr>
          <w:rFonts w:ascii="宋体"/>
          <w:b/>
          <w:bCs/>
          <w:color w:val="auto"/>
          <w:sz w:val="24"/>
          <w:szCs w:val="24"/>
          <w:highlight w:val="none"/>
        </w:rPr>
      </w:pPr>
      <w:r>
        <w:rPr>
          <w:rFonts w:hint="eastAsia" w:ascii="宋体" w:hAnsi="宋体"/>
          <w:b/>
          <w:bCs/>
          <w:color w:val="auto"/>
          <w:sz w:val="24"/>
          <w:szCs w:val="24"/>
          <w:highlight w:val="none"/>
        </w:rPr>
        <w:t>月度考核综合得分计算方式为：</w:t>
      </w:r>
    </w:p>
    <w:p w14:paraId="2EE78A0D">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月度考核综合得分＝100－月度检查扣分分值×70%</w:t>
      </w:r>
      <w:r>
        <w:rPr>
          <w:rFonts w:hint="eastAsia" w:ascii="宋体"/>
          <w:color w:val="auto"/>
          <w:sz w:val="24"/>
          <w:szCs w:val="24"/>
          <w:highlight w:val="none"/>
        </w:rPr>
        <w:t>－</w:t>
      </w:r>
      <w:r>
        <w:rPr>
          <w:rFonts w:hint="eastAsia" w:ascii="宋体" w:hAnsi="宋体"/>
          <w:color w:val="auto"/>
          <w:sz w:val="24"/>
          <w:szCs w:val="24"/>
          <w:highlight w:val="none"/>
        </w:rPr>
        <w:t>日常检查扣分分值（含未整改扣分值）×30%</w:t>
      </w:r>
      <w:r>
        <w:rPr>
          <w:rFonts w:hint="eastAsia" w:ascii="宋体"/>
          <w:color w:val="auto"/>
          <w:sz w:val="24"/>
          <w:szCs w:val="24"/>
          <w:highlight w:val="none"/>
        </w:rPr>
        <w:t>－</w:t>
      </w:r>
      <w:r>
        <w:rPr>
          <w:rFonts w:hint="eastAsia" w:ascii="宋体" w:hAnsi="宋体"/>
          <w:color w:val="auto"/>
          <w:sz w:val="24"/>
          <w:szCs w:val="24"/>
          <w:highlight w:val="none"/>
        </w:rPr>
        <w:t>专项考评</w:t>
      </w:r>
      <w:r>
        <w:rPr>
          <w:rFonts w:hint="eastAsia" w:ascii="宋体"/>
          <w:color w:val="auto"/>
          <w:sz w:val="24"/>
          <w:szCs w:val="24"/>
          <w:highlight w:val="none"/>
        </w:rPr>
        <w:t>扣分分值</w:t>
      </w:r>
    </w:p>
    <w:p w14:paraId="6699B7C6">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②考核采用百分制，按月度考核综合得分高低分为优秀（≥95分）、合格（85分</w:t>
      </w:r>
      <w:r>
        <w:rPr>
          <w:rFonts w:hint="eastAsia" w:ascii="微软雅黑" w:hAnsi="微软雅黑" w:eastAsia="微软雅黑"/>
          <w:b/>
          <w:bCs/>
          <w:color w:val="auto"/>
          <w:sz w:val="24"/>
          <w:szCs w:val="24"/>
          <w:highlight w:val="none"/>
          <w:shd w:val="clear" w:color="auto" w:fill="FFFFFF"/>
        </w:rPr>
        <w:t>≤</w:t>
      </w:r>
      <w:r>
        <w:rPr>
          <w:rFonts w:hint="eastAsia" w:ascii="宋体" w:hAnsi="宋体"/>
          <w:color w:val="auto"/>
          <w:sz w:val="24"/>
          <w:szCs w:val="24"/>
          <w:highlight w:val="none"/>
        </w:rPr>
        <w:t>月度考核综合得分</w:t>
      </w:r>
      <w:r>
        <w:rPr>
          <w:rFonts w:hint="eastAsia" w:ascii="仿宋" w:hAnsi="仿宋" w:eastAsia="仿宋"/>
          <w:color w:val="auto"/>
          <w:sz w:val="24"/>
          <w:szCs w:val="24"/>
          <w:highlight w:val="none"/>
        </w:rPr>
        <w:t>＜95分</w:t>
      </w:r>
      <w:r>
        <w:rPr>
          <w:rFonts w:hint="eastAsia" w:ascii="宋体" w:hAnsi="宋体"/>
          <w:color w:val="auto"/>
          <w:sz w:val="24"/>
          <w:szCs w:val="24"/>
          <w:highlight w:val="none"/>
        </w:rPr>
        <w:t>）、不合格（＜85分）三个等级。</w:t>
      </w:r>
    </w:p>
    <w:tbl>
      <w:tblPr>
        <w:tblStyle w:val="22"/>
        <w:tblW w:w="8085" w:type="dxa"/>
        <w:tblInd w:w="318" w:type="dxa"/>
        <w:tblLayout w:type="fixed"/>
        <w:tblCellMar>
          <w:top w:w="0" w:type="dxa"/>
          <w:left w:w="108" w:type="dxa"/>
          <w:bottom w:w="0" w:type="dxa"/>
          <w:right w:w="108" w:type="dxa"/>
        </w:tblCellMar>
      </w:tblPr>
      <w:tblGrid>
        <w:gridCol w:w="1917"/>
        <w:gridCol w:w="3648"/>
        <w:gridCol w:w="2520"/>
      </w:tblGrid>
      <w:tr w14:paraId="0AF9B4D6">
        <w:tblPrEx>
          <w:tblCellMar>
            <w:top w:w="0" w:type="dxa"/>
            <w:left w:w="108" w:type="dxa"/>
            <w:bottom w:w="0" w:type="dxa"/>
            <w:right w:w="108" w:type="dxa"/>
          </w:tblCellMar>
        </w:tblPrEx>
        <w:trPr>
          <w:trHeight w:val="405" w:hRule="atLeast"/>
        </w:trPr>
        <w:tc>
          <w:tcPr>
            <w:tcW w:w="1917" w:type="dxa"/>
            <w:tcBorders>
              <w:top w:val="single" w:color="auto" w:sz="4" w:space="0"/>
              <w:left w:val="single" w:color="auto" w:sz="4" w:space="0"/>
              <w:bottom w:val="single" w:color="auto" w:sz="4" w:space="0"/>
              <w:right w:val="single" w:color="auto" w:sz="4" w:space="0"/>
            </w:tcBorders>
            <w:noWrap w:val="0"/>
            <w:vAlign w:val="top"/>
          </w:tcPr>
          <w:p w14:paraId="28AE2F3A">
            <w:pPr>
              <w:spacing w:line="400" w:lineRule="exact"/>
              <w:jc w:val="center"/>
              <w:rPr>
                <w:rFonts w:ascii="宋体"/>
                <w:bCs/>
                <w:color w:val="auto"/>
                <w:sz w:val="24"/>
                <w:szCs w:val="24"/>
                <w:highlight w:val="none"/>
              </w:rPr>
            </w:pPr>
            <w:r>
              <w:rPr>
                <w:rFonts w:hint="eastAsia" w:ascii="宋体" w:hAnsi="宋体"/>
                <w:bCs/>
                <w:color w:val="auto"/>
                <w:sz w:val="24"/>
                <w:szCs w:val="24"/>
                <w:highlight w:val="none"/>
              </w:rPr>
              <w:t>优秀</w:t>
            </w:r>
          </w:p>
        </w:tc>
        <w:tc>
          <w:tcPr>
            <w:tcW w:w="3648" w:type="dxa"/>
            <w:tcBorders>
              <w:top w:val="single" w:color="auto" w:sz="4" w:space="0"/>
              <w:left w:val="nil"/>
              <w:bottom w:val="single" w:color="auto" w:sz="4" w:space="0"/>
              <w:right w:val="single" w:color="auto" w:sz="4" w:space="0"/>
            </w:tcBorders>
            <w:noWrap w:val="0"/>
            <w:vAlign w:val="top"/>
          </w:tcPr>
          <w:p w14:paraId="62DD1933">
            <w:pPr>
              <w:spacing w:line="400" w:lineRule="exact"/>
              <w:jc w:val="center"/>
              <w:rPr>
                <w:rFonts w:ascii="宋体"/>
                <w:bCs/>
                <w:color w:val="auto"/>
                <w:sz w:val="24"/>
                <w:szCs w:val="24"/>
                <w:highlight w:val="none"/>
              </w:rPr>
            </w:pPr>
            <w:r>
              <w:rPr>
                <w:rFonts w:hint="eastAsia" w:ascii="宋体" w:hAnsi="宋体"/>
                <w:bCs/>
                <w:color w:val="auto"/>
                <w:sz w:val="24"/>
                <w:szCs w:val="24"/>
                <w:highlight w:val="none"/>
              </w:rPr>
              <w:t>合格</w:t>
            </w:r>
          </w:p>
        </w:tc>
        <w:tc>
          <w:tcPr>
            <w:tcW w:w="2520" w:type="dxa"/>
            <w:tcBorders>
              <w:top w:val="single" w:color="auto" w:sz="4" w:space="0"/>
              <w:left w:val="nil"/>
              <w:bottom w:val="single" w:color="auto" w:sz="4" w:space="0"/>
              <w:right w:val="single" w:color="auto" w:sz="4" w:space="0"/>
            </w:tcBorders>
            <w:noWrap w:val="0"/>
            <w:vAlign w:val="top"/>
          </w:tcPr>
          <w:p w14:paraId="340641A6">
            <w:pPr>
              <w:spacing w:line="400" w:lineRule="exact"/>
              <w:jc w:val="center"/>
              <w:rPr>
                <w:rFonts w:ascii="宋体"/>
                <w:bCs/>
                <w:color w:val="auto"/>
                <w:sz w:val="24"/>
                <w:szCs w:val="24"/>
                <w:highlight w:val="none"/>
              </w:rPr>
            </w:pPr>
            <w:r>
              <w:rPr>
                <w:rFonts w:hint="eastAsia" w:ascii="宋体" w:hAnsi="宋体"/>
                <w:bCs/>
                <w:color w:val="auto"/>
                <w:sz w:val="24"/>
                <w:szCs w:val="24"/>
                <w:highlight w:val="none"/>
              </w:rPr>
              <w:t>不合格</w:t>
            </w:r>
          </w:p>
        </w:tc>
      </w:tr>
      <w:tr w14:paraId="639D4E68">
        <w:tblPrEx>
          <w:tblCellMar>
            <w:top w:w="0" w:type="dxa"/>
            <w:left w:w="108" w:type="dxa"/>
            <w:bottom w:w="0" w:type="dxa"/>
            <w:right w:w="108" w:type="dxa"/>
          </w:tblCellMar>
        </w:tblPrEx>
        <w:trPr>
          <w:trHeight w:val="327" w:hRule="atLeast"/>
        </w:trPr>
        <w:tc>
          <w:tcPr>
            <w:tcW w:w="1917" w:type="dxa"/>
            <w:tcBorders>
              <w:top w:val="single" w:color="auto" w:sz="4" w:space="0"/>
              <w:left w:val="single" w:color="auto" w:sz="4" w:space="0"/>
              <w:bottom w:val="single" w:color="auto" w:sz="4" w:space="0"/>
              <w:right w:val="single" w:color="auto" w:sz="4" w:space="0"/>
            </w:tcBorders>
            <w:noWrap w:val="0"/>
            <w:vAlign w:val="top"/>
          </w:tcPr>
          <w:p w14:paraId="0DA8A204">
            <w:pPr>
              <w:spacing w:line="400" w:lineRule="exact"/>
              <w:jc w:val="center"/>
              <w:rPr>
                <w:rFonts w:ascii="宋体"/>
                <w:bCs/>
                <w:color w:val="auto"/>
                <w:sz w:val="24"/>
                <w:szCs w:val="24"/>
                <w:highlight w:val="none"/>
              </w:rPr>
            </w:pPr>
            <w:r>
              <w:rPr>
                <w:rFonts w:hint="eastAsia" w:ascii="宋体" w:hAnsi="宋体"/>
                <w:bCs/>
                <w:color w:val="auto"/>
                <w:sz w:val="24"/>
                <w:szCs w:val="24"/>
                <w:highlight w:val="none"/>
              </w:rPr>
              <w:t>≥95</w:t>
            </w:r>
          </w:p>
        </w:tc>
        <w:tc>
          <w:tcPr>
            <w:tcW w:w="3648" w:type="dxa"/>
            <w:tcBorders>
              <w:top w:val="single" w:color="auto" w:sz="4" w:space="0"/>
              <w:left w:val="nil"/>
              <w:bottom w:val="single" w:color="auto" w:sz="4" w:space="0"/>
              <w:right w:val="single" w:color="auto" w:sz="4" w:space="0"/>
            </w:tcBorders>
            <w:noWrap w:val="0"/>
            <w:vAlign w:val="top"/>
          </w:tcPr>
          <w:p w14:paraId="639B02C5">
            <w:pPr>
              <w:ind w:firstLine="0" w:firstLineChars="0"/>
              <w:rPr>
                <w:color w:val="auto"/>
                <w:sz w:val="24"/>
                <w:szCs w:val="24"/>
                <w:highlight w:val="none"/>
              </w:rPr>
            </w:pPr>
            <w:r>
              <w:rPr>
                <w:rFonts w:hint="eastAsia" w:ascii="宋体" w:hAnsi="宋体"/>
                <w:color w:val="auto"/>
                <w:sz w:val="24"/>
                <w:szCs w:val="24"/>
                <w:highlight w:val="none"/>
              </w:rPr>
              <w:t>85分</w:t>
            </w:r>
            <w:r>
              <w:rPr>
                <w:rFonts w:hint="eastAsia" w:ascii="微软雅黑" w:hAnsi="微软雅黑" w:eastAsia="微软雅黑"/>
                <w:b/>
                <w:bCs/>
                <w:color w:val="auto"/>
                <w:sz w:val="24"/>
                <w:szCs w:val="24"/>
                <w:highlight w:val="none"/>
                <w:shd w:val="clear" w:color="auto" w:fill="FFFFFF"/>
              </w:rPr>
              <w:t>≤</w:t>
            </w:r>
            <w:r>
              <w:rPr>
                <w:rFonts w:hint="eastAsia" w:ascii="宋体" w:hAnsi="宋体"/>
                <w:color w:val="auto"/>
                <w:sz w:val="24"/>
                <w:szCs w:val="24"/>
                <w:highlight w:val="none"/>
              </w:rPr>
              <w:t>月度考核综合得分</w:t>
            </w:r>
            <w:r>
              <w:rPr>
                <w:rFonts w:hint="eastAsia" w:ascii="仿宋" w:hAnsi="仿宋" w:eastAsia="仿宋"/>
                <w:color w:val="auto"/>
                <w:sz w:val="24"/>
                <w:szCs w:val="24"/>
                <w:highlight w:val="none"/>
              </w:rPr>
              <w:t>＜95分</w:t>
            </w:r>
          </w:p>
        </w:tc>
        <w:tc>
          <w:tcPr>
            <w:tcW w:w="2520" w:type="dxa"/>
            <w:tcBorders>
              <w:top w:val="single" w:color="auto" w:sz="4" w:space="0"/>
              <w:left w:val="nil"/>
              <w:bottom w:val="single" w:color="auto" w:sz="4" w:space="0"/>
              <w:right w:val="single" w:color="auto" w:sz="4" w:space="0"/>
            </w:tcBorders>
            <w:noWrap w:val="0"/>
            <w:vAlign w:val="top"/>
          </w:tcPr>
          <w:p w14:paraId="642B8FEF">
            <w:pPr>
              <w:spacing w:line="400" w:lineRule="exact"/>
              <w:jc w:val="center"/>
              <w:rPr>
                <w:rFonts w:ascii="宋体"/>
                <w:bCs/>
                <w:color w:val="auto"/>
                <w:sz w:val="24"/>
                <w:szCs w:val="24"/>
                <w:highlight w:val="none"/>
              </w:rPr>
            </w:pPr>
            <w:r>
              <w:rPr>
                <w:rFonts w:hint="eastAsia" w:ascii="宋体" w:hAnsi="宋体"/>
                <w:bCs/>
                <w:color w:val="auto"/>
                <w:sz w:val="24"/>
                <w:szCs w:val="24"/>
                <w:highlight w:val="none"/>
              </w:rPr>
              <w:t>＜85</w:t>
            </w:r>
          </w:p>
        </w:tc>
      </w:tr>
    </w:tbl>
    <w:p w14:paraId="5F125ACB">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③各项检查考核中发现的问题，中标供应商应在收到公园下达的考核情况通报表后在整改时限（没有整改时限要求的均按3天作为整改时限）完成整改工作。如情况特殊无法在规定期限内完成存在问题整改工作的，中标供应商应及时将实际情况上报园容科，经园容科相关领导审批后，视实际情况适当延长整改期限。整改工作完成后应将整改结果及相关材料（如现场整改照片）及时反馈至园容科。</w:t>
      </w:r>
    </w:p>
    <w:p w14:paraId="4169CACE">
      <w:pPr>
        <w:spacing w:line="400" w:lineRule="exact"/>
        <w:ind w:firstLine="480" w:firstLineChars="200"/>
        <w:rPr>
          <w:rFonts w:ascii="Calibri" w:hAnsi="Calibri"/>
          <w:color w:val="auto"/>
          <w:sz w:val="24"/>
          <w:szCs w:val="24"/>
          <w:highlight w:val="none"/>
        </w:rPr>
      </w:pPr>
      <w:r>
        <w:rPr>
          <w:rFonts w:hint="eastAsia" w:ascii="宋体" w:hAnsi="宋体"/>
          <w:color w:val="auto"/>
          <w:sz w:val="24"/>
          <w:szCs w:val="24"/>
          <w:highlight w:val="none"/>
        </w:rPr>
        <w:t>④以下情况按合同规定扣除部分或全部当月拨付月度服务费：</w:t>
      </w:r>
    </w:p>
    <w:p w14:paraId="6174B054">
      <w:pPr>
        <w:spacing w:line="400" w:lineRule="exact"/>
        <w:ind w:firstLine="480" w:firstLineChars="200"/>
        <w:rPr>
          <w:color w:val="auto"/>
          <w:sz w:val="24"/>
          <w:szCs w:val="24"/>
          <w:highlight w:val="none"/>
        </w:rPr>
      </w:pPr>
      <w:r>
        <w:rPr>
          <w:color w:val="auto"/>
          <w:sz w:val="24"/>
          <w:szCs w:val="24"/>
          <w:highlight w:val="none"/>
        </w:rPr>
        <w:t>A</w:t>
      </w:r>
      <w:r>
        <w:rPr>
          <w:rFonts w:hint="eastAsia" w:ascii="宋体" w:hAnsi="宋体"/>
          <w:color w:val="auto"/>
          <w:sz w:val="24"/>
          <w:szCs w:val="24"/>
          <w:highlight w:val="none"/>
        </w:rPr>
        <w:t>、日常巡查、月度检查、专项考评时发现问题，未能在规定整改期限或经审批延长整改期内完成整改工作的，按未整改问题逾期天数和未整改问题扣分分值予以扣款（扣除10</w:t>
      </w:r>
      <w:r>
        <w:rPr>
          <w:color w:val="auto"/>
          <w:sz w:val="24"/>
          <w:szCs w:val="24"/>
          <w:highlight w:val="none"/>
        </w:rPr>
        <w:t>0</w:t>
      </w:r>
      <w:r>
        <w:rPr>
          <w:rFonts w:hint="eastAsia" w:ascii="宋体" w:hAnsi="宋体"/>
          <w:color w:val="auto"/>
          <w:sz w:val="24"/>
          <w:szCs w:val="24"/>
          <w:highlight w:val="none"/>
        </w:rPr>
        <w:t>元</w:t>
      </w:r>
      <w:r>
        <w:rPr>
          <w:color w:val="auto"/>
          <w:sz w:val="24"/>
          <w:szCs w:val="24"/>
          <w:highlight w:val="none"/>
        </w:rPr>
        <w:t>/</w:t>
      </w:r>
      <w:r>
        <w:rPr>
          <w:rFonts w:hint="eastAsia" w:ascii="宋体" w:hAnsi="宋体"/>
          <w:color w:val="auto"/>
          <w:sz w:val="24"/>
          <w:szCs w:val="24"/>
          <w:highlight w:val="none"/>
        </w:rPr>
        <w:t>天</w:t>
      </w:r>
      <w:r>
        <w:rPr>
          <w:color w:val="auto"/>
          <w:sz w:val="24"/>
          <w:szCs w:val="24"/>
          <w:highlight w:val="none"/>
        </w:rPr>
        <w:t>/</w:t>
      </w:r>
      <w:r>
        <w:rPr>
          <w:rFonts w:hint="eastAsia" w:ascii="宋体" w:hAnsi="宋体"/>
          <w:color w:val="auto"/>
          <w:sz w:val="24"/>
          <w:szCs w:val="24"/>
          <w:highlight w:val="none"/>
        </w:rPr>
        <w:t>分），计算公式如下：</w:t>
      </w:r>
    </w:p>
    <w:p w14:paraId="7FABA9A0">
      <w:pPr>
        <w:spacing w:line="400" w:lineRule="exact"/>
        <w:ind w:firstLine="480" w:firstLineChars="200"/>
        <w:rPr>
          <w:rFonts w:ascii="宋体"/>
          <w:color w:val="auto"/>
          <w:sz w:val="24"/>
          <w:szCs w:val="24"/>
          <w:highlight w:val="none"/>
        </w:rPr>
      </w:pPr>
      <w:r>
        <w:rPr>
          <w:rFonts w:hint="eastAsia" w:ascii="宋体" w:hAnsi="宋体"/>
          <w:color w:val="auto"/>
          <w:sz w:val="24"/>
          <w:szCs w:val="24"/>
          <w:highlight w:val="none"/>
        </w:rPr>
        <w:t>整改扣款金额＝当月逾期天数×未整改问题扣分分值×</w:t>
      </w:r>
      <w:r>
        <w:rPr>
          <w:color w:val="auto"/>
          <w:sz w:val="24"/>
          <w:szCs w:val="24"/>
          <w:highlight w:val="none"/>
        </w:rPr>
        <w:t>100</w:t>
      </w:r>
      <w:r>
        <w:rPr>
          <w:rFonts w:hint="eastAsia" w:ascii="宋体" w:hAnsi="宋体"/>
          <w:color w:val="auto"/>
          <w:sz w:val="24"/>
          <w:szCs w:val="24"/>
          <w:highlight w:val="none"/>
        </w:rPr>
        <w:t>元</w:t>
      </w:r>
    </w:p>
    <w:p w14:paraId="56AF0992">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B、月度考核等级评定优秀（≥95分），按合同规定拨付当月月度服务费；</w:t>
      </w:r>
    </w:p>
    <w:p w14:paraId="7FF87D03">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计算公式如下：</w:t>
      </w:r>
    </w:p>
    <w:p w14:paraId="152FCE36">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月度服务费＝合同款/12个月－整改扣款金额</w:t>
      </w:r>
    </w:p>
    <w:p w14:paraId="473A0E10">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C、月度考核等级评定合格（85分≤月度考核综合得分＜95分），按如下公式计算核拨当月月度服务费；</w:t>
      </w:r>
    </w:p>
    <w:p w14:paraId="51112ACB">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计算公式如下：</w:t>
      </w:r>
    </w:p>
    <w:p w14:paraId="1283B965">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月度服务费＝合同款/12个月－（95－月度考核综合得分）×2000－整改扣款金额</w:t>
      </w:r>
    </w:p>
    <w:p w14:paraId="6505D070">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D、 80</w:t>
      </w:r>
      <w:r>
        <w:rPr>
          <w:rFonts w:hint="eastAsia" w:ascii="宋体" w:hAnsi="宋体"/>
          <w:b/>
          <w:bCs/>
          <w:color w:val="auto"/>
          <w:sz w:val="24"/>
          <w:szCs w:val="24"/>
          <w:highlight w:val="none"/>
        </w:rPr>
        <w:t>≤</w:t>
      </w:r>
      <w:r>
        <w:rPr>
          <w:rFonts w:hint="eastAsia" w:ascii="宋体" w:hAnsi="宋体"/>
          <w:color w:val="auto"/>
          <w:sz w:val="24"/>
          <w:szCs w:val="24"/>
          <w:highlight w:val="none"/>
        </w:rPr>
        <w:t>月度考核综合得分＜85分（等级评定不合格）按如下公式计算核拨当月月度服务费，计算公式如下：</w:t>
      </w:r>
    </w:p>
    <w:p w14:paraId="6FBE0659">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月度服务费＝合同款×90%/12个月－（95－月度考核综合得分）×2000－整改扣款金额</w:t>
      </w:r>
    </w:p>
    <w:p w14:paraId="551BD3EC">
      <w:pPr>
        <w:spacing w:line="40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E、月度考核综合得分＜80分（等级评定不合格），扣除当月月度服务费。</w:t>
      </w:r>
    </w:p>
    <w:p w14:paraId="68D4FFE1">
      <w:pPr>
        <w:spacing w:line="400" w:lineRule="exact"/>
        <w:ind w:firstLine="480" w:firstLineChars="200"/>
        <w:rPr>
          <w:rFonts w:ascii="宋体" w:hAnsi="宋体"/>
          <w:b/>
          <w:bCs/>
          <w:color w:val="auto"/>
          <w:sz w:val="24"/>
          <w:szCs w:val="24"/>
          <w:highlight w:val="none"/>
        </w:rPr>
      </w:pPr>
      <w:r>
        <w:rPr>
          <w:rFonts w:hint="eastAsia" w:ascii="宋体" w:hAnsi="宋体"/>
          <w:color w:val="auto"/>
          <w:sz w:val="24"/>
          <w:szCs w:val="24"/>
          <w:highlight w:val="none"/>
        </w:rPr>
        <w:t>⑤工作期间造成严重损失或发生重大安全责任事故的，当月考核等级为不合格，除扣当月月度服务费外，中标供应商应赔偿全部损失。</w:t>
      </w:r>
    </w:p>
    <w:p w14:paraId="68E5AF5C">
      <w:pPr>
        <w:rPr>
          <w:rFonts w:hint="default" w:ascii="黑体" w:hAnsi="黑体" w:eastAsia="黑体" w:cs="宋体"/>
          <w:bCs/>
          <w:color w:val="auto"/>
          <w:sz w:val="30"/>
          <w:szCs w:val="30"/>
          <w:highlight w:val="none"/>
          <w:lang w:val="en-US" w:eastAsia="zh-CN"/>
        </w:rPr>
      </w:pPr>
      <w:r>
        <w:rPr>
          <w:color w:val="auto"/>
          <w:sz w:val="24"/>
          <w:szCs w:val="24"/>
          <w:highlight w:val="none"/>
        </w:rPr>
        <w:br w:type="page"/>
      </w:r>
      <w:r>
        <w:rPr>
          <w:rFonts w:hint="eastAsia" w:ascii="宋体" w:hAnsi="宋体" w:eastAsia="宋体" w:cs="宋体"/>
          <w:b/>
          <w:bCs w:val="0"/>
          <w:color w:val="auto"/>
          <w:sz w:val="24"/>
          <w:szCs w:val="24"/>
          <w:highlight w:val="none"/>
        </w:rPr>
        <w:t>附件</w:t>
      </w:r>
      <w:r>
        <w:rPr>
          <w:rFonts w:hint="eastAsia" w:ascii="宋体" w:hAnsi="宋体" w:eastAsia="宋体" w:cs="宋体"/>
          <w:b/>
          <w:bCs w:val="0"/>
          <w:color w:val="auto"/>
          <w:sz w:val="24"/>
          <w:szCs w:val="24"/>
          <w:highlight w:val="none"/>
          <w:lang w:val="en-US" w:eastAsia="zh-CN"/>
        </w:rPr>
        <w:t>3</w:t>
      </w: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2-1</w:t>
      </w:r>
    </w:p>
    <w:p w14:paraId="3AFD6695">
      <w:pPr>
        <w:widowControl/>
        <w:numPr>
          <w:ilvl w:val="1"/>
          <w:numId w:val="9"/>
        </w:numPr>
        <w:wordWrap w:val="0"/>
        <w:overflowPunct w:val="0"/>
        <w:autoSpaceDE w:val="0"/>
        <w:spacing w:beforeLines="50"/>
        <w:ind w:left="2520"/>
        <w:outlineLvl w:val="9"/>
        <w:rPr>
          <w:rFonts w:ascii="黑体" w:hAnsi="宋体" w:eastAsia="黑体" w:cs="宋体"/>
          <w:color w:val="auto"/>
          <w:kern w:val="21"/>
          <w:sz w:val="28"/>
          <w:szCs w:val="28"/>
          <w:highlight w:val="none"/>
        </w:rPr>
      </w:pPr>
      <w:bookmarkStart w:id="10" w:name="_Toc185611565"/>
      <w:bookmarkStart w:id="11" w:name="_Toc185611633"/>
      <w:bookmarkStart w:id="12" w:name="_Toc421120715"/>
      <w:bookmarkStart w:id="13" w:name="_Toc437873699"/>
      <w:bookmarkStart w:id="14" w:name="_Toc186728963"/>
      <w:r>
        <w:rPr>
          <w:rFonts w:hint="eastAsia" w:ascii="黑体" w:hAnsi="宋体" w:eastAsia="黑体" w:cs="宋体"/>
          <w:color w:val="auto"/>
          <w:kern w:val="21"/>
          <w:sz w:val="28"/>
          <w:szCs w:val="28"/>
          <w:highlight w:val="none"/>
        </w:rPr>
        <w:t>一级绿地养护质量要求</w:t>
      </w:r>
      <w:bookmarkEnd w:id="10"/>
      <w:bookmarkEnd w:id="11"/>
      <w:bookmarkEnd w:id="12"/>
      <w:bookmarkEnd w:id="13"/>
      <w:bookmarkEnd w:id="14"/>
    </w:p>
    <w:p w14:paraId="1B6A6DFB">
      <w:pPr>
        <w:widowControl/>
        <w:autoSpaceDE w:val="0"/>
        <w:autoSpaceDN w:val="0"/>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应符合表A.1的规定。</w:t>
      </w:r>
    </w:p>
    <w:p w14:paraId="42E73FC4">
      <w:pPr>
        <w:widowControl/>
        <w:jc w:val="center"/>
        <w:rPr>
          <w:rFonts w:ascii="??" w:hAnsi="宋体" w:eastAsia="Times New Roman" w:cs="宋体"/>
          <w:color w:val="auto"/>
          <w:kern w:val="21"/>
          <w:szCs w:val="21"/>
          <w:highlight w:val="none"/>
        </w:rPr>
      </w:pPr>
      <w:r>
        <w:rPr>
          <w:rFonts w:hint="eastAsia" w:ascii="宋体" w:hAnsi="宋体" w:cs="宋体"/>
          <w:color w:val="auto"/>
          <w:kern w:val="21"/>
          <w:szCs w:val="21"/>
          <w:highlight w:val="none"/>
        </w:rPr>
        <w:t>表</w:t>
      </w:r>
      <w:r>
        <w:rPr>
          <w:rFonts w:ascii="??" w:hAnsi="宋体" w:eastAsia="Times New Roman" w:cs="宋体"/>
          <w:color w:val="auto"/>
          <w:kern w:val="21"/>
          <w:szCs w:val="21"/>
          <w:highlight w:val="none"/>
        </w:rPr>
        <w:t xml:space="preserve">A.1 </w:t>
      </w:r>
      <w:r>
        <w:rPr>
          <w:rFonts w:hint="eastAsia" w:ascii="宋体" w:hAnsi="宋体" w:cs="宋体"/>
          <w:color w:val="auto"/>
          <w:kern w:val="21"/>
          <w:szCs w:val="21"/>
          <w:highlight w:val="none"/>
        </w:rPr>
        <w:t>一级绿地养护质量要求表</w:t>
      </w:r>
    </w:p>
    <w:tbl>
      <w:tblPr>
        <w:tblStyle w:val="22"/>
        <w:tblW w:w="9130" w:type="dxa"/>
        <w:tblInd w:w="7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1"/>
        <w:gridCol w:w="1440"/>
        <w:gridCol w:w="6939"/>
      </w:tblGrid>
      <w:tr w14:paraId="5ADC6C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51" w:type="dxa"/>
            <w:tcBorders>
              <w:top w:val="single" w:color="auto" w:sz="12" w:space="0"/>
              <w:left w:val="single" w:color="auto" w:sz="12" w:space="0"/>
              <w:bottom w:val="single" w:color="auto" w:sz="12" w:space="0"/>
              <w:right w:val="single" w:color="auto" w:sz="4" w:space="0"/>
            </w:tcBorders>
            <w:noWrap w:val="0"/>
            <w:vAlign w:val="center"/>
          </w:tcPr>
          <w:p w14:paraId="7C3B9C0F">
            <w:pPr>
              <w:jc w:val="center"/>
              <w:rPr>
                <w:rFonts w:ascii="宋体" w:hAnsi="宋体"/>
                <w:color w:val="auto"/>
                <w:sz w:val="18"/>
                <w:szCs w:val="18"/>
                <w:highlight w:val="none"/>
              </w:rPr>
            </w:pPr>
            <w:r>
              <w:rPr>
                <w:rFonts w:hint="eastAsia" w:ascii="宋体" w:hAnsi="宋体"/>
                <w:color w:val="auto"/>
                <w:sz w:val="18"/>
                <w:szCs w:val="18"/>
                <w:highlight w:val="none"/>
              </w:rPr>
              <w:t>序号</w:t>
            </w:r>
          </w:p>
        </w:tc>
        <w:tc>
          <w:tcPr>
            <w:tcW w:w="1440" w:type="dxa"/>
            <w:tcBorders>
              <w:top w:val="single" w:color="auto" w:sz="12" w:space="0"/>
              <w:left w:val="single" w:color="auto" w:sz="4" w:space="0"/>
              <w:bottom w:val="single" w:color="auto" w:sz="12" w:space="0"/>
              <w:right w:val="single" w:color="auto" w:sz="4" w:space="0"/>
            </w:tcBorders>
            <w:noWrap w:val="0"/>
            <w:vAlign w:val="center"/>
          </w:tcPr>
          <w:p w14:paraId="102D832A">
            <w:pPr>
              <w:jc w:val="center"/>
              <w:rPr>
                <w:rFonts w:ascii="宋体" w:hAnsi="宋体"/>
                <w:color w:val="auto"/>
                <w:sz w:val="18"/>
                <w:szCs w:val="18"/>
                <w:highlight w:val="none"/>
              </w:rPr>
            </w:pPr>
            <w:r>
              <w:rPr>
                <w:rFonts w:hint="eastAsia" w:ascii="宋体" w:hAnsi="宋体"/>
                <w:color w:val="auto"/>
                <w:sz w:val="18"/>
                <w:szCs w:val="18"/>
                <w:highlight w:val="none"/>
              </w:rPr>
              <w:t>项目</w:t>
            </w:r>
          </w:p>
        </w:tc>
        <w:tc>
          <w:tcPr>
            <w:tcW w:w="6939" w:type="dxa"/>
            <w:tcBorders>
              <w:top w:val="single" w:color="auto" w:sz="12" w:space="0"/>
              <w:left w:val="single" w:color="auto" w:sz="4" w:space="0"/>
              <w:bottom w:val="single" w:color="auto" w:sz="12" w:space="0"/>
              <w:right w:val="single" w:color="auto" w:sz="12" w:space="0"/>
            </w:tcBorders>
            <w:noWrap w:val="0"/>
            <w:vAlign w:val="center"/>
          </w:tcPr>
          <w:p w14:paraId="04811155">
            <w:pPr>
              <w:jc w:val="center"/>
              <w:rPr>
                <w:rFonts w:ascii="宋体" w:hAnsi="宋体"/>
                <w:color w:val="auto"/>
                <w:sz w:val="18"/>
                <w:szCs w:val="18"/>
                <w:highlight w:val="none"/>
              </w:rPr>
            </w:pPr>
            <w:r>
              <w:rPr>
                <w:rFonts w:hint="eastAsia" w:ascii="宋体" w:hAnsi="宋体"/>
                <w:color w:val="auto"/>
                <w:sz w:val="18"/>
                <w:szCs w:val="18"/>
                <w:highlight w:val="none"/>
              </w:rPr>
              <w:t>质量要求</w:t>
            </w:r>
          </w:p>
        </w:tc>
      </w:tr>
      <w:tr w14:paraId="07A9B6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751" w:type="dxa"/>
            <w:tcBorders>
              <w:top w:val="single" w:color="auto" w:sz="12" w:space="0"/>
              <w:left w:val="single" w:color="auto" w:sz="12" w:space="0"/>
              <w:bottom w:val="single" w:color="auto" w:sz="4" w:space="0"/>
              <w:right w:val="single" w:color="auto" w:sz="4" w:space="0"/>
            </w:tcBorders>
            <w:noWrap w:val="0"/>
            <w:vAlign w:val="center"/>
          </w:tcPr>
          <w:p w14:paraId="46DDB8C8">
            <w:pPr>
              <w:jc w:val="center"/>
              <w:rPr>
                <w:rFonts w:ascii="宋体" w:hAnsi="宋体"/>
                <w:color w:val="auto"/>
                <w:sz w:val="18"/>
                <w:szCs w:val="18"/>
                <w:highlight w:val="none"/>
              </w:rPr>
            </w:pPr>
            <w:r>
              <w:rPr>
                <w:rFonts w:hint="eastAsia" w:ascii="宋体" w:hAnsi="宋体"/>
                <w:color w:val="auto"/>
                <w:sz w:val="18"/>
                <w:szCs w:val="18"/>
                <w:highlight w:val="none"/>
              </w:rPr>
              <w:t>一</w:t>
            </w:r>
          </w:p>
        </w:tc>
        <w:tc>
          <w:tcPr>
            <w:tcW w:w="1440" w:type="dxa"/>
            <w:tcBorders>
              <w:top w:val="single" w:color="auto" w:sz="12" w:space="0"/>
              <w:left w:val="single" w:color="auto" w:sz="4" w:space="0"/>
              <w:bottom w:val="single" w:color="auto" w:sz="4" w:space="0"/>
              <w:right w:val="single" w:color="auto" w:sz="4" w:space="0"/>
            </w:tcBorders>
            <w:noWrap w:val="0"/>
            <w:vAlign w:val="center"/>
          </w:tcPr>
          <w:p w14:paraId="19647757">
            <w:pPr>
              <w:jc w:val="center"/>
              <w:rPr>
                <w:rFonts w:ascii="宋体" w:hAnsi="宋体"/>
                <w:color w:val="auto"/>
                <w:sz w:val="18"/>
                <w:szCs w:val="18"/>
                <w:highlight w:val="none"/>
              </w:rPr>
            </w:pPr>
            <w:r>
              <w:rPr>
                <w:rFonts w:hint="eastAsia" w:ascii="宋体" w:hAnsi="宋体"/>
                <w:color w:val="auto"/>
                <w:sz w:val="18"/>
                <w:szCs w:val="18"/>
                <w:highlight w:val="none"/>
              </w:rPr>
              <w:t>群落结构与整体效果</w:t>
            </w:r>
          </w:p>
        </w:tc>
        <w:tc>
          <w:tcPr>
            <w:tcW w:w="6939" w:type="dxa"/>
            <w:tcBorders>
              <w:top w:val="single" w:color="auto" w:sz="12" w:space="0"/>
              <w:left w:val="single" w:color="auto" w:sz="4" w:space="0"/>
              <w:bottom w:val="single" w:color="auto" w:sz="4" w:space="0"/>
              <w:right w:val="single" w:color="auto" w:sz="12" w:space="0"/>
            </w:tcBorders>
            <w:noWrap w:val="0"/>
            <w:vAlign w:val="center"/>
          </w:tcPr>
          <w:p w14:paraId="13937A23">
            <w:pPr>
              <w:ind w:firstLine="360"/>
              <w:rPr>
                <w:rFonts w:ascii="宋体" w:hAnsi="宋体"/>
                <w:color w:val="auto"/>
                <w:spacing w:val="-4"/>
                <w:kern w:val="0"/>
                <w:sz w:val="18"/>
                <w:szCs w:val="18"/>
                <w:highlight w:val="none"/>
              </w:rPr>
            </w:pPr>
            <w:r>
              <w:rPr>
                <w:rFonts w:hint="eastAsia" w:ascii="宋体" w:hAnsi="宋体"/>
                <w:color w:val="auto"/>
                <w:spacing w:val="-4"/>
                <w:sz w:val="18"/>
                <w:szCs w:val="18"/>
                <w:highlight w:val="none"/>
              </w:rPr>
              <w:t>植物配置合理、层次丰富，植株生长空间与层次处理得当，具有完整的群落结构，绿量大，基本无积尘，整体观赏效果优良。</w:t>
            </w:r>
          </w:p>
        </w:tc>
      </w:tr>
      <w:tr w14:paraId="5D3482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77AF3CC0">
            <w:pPr>
              <w:jc w:val="center"/>
              <w:rPr>
                <w:rFonts w:ascii="宋体" w:hAnsi="宋体"/>
                <w:color w:val="auto"/>
                <w:sz w:val="18"/>
                <w:szCs w:val="18"/>
                <w:highlight w:val="none"/>
              </w:rPr>
            </w:pPr>
            <w:r>
              <w:rPr>
                <w:rFonts w:hint="eastAsia" w:ascii="宋体" w:hAnsi="宋体"/>
                <w:color w:val="auto"/>
                <w:sz w:val="18"/>
                <w:szCs w:val="18"/>
                <w:highlight w:val="none"/>
              </w:rPr>
              <w:t>二</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0A8150E">
            <w:pPr>
              <w:jc w:val="center"/>
              <w:rPr>
                <w:rFonts w:ascii="宋体" w:hAnsi="宋体"/>
                <w:color w:val="auto"/>
                <w:sz w:val="18"/>
                <w:szCs w:val="18"/>
                <w:highlight w:val="none"/>
              </w:rPr>
            </w:pPr>
            <w:r>
              <w:rPr>
                <w:rFonts w:hint="eastAsia" w:ascii="宋体" w:hAnsi="宋体"/>
                <w:color w:val="auto"/>
                <w:sz w:val="18"/>
                <w:szCs w:val="18"/>
                <w:highlight w:val="none"/>
              </w:rPr>
              <w:t>植物生长</w:t>
            </w:r>
          </w:p>
        </w:tc>
        <w:tc>
          <w:tcPr>
            <w:tcW w:w="6939" w:type="dxa"/>
            <w:tcBorders>
              <w:top w:val="single" w:color="auto" w:sz="4" w:space="0"/>
              <w:left w:val="single" w:color="auto" w:sz="4" w:space="0"/>
              <w:bottom w:val="single" w:color="auto" w:sz="4" w:space="0"/>
              <w:right w:val="single" w:color="auto" w:sz="12" w:space="0"/>
            </w:tcBorders>
            <w:noWrap w:val="0"/>
            <w:vAlign w:val="center"/>
          </w:tcPr>
          <w:p w14:paraId="19CBA094">
            <w:pPr>
              <w:ind w:firstLine="360" w:firstLineChars="200"/>
              <w:rPr>
                <w:rFonts w:ascii="宋体" w:hAnsi="宋体"/>
                <w:color w:val="auto"/>
                <w:sz w:val="18"/>
                <w:szCs w:val="18"/>
                <w:highlight w:val="none"/>
              </w:rPr>
            </w:pPr>
            <w:r>
              <w:rPr>
                <w:rFonts w:hint="eastAsia" w:ascii="宋体" w:hAnsi="宋体"/>
                <w:color w:val="auto"/>
                <w:sz w:val="18"/>
                <w:szCs w:val="18"/>
                <w:highlight w:val="none"/>
              </w:rPr>
              <w:t>生长良好，符合物候状况，叶的颜色、形状、大小正常，树体自然；观花植物适时开花，花期基本一致。达标率＞95</w:t>
            </w:r>
            <w:r>
              <w:rPr>
                <w:rFonts w:hAnsi="宋体"/>
                <w:color w:val="auto"/>
                <w:spacing w:val="-30"/>
                <w:sz w:val="18"/>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2077C2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28"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5A782E6A">
            <w:pPr>
              <w:jc w:val="center"/>
              <w:rPr>
                <w:rFonts w:ascii="宋体" w:hAnsi="宋体"/>
                <w:color w:val="auto"/>
                <w:sz w:val="18"/>
                <w:szCs w:val="18"/>
                <w:highlight w:val="none"/>
              </w:rPr>
            </w:pPr>
            <w:r>
              <w:rPr>
                <w:rFonts w:hint="eastAsia" w:ascii="宋体" w:hAnsi="宋体"/>
                <w:color w:val="auto"/>
                <w:sz w:val="18"/>
                <w:szCs w:val="18"/>
                <w:highlight w:val="none"/>
              </w:rPr>
              <w:t>三</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6454559">
            <w:pPr>
              <w:jc w:val="center"/>
              <w:rPr>
                <w:rFonts w:ascii="宋体" w:hAnsi="宋体"/>
                <w:color w:val="auto"/>
                <w:sz w:val="18"/>
                <w:szCs w:val="18"/>
                <w:highlight w:val="none"/>
              </w:rPr>
            </w:pPr>
            <w:r>
              <w:rPr>
                <w:rFonts w:hint="eastAsia" w:ascii="宋体" w:hAnsi="宋体"/>
                <w:color w:val="auto"/>
                <w:sz w:val="18"/>
                <w:szCs w:val="18"/>
                <w:highlight w:val="none"/>
              </w:rPr>
              <w:t>整形修剪</w:t>
            </w:r>
          </w:p>
        </w:tc>
        <w:tc>
          <w:tcPr>
            <w:tcW w:w="6939" w:type="dxa"/>
            <w:tcBorders>
              <w:top w:val="single" w:color="auto" w:sz="4" w:space="0"/>
              <w:left w:val="single" w:color="auto" w:sz="4" w:space="0"/>
              <w:bottom w:val="single" w:color="auto" w:sz="4" w:space="0"/>
              <w:right w:val="single" w:color="auto" w:sz="12" w:space="0"/>
            </w:tcBorders>
            <w:noWrap w:val="0"/>
            <w:vAlign w:val="center"/>
          </w:tcPr>
          <w:p w14:paraId="6FCCC2ED">
            <w:pPr>
              <w:ind w:firstLine="360" w:firstLineChars="200"/>
              <w:rPr>
                <w:rFonts w:ascii="宋体" w:hAnsi="宋体"/>
                <w:color w:val="auto"/>
                <w:sz w:val="18"/>
                <w:szCs w:val="18"/>
                <w:highlight w:val="none"/>
              </w:rPr>
            </w:pPr>
            <w:r>
              <w:rPr>
                <w:rFonts w:hint="eastAsia" w:ascii="宋体" w:hAnsi="宋体"/>
                <w:color w:val="auto"/>
                <w:sz w:val="18"/>
                <w:szCs w:val="18"/>
                <w:highlight w:val="none"/>
              </w:rPr>
              <w:t>乔木：定时修剪，无干枯枝、缠绕物、钉挂物，分枝合理，树冠匀称，观赏效果良好。整型乔灌木：按要求养成并维持一定形态，生长茂密，脚叶丰满。形态优美。孤植灌木：按要求养成观花或观叶形态，同一品种物候基本一致，树形美观，无枯枝。片植灌木：图形清晰、线条明显、流畅，无明显杂草。草本地被为常绿观花或观叶形态，整体基本整齐，基本无枯黄叶、杂草。达标率＞95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0C7797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6A98CEBE">
            <w:pPr>
              <w:jc w:val="center"/>
              <w:rPr>
                <w:rFonts w:ascii="宋体" w:hAnsi="宋体"/>
                <w:color w:val="auto"/>
                <w:sz w:val="18"/>
                <w:szCs w:val="18"/>
                <w:highlight w:val="none"/>
              </w:rPr>
            </w:pPr>
            <w:r>
              <w:rPr>
                <w:rFonts w:hint="eastAsia" w:ascii="宋体" w:hAnsi="宋体"/>
                <w:color w:val="auto"/>
                <w:sz w:val="18"/>
                <w:szCs w:val="18"/>
                <w:highlight w:val="none"/>
              </w:rPr>
              <w:t>四</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0C407225">
            <w:pPr>
              <w:jc w:val="center"/>
              <w:rPr>
                <w:rFonts w:ascii="宋体" w:hAnsi="宋体"/>
                <w:color w:val="auto"/>
                <w:sz w:val="18"/>
                <w:szCs w:val="18"/>
                <w:highlight w:val="none"/>
              </w:rPr>
            </w:pPr>
            <w:r>
              <w:rPr>
                <w:rFonts w:hint="eastAsia" w:ascii="宋体" w:hAnsi="宋体"/>
                <w:color w:val="auto"/>
                <w:sz w:val="18"/>
                <w:szCs w:val="18"/>
                <w:highlight w:val="none"/>
              </w:rPr>
              <w:t>树盘</w:t>
            </w:r>
          </w:p>
        </w:tc>
        <w:tc>
          <w:tcPr>
            <w:tcW w:w="6939" w:type="dxa"/>
            <w:tcBorders>
              <w:top w:val="single" w:color="auto" w:sz="4" w:space="0"/>
              <w:left w:val="single" w:color="auto" w:sz="4" w:space="0"/>
              <w:bottom w:val="single" w:color="auto" w:sz="4" w:space="0"/>
              <w:right w:val="single" w:color="auto" w:sz="12" w:space="0"/>
            </w:tcBorders>
            <w:noWrap w:val="0"/>
            <w:vAlign w:val="center"/>
          </w:tcPr>
          <w:p w14:paraId="6E2DC373">
            <w:pPr>
              <w:ind w:firstLine="360" w:firstLineChars="200"/>
              <w:rPr>
                <w:rFonts w:ascii="宋体" w:hAnsi="宋体"/>
                <w:color w:val="auto"/>
                <w:sz w:val="18"/>
                <w:szCs w:val="18"/>
                <w:highlight w:val="none"/>
              </w:rPr>
            </w:pPr>
            <w:r>
              <w:rPr>
                <w:rFonts w:hint="eastAsia" w:ascii="宋体" w:hAnsi="宋体"/>
                <w:color w:val="auto"/>
                <w:sz w:val="18"/>
                <w:szCs w:val="18"/>
                <w:highlight w:val="none"/>
              </w:rPr>
              <w:t>有地被树盘：其形状、大小整齐规范，满盘，不攀缠植株，无明显杂草、杂物。无地被树盘：大小合适，边线整齐，土壤疏松、细碎，基本无杂草、杂物。达标率＞95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643FB2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3"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56D98878">
            <w:pPr>
              <w:jc w:val="center"/>
              <w:rPr>
                <w:rFonts w:ascii="宋体" w:hAnsi="宋体"/>
                <w:color w:val="auto"/>
                <w:sz w:val="18"/>
                <w:szCs w:val="18"/>
                <w:highlight w:val="none"/>
              </w:rPr>
            </w:pPr>
            <w:r>
              <w:rPr>
                <w:rFonts w:hint="eastAsia" w:ascii="宋体" w:hAnsi="宋体"/>
                <w:color w:val="auto"/>
                <w:sz w:val="18"/>
                <w:szCs w:val="18"/>
                <w:highlight w:val="none"/>
              </w:rPr>
              <w:t>五</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073CFBA">
            <w:pPr>
              <w:jc w:val="center"/>
              <w:rPr>
                <w:rFonts w:ascii="宋体" w:hAnsi="宋体"/>
                <w:color w:val="auto"/>
                <w:sz w:val="18"/>
                <w:szCs w:val="18"/>
                <w:highlight w:val="none"/>
              </w:rPr>
            </w:pPr>
            <w:r>
              <w:rPr>
                <w:rFonts w:hint="eastAsia" w:ascii="宋体" w:hAnsi="宋体"/>
                <w:color w:val="auto"/>
                <w:sz w:val="18"/>
                <w:szCs w:val="18"/>
                <w:highlight w:val="none"/>
              </w:rPr>
              <w:t>草坪</w:t>
            </w:r>
          </w:p>
        </w:tc>
        <w:tc>
          <w:tcPr>
            <w:tcW w:w="6939" w:type="dxa"/>
            <w:tcBorders>
              <w:top w:val="single" w:color="auto" w:sz="4" w:space="0"/>
              <w:left w:val="single" w:color="auto" w:sz="4" w:space="0"/>
              <w:bottom w:val="single" w:color="auto" w:sz="4" w:space="0"/>
              <w:right w:val="single" w:color="auto" w:sz="12" w:space="0"/>
            </w:tcBorders>
            <w:noWrap w:val="0"/>
            <w:vAlign w:val="center"/>
          </w:tcPr>
          <w:p w14:paraId="1F259071">
            <w:pPr>
              <w:ind w:firstLine="360" w:firstLineChars="200"/>
              <w:rPr>
                <w:rFonts w:ascii="宋体" w:hAnsi="宋体"/>
                <w:color w:val="auto"/>
                <w:sz w:val="18"/>
                <w:szCs w:val="18"/>
                <w:highlight w:val="none"/>
              </w:rPr>
            </w:pPr>
            <w:r>
              <w:rPr>
                <w:rFonts w:hint="eastAsia" w:ascii="宋体" w:hAnsi="宋体"/>
                <w:color w:val="auto"/>
                <w:sz w:val="18"/>
                <w:szCs w:val="18"/>
                <w:highlight w:val="none"/>
              </w:rPr>
              <w:t>观赏性草坪，青绿无枯黄，无大型杂草和异型杂草，目的草种纯度95</w:t>
            </w:r>
            <w:r>
              <w:rPr>
                <w:rFonts w:hint="eastAsia" w:hAnsi="宋体"/>
                <w:color w:val="auto"/>
                <w:spacing w:val="-30"/>
                <w:sz w:val="18"/>
                <w:highlight w:val="none"/>
              </w:rPr>
              <w:t>％</w:t>
            </w:r>
            <w:r>
              <w:rPr>
                <w:rFonts w:hint="eastAsia" w:ascii="宋体" w:hAnsi="宋体"/>
                <w:color w:val="auto"/>
                <w:sz w:val="18"/>
                <w:szCs w:val="18"/>
                <w:highlight w:val="none"/>
              </w:rPr>
              <w:t>以上。开放类草坪，生长季节青绿，无明显枯黄现象，无大型杂草，目的草种纯度90</w:t>
            </w:r>
            <w:r>
              <w:rPr>
                <w:rFonts w:hint="eastAsia" w:hAnsi="宋体"/>
                <w:color w:val="auto"/>
                <w:spacing w:val="-30"/>
                <w:sz w:val="18"/>
                <w:highlight w:val="none"/>
              </w:rPr>
              <w:t>％</w:t>
            </w:r>
            <w:r>
              <w:rPr>
                <w:rFonts w:hint="eastAsia" w:ascii="宋体" w:hAnsi="宋体"/>
                <w:color w:val="auto"/>
                <w:sz w:val="18"/>
                <w:szCs w:val="18"/>
                <w:highlight w:val="none"/>
              </w:rPr>
              <w:t>以上。草坪平整不起团，高度在8cm以下；无明显坑洼、小洞，草坪边缘线（与路面、色块交界处）清晰。达标率＞95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44A49F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489F2C6E">
            <w:pPr>
              <w:jc w:val="center"/>
              <w:rPr>
                <w:rFonts w:ascii="宋体" w:hAnsi="宋体"/>
                <w:color w:val="auto"/>
                <w:sz w:val="18"/>
                <w:szCs w:val="18"/>
                <w:highlight w:val="none"/>
              </w:rPr>
            </w:pPr>
            <w:r>
              <w:rPr>
                <w:rFonts w:hint="eastAsia" w:ascii="宋体" w:hAnsi="宋体"/>
                <w:color w:val="auto"/>
                <w:sz w:val="18"/>
                <w:szCs w:val="18"/>
                <w:highlight w:val="none"/>
              </w:rPr>
              <w:t>六</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2171F12">
            <w:pPr>
              <w:jc w:val="center"/>
              <w:rPr>
                <w:rFonts w:ascii="宋体" w:hAnsi="宋体"/>
                <w:color w:val="auto"/>
                <w:sz w:val="18"/>
                <w:szCs w:val="18"/>
                <w:highlight w:val="none"/>
              </w:rPr>
            </w:pPr>
            <w:r>
              <w:rPr>
                <w:rFonts w:hint="eastAsia" w:ascii="宋体" w:hAnsi="宋体"/>
                <w:color w:val="auto"/>
                <w:sz w:val="18"/>
                <w:szCs w:val="18"/>
                <w:highlight w:val="none"/>
              </w:rPr>
              <w:t>病虫害</w:t>
            </w:r>
          </w:p>
          <w:p w14:paraId="5F143BB1">
            <w:pPr>
              <w:jc w:val="center"/>
              <w:rPr>
                <w:rFonts w:ascii="宋体" w:hAnsi="宋体"/>
                <w:color w:val="auto"/>
                <w:sz w:val="18"/>
                <w:szCs w:val="18"/>
                <w:highlight w:val="none"/>
              </w:rPr>
            </w:pPr>
            <w:r>
              <w:rPr>
                <w:rFonts w:hint="eastAsia" w:ascii="宋体" w:hAnsi="宋体"/>
                <w:color w:val="auto"/>
                <w:sz w:val="18"/>
                <w:szCs w:val="18"/>
                <w:highlight w:val="none"/>
              </w:rPr>
              <w:t>控制</w:t>
            </w:r>
          </w:p>
        </w:tc>
        <w:tc>
          <w:tcPr>
            <w:tcW w:w="6939" w:type="dxa"/>
            <w:tcBorders>
              <w:top w:val="single" w:color="auto" w:sz="4" w:space="0"/>
              <w:left w:val="single" w:color="auto" w:sz="4" w:space="0"/>
              <w:bottom w:val="single" w:color="auto" w:sz="4" w:space="0"/>
              <w:right w:val="single" w:color="auto" w:sz="12" w:space="0"/>
            </w:tcBorders>
            <w:noWrap w:val="0"/>
            <w:vAlign w:val="center"/>
          </w:tcPr>
          <w:p w14:paraId="5990C18B">
            <w:pPr>
              <w:ind w:firstLine="360" w:firstLineChars="200"/>
              <w:rPr>
                <w:rFonts w:ascii="宋体" w:hAnsi="宋体"/>
                <w:color w:val="auto"/>
                <w:sz w:val="18"/>
                <w:szCs w:val="18"/>
                <w:highlight w:val="none"/>
              </w:rPr>
            </w:pPr>
            <w:r>
              <w:rPr>
                <w:rFonts w:hint="eastAsia" w:ascii="宋体" w:hAnsi="宋体"/>
                <w:color w:val="auto"/>
                <w:sz w:val="18"/>
                <w:szCs w:val="18"/>
                <w:highlight w:val="none"/>
              </w:rPr>
              <w:t>基本无危害迹象；病虫害总</w:t>
            </w:r>
            <w:r>
              <w:rPr>
                <w:rFonts w:hint="eastAsia" w:ascii="宋体" w:hAnsi="宋体"/>
                <w:color w:val="auto"/>
                <w:sz w:val="18"/>
                <w:szCs w:val="18"/>
                <w:highlight w:val="none"/>
                <w:lang w:val="en-US" w:eastAsia="zh-CN"/>
              </w:rPr>
              <w:t>危</w:t>
            </w:r>
            <w:r>
              <w:rPr>
                <w:rFonts w:hint="eastAsia" w:ascii="宋体" w:hAnsi="宋体"/>
                <w:color w:val="auto"/>
                <w:sz w:val="18"/>
                <w:szCs w:val="18"/>
                <w:highlight w:val="none"/>
              </w:rPr>
              <w:t>害率＜10%，其中蛀干、根部害虫、食叶性害虫＜5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，刺吸性害虫＜10</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，基本无寄生，病害感染率＜5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4B3052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001B54FB">
            <w:pPr>
              <w:jc w:val="center"/>
              <w:rPr>
                <w:rFonts w:ascii="宋体" w:hAnsi="宋体"/>
                <w:color w:val="auto"/>
                <w:sz w:val="18"/>
                <w:szCs w:val="18"/>
                <w:highlight w:val="none"/>
              </w:rPr>
            </w:pPr>
            <w:r>
              <w:rPr>
                <w:rFonts w:hint="eastAsia" w:ascii="宋体" w:hAnsi="宋体"/>
                <w:color w:val="auto"/>
                <w:sz w:val="18"/>
                <w:szCs w:val="18"/>
                <w:highlight w:val="none"/>
              </w:rPr>
              <w:t>七</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8B44825">
            <w:pPr>
              <w:jc w:val="center"/>
              <w:rPr>
                <w:rFonts w:ascii="宋体" w:hAnsi="宋体"/>
                <w:color w:val="auto"/>
                <w:sz w:val="18"/>
                <w:szCs w:val="18"/>
                <w:highlight w:val="none"/>
              </w:rPr>
            </w:pPr>
            <w:r>
              <w:rPr>
                <w:rFonts w:hint="eastAsia" w:ascii="宋体" w:hAnsi="宋体"/>
                <w:color w:val="auto"/>
                <w:sz w:val="18"/>
                <w:szCs w:val="18"/>
                <w:highlight w:val="none"/>
              </w:rPr>
              <w:t>保存率与</w:t>
            </w:r>
          </w:p>
          <w:p w14:paraId="71008FE1">
            <w:pPr>
              <w:jc w:val="center"/>
              <w:rPr>
                <w:rFonts w:ascii="宋体" w:hAnsi="宋体"/>
                <w:color w:val="auto"/>
                <w:sz w:val="18"/>
                <w:szCs w:val="18"/>
                <w:highlight w:val="none"/>
              </w:rPr>
            </w:pPr>
            <w:r>
              <w:rPr>
                <w:rFonts w:hint="eastAsia" w:ascii="宋体" w:hAnsi="宋体"/>
                <w:color w:val="auto"/>
                <w:sz w:val="18"/>
                <w:szCs w:val="18"/>
                <w:highlight w:val="none"/>
              </w:rPr>
              <w:t>覆盖率</w:t>
            </w:r>
          </w:p>
        </w:tc>
        <w:tc>
          <w:tcPr>
            <w:tcW w:w="6939" w:type="dxa"/>
            <w:tcBorders>
              <w:top w:val="single" w:color="auto" w:sz="4" w:space="0"/>
              <w:left w:val="single" w:color="auto" w:sz="4" w:space="0"/>
              <w:bottom w:val="single" w:color="auto" w:sz="4" w:space="0"/>
              <w:right w:val="single" w:color="auto" w:sz="12" w:space="0"/>
            </w:tcBorders>
            <w:noWrap w:val="0"/>
            <w:vAlign w:val="center"/>
          </w:tcPr>
          <w:p w14:paraId="4866CC80">
            <w:pPr>
              <w:ind w:firstLine="360" w:firstLineChars="200"/>
              <w:rPr>
                <w:rFonts w:ascii="宋体" w:hAnsi="宋体"/>
                <w:color w:val="auto"/>
                <w:sz w:val="18"/>
                <w:szCs w:val="18"/>
                <w:highlight w:val="none"/>
              </w:rPr>
            </w:pPr>
            <w:r>
              <w:rPr>
                <w:rFonts w:hint="eastAsia" w:ascii="宋体" w:hAnsi="宋体"/>
                <w:color w:val="auto"/>
                <w:sz w:val="18"/>
                <w:szCs w:val="18"/>
                <w:highlight w:val="none"/>
              </w:rPr>
              <w:t>及时补种与改造，黄土裸露率＜1</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，乔灌木缺株率＜1</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，单处明显裸露面积＜3</w:t>
            </w:r>
            <w:r>
              <w:rPr>
                <w:rFonts w:hAnsi="宋体"/>
                <w:color w:val="auto"/>
                <w:spacing w:val="-30"/>
                <w:highlight w:val="none"/>
              </w:rPr>
              <w:t xml:space="preserve"> </w:t>
            </w:r>
            <w:r>
              <w:rPr>
                <w:rFonts w:hint="eastAsia" w:ascii="宋体" w:hAnsi="宋体"/>
                <w:color w:val="auto"/>
                <w:sz w:val="18"/>
                <w:szCs w:val="18"/>
                <w:highlight w:val="none"/>
              </w:rPr>
              <w:t>m</w:t>
            </w:r>
            <w:r>
              <w:rPr>
                <w:rFonts w:hint="eastAsia" w:ascii="宋体" w:hAnsi="宋体"/>
                <w:color w:val="auto"/>
                <w:sz w:val="18"/>
                <w:szCs w:val="18"/>
                <w:highlight w:val="none"/>
                <w:vertAlign w:val="superscript"/>
              </w:rPr>
              <w:t>2</w:t>
            </w:r>
            <w:r>
              <w:rPr>
                <w:rFonts w:hint="eastAsia" w:ascii="宋体" w:hAnsi="宋体"/>
                <w:color w:val="auto"/>
                <w:sz w:val="18"/>
                <w:szCs w:val="18"/>
                <w:highlight w:val="none"/>
              </w:rPr>
              <w:t>；花坛色块中的时花及时换种，保持常年有花。</w:t>
            </w:r>
          </w:p>
        </w:tc>
      </w:tr>
      <w:tr w14:paraId="1EF3D3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7A7730B9">
            <w:pPr>
              <w:jc w:val="center"/>
              <w:rPr>
                <w:rFonts w:ascii="宋体" w:hAnsi="宋体"/>
                <w:color w:val="auto"/>
                <w:sz w:val="18"/>
                <w:szCs w:val="18"/>
                <w:highlight w:val="none"/>
              </w:rPr>
            </w:pPr>
            <w:r>
              <w:rPr>
                <w:rFonts w:hint="eastAsia" w:ascii="宋体" w:hAnsi="宋体"/>
                <w:color w:val="auto"/>
                <w:sz w:val="18"/>
                <w:szCs w:val="18"/>
                <w:highlight w:val="none"/>
              </w:rPr>
              <w:t>八</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282580A0">
            <w:pPr>
              <w:jc w:val="center"/>
              <w:rPr>
                <w:rFonts w:ascii="宋体" w:hAnsi="宋体"/>
                <w:color w:val="auto"/>
                <w:sz w:val="18"/>
                <w:szCs w:val="18"/>
                <w:highlight w:val="none"/>
              </w:rPr>
            </w:pPr>
            <w:r>
              <w:rPr>
                <w:rFonts w:hint="eastAsia" w:ascii="宋体" w:hAnsi="宋体"/>
                <w:color w:val="auto"/>
                <w:sz w:val="18"/>
                <w:szCs w:val="18"/>
                <w:highlight w:val="none"/>
              </w:rPr>
              <w:t>环境卫生</w:t>
            </w:r>
          </w:p>
        </w:tc>
        <w:tc>
          <w:tcPr>
            <w:tcW w:w="6939" w:type="dxa"/>
            <w:tcBorders>
              <w:top w:val="single" w:color="auto" w:sz="4" w:space="0"/>
              <w:left w:val="single" w:color="auto" w:sz="4" w:space="0"/>
              <w:bottom w:val="single" w:color="auto" w:sz="4" w:space="0"/>
              <w:right w:val="single" w:color="auto" w:sz="12" w:space="0"/>
            </w:tcBorders>
            <w:noWrap w:val="0"/>
            <w:vAlign w:val="center"/>
          </w:tcPr>
          <w:p w14:paraId="2050329C">
            <w:pPr>
              <w:ind w:firstLine="360" w:firstLineChars="200"/>
              <w:rPr>
                <w:rFonts w:ascii="宋体" w:hAnsi="宋体"/>
                <w:color w:val="auto"/>
                <w:sz w:val="18"/>
                <w:szCs w:val="18"/>
                <w:highlight w:val="none"/>
              </w:rPr>
            </w:pPr>
            <w:r>
              <w:rPr>
                <w:rFonts w:hint="eastAsia" w:ascii="宋体" w:hAnsi="宋体"/>
                <w:color w:val="auto"/>
                <w:sz w:val="18"/>
                <w:szCs w:val="18"/>
                <w:highlight w:val="none"/>
              </w:rPr>
              <w:t>建筑小品、辅助设施整洁无损；水池无悬浮物，水体清洁；无死树、残桩头、堆积物；无明显垃圾，基本无果皮、烟头、瓜子壳、纸屑等垃圾。达标率＞95</w:t>
            </w:r>
            <w:r>
              <w:rPr>
                <w:rFonts w:hint="eastAsia" w:hAnsi="宋体"/>
                <w:color w:val="auto"/>
                <w:spacing w:val="-30"/>
                <w:sz w:val="18"/>
                <w:highlight w:val="none"/>
              </w:rPr>
              <w:t>％</w:t>
            </w:r>
            <w:r>
              <w:rPr>
                <w:rFonts w:hint="eastAsia" w:ascii="宋体" w:hAnsi="宋体"/>
                <w:color w:val="auto"/>
                <w:sz w:val="18"/>
                <w:szCs w:val="18"/>
                <w:highlight w:val="none"/>
              </w:rPr>
              <w:t>。</w:t>
            </w:r>
          </w:p>
        </w:tc>
      </w:tr>
      <w:tr w14:paraId="2C6571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96" w:hRule="atLeast"/>
        </w:trPr>
        <w:tc>
          <w:tcPr>
            <w:tcW w:w="9130" w:type="dxa"/>
            <w:gridSpan w:val="3"/>
            <w:tcBorders>
              <w:top w:val="single" w:color="auto" w:sz="4" w:space="0"/>
              <w:left w:val="single" w:color="auto" w:sz="12" w:space="0"/>
              <w:bottom w:val="single" w:color="auto" w:sz="12" w:space="0"/>
              <w:right w:val="single" w:color="auto" w:sz="12" w:space="0"/>
            </w:tcBorders>
            <w:noWrap w:val="0"/>
            <w:vAlign w:val="center"/>
          </w:tcPr>
          <w:p w14:paraId="1A9A8429">
            <w:pPr>
              <w:ind w:firstLine="360" w:firstLineChars="200"/>
              <w:rPr>
                <w:rFonts w:ascii="宋体" w:hAnsi="宋体"/>
                <w:color w:val="auto"/>
                <w:sz w:val="18"/>
                <w:szCs w:val="18"/>
                <w:highlight w:val="none"/>
              </w:rPr>
            </w:pPr>
            <w:r>
              <w:rPr>
                <w:rFonts w:hint="eastAsia" w:ascii="宋体" w:hAnsi="宋体"/>
                <w:color w:val="auto"/>
                <w:sz w:val="18"/>
                <w:szCs w:val="21"/>
                <w:highlight w:val="none"/>
              </w:rPr>
              <w:t>注：达标率指乔木、灌木、地被、草坪等被检目标达到相应要求的植株数（或面积）占总株数（或总面积）的百分比。</w:t>
            </w:r>
          </w:p>
        </w:tc>
      </w:tr>
    </w:tbl>
    <w:p w14:paraId="2259DACE">
      <w:pPr>
        <w:widowControl/>
        <w:autoSpaceDE w:val="0"/>
        <w:autoSpaceDN w:val="0"/>
        <w:rPr>
          <w:rFonts w:ascii="宋体" w:hAnsi="宋体" w:cs="宋体"/>
          <w:color w:val="auto"/>
          <w:kern w:val="0"/>
          <w:szCs w:val="21"/>
          <w:highlight w:val="none"/>
        </w:rPr>
      </w:pPr>
      <w:bookmarkStart w:id="15" w:name="_Toc437873705"/>
      <w:bookmarkStart w:id="16" w:name="_Toc421120721"/>
    </w:p>
    <w:p w14:paraId="47648690">
      <w:pPr>
        <w:pStyle w:val="20"/>
        <w:ind w:firstLine="210"/>
        <w:rPr>
          <w:color w:val="auto"/>
          <w:highlight w:val="none"/>
        </w:rPr>
      </w:pPr>
    </w:p>
    <w:p w14:paraId="7217141C">
      <w:pPr>
        <w:pStyle w:val="20"/>
        <w:ind w:firstLine="210"/>
        <w:rPr>
          <w:color w:val="auto"/>
          <w:highlight w:val="none"/>
        </w:rPr>
      </w:pPr>
    </w:p>
    <w:p w14:paraId="3B4A68D7">
      <w:pPr>
        <w:pStyle w:val="20"/>
        <w:ind w:firstLine="210"/>
        <w:rPr>
          <w:color w:val="auto"/>
          <w:highlight w:val="none"/>
        </w:rPr>
      </w:pPr>
    </w:p>
    <w:p w14:paraId="75540196">
      <w:pPr>
        <w:pStyle w:val="20"/>
        <w:ind w:firstLine="210"/>
        <w:rPr>
          <w:color w:val="auto"/>
          <w:highlight w:val="none"/>
        </w:rPr>
      </w:pPr>
    </w:p>
    <w:p w14:paraId="356A8A17">
      <w:pPr>
        <w:pStyle w:val="20"/>
        <w:ind w:firstLine="210"/>
        <w:rPr>
          <w:color w:val="auto"/>
          <w:highlight w:val="none"/>
        </w:rPr>
      </w:pPr>
    </w:p>
    <w:p w14:paraId="45E76298">
      <w:pPr>
        <w:widowControl/>
        <w:shd w:val="clear" w:color="auto" w:fill="FFFFFF"/>
        <w:outlineLvl w:val="9"/>
        <w:rPr>
          <w:rFonts w:hint="eastAsia" w:ascii="黑体" w:hAnsi="黑体" w:eastAsia="黑体" w:cs="宋体"/>
          <w:bCs/>
          <w:color w:val="auto"/>
          <w:sz w:val="30"/>
          <w:szCs w:val="30"/>
          <w:highlight w:val="none"/>
        </w:rPr>
      </w:pPr>
    </w:p>
    <w:p w14:paraId="75D2F5C1">
      <w:pPr>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附件</w:t>
      </w:r>
      <w:r>
        <w:rPr>
          <w:rFonts w:hint="eastAsia" w:ascii="宋体" w:hAnsi="宋体" w:eastAsia="宋体" w:cs="宋体"/>
          <w:b/>
          <w:bCs w:val="0"/>
          <w:color w:val="auto"/>
          <w:sz w:val="24"/>
          <w:szCs w:val="24"/>
          <w:highlight w:val="none"/>
          <w:lang w:val="en-US" w:eastAsia="zh-CN"/>
        </w:rPr>
        <w:t>3</w:t>
      </w:r>
      <w:r>
        <w:rPr>
          <w:rFonts w:hint="eastAsia" w:ascii="宋体" w:hAnsi="宋体" w:eastAsia="宋体" w:cs="宋体"/>
          <w:b/>
          <w:bCs w:val="0"/>
          <w:color w:val="auto"/>
          <w:sz w:val="24"/>
          <w:szCs w:val="24"/>
          <w:highlight w:val="none"/>
        </w:rPr>
        <w:t>-2</w:t>
      </w:r>
      <w:r>
        <w:rPr>
          <w:rFonts w:hint="eastAsia" w:ascii="宋体" w:hAnsi="宋体" w:eastAsia="宋体" w:cs="宋体"/>
          <w:b/>
          <w:bCs w:val="0"/>
          <w:color w:val="auto"/>
          <w:sz w:val="24"/>
          <w:szCs w:val="24"/>
          <w:highlight w:val="none"/>
          <w:lang w:val="en-US" w:eastAsia="zh-CN"/>
        </w:rPr>
        <w:t>-2</w:t>
      </w:r>
    </w:p>
    <w:bookmarkEnd w:id="15"/>
    <w:bookmarkEnd w:id="16"/>
    <w:p w14:paraId="4D6FD0DF">
      <w:pPr>
        <w:widowControl/>
        <w:numPr>
          <w:ilvl w:val="1"/>
          <w:numId w:val="9"/>
        </w:numPr>
        <w:wordWrap w:val="0"/>
        <w:overflowPunct w:val="0"/>
        <w:autoSpaceDE w:val="0"/>
        <w:spacing w:beforeLines="50"/>
        <w:ind w:left="2520"/>
        <w:outlineLvl w:val="9"/>
        <w:rPr>
          <w:rFonts w:ascii="黑体" w:hAnsi="宋体" w:eastAsia="黑体" w:cs="宋体"/>
          <w:color w:val="auto"/>
          <w:kern w:val="21"/>
          <w:sz w:val="28"/>
          <w:szCs w:val="28"/>
          <w:highlight w:val="none"/>
        </w:rPr>
      </w:pPr>
      <w:bookmarkStart w:id="17" w:name="_Toc186728964"/>
      <w:bookmarkStart w:id="18" w:name="_Toc185611634"/>
      <w:bookmarkStart w:id="19" w:name="_Toc185611566"/>
      <w:bookmarkStart w:id="20" w:name="_Toc421120724"/>
      <w:bookmarkStart w:id="21" w:name="_Toc437873708"/>
      <w:r>
        <w:rPr>
          <w:rFonts w:hint="eastAsia" w:ascii="黑体" w:hAnsi="宋体" w:eastAsia="黑体" w:cs="宋体"/>
          <w:color w:val="auto"/>
          <w:kern w:val="21"/>
          <w:sz w:val="28"/>
          <w:szCs w:val="28"/>
          <w:highlight w:val="none"/>
        </w:rPr>
        <w:t>茶花养护质量要求</w:t>
      </w:r>
      <w:bookmarkEnd w:id="17"/>
      <w:bookmarkEnd w:id="18"/>
      <w:bookmarkEnd w:id="19"/>
    </w:p>
    <w:p w14:paraId="0FE4889A">
      <w:pPr>
        <w:widowControl/>
        <w:autoSpaceDE w:val="0"/>
        <w:autoSpaceDN w:val="0"/>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应符合表A.2的规定</w:t>
      </w:r>
    </w:p>
    <w:p w14:paraId="4742590A">
      <w:pPr>
        <w:widowControl/>
        <w:ind w:firstLine="3570" w:firstLineChars="1700"/>
        <w:rPr>
          <w:rFonts w:ascii="??" w:hAnsi="宋体" w:eastAsia="Times New Roman" w:cs="宋体"/>
          <w:color w:val="auto"/>
          <w:kern w:val="21"/>
          <w:szCs w:val="21"/>
          <w:highlight w:val="none"/>
        </w:rPr>
      </w:pPr>
      <w:r>
        <w:rPr>
          <w:rFonts w:hint="eastAsia" w:ascii="??" w:hAnsi="宋体" w:cs="宋体"/>
          <w:color w:val="auto"/>
          <w:kern w:val="21"/>
          <w:szCs w:val="21"/>
          <w:highlight w:val="none"/>
        </w:rPr>
        <w:t>表</w:t>
      </w:r>
      <w:r>
        <w:rPr>
          <w:rFonts w:ascii="??" w:hAnsi="宋体" w:eastAsia="Times New Roman" w:cs="宋体"/>
          <w:color w:val="auto"/>
          <w:kern w:val="21"/>
          <w:szCs w:val="21"/>
          <w:highlight w:val="none"/>
        </w:rPr>
        <w:t>A.2</w:t>
      </w:r>
      <w:r>
        <w:rPr>
          <w:rFonts w:ascii="??" w:hAnsi="宋体" w:cs="宋体"/>
          <w:color w:val="auto"/>
          <w:kern w:val="21"/>
          <w:szCs w:val="21"/>
          <w:highlight w:val="none"/>
        </w:rPr>
        <w:t xml:space="preserve"> </w:t>
      </w:r>
      <w:r>
        <w:rPr>
          <w:rFonts w:hint="eastAsia" w:ascii="??" w:hAnsi="宋体" w:cs="宋体"/>
          <w:color w:val="auto"/>
          <w:kern w:val="21"/>
          <w:szCs w:val="21"/>
          <w:highlight w:val="none"/>
        </w:rPr>
        <w:t>茶花</w:t>
      </w:r>
      <w:r>
        <w:rPr>
          <w:rFonts w:hint="eastAsia" w:ascii="宋体" w:hAnsi="宋体" w:cs="宋体"/>
          <w:color w:val="auto"/>
          <w:kern w:val="21"/>
          <w:szCs w:val="21"/>
          <w:highlight w:val="none"/>
        </w:rPr>
        <w:t>养护质量要求表</w:t>
      </w:r>
    </w:p>
    <w:tbl>
      <w:tblPr>
        <w:tblStyle w:val="22"/>
        <w:tblW w:w="9186" w:type="dxa"/>
        <w:tblInd w:w="7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1"/>
        <w:gridCol w:w="1440"/>
        <w:gridCol w:w="6995"/>
      </w:tblGrid>
      <w:tr w14:paraId="26BD03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751" w:type="dxa"/>
            <w:tcBorders>
              <w:top w:val="single" w:color="auto" w:sz="12" w:space="0"/>
              <w:left w:val="single" w:color="auto" w:sz="12" w:space="0"/>
              <w:bottom w:val="single" w:color="auto" w:sz="12" w:space="0"/>
              <w:right w:val="single" w:color="auto" w:sz="4" w:space="0"/>
            </w:tcBorders>
            <w:noWrap w:val="0"/>
            <w:vAlign w:val="center"/>
          </w:tcPr>
          <w:p w14:paraId="265938D2">
            <w:pPr>
              <w:jc w:val="center"/>
              <w:rPr>
                <w:rFonts w:ascii="宋体" w:hAnsi="宋体"/>
                <w:color w:val="auto"/>
                <w:sz w:val="18"/>
                <w:szCs w:val="18"/>
                <w:highlight w:val="none"/>
              </w:rPr>
            </w:pPr>
            <w:r>
              <w:rPr>
                <w:rFonts w:hint="eastAsia" w:ascii="宋体" w:hAnsi="宋体"/>
                <w:color w:val="auto"/>
                <w:sz w:val="18"/>
                <w:szCs w:val="18"/>
                <w:highlight w:val="none"/>
              </w:rPr>
              <w:t>序号</w:t>
            </w:r>
          </w:p>
        </w:tc>
        <w:tc>
          <w:tcPr>
            <w:tcW w:w="1440" w:type="dxa"/>
            <w:tcBorders>
              <w:top w:val="single" w:color="auto" w:sz="12" w:space="0"/>
              <w:left w:val="single" w:color="auto" w:sz="4" w:space="0"/>
              <w:bottom w:val="single" w:color="auto" w:sz="12" w:space="0"/>
              <w:right w:val="single" w:color="auto" w:sz="4" w:space="0"/>
            </w:tcBorders>
            <w:noWrap w:val="0"/>
            <w:vAlign w:val="center"/>
          </w:tcPr>
          <w:p w14:paraId="2E67F3BB">
            <w:pPr>
              <w:jc w:val="center"/>
              <w:rPr>
                <w:rFonts w:ascii="宋体" w:hAnsi="宋体"/>
                <w:color w:val="auto"/>
                <w:sz w:val="18"/>
                <w:szCs w:val="18"/>
                <w:highlight w:val="none"/>
              </w:rPr>
            </w:pPr>
            <w:r>
              <w:rPr>
                <w:rFonts w:hint="eastAsia" w:ascii="宋体" w:hAnsi="宋体"/>
                <w:color w:val="auto"/>
                <w:sz w:val="18"/>
                <w:szCs w:val="18"/>
                <w:highlight w:val="none"/>
              </w:rPr>
              <w:t>项目</w:t>
            </w:r>
          </w:p>
        </w:tc>
        <w:tc>
          <w:tcPr>
            <w:tcW w:w="6995" w:type="dxa"/>
            <w:tcBorders>
              <w:top w:val="single" w:color="auto" w:sz="12" w:space="0"/>
              <w:left w:val="single" w:color="auto" w:sz="4" w:space="0"/>
              <w:bottom w:val="single" w:color="auto" w:sz="12" w:space="0"/>
              <w:right w:val="single" w:color="auto" w:sz="12" w:space="0"/>
            </w:tcBorders>
            <w:noWrap w:val="0"/>
            <w:vAlign w:val="center"/>
          </w:tcPr>
          <w:p w14:paraId="41DF644F">
            <w:pPr>
              <w:jc w:val="center"/>
              <w:rPr>
                <w:rFonts w:ascii="宋体" w:hAnsi="宋体"/>
                <w:color w:val="auto"/>
                <w:sz w:val="18"/>
                <w:szCs w:val="18"/>
                <w:highlight w:val="none"/>
              </w:rPr>
            </w:pPr>
            <w:r>
              <w:rPr>
                <w:rFonts w:hint="eastAsia" w:ascii="宋体" w:hAnsi="宋体"/>
                <w:color w:val="auto"/>
                <w:sz w:val="18"/>
                <w:szCs w:val="18"/>
                <w:highlight w:val="none"/>
              </w:rPr>
              <w:t>质量要求</w:t>
            </w:r>
          </w:p>
        </w:tc>
      </w:tr>
      <w:tr w14:paraId="28084A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751" w:type="dxa"/>
            <w:tcBorders>
              <w:top w:val="single" w:color="auto" w:sz="12" w:space="0"/>
              <w:left w:val="single" w:color="auto" w:sz="12" w:space="0"/>
              <w:bottom w:val="single" w:color="auto" w:sz="4" w:space="0"/>
              <w:right w:val="single" w:color="auto" w:sz="4" w:space="0"/>
            </w:tcBorders>
            <w:noWrap w:val="0"/>
            <w:vAlign w:val="center"/>
          </w:tcPr>
          <w:p w14:paraId="361EB8B8">
            <w:pPr>
              <w:jc w:val="center"/>
              <w:rPr>
                <w:rFonts w:ascii="宋体" w:hAnsi="宋体"/>
                <w:color w:val="auto"/>
                <w:sz w:val="18"/>
                <w:szCs w:val="18"/>
                <w:highlight w:val="none"/>
              </w:rPr>
            </w:pPr>
            <w:r>
              <w:rPr>
                <w:rFonts w:hint="eastAsia" w:ascii="宋体" w:hAnsi="宋体"/>
                <w:color w:val="auto"/>
                <w:sz w:val="18"/>
                <w:szCs w:val="18"/>
                <w:highlight w:val="none"/>
              </w:rPr>
              <w:t>一</w:t>
            </w:r>
          </w:p>
        </w:tc>
        <w:tc>
          <w:tcPr>
            <w:tcW w:w="1440" w:type="dxa"/>
            <w:tcBorders>
              <w:top w:val="single" w:color="auto" w:sz="12" w:space="0"/>
              <w:left w:val="single" w:color="auto" w:sz="4" w:space="0"/>
              <w:bottom w:val="single" w:color="auto" w:sz="4" w:space="0"/>
              <w:right w:val="single" w:color="auto" w:sz="4" w:space="0"/>
            </w:tcBorders>
            <w:noWrap w:val="0"/>
            <w:vAlign w:val="center"/>
          </w:tcPr>
          <w:p w14:paraId="489D0397">
            <w:pPr>
              <w:jc w:val="center"/>
              <w:rPr>
                <w:rFonts w:ascii="宋体" w:hAnsi="宋体"/>
                <w:color w:val="auto"/>
                <w:sz w:val="18"/>
                <w:szCs w:val="18"/>
                <w:highlight w:val="none"/>
              </w:rPr>
            </w:pPr>
            <w:r>
              <w:rPr>
                <w:rFonts w:hint="eastAsia" w:ascii="宋体" w:hAnsi="宋体"/>
                <w:color w:val="auto"/>
                <w:sz w:val="18"/>
                <w:szCs w:val="18"/>
                <w:highlight w:val="none"/>
              </w:rPr>
              <w:t>种植基质</w:t>
            </w:r>
          </w:p>
        </w:tc>
        <w:tc>
          <w:tcPr>
            <w:tcW w:w="6995" w:type="dxa"/>
            <w:tcBorders>
              <w:top w:val="single" w:color="auto" w:sz="12" w:space="0"/>
              <w:left w:val="single" w:color="auto" w:sz="4" w:space="0"/>
              <w:bottom w:val="single" w:color="auto" w:sz="4" w:space="0"/>
              <w:right w:val="single" w:color="auto" w:sz="12" w:space="0"/>
            </w:tcBorders>
            <w:noWrap w:val="0"/>
            <w:vAlign w:val="center"/>
          </w:tcPr>
          <w:p w14:paraId="1B5B8BAB">
            <w:pPr>
              <w:ind w:firstLine="360"/>
              <w:rPr>
                <w:rFonts w:ascii="宋体" w:hAnsi="宋体"/>
                <w:color w:val="auto"/>
                <w:spacing w:val="-4"/>
                <w:kern w:val="0"/>
                <w:sz w:val="18"/>
                <w:szCs w:val="18"/>
                <w:highlight w:val="none"/>
              </w:rPr>
            </w:pPr>
            <w:r>
              <w:rPr>
                <w:rFonts w:hint="eastAsia" w:ascii="宋体" w:hAnsi="宋体"/>
                <w:color w:val="auto"/>
                <w:spacing w:val="-4"/>
                <w:sz w:val="18"/>
                <w:szCs w:val="18"/>
                <w:highlight w:val="none"/>
              </w:rPr>
              <w:t>要求疏松肥沃、富含有机质，土壤pH值在5.5-6.5范围。</w:t>
            </w:r>
          </w:p>
        </w:tc>
      </w:tr>
      <w:tr w14:paraId="72979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64B166F4">
            <w:pPr>
              <w:jc w:val="center"/>
              <w:rPr>
                <w:rFonts w:ascii="宋体" w:hAnsi="宋体"/>
                <w:color w:val="auto"/>
                <w:sz w:val="18"/>
                <w:szCs w:val="18"/>
                <w:highlight w:val="none"/>
              </w:rPr>
            </w:pPr>
            <w:r>
              <w:rPr>
                <w:rFonts w:hint="eastAsia" w:ascii="宋体" w:hAnsi="宋体"/>
                <w:color w:val="auto"/>
                <w:sz w:val="18"/>
                <w:szCs w:val="18"/>
                <w:highlight w:val="none"/>
              </w:rPr>
              <w:t>二</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3780DC6F">
            <w:pPr>
              <w:jc w:val="center"/>
              <w:rPr>
                <w:rFonts w:ascii="宋体" w:hAnsi="宋体"/>
                <w:color w:val="auto"/>
                <w:sz w:val="18"/>
                <w:szCs w:val="18"/>
                <w:highlight w:val="none"/>
              </w:rPr>
            </w:pPr>
            <w:r>
              <w:rPr>
                <w:rFonts w:hint="eastAsia" w:ascii="宋体" w:hAnsi="宋体"/>
                <w:color w:val="auto"/>
                <w:sz w:val="18"/>
                <w:szCs w:val="18"/>
                <w:highlight w:val="none"/>
              </w:rPr>
              <w:t>植物生长</w:t>
            </w:r>
          </w:p>
        </w:tc>
        <w:tc>
          <w:tcPr>
            <w:tcW w:w="6995" w:type="dxa"/>
            <w:tcBorders>
              <w:top w:val="single" w:color="auto" w:sz="4" w:space="0"/>
              <w:left w:val="single" w:color="auto" w:sz="4" w:space="0"/>
              <w:bottom w:val="single" w:color="auto" w:sz="4" w:space="0"/>
              <w:right w:val="single" w:color="auto" w:sz="12" w:space="0"/>
            </w:tcBorders>
            <w:noWrap w:val="0"/>
            <w:vAlign w:val="center"/>
          </w:tcPr>
          <w:p w14:paraId="39D65798">
            <w:pPr>
              <w:ind w:firstLine="360" w:firstLineChars="200"/>
              <w:rPr>
                <w:rFonts w:ascii="宋体" w:hAnsi="宋体"/>
                <w:color w:val="auto"/>
                <w:sz w:val="18"/>
                <w:szCs w:val="18"/>
                <w:highlight w:val="none"/>
              </w:rPr>
            </w:pPr>
            <w:r>
              <w:rPr>
                <w:rFonts w:hint="eastAsia" w:ascii="宋体" w:hAnsi="宋体"/>
                <w:color w:val="auto"/>
                <w:sz w:val="18"/>
                <w:szCs w:val="18"/>
                <w:highlight w:val="none"/>
              </w:rPr>
              <w:t>茶花要求</w:t>
            </w:r>
            <w:r>
              <w:rPr>
                <w:rFonts w:hint="eastAsia"/>
                <w:color w:val="auto"/>
                <w:sz w:val="18"/>
                <w:szCs w:val="18"/>
                <w:highlight w:val="none"/>
              </w:rPr>
              <w:t>生长势强，枝叶健壮，枝多叶茂，叶色</w:t>
            </w:r>
            <w:r>
              <w:rPr>
                <w:rFonts w:hint="eastAsia" w:ascii="宋体" w:hAnsi="宋体"/>
                <w:color w:val="auto"/>
                <w:sz w:val="18"/>
                <w:szCs w:val="18"/>
                <w:highlight w:val="none"/>
              </w:rPr>
              <w:t>浓绿</w:t>
            </w:r>
            <w:r>
              <w:rPr>
                <w:rFonts w:hint="eastAsia"/>
                <w:color w:val="auto"/>
                <w:sz w:val="18"/>
                <w:szCs w:val="18"/>
                <w:highlight w:val="none"/>
              </w:rPr>
              <w:t>，树冠完整成形，无枯枝残叶；适时开花，</w:t>
            </w:r>
            <w:r>
              <w:rPr>
                <w:rFonts w:hint="eastAsia" w:ascii="宋体" w:hAnsi="宋体"/>
                <w:color w:val="auto"/>
                <w:sz w:val="18"/>
                <w:szCs w:val="18"/>
                <w:highlight w:val="none"/>
              </w:rPr>
              <w:t>花蕾饱满，</w:t>
            </w:r>
            <w:r>
              <w:rPr>
                <w:rFonts w:hint="eastAsia"/>
                <w:color w:val="auto"/>
                <w:sz w:val="18"/>
                <w:szCs w:val="18"/>
                <w:highlight w:val="none"/>
              </w:rPr>
              <w:t>花多色艳，花期长，</w:t>
            </w:r>
            <w:r>
              <w:rPr>
                <w:rFonts w:hint="eastAsia" w:ascii="宋体" w:hAnsi="宋体"/>
                <w:color w:val="auto"/>
                <w:sz w:val="18"/>
                <w:szCs w:val="18"/>
                <w:highlight w:val="none"/>
              </w:rPr>
              <w:t>植株</w:t>
            </w:r>
            <w:r>
              <w:rPr>
                <w:rFonts w:hint="eastAsia"/>
                <w:color w:val="auto"/>
                <w:sz w:val="18"/>
                <w:szCs w:val="18"/>
                <w:highlight w:val="none"/>
              </w:rPr>
              <w:t>着花均衡。</w:t>
            </w:r>
            <w:r>
              <w:rPr>
                <w:rFonts w:hint="eastAsia" w:ascii="宋体" w:hAnsi="宋体"/>
                <w:color w:val="auto"/>
                <w:sz w:val="18"/>
                <w:szCs w:val="18"/>
                <w:highlight w:val="none"/>
              </w:rPr>
              <w:t>定时切断外来树根，定期增施有机质改善土壤肥力和结构。</w:t>
            </w:r>
          </w:p>
        </w:tc>
      </w:tr>
      <w:tr w14:paraId="0C50E7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06AFA944">
            <w:pPr>
              <w:jc w:val="center"/>
              <w:rPr>
                <w:rFonts w:ascii="宋体" w:hAnsi="宋体"/>
                <w:color w:val="auto"/>
                <w:sz w:val="18"/>
                <w:szCs w:val="18"/>
                <w:highlight w:val="none"/>
              </w:rPr>
            </w:pPr>
            <w:r>
              <w:rPr>
                <w:rFonts w:hint="eastAsia" w:ascii="宋体" w:hAnsi="宋体"/>
                <w:color w:val="auto"/>
                <w:sz w:val="18"/>
                <w:szCs w:val="18"/>
                <w:highlight w:val="none"/>
              </w:rPr>
              <w:t>三</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7BF1000">
            <w:pPr>
              <w:jc w:val="center"/>
              <w:rPr>
                <w:rFonts w:ascii="宋体" w:hAnsi="宋体"/>
                <w:color w:val="auto"/>
                <w:sz w:val="18"/>
                <w:szCs w:val="18"/>
                <w:highlight w:val="none"/>
              </w:rPr>
            </w:pPr>
            <w:r>
              <w:rPr>
                <w:rFonts w:hint="eastAsia" w:ascii="宋体" w:hAnsi="宋体"/>
                <w:color w:val="auto"/>
                <w:sz w:val="18"/>
                <w:szCs w:val="18"/>
                <w:highlight w:val="none"/>
              </w:rPr>
              <w:t>整形修剪</w:t>
            </w:r>
          </w:p>
        </w:tc>
        <w:tc>
          <w:tcPr>
            <w:tcW w:w="6995" w:type="dxa"/>
            <w:tcBorders>
              <w:top w:val="single" w:color="auto" w:sz="4" w:space="0"/>
              <w:left w:val="single" w:color="auto" w:sz="4" w:space="0"/>
              <w:bottom w:val="single" w:color="auto" w:sz="4" w:space="0"/>
              <w:right w:val="single" w:color="auto" w:sz="12" w:space="0"/>
            </w:tcBorders>
            <w:noWrap w:val="0"/>
            <w:vAlign w:val="center"/>
          </w:tcPr>
          <w:p w14:paraId="7F63E7A9">
            <w:pPr>
              <w:jc w:val="left"/>
              <w:rPr>
                <w:color w:val="auto"/>
                <w:sz w:val="18"/>
                <w:szCs w:val="18"/>
                <w:highlight w:val="none"/>
              </w:rPr>
            </w:pPr>
            <w:r>
              <w:rPr>
                <w:rFonts w:hint="eastAsia"/>
                <w:color w:val="auto"/>
                <w:sz w:val="18"/>
                <w:szCs w:val="18"/>
                <w:highlight w:val="none"/>
              </w:rPr>
              <w:t>不定期对影响茶花树形的枝条进行修剪，特别是徒长枝、萌蘖枝等。</w:t>
            </w:r>
            <w:r>
              <w:rPr>
                <w:rFonts w:hint="eastAsia" w:ascii="宋体" w:hAnsi="宋体"/>
                <w:color w:val="auto"/>
                <w:sz w:val="18"/>
                <w:szCs w:val="18"/>
                <w:highlight w:val="none"/>
              </w:rPr>
              <w:t>达标率＞95</w:t>
            </w:r>
            <w:r>
              <w:rPr>
                <w:rFonts w:hAnsi="宋体"/>
                <w:color w:val="auto"/>
                <w:spacing w:val="-30"/>
                <w:sz w:val="18"/>
                <w:szCs w:val="18"/>
                <w:highlight w:val="none"/>
              </w:rPr>
              <w:t xml:space="preserve"> </w:t>
            </w:r>
            <w:r>
              <w:rPr>
                <w:rFonts w:hint="eastAsia" w:hAnsi="宋体"/>
                <w:color w:val="auto"/>
                <w:spacing w:val="-30"/>
                <w:sz w:val="18"/>
                <w:szCs w:val="18"/>
                <w:highlight w:val="none"/>
              </w:rPr>
              <w:t>％</w:t>
            </w:r>
            <w:r>
              <w:rPr>
                <w:rFonts w:hint="eastAsia" w:ascii="宋体" w:hAnsi="宋体"/>
                <w:color w:val="auto"/>
                <w:sz w:val="18"/>
                <w:szCs w:val="18"/>
                <w:highlight w:val="none"/>
              </w:rPr>
              <w:t>。</w:t>
            </w:r>
          </w:p>
          <w:p w14:paraId="07EC9878">
            <w:pPr>
              <w:ind w:firstLine="360" w:firstLineChars="200"/>
              <w:rPr>
                <w:rFonts w:ascii="宋体" w:hAnsi="宋体"/>
                <w:color w:val="auto"/>
                <w:sz w:val="18"/>
                <w:szCs w:val="18"/>
                <w:highlight w:val="none"/>
              </w:rPr>
            </w:pPr>
          </w:p>
        </w:tc>
      </w:tr>
      <w:tr w14:paraId="606525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1"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4DE7F737">
            <w:pPr>
              <w:jc w:val="center"/>
              <w:rPr>
                <w:rFonts w:ascii="宋体" w:hAnsi="宋体"/>
                <w:color w:val="auto"/>
                <w:sz w:val="18"/>
                <w:szCs w:val="18"/>
                <w:highlight w:val="none"/>
              </w:rPr>
            </w:pPr>
            <w:r>
              <w:rPr>
                <w:rFonts w:hint="eastAsia" w:ascii="宋体" w:hAnsi="宋体"/>
                <w:color w:val="auto"/>
                <w:sz w:val="18"/>
                <w:szCs w:val="18"/>
                <w:highlight w:val="none"/>
              </w:rPr>
              <w:t>四</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8C67733">
            <w:pPr>
              <w:jc w:val="center"/>
              <w:rPr>
                <w:rFonts w:ascii="宋体" w:hAnsi="宋体"/>
                <w:color w:val="auto"/>
                <w:sz w:val="18"/>
                <w:szCs w:val="18"/>
                <w:highlight w:val="none"/>
              </w:rPr>
            </w:pPr>
            <w:r>
              <w:rPr>
                <w:rFonts w:hint="eastAsia" w:ascii="宋体" w:hAnsi="宋体"/>
                <w:color w:val="auto"/>
                <w:sz w:val="18"/>
                <w:szCs w:val="18"/>
                <w:highlight w:val="none"/>
              </w:rPr>
              <w:t>树盘</w:t>
            </w:r>
          </w:p>
        </w:tc>
        <w:tc>
          <w:tcPr>
            <w:tcW w:w="6995" w:type="dxa"/>
            <w:tcBorders>
              <w:top w:val="single" w:color="auto" w:sz="4" w:space="0"/>
              <w:left w:val="single" w:color="auto" w:sz="4" w:space="0"/>
              <w:bottom w:val="single" w:color="auto" w:sz="4" w:space="0"/>
              <w:right w:val="single" w:color="auto" w:sz="12" w:space="0"/>
            </w:tcBorders>
            <w:noWrap w:val="0"/>
            <w:vAlign w:val="center"/>
          </w:tcPr>
          <w:p w14:paraId="5FC87D05">
            <w:pPr>
              <w:jc w:val="left"/>
              <w:rPr>
                <w:color w:val="auto"/>
                <w:highlight w:val="none"/>
              </w:rPr>
            </w:pPr>
            <w:r>
              <w:rPr>
                <w:rFonts w:hint="eastAsia" w:ascii="宋体" w:hAnsi="宋体"/>
                <w:color w:val="auto"/>
                <w:sz w:val="18"/>
                <w:szCs w:val="18"/>
                <w:highlight w:val="none"/>
              </w:rPr>
              <w:t>大小合适，边线整齐，土壤疏松、细碎，无杂草、杂物、无明显块土、石头。达标率＞95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p w14:paraId="134A8E89">
            <w:pPr>
              <w:rPr>
                <w:rFonts w:ascii="宋体" w:hAnsi="宋体"/>
                <w:color w:val="auto"/>
                <w:sz w:val="18"/>
                <w:szCs w:val="18"/>
                <w:highlight w:val="none"/>
              </w:rPr>
            </w:pPr>
          </w:p>
        </w:tc>
      </w:tr>
      <w:tr w14:paraId="7984B4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3"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62C87E2C">
            <w:pPr>
              <w:jc w:val="center"/>
              <w:rPr>
                <w:rFonts w:ascii="宋体" w:hAnsi="宋体"/>
                <w:color w:val="auto"/>
                <w:sz w:val="18"/>
                <w:szCs w:val="18"/>
                <w:highlight w:val="none"/>
              </w:rPr>
            </w:pPr>
            <w:r>
              <w:rPr>
                <w:rFonts w:hint="eastAsia" w:ascii="宋体" w:hAnsi="宋体"/>
                <w:color w:val="auto"/>
                <w:sz w:val="18"/>
                <w:szCs w:val="18"/>
                <w:highlight w:val="none"/>
              </w:rPr>
              <w:t>五</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45C9FF45">
            <w:pPr>
              <w:jc w:val="center"/>
              <w:rPr>
                <w:rFonts w:ascii="宋体" w:hAnsi="宋体"/>
                <w:color w:val="auto"/>
                <w:sz w:val="18"/>
                <w:szCs w:val="18"/>
                <w:highlight w:val="none"/>
              </w:rPr>
            </w:pPr>
            <w:r>
              <w:rPr>
                <w:rFonts w:hint="eastAsia" w:ascii="宋体" w:hAnsi="宋体"/>
                <w:color w:val="auto"/>
                <w:sz w:val="18"/>
                <w:szCs w:val="18"/>
                <w:highlight w:val="none"/>
              </w:rPr>
              <w:t>疏蕾、清除残花及枯枝等</w:t>
            </w:r>
          </w:p>
        </w:tc>
        <w:tc>
          <w:tcPr>
            <w:tcW w:w="6995" w:type="dxa"/>
            <w:tcBorders>
              <w:top w:val="single" w:color="auto" w:sz="4" w:space="0"/>
              <w:left w:val="single" w:color="auto" w:sz="4" w:space="0"/>
              <w:bottom w:val="single" w:color="auto" w:sz="4" w:space="0"/>
              <w:right w:val="single" w:color="auto" w:sz="12" w:space="0"/>
            </w:tcBorders>
            <w:noWrap w:val="0"/>
            <w:vAlign w:val="center"/>
          </w:tcPr>
          <w:p w14:paraId="73845DD9">
            <w:pPr>
              <w:jc w:val="left"/>
              <w:rPr>
                <w:color w:val="auto"/>
                <w:highlight w:val="none"/>
              </w:rPr>
            </w:pPr>
            <w:r>
              <w:rPr>
                <w:rFonts w:hint="eastAsia" w:ascii="宋体" w:hAnsi="宋体"/>
                <w:color w:val="auto"/>
                <w:sz w:val="18"/>
                <w:szCs w:val="18"/>
                <w:highlight w:val="none"/>
              </w:rPr>
              <w:t>及时疏蕾，使花蕾分布均匀，视不同品种及植株，每枝叶片在6-8张以上保留一到三个花蕾，疏蕾时不能损伤叶芽。花后及时摘除残花。日常及时清理枯枝、枯叶和悬挂物。</w:t>
            </w:r>
          </w:p>
          <w:p w14:paraId="26865F49">
            <w:pPr>
              <w:ind w:firstLine="360" w:firstLineChars="200"/>
              <w:rPr>
                <w:rFonts w:ascii="宋体" w:hAnsi="宋体"/>
                <w:color w:val="auto"/>
                <w:sz w:val="18"/>
                <w:szCs w:val="18"/>
                <w:highlight w:val="none"/>
              </w:rPr>
            </w:pPr>
          </w:p>
        </w:tc>
      </w:tr>
      <w:tr w14:paraId="4B359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03E40FB8">
            <w:pPr>
              <w:jc w:val="center"/>
              <w:rPr>
                <w:rFonts w:ascii="宋体" w:hAnsi="宋体"/>
                <w:color w:val="auto"/>
                <w:sz w:val="18"/>
                <w:szCs w:val="18"/>
                <w:highlight w:val="none"/>
              </w:rPr>
            </w:pPr>
            <w:r>
              <w:rPr>
                <w:rFonts w:hint="eastAsia" w:ascii="宋体" w:hAnsi="宋体"/>
                <w:color w:val="auto"/>
                <w:sz w:val="18"/>
                <w:szCs w:val="18"/>
                <w:highlight w:val="none"/>
              </w:rPr>
              <w:t>六</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73D87776">
            <w:pPr>
              <w:jc w:val="center"/>
              <w:rPr>
                <w:rFonts w:ascii="宋体" w:hAnsi="宋体"/>
                <w:color w:val="auto"/>
                <w:sz w:val="18"/>
                <w:szCs w:val="18"/>
                <w:highlight w:val="none"/>
              </w:rPr>
            </w:pPr>
            <w:r>
              <w:rPr>
                <w:rFonts w:hint="eastAsia" w:ascii="宋体" w:hAnsi="宋体"/>
                <w:color w:val="auto"/>
                <w:sz w:val="18"/>
                <w:szCs w:val="18"/>
                <w:highlight w:val="none"/>
              </w:rPr>
              <w:t>病虫害</w:t>
            </w:r>
          </w:p>
          <w:p w14:paraId="1F466B9E">
            <w:pPr>
              <w:jc w:val="center"/>
              <w:rPr>
                <w:rFonts w:ascii="宋体" w:hAnsi="宋体"/>
                <w:color w:val="auto"/>
                <w:sz w:val="18"/>
                <w:szCs w:val="18"/>
                <w:highlight w:val="none"/>
              </w:rPr>
            </w:pPr>
            <w:r>
              <w:rPr>
                <w:rFonts w:hint="eastAsia" w:ascii="宋体" w:hAnsi="宋体"/>
                <w:color w:val="auto"/>
                <w:sz w:val="18"/>
                <w:szCs w:val="18"/>
                <w:highlight w:val="none"/>
              </w:rPr>
              <w:t>防治</w:t>
            </w:r>
          </w:p>
        </w:tc>
        <w:tc>
          <w:tcPr>
            <w:tcW w:w="6995" w:type="dxa"/>
            <w:tcBorders>
              <w:top w:val="single" w:color="auto" w:sz="4" w:space="0"/>
              <w:left w:val="single" w:color="auto" w:sz="4" w:space="0"/>
              <w:bottom w:val="single" w:color="auto" w:sz="4" w:space="0"/>
              <w:right w:val="single" w:color="auto" w:sz="12" w:space="0"/>
            </w:tcBorders>
            <w:noWrap w:val="0"/>
            <w:vAlign w:val="center"/>
          </w:tcPr>
          <w:p w14:paraId="31313088">
            <w:pPr>
              <w:ind w:firstLine="360" w:firstLineChars="200"/>
              <w:rPr>
                <w:rFonts w:ascii="宋体" w:hAnsi="宋体"/>
                <w:color w:val="auto"/>
                <w:sz w:val="18"/>
                <w:szCs w:val="18"/>
                <w:highlight w:val="none"/>
              </w:rPr>
            </w:pPr>
            <w:r>
              <w:rPr>
                <w:rFonts w:hint="eastAsia" w:ascii="宋体" w:hAnsi="宋体"/>
                <w:color w:val="auto"/>
                <w:sz w:val="18"/>
                <w:szCs w:val="18"/>
                <w:highlight w:val="none"/>
              </w:rPr>
              <w:t>基本无病虫害危害迹象；单株病虫害总</w:t>
            </w:r>
            <w:r>
              <w:rPr>
                <w:rFonts w:hint="eastAsia" w:ascii="宋体" w:hAnsi="宋体"/>
                <w:color w:val="auto"/>
                <w:sz w:val="18"/>
                <w:szCs w:val="18"/>
                <w:highlight w:val="none"/>
                <w:lang w:val="en-US" w:eastAsia="zh-CN"/>
              </w:rPr>
              <w:t>危</w:t>
            </w:r>
            <w:r>
              <w:rPr>
                <w:rFonts w:hint="eastAsia" w:ascii="宋体" w:hAnsi="宋体"/>
                <w:color w:val="auto"/>
                <w:sz w:val="18"/>
                <w:szCs w:val="18"/>
                <w:highlight w:val="none"/>
              </w:rPr>
              <w:t>害率＜10%，其中蛀干、根部害虫、食叶性害虫＜5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，，刺吸性害虫＜10</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，，基本无寄生，病害感染率＜5</w:t>
            </w:r>
            <w:r>
              <w:rPr>
                <w:rFonts w:hAnsi="宋体"/>
                <w:color w:val="auto"/>
                <w:spacing w:val="-30"/>
                <w:highlight w:val="none"/>
              </w:rPr>
              <w:t xml:space="preserve"> </w:t>
            </w:r>
            <w:r>
              <w:rPr>
                <w:rFonts w:hint="eastAsia" w:hAnsi="宋体"/>
                <w:color w:val="auto"/>
                <w:spacing w:val="-30"/>
                <w:sz w:val="18"/>
                <w:highlight w:val="none"/>
              </w:rPr>
              <w:t>％</w:t>
            </w:r>
            <w:r>
              <w:rPr>
                <w:rFonts w:hAnsi="宋体"/>
                <w:color w:val="auto"/>
                <w:spacing w:val="-30"/>
                <w:sz w:val="18"/>
                <w:highlight w:val="none"/>
              </w:rPr>
              <w:t xml:space="preserve">  </w:t>
            </w:r>
            <w:r>
              <w:rPr>
                <w:rFonts w:hint="eastAsia" w:hAnsi="宋体"/>
                <w:color w:val="auto"/>
                <w:spacing w:val="-30"/>
                <w:sz w:val="18"/>
                <w:highlight w:val="none"/>
              </w:rPr>
              <w:t>。</w:t>
            </w:r>
          </w:p>
        </w:tc>
      </w:tr>
      <w:tr w14:paraId="112F01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74561F06">
            <w:pPr>
              <w:jc w:val="center"/>
              <w:rPr>
                <w:rFonts w:ascii="宋体" w:hAnsi="宋体"/>
                <w:color w:val="auto"/>
                <w:sz w:val="18"/>
                <w:szCs w:val="18"/>
                <w:highlight w:val="none"/>
              </w:rPr>
            </w:pPr>
            <w:r>
              <w:rPr>
                <w:rFonts w:hint="eastAsia" w:ascii="宋体" w:hAnsi="宋体"/>
                <w:color w:val="auto"/>
                <w:sz w:val="18"/>
                <w:szCs w:val="18"/>
                <w:highlight w:val="none"/>
              </w:rPr>
              <w:t>七</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1E39E247">
            <w:pPr>
              <w:jc w:val="center"/>
              <w:rPr>
                <w:rFonts w:ascii="宋体" w:hAnsi="宋体"/>
                <w:color w:val="auto"/>
                <w:sz w:val="18"/>
                <w:szCs w:val="18"/>
                <w:highlight w:val="none"/>
              </w:rPr>
            </w:pPr>
            <w:r>
              <w:rPr>
                <w:rFonts w:hint="eastAsia" w:ascii="宋体" w:hAnsi="宋体"/>
                <w:color w:val="auto"/>
                <w:sz w:val="18"/>
                <w:szCs w:val="18"/>
                <w:highlight w:val="none"/>
              </w:rPr>
              <w:t>淋水</w:t>
            </w:r>
          </w:p>
        </w:tc>
        <w:tc>
          <w:tcPr>
            <w:tcW w:w="6995" w:type="dxa"/>
            <w:tcBorders>
              <w:top w:val="single" w:color="auto" w:sz="4" w:space="0"/>
              <w:left w:val="single" w:color="auto" w:sz="4" w:space="0"/>
              <w:bottom w:val="single" w:color="auto" w:sz="4" w:space="0"/>
              <w:right w:val="single" w:color="auto" w:sz="12" w:space="0"/>
            </w:tcBorders>
            <w:noWrap w:val="0"/>
            <w:vAlign w:val="center"/>
          </w:tcPr>
          <w:p w14:paraId="1CA681B6">
            <w:pPr>
              <w:ind w:firstLine="360" w:firstLineChars="200"/>
              <w:rPr>
                <w:rFonts w:ascii="宋体" w:hAnsi="宋体"/>
                <w:color w:val="auto"/>
                <w:sz w:val="18"/>
                <w:szCs w:val="18"/>
                <w:highlight w:val="none"/>
              </w:rPr>
            </w:pPr>
            <w:r>
              <w:rPr>
                <w:rFonts w:hint="eastAsia" w:ascii="宋体" w:hAnsi="宋体"/>
                <w:color w:val="auto"/>
                <w:sz w:val="18"/>
                <w:szCs w:val="18"/>
                <w:highlight w:val="none"/>
              </w:rPr>
              <w:t>根据植物生长状况、种植方式和天气，及时适量淋水，对积水的植株要及时进行排涝处理。</w:t>
            </w:r>
          </w:p>
        </w:tc>
      </w:tr>
      <w:tr w14:paraId="7FCC0B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751" w:type="dxa"/>
            <w:tcBorders>
              <w:top w:val="single" w:color="auto" w:sz="4" w:space="0"/>
              <w:left w:val="single" w:color="auto" w:sz="12" w:space="0"/>
              <w:bottom w:val="single" w:color="auto" w:sz="4" w:space="0"/>
              <w:right w:val="single" w:color="auto" w:sz="4" w:space="0"/>
            </w:tcBorders>
            <w:noWrap w:val="0"/>
            <w:vAlign w:val="center"/>
          </w:tcPr>
          <w:p w14:paraId="06A5924D">
            <w:pPr>
              <w:jc w:val="center"/>
              <w:rPr>
                <w:rFonts w:ascii="宋体" w:hAnsi="宋体"/>
                <w:color w:val="auto"/>
                <w:sz w:val="18"/>
                <w:szCs w:val="18"/>
                <w:highlight w:val="none"/>
              </w:rPr>
            </w:pPr>
            <w:r>
              <w:rPr>
                <w:rFonts w:hint="eastAsia" w:ascii="宋体" w:hAnsi="宋体"/>
                <w:color w:val="auto"/>
                <w:sz w:val="18"/>
                <w:szCs w:val="18"/>
                <w:highlight w:val="none"/>
              </w:rPr>
              <w:t>八</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66C2F6F">
            <w:pPr>
              <w:jc w:val="center"/>
              <w:rPr>
                <w:rFonts w:ascii="宋体" w:hAnsi="宋体"/>
                <w:color w:val="auto"/>
                <w:sz w:val="18"/>
                <w:szCs w:val="18"/>
                <w:highlight w:val="none"/>
              </w:rPr>
            </w:pPr>
            <w:r>
              <w:rPr>
                <w:rFonts w:hint="eastAsia" w:ascii="宋体" w:hAnsi="宋体"/>
                <w:color w:val="auto"/>
                <w:sz w:val="18"/>
                <w:szCs w:val="18"/>
                <w:highlight w:val="none"/>
              </w:rPr>
              <w:t>施肥</w:t>
            </w:r>
          </w:p>
        </w:tc>
        <w:tc>
          <w:tcPr>
            <w:tcW w:w="6995" w:type="dxa"/>
            <w:tcBorders>
              <w:top w:val="single" w:color="auto" w:sz="4" w:space="0"/>
              <w:left w:val="single" w:color="auto" w:sz="4" w:space="0"/>
              <w:bottom w:val="single" w:color="auto" w:sz="4" w:space="0"/>
              <w:right w:val="single" w:color="auto" w:sz="12" w:space="0"/>
            </w:tcBorders>
            <w:noWrap w:val="0"/>
            <w:vAlign w:val="center"/>
          </w:tcPr>
          <w:p w14:paraId="77384BB2">
            <w:pPr>
              <w:widowControl/>
              <w:ind w:firstLine="360" w:firstLineChars="200"/>
              <w:jc w:val="left"/>
              <w:rPr>
                <w:color w:val="auto"/>
                <w:sz w:val="18"/>
                <w:szCs w:val="18"/>
                <w:highlight w:val="none"/>
              </w:rPr>
            </w:pPr>
            <w:r>
              <w:rPr>
                <w:rFonts w:hint="eastAsia" w:ascii="宋体" w:hAnsi="宋体"/>
                <w:color w:val="auto"/>
                <w:sz w:val="18"/>
                <w:szCs w:val="18"/>
                <w:highlight w:val="none"/>
              </w:rPr>
              <w:t>视植株生长情况及时适量施肥。春季可以适量施用复合肥，以促进春梢生长；夏季少施或不施根部肥，可以喷施适量的叶面肥；秋冬季以施基肥为主，使新根慢慢吸收营养，为明年春梢生长打下良好的基础；抽第二次梢的品种，需提前追肥</w:t>
            </w:r>
            <w:r>
              <w:rPr>
                <w:rFonts w:hint="eastAsia" w:ascii="宋体" w:hAnsi="宋体" w:cs="宋体"/>
                <w:color w:val="auto"/>
                <w:kern w:val="0"/>
                <w:sz w:val="18"/>
                <w:szCs w:val="18"/>
                <w:highlight w:val="none"/>
              </w:rPr>
              <w:t>。用堆沤腐熟的树叶埋施茶花树盆，起到改良土壤的作用。</w:t>
            </w:r>
          </w:p>
        </w:tc>
      </w:tr>
    </w:tbl>
    <w:p w14:paraId="1C0AA762">
      <w:pPr>
        <w:widowControl/>
        <w:autoSpaceDE w:val="0"/>
        <w:autoSpaceDN w:val="0"/>
        <w:rPr>
          <w:rFonts w:ascii="宋体" w:hAnsi="宋体" w:cs="宋体"/>
          <w:color w:val="auto"/>
          <w:kern w:val="0"/>
          <w:szCs w:val="21"/>
          <w:highlight w:val="none"/>
        </w:rPr>
      </w:pPr>
    </w:p>
    <w:p w14:paraId="03BB9E42">
      <w:pPr>
        <w:pStyle w:val="20"/>
        <w:ind w:firstLine="210"/>
        <w:rPr>
          <w:color w:val="auto"/>
          <w:highlight w:val="none"/>
        </w:rPr>
      </w:pPr>
    </w:p>
    <w:p w14:paraId="411C992E">
      <w:pPr>
        <w:pStyle w:val="20"/>
        <w:ind w:firstLine="210"/>
        <w:rPr>
          <w:color w:val="auto"/>
          <w:highlight w:val="none"/>
        </w:rPr>
      </w:pPr>
    </w:p>
    <w:p w14:paraId="425C9B8D">
      <w:pPr>
        <w:pStyle w:val="20"/>
        <w:ind w:firstLine="210"/>
        <w:rPr>
          <w:color w:val="auto"/>
          <w:highlight w:val="none"/>
        </w:rPr>
      </w:pPr>
    </w:p>
    <w:p w14:paraId="456B0558">
      <w:pPr>
        <w:pStyle w:val="20"/>
        <w:ind w:firstLine="210"/>
        <w:rPr>
          <w:color w:val="auto"/>
          <w:highlight w:val="none"/>
        </w:rPr>
      </w:pPr>
    </w:p>
    <w:p w14:paraId="32F1F095">
      <w:pPr>
        <w:pStyle w:val="20"/>
        <w:ind w:firstLine="210"/>
        <w:rPr>
          <w:color w:val="auto"/>
          <w:highlight w:val="none"/>
        </w:rPr>
      </w:pPr>
    </w:p>
    <w:p w14:paraId="1871258D">
      <w:pPr>
        <w:pStyle w:val="20"/>
        <w:ind w:firstLine="210"/>
        <w:rPr>
          <w:color w:val="auto"/>
          <w:highlight w:val="none"/>
        </w:rPr>
      </w:pPr>
    </w:p>
    <w:p w14:paraId="1D8D9B1B">
      <w:pPr>
        <w:pStyle w:val="20"/>
        <w:ind w:firstLine="210"/>
        <w:rPr>
          <w:color w:val="auto"/>
          <w:highlight w:val="none"/>
        </w:rPr>
      </w:pPr>
    </w:p>
    <w:p w14:paraId="7FF1DB8A">
      <w:pPr>
        <w:pStyle w:val="20"/>
        <w:ind w:firstLine="0" w:firstLineChars="0"/>
        <w:rPr>
          <w:color w:val="auto"/>
          <w:highlight w:val="none"/>
        </w:rPr>
      </w:pPr>
    </w:p>
    <w:p w14:paraId="626F683B">
      <w:pPr>
        <w:rPr>
          <w:rFonts w:hint="eastAsia" w:ascii="宋体" w:hAnsi="宋体" w:eastAsia="宋体" w:cs="宋体"/>
          <w:b/>
          <w:bCs w:val="0"/>
          <w:color w:val="auto"/>
          <w:sz w:val="24"/>
          <w:szCs w:val="24"/>
          <w:highlight w:val="none"/>
        </w:rPr>
      </w:pPr>
    </w:p>
    <w:p w14:paraId="29B4EC5D">
      <w:pPr>
        <w:rPr>
          <w:rFonts w:hint="eastAsia" w:ascii="宋体" w:hAnsi="宋体" w:eastAsia="宋体" w:cs="宋体"/>
          <w:b/>
          <w:bCs w:val="0"/>
          <w:color w:val="auto"/>
          <w:sz w:val="24"/>
          <w:szCs w:val="24"/>
          <w:highlight w:val="none"/>
        </w:rPr>
      </w:pPr>
    </w:p>
    <w:p w14:paraId="47495A42">
      <w:pPr>
        <w:rPr>
          <w:rFonts w:hint="eastAsia" w:ascii="宋体" w:hAnsi="宋体" w:eastAsia="宋体" w:cs="宋体"/>
          <w:b/>
          <w:bCs w:val="0"/>
          <w:color w:val="auto"/>
          <w:sz w:val="24"/>
          <w:szCs w:val="24"/>
          <w:highlight w:val="none"/>
        </w:rPr>
      </w:pPr>
    </w:p>
    <w:p w14:paraId="47531054">
      <w:pPr>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rPr>
        <w:t>附件</w:t>
      </w:r>
      <w:r>
        <w:rPr>
          <w:rFonts w:hint="eastAsia" w:ascii="宋体" w:hAnsi="宋体" w:eastAsia="宋体" w:cs="宋体"/>
          <w:b/>
          <w:bCs w:val="0"/>
          <w:color w:val="auto"/>
          <w:sz w:val="24"/>
          <w:szCs w:val="24"/>
          <w:highlight w:val="none"/>
          <w:lang w:val="en-US" w:eastAsia="zh-CN"/>
        </w:rPr>
        <w:t>3</w:t>
      </w:r>
      <w:r>
        <w:rPr>
          <w:rFonts w:hint="eastAsia" w:ascii="宋体" w:hAnsi="宋体" w:eastAsia="宋体" w:cs="宋体"/>
          <w:b/>
          <w:bCs w:val="0"/>
          <w:color w:val="auto"/>
          <w:sz w:val="24"/>
          <w:szCs w:val="24"/>
          <w:highlight w:val="none"/>
        </w:rPr>
        <w:t>-</w:t>
      </w:r>
      <w:r>
        <w:rPr>
          <w:rFonts w:hint="eastAsia" w:ascii="宋体" w:hAnsi="宋体" w:eastAsia="宋体" w:cs="宋体"/>
          <w:b/>
          <w:bCs w:val="0"/>
          <w:color w:val="auto"/>
          <w:sz w:val="24"/>
          <w:szCs w:val="24"/>
          <w:highlight w:val="none"/>
          <w:lang w:val="en-US" w:eastAsia="zh-CN"/>
        </w:rPr>
        <w:t>2-3</w:t>
      </w:r>
    </w:p>
    <w:p w14:paraId="5FA467E0">
      <w:pPr>
        <w:widowControl/>
        <w:numPr>
          <w:ilvl w:val="1"/>
          <w:numId w:val="9"/>
        </w:numPr>
        <w:wordWrap w:val="0"/>
        <w:overflowPunct w:val="0"/>
        <w:autoSpaceDE w:val="0"/>
        <w:spacing w:beforeLines="50"/>
        <w:ind w:left="2520"/>
        <w:outlineLvl w:val="9"/>
        <w:rPr>
          <w:rFonts w:ascii="黑体" w:hAnsi="宋体" w:eastAsia="黑体" w:cs="宋体"/>
          <w:color w:val="auto"/>
          <w:kern w:val="21"/>
          <w:sz w:val="28"/>
          <w:szCs w:val="28"/>
          <w:highlight w:val="none"/>
        </w:rPr>
      </w:pPr>
      <w:bookmarkStart w:id="22" w:name="_Toc186728965"/>
      <w:bookmarkStart w:id="23" w:name="_Toc185611635"/>
      <w:bookmarkStart w:id="24" w:name="_Toc185611567"/>
      <w:r>
        <w:rPr>
          <w:rFonts w:hint="eastAsia" w:ascii="黑体" w:hAnsi="宋体" w:eastAsia="黑体" w:cs="宋体"/>
          <w:color w:val="auto"/>
          <w:kern w:val="21"/>
          <w:sz w:val="28"/>
          <w:szCs w:val="28"/>
          <w:highlight w:val="none"/>
        </w:rPr>
        <w:t>一级花坛养护质量要求</w:t>
      </w:r>
      <w:bookmarkEnd w:id="20"/>
      <w:bookmarkEnd w:id="21"/>
      <w:bookmarkEnd w:id="22"/>
      <w:bookmarkEnd w:id="23"/>
      <w:bookmarkEnd w:id="24"/>
    </w:p>
    <w:p w14:paraId="78022469">
      <w:pPr>
        <w:widowControl/>
        <w:autoSpaceDE w:val="0"/>
        <w:autoSpaceDN w:val="0"/>
        <w:ind w:firstLine="420" w:firstLineChars="200"/>
        <w:rPr>
          <w:rFonts w:ascii="宋体" w:hAnsi="宋体" w:cs="宋体"/>
          <w:color w:val="auto"/>
          <w:kern w:val="0"/>
          <w:sz w:val="18"/>
          <w:szCs w:val="18"/>
          <w:highlight w:val="none"/>
        </w:rPr>
      </w:pPr>
      <w:r>
        <w:rPr>
          <w:rFonts w:hint="eastAsia" w:ascii="宋体" w:hAnsi="宋体" w:cs="宋体"/>
          <w:color w:val="auto"/>
          <w:kern w:val="0"/>
          <w:szCs w:val="21"/>
          <w:highlight w:val="none"/>
        </w:rPr>
        <w:t>应符合表A.3的规定。</w:t>
      </w:r>
    </w:p>
    <w:p w14:paraId="4534E9BB">
      <w:pPr>
        <w:widowControl/>
        <w:jc w:val="center"/>
        <w:rPr>
          <w:rFonts w:ascii="??" w:hAnsi="宋体" w:eastAsia="Times New Roman" w:cs="宋体"/>
          <w:color w:val="auto"/>
          <w:kern w:val="21"/>
          <w:szCs w:val="21"/>
          <w:highlight w:val="none"/>
        </w:rPr>
      </w:pPr>
      <w:r>
        <w:rPr>
          <w:rFonts w:hint="eastAsia" w:ascii="宋体" w:hAnsi="宋体" w:cs="宋体"/>
          <w:color w:val="auto"/>
          <w:kern w:val="21"/>
          <w:szCs w:val="21"/>
          <w:highlight w:val="none"/>
        </w:rPr>
        <w:t>表</w:t>
      </w:r>
      <w:r>
        <w:rPr>
          <w:rFonts w:ascii="??" w:hAnsi="宋体" w:eastAsia="Times New Roman" w:cs="宋体"/>
          <w:color w:val="auto"/>
          <w:kern w:val="21"/>
          <w:szCs w:val="21"/>
          <w:highlight w:val="none"/>
        </w:rPr>
        <w:t>A.</w:t>
      </w:r>
      <w:r>
        <w:rPr>
          <w:rFonts w:ascii="??" w:hAnsi="宋体" w:cs="宋体"/>
          <w:color w:val="auto"/>
          <w:kern w:val="21"/>
          <w:szCs w:val="21"/>
          <w:highlight w:val="none"/>
        </w:rPr>
        <w:t>3</w:t>
      </w:r>
      <w:r>
        <w:rPr>
          <w:rFonts w:hint="eastAsia" w:ascii="宋体" w:hAnsi="宋体" w:cs="宋体"/>
          <w:color w:val="auto"/>
          <w:kern w:val="21"/>
          <w:szCs w:val="21"/>
          <w:highlight w:val="none"/>
        </w:rPr>
        <w:t>一级花坛养护质量要求表</w:t>
      </w:r>
    </w:p>
    <w:tbl>
      <w:tblPr>
        <w:tblStyle w:val="22"/>
        <w:tblW w:w="9099" w:type="dxa"/>
        <w:tblInd w:w="1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55"/>
        <w:gridCol w:w="1361"/>
        <w:gridCol w:w="6883"/>
      </w:tblGrid>
      <w:tr w14:paraId="621925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855" w:type="dxa"/>
            <w:tcBorders>
              <w:top w:val="single" w:color="auto" w:sz="12" w:space="0"/>
              <w:left w:val="single" w:color="auto" w:sz="12" w:space="0"/>
              <w:bottom w:val="single" w:color="auto" w:sz="12" w:space="0"/>
              <w:right w:val="single" w:color="auto" w:sz="2" w:space="0"/>
            </w:tcBorders>
            <w:noWrap w:val="0"/>
            <w:vAlign w:val="center"/>
          </w:tcPr>
          <w:p w14:paraId="3A2C3D2C">
            <w:pPr>
              <w:jc w:val="center"/>
              <w:rPr>
                <w:rFonts w:ascii="宋体" w:hAnsi="宋体"/>
                <w:b/>
                <w:bCs/>
                <w:color w:val="auto"/>
                <w:sz w:val="18"/>
                <w:szCs w:val="18"/>
                <w:highlight w:val="none"/>
              </w:rPr>
            </w:pPr>
            <w:r>
              <w:rPr>
                <w:rFonts w:hint="eastAsia" w:ascii="宋体" w:hAnsi="宋体"/>
                <w:b/>
                <w:bCs/>
                <w:color w:val="auto"/>
                <w:sz w:val="18"/>
                <w:szCs w:val="18"/>
                <w:highlight w:val="none"/>
              </w:rPr>
              <w:t>序号</w:t>
            </w:r>
          </w:p>
        </w:tc>
        <w:tc>
          <w:tcPr>
            <w:tcW w:w="1361" w:type="dxa"/>
            <w:tcBorders>
              <w:top w:val="single" w:color="auto" w:sz="12" w:space="0"/>
              <w:left w:val="single" w:color="auto" w:sz="2" w:space="0"/>
              <w:bottom w:val="single" w:color="auto" w:sz="12" w:space="0"/>
              <w:right w:val="single" w:color="auto" w:sz="2" w:space="0"/>
            </w:tcBorders>
            <w:noWrap w:val="0"/>
            <w:vAlign w:val="center"/>
          </w:tcPr>
          <w:p w14:paraId="2B4ED2AF">
            <w:pPr>
              <w:jc w:val="center"/>
              <w:rPr>
                <w:rFonts w:ascii="宋体" w:hAnsi="宋体"/>
                <w:b/>
                <w:bCs/>
                <w:color w:val="auto"/>
                <w:sz w:val="18"/>
                <w:szCs w:val="18"/>
                <w:highlight w:val="none"/>
              </w:rPr>
            </w:pPr>
            <w:r>
              <w:rPr>
                <w:rFonts w:hint="eastAsia" w:ascii="宋体" w:hAnsi="宋体"/>
                <w:b/>
                <w:bCs/>
                <w:color w:val="auto"/>
                <w:sz w:val="18"/>
                <w:szCs w:val="18"/>
                <w:highlight w:val="none"/>
              </w:rPr>
              <w:t>项目</w:t>
            </w:r>
          </w:p>
        </w:tc>
        <w:tc>
          <w:tcPr>
            <w:tcW w:w="6883" w:type="dxa"/>
            <w:tcBorders>
              <w:top w:val="single" w:color="auto" w:sz="12" w:space="0"/>
              <w:left w:val="single" w:color="auto" w:sz="2" w:space="0"/>
              <w:bottom w:val="single" w:color="auto" w:sz="12" w:space="0"/>
              <w:right w:val="single" w:color="auto" w:sz="12" w:space="0"/>
            </w:tcBorders>
            <w:noWrap w:val="0"/>
            <w:vAlign w:val="center"/>
          </w:tcPr>
          <w:p w14:paraId="5F150A5D">
            <w:pPr>
              <w:jc w:val="center"/>
              <w:rPr>
                <w:rFonts w:ascii="宋体" w:hAnsi="宋体"/>
                <w:b/>
                <w:bCs/>
                <w:color w:val="auto"/>
                <w:sz w:val="18"/>
                <w:szCs w:val="18"/>
                <w:highlight w:val="none"/>
              </w:rPr>
            </w:pPr>
            <w:r>
              <w:rPr>
                <w:rFonts w:hint="eastAsia" w:ascii="宋体" w:hAnsi="宋体"/>
                <w:b/>
                <w:bCs/>
                <w:color w:val="auto"/>
                <w:sz w:val="18"/>
                <w:szCs w:val="18"/>
                <w:highlight w:val="none"/>
              </w:rPr>
              <w:t>质量要求</w:t>
            </w:r>
          </w:p>
        </w:tc>
      </w:tr>
      <w:tr w14:paraId="7C486C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7" w:hRule="atLeast"/>
        </w:trPr>
        <w:tc>
          <w:tcPr>
            <w:tcW w:w="855" w:type="dxa"/>
            <w:tcBorders>
              <w:top w:val="single" w:color="auto" w:sz="12" w:space="0"/>
              <w:left w:val="single" w:color="auto" w:sz="12" w:space="0"/>
              <w:bottom w:val="single" w:color="auto" w:sz="2" w:space="0"/>
              <w:right w:val="single" w:color="auto" w:sz="2" w:space="0"/>
            </w:tcBorders>
            <w:noWrap w:val="0"/>
            <w:vAlign w:val="center"/>
          </w:tcPr>
          <w:p w14:paraId="310C26C2">
            <w:pPr>
              <w:jc w:val="center"/>
              <w:rPr>
                <w:rFonts w:ascii="宋体" w:hAnsi="宋体"/>
                <w:color w:val="auto"/>
                <w:sz w:val="18"/>
                <w:szCs w:val="18"/>
                <w:highlight w:val="none"/>
              </w:rPr>
            </w:pPr>
            <w:r>
              <w:rPr>
                <w:rFonts w:hint="eastAsia" w:ascii="宋体" w:hAnsi="宋体"/>
                <w:color w:val="auto"/>
                <w:sz w:val="18"/>
                <w:szCs w:val="18"/>
                <w:highlight w:val="none"/>
              </w:rPr>
              <w:t>一</w:t>
            </w:r>
          </w:p>
        </w:tc>
        <w:tc>
          <w:tcPr>
            <w:tcW w:w="1361" w:type="dxa"/>
            <w:tcBorders>
              <w:top w:val="single" w:color="auto" w:sz="12" w:space="0"/>
              <w:left w:val="single" w:color="auto" w:sz="2" w:space="0"/>
              <w:bottom w:val="single" w:color="auto" w:sz="2" w:space="0"/>
              <w:right w:val="single" w:color="auto" w:sz="2" w:space="0"/>
            </w:tcBorders>
            <w:noWrap w:val="0"/>
            <w:vAlign w:val="center"/>
          </w:tcPr>
          <w:p w14:paraId="72C4DD36">
            <w:pPr>
              <w:jc w:val="center"/>
              <w:rPr>
                <w:rFonts w:ascii="宋体" w:hAnsi="宋体"/>
                <w:color w:val="auto"/>
                <w:sz w:val="18"/>
                <w:szCs w:val="18"/>
                <w:highlight w:val="none"/>
              </w:rPr>
            </w:pPr>
            <w:r>
              <w:rPr>
                <w:rFonts w:hint="eastAsia" w:ascii="宋体" w:hAnsi="宋体"/>
                <w:color w:val="auto"/>
                <w:sz w:val="18"/>
                <w:szCs w:val="18"/>
                <w:highlight w:val="none"/>
              </w:rPr>
              <w:t>整体效果</w:t>
            </w:r>
          </w:p>
        </w:tc>
        <w:tc>
          <w:tcPr>
            <w:tcW w:w="6883" w:type="dxa"/>
            <w:tcBorders>
              <w:top w:val="single" w:color="auto" w:sz="12" w:space="0"/>
              <w:left w:val="single" w:color="auto" w:sz="2" w:space="0"/>
              <w:bottom w:val="single" w:color="auto" w:sz="2" w:space="0"/>
              <w:right w:val="single" w:color="auto" w:sz="12" w:space="0"/>
            </w:tcBorders>
            <w:noWrap w:val="0"/>
            <w:vAlign w:val="center"/>
          </w:tcPr>
          <w:p w14:paraId="1C844C36">
            <w:pPr>
              <w:ind w:firstLine="360" w:firstLineChars="200"/>
              <w:rPr>
                <w:rFonts w:ascii="宋体" w:hAnsi="宋体"/>
                <w:color w:val="auto"/>
                <w:sz w:val="18"/>
                <w:szCs w:val="18"/>
                <w:highlight w:val="none"/>
              </w:rPr>
            </w:pPr>
            <w:r>
              <w:rPr>
                <w:rFonts w:hint="eastAsia" w:ascii="宋体" w:hAnsi="宋体"/>
                <w:color w:val="auto"/>
                <w:sz w:val="18"/>
                <w:szCs w:val="18"/>
                <w:highlight w:val="none"/>
              </w:rPr>
              <w:t>花坛布置主题鲜明，花卉、饰物、设施、环境等配置相互协调；色彩搭配层次处理得当，色块分界明显，线条流畅，同一色块顶面高度保持一致，整体观赏效果优良。</w:t>
            </w:r>
          </w:p>
        </w:tc>
      </w:tr>
      <w:tr w14:paraId="0DCAD4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14" w:hRule="atLeast"/>
        </w:trPr>
        <w:tc>
          <w:tcPr>
            <w:tcW w:w="855" w:type="dxa"/>
            <w:tcBorders>
              <w:top w:val="single" w:color="auto" w:sz="2" w:space="0"/>
              <w:left w:val="single" w:color="auto" w:sz="12" w:space="0"/>
              <w:bottom w:val="single" w:color="auto" w:sz="2" w:space="0"/>
              <w:right w:val="single" w:color="auto" w:sz="2" w:space="0"/>
            </w:tcBorders>
            <w:noWrap w:val="0"/>
            <w:vAlign w:val="center"/>
          </w:tcPr>
          <w:p w14:paraId="4166761B">
            <w:pPr>
              <w:jc w:val="center"/>
              <w:rPr>
                <w:rFonts w:ascii="宋体" w:hAnsi="宋体"/>
                <w:color w:val="auto"/>
                <w:sz w:val="18"/>
                <w:szCs w:val="18"/>
                <w:highlight w:val="none"/>
              </w:rPr>
            </w:pPr>
            <w:r>
              <w:rPr>
                <w:rFonts w:hint="eastAsia" w:ascii="宋体" w:hAnsi="宋体"/>
                <w:color w:val="auto"/>
                <w:sz w:val="18"/>
                <w:szCs w:val="18"/>
                <w:highlight w:val="none"/>
              </w:rPr>
              <w:t>二</w:t>
            </w:r>
          </w:p>
        </w:tc>
        <w:tc>
          <w:tcPr>
            <w:tcW w:w="1361" w:type="dxa"/>
            <w:tcBorders>
              <w:top w:val="single" w:color="auto" w:sz="2" w:space="0"/>
              <w:left w:val="single" w:color="auto" w:sz="2" w:space="0"/>
              <w:bottom w:val="single" w:color="auto" w:sz="2" w:space="0"/>
              <w:right w:val="single" w:color="auto" w:sz="2" w:space="0"/>
            </w:tcBorders>
            <w:noWrap w:val="0"/>
            <w:vAlign w:val="center"/>
          </w:tcPr>
          <w:p w14:paraId="1C23E023">
            <w:pPr>
              <w:jc w:val="center"/>
              <w:rPr>
                <w:rFonts w:ascii="宋体" w:hAnsi="宋体"/>
                <w:color w:val="auto"/>
                <w:sz w:val="18"/>
                <w:szCs w:val="18"/>
                <w:highlight w:val="none"/>
              </w:rPr>
            </w:pPr>
            <w:r>
              <w:rPr>
                <w:rFonts w:hint="eastAsia" w:ascii="宋体" w:hAnsi="宋体"/>
                <w:color w:val="auto"/>
                <w:sz w:val="18"/>
                <w:szCs w:val="18"/>
                <w:highlight w:val="none"/>
              </w:rPr>
              <w:t>花卉生长</w:t>
            </w:r>
          </w:p>
        </w:tc>
        <w:tc>
          <w:tcPr>
            <w:tcW w:w="6883" w:type="dxa"/>
            <w:tcBorders>
              <w:top w:val="single" w:color="auto" w:sz="2" w:space="0"/>
              <w:left w:val="single" w:color="auto" w:sz="2" w:space="0"/>
              <w:bottom w:val="single" w:color="auto" w:sz="2" w:space="0"/>
              <w:right w:val="single" w:color="auto" w:sz="12" w:space="0"/>
            </w:tcBorders>
            <w:noWrap w:val="0"/>
            <w:vAlign w:val="center"/>
          </w:tcPr>
          <w:p w14:paraId="4867DB2E">
            <w:pPr>
              <w:ind w:firstLine="360" w:firstLineChars="200"/>
              <w:rPr>
                <w:rFonts w:ascii="宋体" w:hAnsi="宋体"/>
                <w:color w:val="auto"/>
                <w:sz w:val="18"/>
                <w:szCs w:val="18"/>
                <w:highlight w:val="none"/>
              </w:rPr>
            </w:pPr>
            <w:r>
              <w:rPr>
                <w:rFonts w:hint="eastAsia" w:ascii="宋体" w:hAnsi="宋体"/>
                <w:color w:val="auto"/>
                <w:sz w:val="18"/>
                <w:szCs w:val="18"/>
                <w:highlight w:val="none"/>
              </w:rPr>
              <w:t>植株健壮，叶的形状、大小、色泽正常，开花整齐、应时，花型正，花色艳，花期达至规定要求。达标率＞95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5150FF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57" w:hRule="atLeast"/>
        </w:trPr>
        <w:tc>
          <w:tcPr>
            <w:tcW w:w="855" w:type="dxa"/>
            <w:tcBorders>
              <w:top w:val="single" w:color="auto" w:sz="2" w:space="0"/>
              <w:left w:val="single" w:color="auto" w:sz="12" w:space="0"/>
              <w:bottom w:val="single" w:color="auto" w:sz="2" w:space="0"/>
              <w:right w:val="single" w:color="auto" w:sz="2" w:space="0"/>
            </w:tcBorders>
            <w:noWrap w:val="0"/>
            <w:vAlign w:val="center"/>
          </w:tcPr>
          <w:p w14:paraId="1540B660">
            <w:pPr>
              <w:jc w:val="center"/>
              <w:rPr>
                <w:rFonts w:ascii="宋体" w:hAnsi="宋体"/>
                <w:color w:val="auto"/>
                <w:sz w:val="18"/>
                <w:szCs w:val="18"/>
                <w:highlight w:val="none"/>
              </w:rPr>
            </w:pPr>
            <w:r>
              <w:rPr>
                <w:rFonts w:hint="eastAsia" w:ascii="宋体" w:hAnsi="宋体"/>
                <w:color w:val="auto"/>
                <w:sz w:val="18"/>
                <w:szCs w:val="18"/>
                <w:highlight w:val="none"/>
              </w:rPr>
              <w:t>三</w:t>
            </w:r>
          </w:p>
        </w:tc>
        <w:tc>
          <w:tcPr>
            <w:tcW w:w="1361" w:type="dxa"/>
            <w:tcBorders>
              <w:top w:val="single" w:color="auto" w:sz="2" w:space="0"/>
              <w:left w:val="single" w:color="auto" w:sz="2" w:space="0"/>
              <w:bottom w:val="single" w:color="auto" w:sz="2" w:space="0"/>
              <w:right w:val="single" w:color="auto" w:sz="2" w:space="0"/>
            </w:tcBorders>
            <w:noWrap w:val="0"/>
            <w:vAlign w:val="center"/>
          </w:tcPr>
          <w:p w14:paraId="474EDA5E">
            <w:pPr>
              <w:jc w:val="center"/>
              <w:rPr>
                <w:rFonts w:ascii="宋体" w:hAnsi="宋体"/>
                <w:color w:val="auto"/>
                <w:sz w:val="18"/>
                <w:szCs w:val="18"/>
                <w:highlight w:val="none"/>
              </w:rPr>
            </w:pPr>
            <w:r>
              <w:rPr>
                <w:rFonts w:hint="eastAsia" w:ascii="宋体" w:hAnsi="宋体"/>
                <w:color w:val="auto"/>
                <w:sz w:val="18"/>
                <w:szCs w:val="18"/>
                <w:highlight w:val="none"/>
              </w:rPr>
              <w:t>整形修剪</w:t>
            </w:r>
          </w:p>
        </w:tc>
        <w:tc>
          <w:tcPr>
            <w:tcW w:w="6883" w:type="dxa"/>
            <w:tcBorders>
              <w:top w:val="single" w:color="auto" w:sz="2" w:space="0"/>
              <w:left w:val="single" w:color="auto" w:sz="2" w:space="0"/>
              <w:bottom w:val="single" w:color="auto" w:sz="2" w:space="0"/>
              <w:right w:val="single" w:color="auto" w:sz="12" w:space="0"/>
            </w:tcBorders>
            <w:noWrap w:val="0"/>
            <w:vAlign w:val="center"/>
          </w:tcPr>
          <w:p w14:paraId="7596B7D2">
            <w:pPr>
              <w:ind w:firstLine="360" w:firstLineChars="200"/>
              <w:rPr>
                <w:rFonts w:ascii="宋体" w:hAnsi="宋体"/>
                <w:color w:val="auto"/>
                <w:sz w:val="18"/>
                <w:szCs w:val="18"/>
                <w:highlight w:val="none"/>
              </w:rPr>
            </w:pPr>
            <w:r>
              <w:rPr>
                <w:rFonts w:hint="eastAsia" w:ascii="宋体" w:hAnsi="宋体"/>
                <w:color w:val="auto"/>
                <w:sz w:val="18"/>
                <w:szCs w:val="18"/>
                <w:highlight w:val="none"/>
              </w:rPr>
              <w:t>无残花、枯枝、黄叶，无杂草，无倒伏现象，花坛同一色块顶面高度保持一致，保持良好的观赏效果。达标率＞95</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354BBA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1" w:hRule="atLeast"/>
        </w:trPr>
        <w:tc>
          <w:tcPr>
            <w:tcW w:w="855" w:type="dxa"/>
            <w:tcBorders>
              <w:top w:val="single" w:color="auto" w:sz="2" w:space="0"/>
              <w:left w:val="single" w:color="auto" w:sz="12" w:space="0"/>
              <w:bottom w:val="single" w:color="auto" w:sz="2" w:space="0"/>
              <w:right w:val="single" w:color="auto" w:sz="2" w:space="0"/>
            </w:tcBorders>
            <w:noWrap w:val="0"/>
            <w:vAlign w:val="center"/>
          </w:tcPr>
          <w:p w14:paraId="43153254">
            <w:pPr>
              <w:spacing w:before="180" w:after="100" w:afterAutospacing="1"/>
              <w:jc w:val="center"/>
              <w:rPr>
                <w:rFonts w:ascii="宋体" w:hAnsi="宋体" w:cs="宋体"/>
                <w:color w:val="auto"/>
                <w:sz w:val="18"/>
                <w:szCs w:val="18"/>
                <w:highlight w:val="none"/>
              </w:rPr>
            </w:pPr>
            <w:r>
              <w:rPr>
                <w:rFonts w:hint="eastAsia" w:ascii="宋体" w:hAnsi="宋体" w:cs="宋体"/>
                <w:color w:val="auto"/>
                <w:sz w:val="18"/>
                <w:szCs w:val="18"/>
                <w:highlight w:val="none"/>
              </w:rPr>
              <w:t>四</w:t>
            </w:r>
          </w:p>
        </w:tc>
        <w:tc>
          <w:tcPr>
            <w:tcW w:w="1361" w:type="dxa"/>
            <w:tcBorders>
              <w:top w:val="single" w:color="auto" w:sz="2" w:space="0"/>
              <w:left w:val="single" w:color="auto" w:sz="2" w:space="0"/>
              <w:bottom w:val="single" w:color="auto" w:sz="2" w:space="0"/>
              <w:right w:val="single" w:color="auto" w:sz="2" w:space="0"/>
            </w:tcBorders>
            <w:noWrap w:val="0"/>
            <w:vAlign w:val="center"/>
          </w:tcPr>
          <w:p w14:paraId="08E96A36">
            <w:pPr>
              <w:spacing w:before="180" w:after="100" w:afterAutospacing="1"/>
              <w:jc w:val="center"/>
              <w:rPr>
                <w:rFonts w:ascii="宋体" w:hAnsi="宋体" w:cs="宋体"/>
                <w:color w:val="auto"/>
                <w:sz w:val="18"/>
                <w:szCs w:val="18"/>
                <w:highlight w:val="none"/>
              </w:rPr>
            </w:pPr>
            <w:r>
              <w:rPr>
                <w:rFonts w:hint="eastAsia" w:ascii="宋体" w:hAnsi="宋体" w:cs="宋体"/>
                <w:color w:val="auto"/>
                <w:sz w:val="18"/>
                <w:szCs w:val="18"/>
                <w:highlight w:val="none"/>
              </w:rPr>
              <w:t>病虫害控制</w:t>
            </w:r>
          </w:p>
        </w:tc>
        <w:tc>
          <w:tcPr>
            <w:tcW w:w="6883" w:type="dxa"/>
            <w:tcBorders>
              <w:top w:val="single" w:color="auto" w:sz="2" w:space="0"/>
              <w:left w:val="single" w:color="auto" w:sz="2" w:space="0"/>
              <w:bottom w:val="single" w:color="auto" w:sz="2" w:space="0"/>
              <w:right w:val="single" w:color="auto" w:sz="12" w:space="0"/>
            </w:tcBorders>
            <w:noWrap w:val="0"/>
            <w:vAlign w:val="center"/>
          </w:tcPr>
          <w:p w14:paraId="37A6FE37">
            <w:pPr>
              <w:spacing w:before="180" w:after="100" w:afterAutospacing="1"/>
              <w:ind w:firstLine="360" w:firstLineChars="200"/>
              <w:rPr>
                <w:rFonts w:ascii="宋体" w:hAnsi="宋体" w:cs="宋体"/>
                <w:color w:val="auto"/>
                <w:sz w:val="18"/>
                <w:szCs w:val="18"/>
                <w:highlight w:val="none"/>
              </w:rPr>
            </w:pPr>
            <w:r>
              <w:rPr>
                <w:rFonts w:hint="eastAsia" w:ascii="宋体" w:hAnsi="宋体" w:cs="宋体"/>
                <w:color w:val="auto"/>
                <w:sz w:val="18"/>
                <w:szCs w:val="18"/>
                <w:highlight w:val="none"/>
              </w:rPr>
              <w:t>无明显危害迹象；总的病虫</w:t>
            </w:r>
            <w:r>
              <w:rPr>
                <w:rFonts w:hint="eastAsia" w:ascii="宋体" w:hAnsi="宋体" w:cs="宋体"/>
                <w:color w:val="auto"/>
                <w:sz w:val="18"/>
                <w:szCs w:val="18"/>
                <w:highlight w:val="none"/>
                <w:lang w:val="en-US" w:eastAsia="zh-CN"/>
              </w:rPr>
              <w:t>危</w:t>
            </w:r>
            <w:r>
              <w:rPr>
                <w:rFonts w:hint="eastAsia" w:ascii="宋体" w:hAnsi="宋体" w:cs="宋体"/>
                <w:color w:val="auto"/>
                <w:sz w:val="18"/>
                <w:szCs w:val="18"/>
                <w:highlight w:val="none"/>
              </w:rPr>
              <w:t>害率＜5</w:t>
            </w:r>
            <w:r>
              <w:rPr>
                <w:rFonts w:hint="eastAsia" w:ascii="宋体" w:hAnsi="宋体" w:cs="宋体"/>
                <w:color w:val="auto"/>
                <w:spacing w:val="-30"/>
                <w:kern w:val="0"/>
                <w:szCs w:val="21"/>
                <w:highlight w:val="none"/>
              </w:rPr>
              <w:t xml:space="preserve"> </w:t>
            </w:r>
            <w:r>
              <w:rPr>
                <w:rFonts w:hint="eastAsia" w:ascii="宋体" w:hAnsi="宋体" w:cs="宋体"/>
                <w:color w:val="auto"/>
                <w:spacing w:val="-30"/>
                <w:kern w:val="0"/>
                <w:sz w:val="18"/>
                <w:szCs w:val="21"/>
                <w:highlight w:val="none"/>
              </w:rPr>
              <w:t>％</w:t>
            </w:r>
            <w:r>
              <w:rPr>
                <w:rFonts w:hint="eastAsia" w:ascii="宋体" w:hAnsi="宋体" w:cs="宋体"/>
                <w:color w:val="auto"/>
                <w:sz w:val="18"/>
                <w:szCs w:val="18"/>
                <w:highlight w:val="none"/>
              </w:rPr>
              <w:t>。</w:t>
            </w:r>
          </w:p>
        </w:tc>
      </w:tr>
      <w:tr w14:paraId="104342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62" w:hRule="atLeast"/>
        </w:trPr>
        <w:tc>
          <w:tcPr>
            <w:tcW w:w="855" w:type="dxa"/>
            <w:tcBorders>
              <w:top w:val="single" w:color="auto" w:sz="2" w:space="0"/>
              <w:left w:val="single" w:color="auto" w:sz="12" w:space="0"/>
              <w:bottom w:val="single" w:color="auto" w:sz="2" w:space="0"/>
              <w:right w:val="single" w:color="auto" w:sz="2" w:space="0"/>
            </w:tcBorders>
            <w:noWrap w:val="0"/>
            <w:vAlign w:val="center"/>
          </w:tcPr>
          <w:p w14:paraId="110725ED">
            <w:pPr>
              <w:jc w:val="center"/>
              <w:rPr>
                <w:rFonts w:ascii="宋体" w:hAnsi="宋体"/>
                <w:color w:val="auto"/>
                <w:sz w:val="18"/>
                <w:szCs w:val="18"/>
                <w:highlight w:val="none"/>
              </w:rPr>
            </w:pPr>
            <w:r>
              <w:rPr>
                <w:rFonts w:hint="eastAsia" w:ascii="宋体" w:hAnsi="宋体"/>
                <w:color w:val="auto"/>
                <w:sz w:val="18"/>
                <w:szCs w:val="18"/>
                <w:highlight w:val="none"/>
              </w:rPr>
              <w:t>五</w:t>
            </w:r>
          </w:p>
        </w:tc>
        <w:tc>
          <w:tcPr>
            <w:tcW w:w="1361" w:type="dxa"/>
            <w:tcBorders>
              <w:top w:val="single" w:color="auto" w:sz="2" w:space="0"/>
              <w:left w:val="single" w:color="auto" w:sz="2" w:space="0"/>
              <w:bottom w:val="single" w:color="auto" w:sz="2" w:space="0"/>
              <w:right w:val="single" w:color="auto" w:sz="2" w:space="0"/>
            </w:tcBorders>
            <w:noWrap w:val="0"/>
            <w:vAlign w:val="center"/>
          </w:tcPr>
          <w:p w14:paraId="6626D283">
            <w:pPr>
              <w:jc w:val="center"/>
              <w:rPr>
                <w:rFonts w:ascii="宋体" w:hAnsi="宋体"/>
                <w:color w:val="auto"/>
                <w:sz w:val="18"/>
                <w:szCs w:val="18"/>
                <w:highlight w:val="none"/>
              </w:rPr>
            </w:pPr>
            <w:r>
              <w:rPr>
                <w:rFonts w:hint="eastAsia" w:ascii="宋体" w:hAnsi="宋体"/>
                <w:color w:val="auto"/>
                <w:sz w:val="18"/>
                <w:szCs w:val="18"/>
                <w:highlight w:val="none"/>
              </w:rPr>
              <w:t>补种与</w:t>
            </w:r>
          </w:p>
          <w:p w14:paraId="2C52D3C9">
            <w:pPr>
              <w:jc w:val="center"/>
              <w:rPr>
                <w:rFonts w:ascii="宋体" w:hAnsi="宋体"/>
                <w:color w:val="auto"/>
                <w:sz w:val="18"/>
                <w:szCs w:val="18"/>
                <w:highlight w:val="none"/>
              </w:rPr>
            </w:pPr>
            <w:r>
              <w:rPr>
                <w:rFonts w:hint="eastAsia" w:ascii="宋体" w:hAnsi="宋体"/>
                <w:color w:val="auto"/>
                <w:sz w:val="18"/>
                <w:szCs w:val="18"/>
                <w:highlight w:val="none"/>
              </w:rPr>
              <w:t>更换</w:t>
            </w:r>
          </w:p>
        </w:tc>
        <w:tc>
          <w:tcPr>
            <w:tcW w:w="6883" w:type="dxa"/>
            <w:tcBorders>
              <w:top w:val="single" w:color="auto" w:sz="2" w:space="0"/>
              <w:left w:val="single" w:color="auto" w:sz="2" w:space="0"/>
              <w:bottom w:val="single" w:color="auto" w:sz="2" w:space="0"/>
              <w:right w:val="single" w:color="auto" w:sz="12" w:space="0"/>
            </w:tcBorders>
            <w:noWrap w:val="0"/>
            <w:vAlign w:val="center"/>
          </w:tcPr>
          <w:p w14:paraId="09F8A634">
            <w:pPr>
              <w:ind w:firstLine="360" w:firstLineChars="200"/>
              <w:rPr>
                <w:rFonts w:ascii="宋体" w:hAnsi="宋体"/>
                <w:color w:val="auto"/>
                <w:sz w:val="18"/>
                <w:szCs w:val="18"/>
                <w:highlight w:val="none"/>
              </w:rPr>
            </w:pPr>
            <w:r>
              <w:rPr>
                <w:rFonts w:hint="eastAsia" w:ascii="宋体" w:hAnsi="宋体"/>
                <w:color w:val="auto"/>
                <w:sz w:val="18"/>
                <w:szCs w:val="18"/>
                <w:highlight w:val="none"/>
              </w:rPr>
              <w:t>花坛应无黄土裸露、缺株和萎蔫现象。存在黄土裸露、缺株和萎蔫现象时应及时补种和更换。更换时边缘土面低于花坛边缘石顶5</w:t>
            </w:r>
            <w:r>
              <w:rPr>
                <w:rFonts w:hAnsi="宋体"/>
                <w:color w:val="auto"/>
                <w:spacing w:val="-30"/>
                <w:highlight w:val="none"/>
              </w:rPr>
              <w:t xml:space="preserve"> </w:t>
            </w:r>
            <w:r>
              <w:rPr>
                <w:rFonts w:hint="eastAsia" w:ascii="宋体" w:hAnsi="宋体"/>
                <w:color w:val="auto"/>
                <w:sz w:val="18"/>
                <w:szCs w:val="18"/>
                <w:highlight w:val="none"/>
              </w:rPr>
              <w:t>cm～7</w:t>
            </w:r>
            <w:r>
              <w:rPr>
                <w:rFonts w:hAnsi="宋体"/>
                <w:color w:val="auto"/>
                <w:spacing w:val="-30"/>
                <w:highlight w:val="none"/>
              </w:rPr>
              <w:t xml:space="preserve"> </w:t>
            </w:r>
            <w:r>
              <w:rPr>
                <w:rFonts w:hint="eastAsia" w:ascii="宋体" w:hAnsi="宋体"/>
                <w:color w:val="auto"/>
                <w:sz w:val="18"/>
                <w:szCs w:val="18"/>
                <w:highlight w:val="none"/>
              </w:rPr>
              <w:t>cm，同一色块的顶面保持一致。达标率＞98</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718ACE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trPr>
        <w:tc>
          <w:tcPr>
            <w:tcW w:w="855" w:type="dxa"/>
            <w:tcBorders>
              <w:top w:val="single" w:color="auto" w:sz="2" w:space="0"/>
              <w:left w:val="single" w:color="auto" w:sz="12" w:space="0"/>
              <w:bottom w:val="single" w:color="auto" w:sz="2" w:space="0"/>
              <w:right w:val="single" w:color="auto" w:sz="2" w:space="0"/>
            </w:tcBorders>
            <w:noWrap w:val="0"/>
            <w:vAlign w:val="center"/>
          </w:tcPr>
          <w:p w14:paraId="3EB0BE7A">
            <w:pPr>
              <w:jc w:val="center"/>
              <w:rPr>
                <w:rFonts w:ascii="宋体" w:hAnsi="宋体"/>
                <w:color w:val="auto"/>
                <w:sz w:val="18"/>
                <w:szCs w:val="18"/>
                <w:highlight w:val="none"/>
              </w:rPr>
            </w:pPr>
            <w:r>
              <w:rPr>
                <w:rFonts w:hint="eastAsia" w:ascii="宋体" w:hAnsi="宋体"/>
                <w:color w:val="auto"/>
                <w:sz w:val="18"/>
                <w:szCs w:val="18"/>
                <w:highlight w:val="none"/>
              </w:rPr>
              <w:t>六</w:t>
            </w:r>
          </w:p>
        </w:tc>
        <w:tc>
          <w:tcPr>
            <w:tcW w:w="1361" w:type="dxa"/>
            <w:tcBorders>
              <w:top w:val="single" w:color="auto" w:sz="2" w:space="0"/>
              <w:left w:val="single" w:color="auto" w:sz="2" w:space="0"/>
              <w:bottom w:val="single" w:color="auto" w:sz="2" w:space="0"/>
              <w:right w:val="single" w:color="auto" w:sz="2" w:space="0"/>
            </w:tcBorders>
            <w:noWrap w:val="0"/>
            <w:vAlign w:val="center"/>
          </w:tcPr>
          <w:p w14:paraId="3AD6F741">
            <w:pPr>
              <w:jc w:val="center"/>
              <w:rPr>
                <w:rFonts w:ascii="宋体" w:hAnsi="宋体"/>
                <w:color w:val="auto"/>
                <w:sz w:val="18"/>
                <w:szCs w:val="18"/>
                <w:highlight w:val="none"/>
              </w:rPr>
            </w:pPr>
            <w:r>
              <w:rPr>
                <w:rFonts w:hint="eastAsia" w:ascii="宋体" w:hAnsi="宋体"/>
                <w:color w:val="auto"/>
                <w:sz w:val="18"/>
                <w:szCs w:val="18"/>
                <w:highlight w:val="none"/>
              </w:rPr>
              <w:t>设施</w:t>
            </w:r>
          </w:p>
        </w:tc>
        <w:tc>
          <w:tcPr>
            <w:tcW w:w="6883" w:type="dxa"/>
            <w:tcBorders>
              <w:top w:val="single" w:color="auto" w:sz="2" w:space="0"/>
              <w:left w:val="single" w:color="auto" w:sz="2" w:space="0"/>
              <w:bottom w:val="single" w:color="auto" w:sz="2" w:space="0"/>
              <w:right w:val="single" w:color="auto" w:sz="12" w:space="0"/>
            </w:tcBorders>
            <w:noWrap w:val="0"/>
            <w:vAlign w:val="center"/>
          </w:tcPr>
          <w:p w14:paraId="2C75CB70">
            <w:pPr>
              <w:ind w:firstLine="360" w:firstLineChars="200"/>
              <w:rPr>
                <w:rFonts w:ascii="宋体" w:hAnsi="宋体"/>
                <w:color w:val="auto"/>
                <w:sz w:val="18"/>
                <w:szCs w:val="18"/>
                <w:highlight w:val="none"/>
              </w:rPr>
            </w:pPr>
            <w:r>
              <w:rPr>
                <w:rFonts w:hint="eastAsia" w:ascii="宋体" w:hAnsi="宋体"/>
                <w:color w:val="auto"/>
                <w:sz w:val="18"/>
                <w:szCs w:val="18"/>
                <w:highlight w:val="none"/>
              </w:rPr>
              <w:t>设施稳固、整洁、完好，与花坛协调美观。饰物和雕塑等应安全、美观。</w:t>
            </w:r>
          </w:p>
        </w:tc>
      </w:tr>
      <w:tr w14:paraId="6B22954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39" w:hRule="atLeast"/>
        </w:trPr>
        <w:tc>
          <w:tcPr>
            <w:tcW w:w="855" w:type="dxa"/>
            <w:tcBorders>
              <w:top w:val="single" w:color="auto" w:sz="2" w:space="0"/>
              <w:left w:val="single" w:color="auto" w:sz="12" w:space="0"/>
              <w:bottom w:val="single" w:color="auto" w:sz="8" w:space="0"/>
              <w:right w:val="single" w:color="auto" w:sz="2" w:space="0"/>
            </w:tcBorders>
            <w:noWrap w:val="0"/>
            <w:vAlign w:val="center"/>
          </w:tcPr>
          <w:p w14:paraId="1A3D860D">
            <w:pPr>
              <w:jc w:val="center"/>
              <w:rPr>
                <w:rFonts w:ascii="宋体" w:hAnsi="宋体"/>
                <w:color w:val="auto"/>
                <w:sz w:val="18"/>
                <w:szCs w:val="18"/>
                <w:highlight w:val="none"/>
              </w:rPr>
            </w:pPr>
            <w:r>
              <w:rPr>
                <w:rFonts w:hint="eastAsia" w:ascii="宋体" w:hAnsi="宋体"/>
                <w:color w:val="auto"/>
                <w:sz w:val="18"/>
                <w:szCs w:val="18"/>
                <w:highlight w:val="none"/>
              </w:rPr>
              <w:t>七</w:t>
            </w:r>
          </w:p>
        </w:tc>
        <w:tc>
          <w:tcPr>
            <w:tcW w:w="1361" w:type="dxa"/>
            <w:tcBorders>
              <w:top w:val="single" w:color="auto" w:sz="2" w:space="0"/>
              <w:left w:val="single" w:color="auto" w:sz="2" w:space="0"/>
              <w:bottom w:val="single" w:color="auto" w:sz="8" w:space="0"/>
              <w:right w:val="single" w:color="auto" w:sz="2" w:space="0"/>
            </w:tcBorders>
            <w:noWrap w:val="0"/>
            <w:vAlign w:val="center"/>
          </w:tcPr>
          <w:p w14:paraId="3D060F34">
            <w:pPr>
              <w:jc w:val="center"/>
              <w:rPr>
                <w:rFonts w:ascii="宋体" w:hAnsi="宋体"/>
                <w:color w:val="auto"/>
                <w:sz w:val="18"/>
                <w:szCs w:val="18"/>
                <w:highlight w:val="none"/>
              </w:rPr>
            </w:pPr>
            <w:r>
              <w:rPr>
                <w:rFonts w:hint="eastAsia" w:ascii="宋体" w:hAnsi="宋体"/>
                <w:color w:val="auto"/>
                <w:sz w:val="18"/>
                <w:szCs w:val="18"/>
                <w:highlight w:val="none"/>
              </w:rPr>
              <w:t>环境卫生</w:t>
            </w:r>
          </w:p>
        </w:tc>
        <w:tc>
          <w:tcPr>
            <w:tcW w:w="6883" w:type="dxa"/>
            <w:tcBorders>
              <w:top w:val="single" w:color="auto" w:sz="2" w:space="0"/>
              <w:left w:val="single" w:color="auto" w:sz="2" w:space="0"/>
              <w:bottom w:val="single" w:color="auto" w:sz="8" w:space="0"/>
              <w:right w:val="single" w:color="auto" w:sz="12" w:space="0"/>
            </w:tcBorders>
            <w:noWrap w:val="0"/>
            <w:vAlign w:val="center"/>
          </w:tcPr>
          <w:p w14:paraId="5927D75B">
            <w:pPr>
              <w:ind w:firstLine="360" w:firstLineChars="200"/>
              <w:rPr>
                <w:rFonts w:ascii="宋体" w:hAnsi="宋体"/>
                <w:color w:val="auto"/>
                <w:sz w:val="18"/>
                <w:szCs w:val="18"/>
                <w:highlight w:val="none"/>
              </w:rPr>
            </w:pPr>
            <w:r>
              <w:rPr>
                <w:rFonts w:hint="eastAsia" w:ascii="宋体" w:hAnsi="宋体"/>
                <w:color w:val="auto"/>
                <w:sz w:val="18"/>
                <w:szCs w:val="18"/>
                <w:highlight w:val="none"/>
              </w:rPr>
              <w:t>无垃圾，无泥土散落、污染道路和周围环境现象；假花、饰物无散落现象。达标率＞98</w:t>
            </w:r>
            <w:r>
              <w:rPr>
                <w:rFonts w:hAnsi="宋体"/>
                <w:color w:val="auto"/>
                <w:spacing w:val="-30"/>
                <w:highlight w:val="none"/>
              </w:rPr>
              <w:t xml:space="preserve"> </w:t>
            </w:r>
            <w:r>
              <w:rPr>
                <w:rFonts w:hint="eastAsia" w:hAnsi="宋体"/>
                <w:color w:val="auto"/>
                <w:spacing w:val="-30"/>
                <w:sz w:val="18"/>
                <w:highlight w:val="none"/>
              </w:rPr>
              <w:t>％</w:t>
            </w:r>
            <w:r>
              <w:rPr>
                <w:rFonts w:hint="eastAsia" w:ascii="宋体" w:hAnsi="宋体"/>
                <w:color w:val="auto"/>
                <w:sz w:val="18"/>
                <w:szCs w:val="18"/>
                <w:highlight w:val="none"/>
              </w:rPr>
              <w:t>。</w:t>
            </w:r>
          </w:p>
        </w:tc>
      </w:tr>
      <w:tr w14:paraId="5BE2C6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526" w:hRule="atLeast"/>
        </w:trPr>
        <w:tc>
          <w:tcPr>
            <w:tcW w:w="9099" w:type="dxa"/>
            <w:gridSpan w:val="3"/>
            <w:tcBorders>
              <w:top w:val="single" w:color="auto" w:sz="8" w:space="0"/>
              <w:left w:val="single" w:color="auto" w:sz="12" w:space="0"/>
              <w:bottom w:val="single" w:color="auto" w:sz="12" w:space="0"/>
              <w:right w:val="single" w:color="auto" w:sz="12" w:space="0"/>
            </w:tcBorders>
            <w:noWrap w:val="0"/>
            <w:vAlign w:val="center"/>
          </w:tcPr>
          <w:p w14:paraId="29C6D707">
            <w:pPr>
              <w:ind w:firstLine="360" w:firstLineChars="200"/>
              <w:rPr>
                <w:rFonts w:ascii="宋体" w:hAnsi="宋体"/>
                <w:color w:val="auto"/>
                <w:sz w:val="18"/>
                <w:szCs w:val="18"/>
                <w:highlight w:val="none"/>
              </w:rPr>
            </w:pPr>
            <w:r>
              <w:rPr>
                <w:rFonts w:hint="eastAsia" w:ascii="宋体" w:hAnsi="宋体"/>
                <w:color w:val="auto"/>
                <w:sz w:val="18"/>
                <w:szCs w:val="18"/>
                <w:highlight w:val="none"/>
              </w:rPr>
              <w:t>注：见表A.1的注。</w:t>
            </w:r>
          </w:p>
        </w:tc>
      </w:tr>
    </w:tbl>
    <w:p w14:paraId="0CC4D847">
      <w:pPr>
        <w:spacing w:line="360" w:lineRule="auto"/>
        <w:rPr>
          <w:rFonts w:ascii="黑体" w:hAnsi="黑体" w:eastAsia="黑体" w:cs="宋体"/>
          <w:bCs/>
          <w:color w:val="auto"/>
          <w:sz w:val="30"/>
          <w:szCs w:val="30"/>
          <w:highlight w:val="none"/>
        </w:rPr>
      </w:pPr>
    </w:p>
    <w:p w14:paraId="4DA01E7F">
      <w:pPr>
        <w:spacing w:line="400" w:lineRule="exact"/>
        <w:rPr>
          <w:rFonts w:hint="eastAsia" w:ascii="宋体" w:hAnsi="宋体"/>
          <w:color w:val="auto"/>
          <w:highlight w:val="none"/>
        </w:rPr>
      </w:pPr>
      <w:r>
        <w:rPr>
          <w:rFonts w:hint="eastAsia" w:ascii="宋体" w:hAnsi="宋体"/>
          <w:color w:val="auto"/>
          <w:highlight w:val="none"/>
        </w:rPr>
        <w:t xml:space="preserve">   </w:t>
      </w:r>
    </w:p>
    <w:p w14:paraId="2F4B06C7">
      <w:pPr>
        <w:spacing w:line="400" w:lineRule="exact"/>
        <w:rPr>
          <w:rFonts w:hint="eastAsia" w:ascii="宋体" w:hAnsi="宋体"/>
          <w:color w:val="auto"/>
          <w:highlight w:val="none"/>
        </w:rPr>
      </w:pPr>
    </w:p>
    <w:p w14:paraId="013FC751">
      <w:pPr>
        <w:spacing w:line="400" w:lineRule="exact"/>
        <w:rPr>
          <w:rFonts w:hint="eastAsia" w:ascii="宋体" w:hAnsi="宋体"/>
          <w:color w:val="auto"/>
          <w:highlight w:val="none"/>
        </w:rPr>
      </w:pPr>
    </w:p>
    <w:p w14:paraId="2FC88172">
      <w:pPr>
        <w:spacing w:line="400" w:lineRule="exact"/>
        <w:rPr>
          <w:rFonts w:hint="eastAsia" w:ascii="宋体" w:hAnsi="宋体"/>
          <w:color w:val="auto"/>
          <w:highlight w:val="none"/>
        </w:rPr>
      </w:pPr>
    </w:p>
    <w:p w14:paraId="44479F83">
      <w:pPr>
        <w:spacing w:line="400" w:lineRule="exact"/>
        <w:rPr>
          <w:rFonts w:hint="eastAsia" w:ascii="宋体" w:hAnsi="宋体"/>
          <w:color w:val="auto"/>
          <w:highlight w:val="none"/>
        </w:rPr>
      </w:pPr>
    </w:p>
    <w:p w14:paraId="13619D20">
      <w:pPr>
        <w:spacing w:line="400" w:lineRule="exact"/>
        <w:rPr>
          <w:rFonts w:hint="eastAsia" w:ascii="宋体" w:hAnsi="宋体"/>
          <w:color w:val="auto"/>
          <w:highlight w:val="none"/>
        </w:rPr>
      </w:pPr>
    </w:p>
    <w:p w14:paraId="7D130517">
      <w:pPr>
        <w:spacing w:line="400" w:lineRule="exact"/>
        <w:rPr>
          <w:rFonts w:hint="eastAsia" w:ascii="宋体" w:hAnsi="宋体"/>
          <w:color w:val="auto"/>
          <w:highlight w:val="none"/>
        </w:rPr>
      </w:pPr>
    </w:p>
    <w:p w14:paraId="40464037">
      <w:pPr>
        <w:spacing w:line="400" w:lineRule="exact"/>
        <w:rPr>
          <w:rFonts w:hint="eastAsia" w:ascii="宋体" w:hAnsi="宋体"/>
          <w:color w:val="auto"/>
          <w:highlight w:val="none"/>
        </w:rPr>
      </w:pPr>
    </w:p>
    <w:p w14:paraId="1BD9E255">
      <w:p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附件3-2-4</w:t>
      </w:r>
    </w:p>
    <w:p w14:paraId="7778DA8A">
      <w:pPr>
        <w:jc w:val="center"/>
        <w:rPr>
          <w:rFonts w:ascii="黑体" w:eastAsia="黑体"/>
          <w:b/>
          <w:bCs/>
          <w:color w:val="auto"/>
          <w:sz w:val="30"/>
          <w:szCs w:val="30"/>
          <w:highlight w:val="none"/>
        </w:rPr>
      </w:pPr>
      <w:r>
        <w:rPr>
          <w:rFonts w:hint="eastAsia" w:ascii="黑体" w:eastAsia="黑体"/>
          <w:b/>
          <w:bCs/>
          <w:color w:val="auto"/>
          <w:sz w:val="30"/>
          <w:szCs w:val="30"/>
          <w:highlight w:val="none"/>
        </w:rPr>
        <w:t>南宁市金花茶公园绿化养护日常考核评分标准</w:t>
      </w:r>
    </w:p>
    <w:p w14:paraId="1DB4D3C5">
      <w:pPr>
        <w:jc w:val="left"/>
        <w:rPr>
          <w:rFonts w:ascii="黑体" w:eastAsia="黑体"/>
          <w:b/>
          <w:bCs/>
          <w:color w:val="auto"/>
          <w:sz w:val="28"/>
          <w:szCs w:val="28"/>
          <w:highlight w:val="none"/>
        </w:rPr>
      </w:pPr>
      <w:r>
        <w:rPr>
          <w:rFonts w:hint="eastAsia" w:ascii="黑体" w:eastAsia="黑体"/>
          <w:color w:val="auto"/>
          <w:sz w:val="24"/>
          <w:highlight w:val="none"/>
        </w:rPr>
        <w:t xml:space="preserve"> 日期：      年   月   日 </w:t>
      </w:r>
    </w:p>
    <w:tbl>
      <w:tblPr>
        <w:tblStyle w:val="22"/>
        <w:tblW w:w="9210" w:type="dxa"/>
        <w:tblInd w:w="108" w:type="dxa"/>
        <w:tblLayout w:type="fixed"/>
        <w:tblCellMar>
          <w:top w:w="0" w:type="dxa"/>
          <w:left w:w="108" w:type="dxa"/>
          <w:bottom w:w="0" w:type="dxa"/>
          <w:right w:w="108" w:type="dxa"/>
        </w:tblCellMar>
      </w:tblPr>
      <w:tblGrid>
        <w:gridCol w:w="419"/>
        <w:gridCol w:w="420"/>
        <w:gridCol w:w="3149"/>
        <w:gridCol w:w="525"/>
        <w:gridCol w:w="3988"/>
        <w:gridCol w:w="709"/>
      </w:tblGrid>
      <w:tr w14:paraId="0374CA3B">
        <w:tblPrEx>
          <w:tblCellMar>
            <w:top w:w="0" w:type="dxa"/>
            <w:left w:w="108" w:type="dxa"/>
            <w:bottom w:w="0" w:type="dxa"/>
            <w:right w:w="108" w:type="dxa"/>
          </w:tblCellMar>
        </w:tblPrEx>
        <w:tc>
          <w:tcPr>
            <w:tcW w:w="419" w:type="dxa"/>
            <w:tcBorders>
              <w:top w:val="single" w:color="auto" w:sz="4" w:space="0"/>
              <w:left w:val="single" w:color="auto" w:sz="4" w:space="0"/>
              <w:bottom w:val="single" w:color="auto" w:sz="4" w:space="0"/>
              <w:right w:val="single" w:color="auto" w:sz="4" w:space="0"/>
            </w:tcBorders>
            <w:noWrap w:val="0"/>
            <w:vAlign w:val="center"/>
          </w:tcPr>
          <w:p w14:paraId="7CAE1875">
            <w:pPr>
              <w:spacing w:line="240" w:lineRule="exact"/>
              <w:jc w:val="center"/>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top"/>
          </w:tcPr>
          <w:p w14:paraId="1E15B630">
            <w:pPr>
              <w:spacing w:line="240" w:lineRule="exact"/>
              <w:jc w:val="center"/>
              <w:rPr>
                <w:rFonts w:ascii="宋体"/>
                <w:color w:val="auto"/>
                <w:sz w:val="18"/>
                <w:szCs w:val="18"/>
                <w:highlight w:val="none"/>
              </w:rPr>
            </w:pPr>
            <w:r>
              <w:rPr>
                <w:rFonts w:hint="eastAsia" w:ascii="宋体" w:hAnsi="宋体"/>
                <w:color w:val="auto"/>
                <w:sz w:val="18"/>
                <w:szCs w:val="18"/>
                <w:highlight w:val="none"/>
              </w:rPr>
              <w:t>序</w:t>
            </w:r>
          </w:p>
          <w:p w14:paraId="4517F4AC">
            <w:pPr>
              <w:spacing w:line="240" w:lineRule="exact"/>
              <w:jc w:val="center"/>
              <w:rPr>
                <w:rFonts w:ascii="宋体"/>
                <w:color w:val="auto"/>
                <w:sz w:val="18"/>
                <w:szCs w:val="18"/>
                <w:highlight w:val="none"/>
              </w:rPr>
            </w:pPr>
            <w:r>
              <w:rPr>
                <w:rFonts w:hint="eastAsia" w:ascii="宋体" w:hAnsi="宋体"/>
                <w:color w:val="auto"/>
                <w:sz w:val="18"/>
                <w:szCs w:val="18"/>
                <w:highlight w:val="none"/>
              </w:rPr>
              <w:t>号</w:t>
            </w:r>
          </w:p>
        </w:tc>
        <w:tc>
          <w:tcPr>
            <w:tcW w:w="3149" w:type="dxa"/>
            <w:tcBorders>
              <w:top w:val="single" w:color="auto" w:sz="4" w:space="0"/>
              <w:left w:val="nil"/>
              <w:bottom w:val="single" w:color="auto" w:sz="4" w:space="0"/>
              <w:right w:val="single" w:color="auto" w:sz="4" w:space="0"/>
            </w:tcBorders>
            <w:noWrap w:val="0"/>
            <w:vAlign w:val="center"/>
          </w:tcPr>
          <w:p w14:paraId="5646298F">
            <w:pPr>
              <w:spacing w:line="240" w:lineRule="exact"/>
              <w:jc w:val="center"/>
              <w:rPr>
                <w:rFonts w:ascii="宋体"/>
                <w:color w:val="auto"/>
                <w:sz w:val="18"/>
                <w:szCs w:val="18"/>
                <w:highlight w:val="none"/>
              </w:rPr>
            </w:pPr>
            <w:r>
              <w:rPr>
                <w:rFonts w:hint="eastAsia" w:ascii="宋体" w:hAnsi="宋体"/>
                <w:color w:val="auto"/>
                <w:sz w:val="18"/>
                <w:szCs w:val="18"/>
                <w:highlight w:val="none"/>
              </w:rPr>
              <w:t>工作内容</w:t>
            </w:r>
          </w:p>
        </w:tc>
        <w:tc>
          <w:tcPr>
            <w:tcW w:w="525" w:type="dxa"/>
            <w:tcBorders>
              <w:top w:val="single" w:color="auto" w:sz="4" w:space="0"/>
              <w:left w:val="nil"/>
              <w:bottom w:val="single" w:color="auto" w:sz="4" w:space="0"/>
              <w:right w:val="single" w:color="auto" w:sz="4" w:space="0"/>
            </w:tcBorders>
            <w:noWrap w:val="0"/>
            <w:vAlign w:val="center"/>
          </w:tcPr>
          <w:p w14:paraId="769874E4">
            <w:pPr>
              <w:spacing w:line="240" w:lineRule="exact"/>
              <w:jc w:val="center"/>
              <w:rPr>
                <w:rFonts w:ascii="宋体"/>
                <w:color w:val="auto"/>
                <w:sz w:val="18"/>
                <w:szCs w:val="18"/>
                <w:highlight w:val="none"/>
              </w:rPr>
            </w:pPr>
            <w:r>
              <w:rPr>
                <w:rFonts w:hint="eastAsia" w:ascii="宋体" w:hAnsi="宋体"/>
                <w:color w:val="auto"/>
                <w:sz w:val="18"/>
                <w:szCs w:val="18"/>
                <w:highlight w:val="none"/>
              </w:rPr>
              <w:t>分</w:t>
            </w:r>
          </w:p>
          <w:p w14:paraId="21C5735C">
            <w:pPr>
              <w:spacing w:line="240" w:lineRule="exact"/>
              <w:jc w:val="center"/>
              <w:rPr>
                <w:rFonts w:ascii="宋体"/>
                <w:color w:val="auto"/>
                <w:sz w:val="18"/>
                <w:szCs w:val="18"/>
                <w:highlight w:val="none"/>
              </w:rPr>
            </w:pPr>
            <w:r>
              <w:rPr>
                <w:rFonts w:hint="eastAsia" w:ascii="宋体" w:hAnsi="宋体"/>
                <w:color w:val="auto"/>
                <w:sz w:val="18"/>
                <w:szCs w:val="18"/>
                <w:highlight w:val="none"/>
              </w:rPr>
              <w:t>值</w:t>
            </w:r>
          </w:p>
        </w:tc>
        <w:tc>
          <w:tcPr>
            <w:tcW w:w="3988" w:type="dxa"/>
            <w:tcBorders>
              <w:top w:val="single" w:color="auto" w:sz="4" w:space="0"/>
              <w:left w:val="nil"/>
              <w:bottom w:val="single" w:color="auto" w:sz="4" w:space="0"/>
              <w:right w:val="single" w:color="auto" w:sz="4" w:space="0"/>
            </w:tcBorders>
            <w:noWrap w:val="0"/>
            <w:vAlign w:val="center"/>
          </w:tcPr>
          <w:p w14:paraId="44C68AD1">
            <w:pPr>
              <w:spacing w:line="240" w:lineRule="exact"/>
              <w:jc w:val="center"/>
              <w:rPr>
                <w:rFonts w:ascii="宋体"/>
                <w:color w:val="auto"/>
                <w:sz w:val="18"/>
                <w:szCs w:val="18"/>
                <w:highlight w:val="none"/>
              </w:rPr>
            </w:pPr>
            <w:r>
              <w:rPr>
                <w:rFonts w:hint="eastAsia" w:ascii="宋体" w:hAnsi="宋体"/>
                <w:color w:val="auto"/>
                <w:sz w:val="18"/>
                <w:szCs w:val="18"/>
                <w:highlight w:val="none"/>
              </w:rPr>
              <w:t>评分细则</w:t>
            </w:r>
          </w:p>
        </w:tc>
        <w:tc>
          <w:tcPr>
            <w:tcW w:w="709" w:type="dxa"/>
            <w:tcBorders>
              <w:top w:val="single" w:color="auto" w:sz="4" w:space="0"/>
              <w:left w:val="nil"/>
              <w:bottom w:val="single" w:color="auto" w:sz="4" w:space="0"/>
              <w:right w:val="single" w:color="auto" w:sz="4" w:space="0"/>
            </w:tcBorders>
            <w:noWrap w:val="0"/>
            <w:vAlign w:val="center"/>
          </w:tcPr>
          <w:p w14:paraId="5875F6E2">
            <w:pPr>
              <w:spacing w:line="240" w:lineRule="exact"/>
              <w:jc w:val="center"/>
              <w:rPr>
                <w:rFonts w:ascii="宋体"/>
                <w:color w:val="auto"/>
                <w:sz w:val="18"/>
                <w:szCs w:val="18"/>
                <w:highlight w:val="none"/>
              </w:rPr>
            </w:pPr>
            <w:r>
              <w:rPr>
                <w:rFonts w:hint="eastAsia" w:ascii="宋体" w:hAnsi="宋体"/>
                <w:color w:val="auto"/>
                <w:sz w:val="18"/>
                <w:szCs w:val="18"/>
                <w:highlight w:val="none"/>
              </w:rPr>
              <w:t>扣分</w:t>
            </w:r>
          </w:p>
        </w:tc>
      </w:tr>
      <w:tr w14:paraId="1F2BB3C9">
        <w:tblPrEx>
          <w:tblCellMar>
            <w:top w:w="0" w:type="dxa"/>
            <w:left w:w="108" w:type="dxa"/>
            <w:bottom w:w="0" w:type="dxa"/>
            <w:right w:w="108" w:type="dxa"/>
          </w:tblCellMar>
        </w:tblPrEx>
        <w:tc>
          <w:tcPr>
            <w:tcW w:w="419" w:type="dxa"/>
            <w:vMerge w:val="restart"/>
            <w:tcBorders>
              <w:top w:val="nil"/>
              <w:left w:val="single" w:color="auto" w:sz="4" w:space="0"/>
              <w:bottom w:val="single" w:color="auto" w:sz="4" w:space="0"/>
              <w:right w:val="single" w:color="auto" w:sz="4" w:space="0"/>
            </w:tcBorders>
            <w:noWrap w:val="0"/>
            <w:vAlign w:val="center"/>
          </w:tcPr>
          <w:p w14:paraId="27FAF98A">
            <w:pPr>
              <w:spacing w:line="260" w:lineRule="exact"/>
              <w:jc w:val="center"/>
              <w:rPr>
                <w:rFonts w:ascii="宋体"/>
                <w:color w:val="auto"/>
                <w:sz w:val="18"/>
                <w:szCs w:val="18"/>
                <w:highlight w:val="none"/>
              </w:rPr>
            </w:pPr>
            <w:r>
              <w:rPr>
                <w:rFonts w:hint="eastAsia" w:ascii="宋体" w:hAnsi="宋体"/>
                <w:color w:val="auto"/>
                <w:sz w:val="18"/>
                <w:szCs w:val="18"/>
                <w:highlight w:val="none"/>
              </w:rPr>
              <w:t>管理</w:t>
            </w:r>
          </w:p>
        </w:tc>
        <w:tc>
          <w:tcPr>
            <w:tcW w:w="420" w:type="dxa"/>
            <w:tcBorders>
              <w:top w:val="single" w:color="auto" w:sz="4" w:space="0"/>
              <w:left w:val="nil"/>
              <w:bottom w:val="single" w:color="auto" w:sz="4" w:space="0"/>
              <w:right w:val="single" w:color="auto" w:sz="4" w:space="0"/>
            </w:tcBorders>
            <w:noWrap w:val="0"/>
            <w:vAlign w:val="top"/>
          </w:tcPr>
          <w:p w14:paraId="3671FC65">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149" w:type="dxa"/>
            <w:tcBorders>
              <w:top w:val="single" w:color="auto" w:sz="4" w:space="0"/>
              <w:left w:val="nil"/>
              <w:bottom w:val="single" w:color="auto" w:sz="4" w:space="0"/>
              <w:right w:val="single" w:color="auto" w:sz="4" w:space="0"/>
            </w:tcBorders>
            <w:noWrap w:val="0"/>
            <w:vAlign w:val="center"/>
          </w:tcPr>
          <w:p w14:paraId="3EE33D70">
            <w:pPr>
              <w:spacing w:line="260" w:lineRule="exact"/>
              <w:rPr>
                <w:rFonts w:ascii="宋体"/>
                <w:color w:val="auto"/>
                <w:sz w:val="18"/>
                <w:szCs w:val="18"/>
                <w:highlight w:val="none"/>
              </w:rPr>
            </w:pPr>
            <w:r>
              <w:rPr>
                <w:rFonts w:hint="eastAsia"/>
                <w:color w:val="auto"/>
                <w:sz w:val="18"/>
                <w:szCs w:val="18"/>
                <w:highlight w:val="none"/>
              </w:rPr>
              <w:t>一线养护人员按时按量上岗，统一着绿化工作服。</w:t>
            </w:r>
          </w:p>
        </w:tc>
        <w:tc>
          <w:tcPr>
            <w:tcW w:w="525" w:type="dxa"/>
            <w:tcBorders>
              <w:top w:val="single" w:color="auto" w:sz="4" w:space="0"/>
              <w:left w:val="nil"/>
              <w:bottom w:val="single" w:color="auto" w:sz="4" w:space="0"/>
              <w:right w:val="single" w:color="auto" w:sz="4" w:space="0"/>
            </w:tcBorders>
            <w:noWrap w:val="0"/>
            <w:vAlign w:val="center"/>
          </w:tcPr>
          <w:p w14:paraId="3610FDDF">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0ED25318">
            <w:pPr>
              <w:spacing w:line="260" w:lineRule="exact"/>
              <w:rPr>
                <w:rFonts w:ascii="宋体"/>
                <w:color w:val="auto"/>
                <w:sz w:val="18"/>
                <w:szCs w:val="18"/>
                <w:highlight w:val="none"/>
              </w:rPr>
            </w:pPr>
            <w:r>
              <w:rPr>
                <w:rFonts w:hint="eastAsia"/>
                <w:color w:val="auto"/>
                <w:sz w:val="18"/>
                <w:szCs w:val="18"/>
                <w:highlight w:val="none"/>
              </w:rPr>
              <w:t>一线养护人员未按投标文件的要求及时到位或人员数量弄虚作假，</w:t>
            </w:r>
            <w:r>
              <w:rPr>
                <w:rFonts w:hint="eastAsia" w:ascii="宋体" w:hAnsi="宋体"/>
                <w:color w:val="auto"/>
                <w:sz w:val="18"/>
                <w:szCs w:val="18"/>
                <w:highlight w:val="none"/>
              </w:rPr>
              <w:t>每少1次/天，扣0.2分。迟到每3人次扣0.1分。</w:t>
            </w:r>
            <w:r>
              <w:rPr>
                <w:rFonts w:hint="eastAsia" w:ascii="宋体" w:hAnsi="宋体"/>
                <w:b/>
                <w:bCs/>
                <w:color w:val="auto"/>
                <w:sz w:val="18"/>
                <w:szCs w:val="18"/>
                <w:highlight w:val="none"/>
                <w:u w:val="single"/>
              </w:rPr>
              <w:t>以上扣分值不设上限。</w:t>
            </w:r>
            <w:r>
              <w:rPr>
                <w:rFonts w:hint="eastAsia"/>
                <w:color w:val="auto"/>
                <w:sz w:val="18"/>
                <w:szCs w:val="18"/>
                <w:highlight w:val="none"/>
              </w:rPr>
              <w:t>未按统一着装的每人次扣</w:t>
            </w:r>
            <w:r>
              <w:rPr>
                <w:color w:val="auto"/>
                <w:sz w:val="18"/>
                <w:szCs w:val="18"/>
                <w:highlight w:val="none"/>
              </w:rPr>
              <w:t>0.1</w:t>
            </w:r>
            <w:r>
              <w:rPr>
                <w:rFonts w:hint="eastAsia"/>
                <w:color w:val="auto"/>
                <w:sz w:val="18"/>
                <w:szCs w:val="18"/>
                <w:highlight w:val="none"/>
              </w:rPr>
              <w:t>分。</w:t>
            </w:r>
          </w:p>
        </w:tc>
        <w:tc>
          <w:tcPr>
            <w:tcW w:w="709" w:type="dxa"/>
            <w:tcBorders>
              <w:top w:val="single" w:color="auto" w:sz="4" w:space="0"/>
              <w:left w:val="nil"/>
              <w:bottom w:val="single" w:color="auto" w:sz="4" w:space="0"/>
              <w:right w:val="single" w:color="auto" w:sz="4" w:space="0"/>
            </w:tcBorders>
            <w:noWrap w:val="0"/>
            <w:vAlign w:val="center"/>
          </w:tcPr>
          <w:p w14:paraId="147DB6DD">
            <w:pPr>
              <w:spacing w:line="260" w:lineRule="exact"/>
              <w:jc w:val="center"/>
              <w:rPr>
                <w:rFonts w:ascii="宋体"/>
                <w:color w:val="auto"/>
                <w:sz w:val="18"/>
                <w:szCs w:val="18"/>
                <w:highlight w:val="none"/>
              </w:rPr>
            </w:pPr>
          </w:p>
        </w:tc>
      </w:tr>
      <w:tr w14:paraId="468FEB2D">
        <w:tblPrEx>
          <w:tblCellMar>
            <w:top w:w="0" w:type="dxa"/>
            <w:left w:w="108" w:type="dxa"/>
            <w:bottom w:w="0" w:type="dxa"/>
            <w:right w:w="108" w:type="dxa"/>
          </w:tblCellMar>
        </w:tblPrEx>
        <w:tc>
          <w:tcPr>
            <w:tcW w:w="419" w:type="dxa"/>
            <w:vMerge w:val="continue"/>
            <w:tcBorders>
              <w:top w:val="nil"/>
              <w:left w:val="single" w:color="auto" w:sz="4" w:space="0"/>
              <w:bottom w:val="single" w:color="auto" w:sz="4" w:space="0"/>
              <w:right w:val="single" w:color="auto" w:sz="4" w:space="0"/>
            </w:tcBorders>
            <w:noWrap w:val="0"/>
            <w:vAlign w:val="center"/>
          </w:tcPr>
          <w:p w14:paraId="3661FEDA">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top"/>
          </w:tcPr>
          <w:p w14:paraId="4F86CA63">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149" w:type="dxa"/>
            <w:tcBorders>
              <w:top w:val="single" w:color="auto" w:sz="4" w:space="0"/>
              <w:left w:val="nil"/>
              <w:bottom w:val="single" w:color="auto" w:sz="4" w:space="0"/>
              <w:right w:val="single" w:color="auto" w:sz="4" w:space="0"/>
            </w:tcBorders>
            <w:noWrap w:val="0"/>
            <w:vAlign w:val="center"/>
          </w:tcPr>
          <w:p w14:paraId="38F1CBAF">
            <w:pPr>
              <w:spacing w:line="260" w:lineRule="exact"/>
              <w:rPr>
                <w:color w:val="auto"/>
                <w:sz w:val="18"/>
                <w:szCs w:val="18"/>
                <w:highlight w:val="none"/>
              </w:rPr>
            </w:pPr>
            <w:r>
              <w:rPr>
                <w:rFonts w:hint="eastAsia"/>
                <w:color w:val="auto"/>
                <w:sz w:val="18"/>
                <w:szCs w:val="18"/>
                <w:highlight w:val="none"/>
              </w:rPr>
              <w:t>管理层人员按投标文件的要求及时到位。</w:t>
            </w:r>
          </w:p>
        </w:tc>
        <w:tc>
          <w:tcPr>
            <w:tcW w:w="525" w:type="dxa"/>
            <w:tcBorders>
              <w:top w:val="single" w:color="auto" w:sz="4" w:space="0"/>
              <w:left w:val="nil"/>
              <w:bottom w:val="single" w:color="auto" w:sz="4" w:space="0"/>
              <w:right w:val="single" w:color="auto" w:sz="4" w:space="0"/>
            </w:tcBorders>
            <w:noWrap w:val="0"/>
            <w:vAlign w:val="center"/>
          </w:tcPr>
          <w:p w14:paraId="6F99AF23">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6B909D3F">
            <w:pPr>
              <w:spacing w:line="260" w:lineRule="exact"/>
              <w:rPr>
                <w:color w:val="auto"/>
                <w:sz w:val="18"/>
                <w:szCs w:val="18"/>
                <w:highlight w:val="none"/>
              </w:rPr>
            </w:pPr>
            <w:r>
              <w:rPr>
                <w:rFonts w:hint="eastAsia"/>
                <w:color w:val="auto"/>
                <w:sz w:val="18"/>
                <w:szCs w:val="18"/>
                <w:highlight w:val="none"/>
              </w:rPr>
              <w:t>管理层人员未按投标文件的要求及时到位，</w:t>
            </w:r>
            <w:r>
              <w:rPr>
                <w:rFonts w:hint="eastAsia" w:ascii="宋体" w:hAnsi="宋体"/>
                <w:color w:val="auto"/>
                <w:sz w:val="18"/>
                <w:szCs w:val="18"/>
                <w:highlight w:val="none"/>
              </w:rPr>
              <w:t>每少1次/天，扣0.2分。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080E880C">
            <w:pPr>
              <w:spacing w:line="260" w:lineRule="exact"/>
              <w:jc w:val="center"/>
              <w:rPr>
                <w:rFonts w:ascii="宋体"/>
                <w:color w:val="auto"/>
                <w:sz w:val="18"/>
                <w:szCs w:val="18"/>
                <w:highlight w:val="none"/>
              </w:rPr>
            </w:pPr>
          </w:p>
        </w:tc>
      </w:tr>
      <w:tr w14:paraId="5DF378F0">
        <w:tblPrEx>
          <w:tblCellMar>
            <w:top w:w="0" w:type="dxa"/>
            <w:left w:w="108" w:type="dxa"/>
            <w:bottom w:w="0" w:type="dxa"/>
            <w:right w:w="108" w:type="dxa"/>
          </w:tblCellMar>
        </w:tblPrEx>
        <w:tc>
          <w:tcPr>
            <w:tcW w:w="419" w:type="dxa"/>
            <w:vMerge w:val="continue"/>
            <w:tcBorders>
              <w:top w:val="nil"/>
              <w:left w:val="single" w:color="auto" w:sz="4" w:space="0"/>
              <w:bottom w:val="single" w:color="auto" w:sz="4" w:space="0"/>
              <w:right w:val="single" w:color="auto" w:sz="4" w:space="0"/>
            </w:tcBorders>
            <w:noWrap w:val="0"/>
            <w:vAlign w:val="center"/>
          </w:tcPr>
          <w:p w14:paraId="4BEB3952">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top"/>
          </w:tcPr>
          <w:p w14:paraId="683F4B1A">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149" w:type="dxa"/>
            <w:tcBorders>
              <w:top w:val="single" w:color="auto" w:sz="4" w:space="0"/>
              <w:left w:val="nil"/>
              <w:bottom w:val="single" w:color="auto" w:sz="4" w:space="0"/>
              <w:right w:val="single" w:color="auto" w:sz="4" w:space="0"/>
            </w:tcBorders>
            <w:noWrap w:val="0"/>
            <w:vAlign w:val="center"/>
          </w:tcPr>
          <w:p w14:paraId="0D1599A8">
            <w:pPr>
              <w:spacing w:line="260" w:lineRule="exact"/>
              <w:rPr>
                <w:rFonts w:ascii="宋体"/>
                <w:color w:val="auto"/>
                <w:sz w:val="18"/>
                <w:szCs w:val="18"/>
                <w:highlight w:val="none"/>
              </w:rPr>
            </w:pPr>
            <w:r>
              <w:rPr>
                <w:rFonts w:hint="eastAsia" w:ascii="宋体" w:hAnsi="宋体"/>
                <w:color w:val="auto"/>
                <w:sz w:val="18"/>
                <w:szCs w:val="18"/>
                <w:highlight w:val="none"/>
              </w:rPr>
              <w:t>开展养护工作，积极参加业务学习和安全培训，圆满完成金花茶公园临时突击任务。</w:t>
            </w:r>
          </w:p>
        </w:tc>
        <w:tc>
          <w:tcPr>
            <w:tcW w:w="525" w:type="dxa"/>
            <w:tcBorders>
              <w:top w:val="single" w:color="auto" w:sz="4" w:space="0"/>
              <w:left w:val="nil"/>
              <w:bottom w:val="single" w:color="auto" w:sz="4" w:space="0"/>
              <w:right w:val="single" w:color="auto" w:sz="4" w:space="0"/>
            </w:tcBorders>
            <w:noWrap w:val="0"/>
            <w:vAlign w:val="center"/>
          </w:tcPr>
          <w:p w14:paraId="20494288">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779239D3">
            <w:pPr>
              <w:spacing w:line="260" w:lineRule="exact"/>
              <w:rPr>
                <w:rFonts w:ascii="宋体"/>
                <w:color w:val="auto"/>
                <w:sz w:val="18"/>
                <w:szCs w:val="18"/>
                <w:highlight w:val="none"/>
              </w:rPr>
            </w:pPr>
            <w:r>
              <w:rPr>
                <w:rFonts w:hint="eastAsia" w:ascii="宋体" w:hAnsi="宋体"/>
                <w:color w:val="auto"/>
                <w:sz w:val="18"/>
                <w:szCs w:val="18"/>
                <w:highlight w:val="none"/>
              </w:rPr>
              <w:t>无故缺勤临时突击任务、无故不落实</w:t>
            </w:r>
            <w:r>
              <w:rPr>
                <w:rFonts w:hint="eastAsia" w:ascii="宋体" w:hAnsi="宋体"/>
                <w:color w:val="auto"/>
                <w:sz w:val="18"/>
                <w:szCs w:val="18"/>
                <w:highlight w:val="none"/>
                <w:lang w:val="en-US" w:eastAsia="zh-CN"/>
              </w:rPr>
              <w:t>公园</w:t>
            </w:r>
            <w:r>
              <w:rPr>
                <w:rFonts w:hint="eastAsia" w:ascii="宋体" w:hAnsi="宋体"/>
                <w:color w:val="auto"/>
                <w:sz w:val="18"/>
                <w:szCs w:val="18"/>
                <w:highlight w:val="none"/>
              </w:rPr>
              <w:t>的技术指导或没有按时按质完成专项养护任务每次扣0.2-1分；迟到或早退、无故缺席业务学习和安全培训每人次扣0.1分；每少一人，</w:t>
            </w:r>
            <w:r>
              <w:rPr>
                <w:rFonts w:hint="eastAsia"/>
                <w:color w:val="auto"/>
                <w:sz w:val="18"/>
                <w:szCs w:val="18"/>
                <w:highlight w:val="none"/>
              </w:rPr>
              <w:t>扣</w:t>
            </w:r>
            <w:r>
              <w:rPr>
                <w:color w:val="auto"/>
                <w:sz w:val="18"/>
                <w:szCs w:val="18"/>
                <w:highlight w:val="none"/>
              </w:rPr>
              <w:t>0.5-1</w:t>
            </w:r>
            <w:r>
              <w:rPr>
                <w:rFonts w:hint="eastAsia" w:ascii="宋体" w:hAnsi="宋体"/>
                <w:color w:val="auto"/>
                <w:sz w:val="18"/>
                <w:szCs w:val="18"/>
                <w:highlight w:val="none"/>
              </w:rPr>
              <w:t>分。</w:t>
            </w:r>
          </w:p>
        </w:tc>
        <w:tc>
          <w:tcPr>
            <w:tcW w:w="709" w:type="dxa"/>
            <w:tcBorders>
              <w:top w:val="single" w:color="auto" w:sz="4" w:space="0"/>
              <w:left w:val="nil"/>
              <w:bottom w:val="single" w:color="auto" w:sz="4" w:space="0"/>
              <w:right w:val="single" w:color="auto" w:sz="4" w:space="0"/>
            </w:tcBorders>
            <w:noWrap w:val="0"/>
            <w:vAlign w:val="center"/>
          </w:tcPr>
          <w:p w14:paraId="1BD90905">
            <w:pPr>
              <w:spacing w:line="260" w:lineRule="exact"/>
              <w:jc w:val="center"/>
              <w:rPr>
                <w:rFonts w:ascii="宋体"/>
                <w:color w:val="auto"/>
                <w:sz w:val="18"/>
                <w:szCs w:val="18"/>
                <w:highlight w:val="none"/>
              </w:rPr>
            </w:pPr>
          </w:p>
        </w:tc>
      </w:tr>
      <w:tr w14:paraId="47C85A6D">
        <w:tblPrEx>
          <w:tblCellMar>
            <w:top w:w="0" w:type="dxa"/>
            <w:left w:w="108" w:type="dxa"/>
            <w:bottom w:w="0" w:type="dxa"/>
            <w:right w:w="108" w:type="dxa"/>
          </w:tblCellMar>
        </w:tblPrEx>
        <w:trPr>
          <w:cantSplit/>
        </w:trPr>
        <w:tc>
          <w:tcPr>
            <w:tcW w:w="419" w:type="dxa"/>
            <w:vMerge w:val="restart"/>
            <w:tcBorders>
              <w:top w:val="nil"/>
              <w:left w:val="single" w:color="auto" w:sz="4" w:space="0"/>
              <w:bottom w:val="single" w:color="auto" w:sz="4" w:space="0"/>
              <w:right w:val="single" w:color="auto" w:sz="4" w:space="0"/>
            </w:tcBorders>
            <w:noWrap w:val="0"/>
            <w:vAlign w:val="center"/>
          </w:tcPr>
          <w:p w14:paraId="68C979BB">
            <w:pPr>
              <w:spacing w:line="260" w:lineRule="exact"/>
              <w:jc w:val="center"/>
              <w:rPr>
                <w:rFonts w:ascii="宋体"/>
                <w:color w:val="auto"/>
                <w:sz w:val="18"/>
                <w:szCs w:val="18"/>
                <w:highlight w:val="none"/>
              </w:rPr>
            </w:pPr>
            <w:r>
              <w:rPr>
                <w:rFonts w:hint="eastAsia" w:ascii="宋体" w:hAnsi="宋体"/>
                <w:color w:val="auto"/>
                <w:sz w:val="18"/>
                <w:szCs w:val="18"/>
                <w:highlight w:val="none"/>
              </w:rPr>
              <w:t>乔</w:t>
            </w:r>
          </w:p>
          <w:p w14:paraId="0C7F7D24">
            <w:pPr>
              <w:spacing w:line="260" w:lineRule="exact"/>
              <w:jc w:val="center"/>
              <w:rPr>
                <w:rFonts w:ascii="宋体"/>
                <w:color w:val="auto"/>
                <w:sz w:val="18"/>
                <w:szCs w:val="18"/>
                <w:highlight w:val="none"/>
              </w:rPr>
            </w:pPr>
          </w:p>
          <w:p w14:paraId="4E8CA58A">
            <w:pPr>
              <w:spacing w:line="260" w:lineRule="exact"/>
              <w:jc w:val="center"/>
              <w:rPr>
                <w:rFonts w:ascii="宋体"/>
                <w:color w:val="auto"/>
                <w:sz w:val="18"/>
                <w:szCs w:val="18"/>
                <w:highlight w:val="none"/>
              </w:rPr>
            </w:pPr>
          </w:p>
          <w:p w14:paraId="4ECF7AE5">
            <w:pPr>
              <w:spacing w:line="260" w:lineRule="exact"/>
              <w:jc w:val="center"/>
              <w:rPr>
                <w:rFonts w:ascii="宋体"/>
                <w:color w:val="auto"/>
                <w:sz w:val="18"/>
                <w:szCs w:val="18"/>
                <w:highlight w:val="none"/>
              </w:rPr>
            </w:pPr>
            <w:r>
              <w:rPr>
                <w:rFonts w:hint="eastAsia" w:ascii="宋体" w:hAnsi="宋体"/>
                <w:color w:val="auto"/>
                <w:sz w:val="18"/>
                <w:szCs w:val="18"/>
                <w:highlight w:val="none"/>
              </w:rPr>
              <w:t>木</w:t>
            </w:r>
          </w:p>
        </w:tc>
        <w:tc>
          <w:tcPr>
            <w:tcW w:w="420" w:type="dxa"/>
            <w:tcBorders>
              <w:top w:val="single" w:color="auto" w:sz="4" w:space="0"/>
              <w:left w:val="nil"/>
              <w:bottom w:val="single" w:color="auto" w:sz="4" w:space="0"/>
              <w:right w:val="single" w:color="auto" w:sz="4" w:space="0"/>
            </w:tcBorders>
            <w:noWrap w:val="0"/>
            <w:vAlign w:val="center"/>
          </w:tcPr>
          <w:p w14:paraId="13569813">
            <w:pPr>
              <w:spacing w:line="260" w:lineRule="exact"/>
              <w:ind w:firstLine="90" w:firstLineChars="50"/>
              <w:rPr>
                <w:rFonts w:ascii="宋体"/>
                <w:color w:val="auto"/>
                <w:sz w:val="18"/>
                <w:szCs w:val="18"/>
                <w:highlight w:val="none"/>
              </w:rPr>
            </w:pPr>
            <w:r>
              <w:rPr>
                <w:rFonts w:hint="eastAsia" w:ascii="宋体" w:hAnsi="宋体"/>
                <w:color w:val="auto"/>
                <w:sz w:val="18"/>
                <w:szCs w:val="18"/>
                <w:highlight w:val="none"/>
              </w:rPr>
              <w:t>1</w:t>
            </w:r>
          </w:p>
        </w:tc>
        <w:tc>
          <w:tcPr>
            <w:tcW w:w="3149" w:type="dxa"/>
            <w:tcBorders>
              <w:top w:val="single" w:color="auto" w:sz="4" w:space="0"/>
              <w:left w:val="nil"/>
              <w:bottom w:val="single" w:color="auto" w:sz="4" w:space="0"/>
              <w:right w:val="single" w:color="auto" w:sz="4" w:space="0"/>
            </w:tcBorders>
            <w:noWrap w:val="0"/>
            <w:vAlign w:val="center"/>
          </w:tcPr>
          <w:p w14:paraId="2787B063">
            <w:pPr>
              <w:spacing w:line="260" w:lineRule="exact"/>
              <w:jc w:val="left"/>
              <w:rPr>
                <w:rFonts w:ascii="宋体"/>
                <w:color w:val="auto"/>
                <w:sz w:val="18"/>
                <w:szCs w:val="18"/>
                <w:highlight w:val="none"/>
              </w:rPr>
            </w:pPr>
            <w:r>
              <w:rPr>
                <w:rFonts w:hint="eastAsia" w:ascii="宋体" w:hAnsi="宋体"/>
                <w:color w:val="auto"/>
                <w:sz w:val="18"/>
                <w:szCs w:val="18"/>
                <w:highlight w:val="none"/>
              </w:rPr>
              <w:t>树枝健壮、茂盛，观花树种正常开花，无病虫害。</w:t>
            </w:r>
          </w:p>
        </w:tc>
        <w:tc>
          <w:tcPr>
            <w:tcW w:w="525" w:type="dxa"/>
            <w:tcBorders>
              <w:top w:val="single" w:color="auto" w:sz="4" w:space="0"/>
              <w:left w:val="nil"/>
              <w:bottom w:val="single" w:color="auto" w:sz="4" w:space="0"/>
              <w:right w:val="single" w:color="auto" w:sz="4" w:space="0"/>
            </w:tcBorders>
            <w:noWrap w:val="0"/>
            <w:vAlign w:val="center"/>
          </w:tcPr>
          <w:p w14:paraId="6D896564">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23144946">
            <w:pPr>
              <w:spacing w:line="260" w:lineRule="exact"/>
              <w:rPr>
                <w:rFonts w:ascii="宋体"/>
                <w:color w:val="auto"/>
                <w:sz w:val="18"/>
                <w:szCs w:val="18"/>
                <w:highlight w:val="none"/>
              </w:rPr>
            </w:pPr>
            <w:r>
              <w:rPr>
                <w:rFonts w:hint="eastAsia" w:ascii="宋体" w:hAnsi="宋体"/>
                <w:color w:val="auto"/>
                <w:sz w:val="18"/>
                <w:szCs w:val="18"/>
                <w:highlight w:val="none"/>
              </w:rPr>
              <w:t>长势不良或有明显病虫害每处扣0.2-0.5分。</w:t>
            </w:r>
          </w:p>
        </w:tc>
        <w:tc>
          <w:tcPr>
            <w:tcW w:w="709" w:type="dxa"/>
            <w:tcBorders>
              <w:top w:val="single" w:color="auto" w:sz="4" w:space="0"/>
              <w:left w:val="nil"/>
              <w:bottom w:val="single" w:color="auto" w:sz="4" w:space="0"/>
              <w:right w:val="single" w:color="auto" w:sz="4" w:space="0"/>
            </w:tcBorders>
            <w:noWrap w:val="0"/>
            <w:vAlign w:val="center"/>
          </w:tcPr>
          <w:p w14:paraId="4BD1508D">
            <w:pPr>
              <w:spacing w:line="260" w:lineRule="exact"/>
              <w:jc w:val="center"/>
              <w:rPr>
                <w:rFonts w:ascii="宋体"/>
                <w:color w:val="auto"/>
                <w:sz w:val="18"/>
                <w:szCs w:val="18"/>
                <w:highlight w:val="none"/>
              </w:rPr>
            </w:pPr>
          </w:p>
        </w:tc>
      </w:tr>
      <w:tr w14:paraId="40D96FD4">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35403B16">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BA0E8A7">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149" w:type="dxa"/>
            <w:tcBorders>
              <w:top w:val="single" w:color="auto" w:sz="4" w:space="0"/>
              <w:left w:val="nil"/>
              <w:bottom w:val="single" w:color="auto" w:sz="4" w:space="0"/>
              <w:right w:val="single" w:color="auto" w:sz="4" w:space="0"/>
            </w:tcBorders>
            <w:noWrap w:val="0"/>
            <w:vAlign w:val="center"/>
          </w:tcPr>
          <w:p w14:paraId="715FCC4C">
            <w:pPr>
              <w:spacing w:line="260" w:lineRule="exact"/>
              <w:jc w:val="left"/>
              <w:rPr>
                <w:rFonts w:ascii="宋体"/>
                <w:color w:val="auto"/>
                <w:sz w:val="18"/>
                <w:szCs w:val="18"/>
                <w:highlight w:val="none"/>
              </w:rPr>
            </w:pPr>
            <w:r>
              <w:rPr>
                <w:rFonts w:hint="eastAsia" w:ascii="宋体" w:hAnsi="宋体"/>
                <w:color w:val="auto"/>
                <w:sz w:val="18"/>
                <w:szCs w:val="18"/>
                <w:highlight w:val="none"/>
              </w:rPr>
              <w:t>乔木无明显枯枝黄叶、断枝。棕榈科植物及时剪除黄叶，维持其自然生长形态。</w:t>
            </w:r>
          </w:p>
        </w:tc>
        <w:tc>
          <w:tcPr>
            <w:tcW w:w="525" w:type="dxa"/>
            <w:tcBorders>
              <w:top w:val="single" w:color="auto" w:sz="4" w:space="0"/>
              <w:left w:val="nil"/>
              <w:bottom w:val="single" w:color="auto" w:sz="4" w:space="0"/>
              <w:right w:val="single" w:color="auto" w:sz="4" w:space="0"/>
            </w:tcBorders>
            <w:noWrap w:val="0"/>
            <w:vAlign w:val="center"/>
          </w:tcPr>
          <w:p w14:paraId="03FFA804">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988" w:type="dxa"/>
            <w:tcBorders>
              <w:top w:val="single" w:color="auto" w:sz="4" w:space="0"/>
              <w:left w:val="nil"/>
              <w:bottom w:val="single" w:color="auto" w:sz="4" w:space="0"/>
              <w:right w:val="single" w:color="auto" w:sz="4" w:space="0"/>
            </w:tcBorders>
            <w:noWrap w:val="0"/>
            <w:vAlign w:val="center"/>
          </w:tcPr>
          <w:p w14:paraId="1DAE39C7">
            <w:pPr>
              <w:spacing w:line="260" w:lineRule="exact"/>
              <w:rPr>
                <w:rFonts w:ascii="宋体"/>
                <w:color w:val="auto"/>
                <w:sz w:val="18"/>
                <w:szCs w:val="18"/>
                <w:highlight w:val="none"/>
              </w:rPr>
            </w:pPr>
            <w:r>
              <w:rPr>
                <w:rFonts w:hint="eastAsia" w:ascii="宋体" w:hAnsi="宋体"/>
                <w:color w:val="auto"/>
                <w:sz w:val="18"/>
                <w:szCs w:val="18"/>
                <w:highlight w:val="none"/>
              </w:rPr>
              <w:t>超过3cm以上的枯枝或棕榈科黄叶不及时剪除每处扣0.2 -0.5分。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0FB0D714">
            <w:pPr>
              <w:spacing w:line="260" w:lineRule="exact"/>
              <w:jc w:val="center"/>
              <w:rPr>
                <w:rFonts w:ascii="宋体"/>
                <w:color w:val="auto"/>
                <w:sz w:val="18"/>
                <w:szCs w:val="18"/>
                <w:highlight w:val="none"/>
              </w:rPr>
            </w:pPr>
          </w:p>
        </w:tc>
      </w:tr>
      <w:tr w14:paraId="0B65166B">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0AA978DA">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577BDF6C">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149" w:type="dxa"/>
            <w:tcBorders>
              <w:top w:val="single" w:color="auto" w:sz="4" w:space="0"/>
              <w:left w:val="nil"/>
              <w:bottom w:val="single" w:color="auto" w:sz="4" w:space="0"/>
              <w:right w:val="single" w:color="auto" w:sz="4" w:space="0"/>
            </w:tcBorders>
            <w:noWrap w:val="0"/>
            <w:vAlign w:val="center"/>
          </w:tcPr>
          <w:p w14:paraId="4E98C2CC">
            <w:pPr>
              <w:spacing w:line="260" w:lineRule="exact"/>
              <w:jc w:val="left"/>
              <w:rPr>
                <w:rFonts w:ascii="宋体"/>
                <w:color w:val="auto"/>
                <w:sz w:val="18"/>
                <w:szCs w:val="18"/>
                <w:highlight w:val="none"/>
              </w:rPr>
            </w:pPr>
            <w:r>
              <w:rPr>
                <w:rFonts w:hint="eastAsia" w:ascii="宋体" w:hAnsi="宋体"/>
                <w:color w:val="auto"/>
                <w:sz w:val="18"/>
                <w:szCs w:val="18"/>
                <w:highlight w:val="none"/>
              </w:rPr>
              <w:t>树体正直不偏斜，无寄生、无钉挂物、缠绕杂物。</w:t>
            </w:r>
          </w:p>
        </w:tc>
        <w:tc>
          <w:tcPr>
            <w:tcW w:w="525" w:type="dxa"/>
            <w:tcBorders>
              <w:top w:val="single" w:color="auto" w:sz="4" w:space="0"/>
              <w:left w:val="nil"/>
              <w:bottom w:val="single" w:color="auto" w:sz="4" w:space="0"/>
              <w:right w:val="single" w:color="auto" w:sz="4" w:space="0"/>
            </w:tcBorders>
            <w:noWrap w:val="0"/>
            <w:vAlign w:val="center"/>
          </w:tcPr>
          <w:p w14:paraId="0D2206EC">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27470582">
            <w:pPr>
              <w:spacing w:line="260" w:lineRule="exact"/>
              <w:rPr>
                <w:rFonts w:ascii="宋体"/>
                <w:color w:val="auto"/>
                <w:sz w:val="18"/>
                <w:szCs w:val="18"/>
                <w:highlight w:val="none"/>
              </w:rPr>
            </w:pPr>
            <w:r>
              <w:rPr>
                <w:rFonts w:hint="eastAsia" w:ascii="宋体" w:hAnsi="宋体"/>
                <w:color w:val="auto"/>
                <w:sz w:val="18"/>
                <w:szCs w:val="18"/>
                <w:highlight w:val="none"/>
              </w:rPr>
              <w:t>树体有寄生物、钉挂物、缠绕物每处扣0.1-0.2分。树体倾斜超过15度的每处扣0.1-0.2分。受灾天气过后两天仍未将树扶直的每处扣0.1-0.2分。</w:t>
            </w:r>
          </w:p>
        </w:tc>
        <w:tc>
          <w:tcPr>
            <w:tcW w:w="709" w:type="dxa"/>
            <w:tcBorders>
              <w:top w:val="single" w:color="auto" w:sz="4" w:space="0"/>
              <w:left w:val="nil"/>
              <w:bottom w:val="single" w:color="auto" w:sz="4" w:space="0"/>
              <w:right w:val="single" w:color="auto" w:sz="4" w:space="0"/>
            </w:tcBorders>
            <w:noWrap w:val="0"/>
            <w:vAlign w:val="center"/>
          </w:tcPr>
          <w:p w14:paraId="66B688FA">
            <w:pPr>
              <w:spacing w:line="260" w:lineRule="exact"/>
              <w:jc w:val="center"/>
              <w:rPr>
                <w:rFonts w:ascii="宋体"/>
                <w:color w:val="auto"/>
                <w:sz w:val="18"/>
                <w:szCs w:val="18"/>
                <w:highlight w:val="none"/>
              </w:rPr>
            </w:pPr>
          </w:p>
        </w:tc>
      </w:tr>
      <w:tr w14:paraId="09268A55">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068F1319">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10369A95">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149" w:type="dxa"/>
            <w:tcBorders>
              <w:top w:val="single" w:color="auto" w:sz="4" w:space="0"/>
              <w:left w:val="nil"/>
              <w:bottom w:val="single" w:color="auto" w:sz="4" w:space="0"/>
              <w:right w:val="single" w:color="auto" w:sz="4" w:space="0"/>
            </w:tcBorders>
            <w:noWrap w:val="0"/>
            <w:vAlign w:val="top"/>
          </w:tcPr>
          <w:p w14:paraId="17227809">
            <w:pPr>
              <w:spacing w:line="260" w:lineRule="exact"/>
              <w:rPr>
                <w:rFonts w:ascii="宋体"/>
                <w:color w:val="auto"/>
                <w:sz w:val="18"/>
                <w:szCs w:val="18"/>
                <w:highlight w:val="none"/>
              </w:rPr>
            </w:pPr>
            <w:r>
              <w:rPr>
                <w:rFonts w:hint="eastAsia" w:ascii="宋体" w:hAnsi="宋体"/>
                <w:color w:val="auto"/>
                <w:sz w:val="18"/>
                <w:szCs w:val="18"/>
                <w:highlight w:val="none"/>
              </w:rPr>
              <w:t>新栽树、扶正树及长势差的树要做树盘，边线整齐，大小合适，盘边略低于草面。</w:t>
            </w:r>
          </w:p>
        </w:tc>
        <w:tc>
          <w:tcPr>
            <w:tcW w:w="525" w:type="dxa"/>
            <w:tcBorders>
              <w:top w:val="single" w:color="auto" w:sz="4" w:space="0"/>
              <w:left w:val="nil"/>
              <w:bottom w:val="single" w:color="auto" w:sz="4" w:space="0"/>
              <w:right w:val="single" w:color="auto" w:sz="4" w:space="0"/>
            </w:tcBorders>
            <w:noWrap w:val="0"/>
            <w:vAlign w:val="center"/>
          </w:tcPr>
          <w:p w14:paraId="002FA5D7">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31A72B39">
            <w:pPr>
              <w:spacing w:line="260" w:lineRule="exact"/>
              <w:rPr>
                <w:rFonts w:ascii="宋体"/>
                <w:color w:val="auto"/>
                <w:sz w:val="18"/>
                <w:szCs w:val="18"/>
                <w:highlight w:val="none"/>
              </w:rPr>
            </w:pPr>
            <w:r>
              <w:rPr>
                <w:rFonts w:hint="eastAsia" w:ascii="宋体" w:hAnsi="宋体"/>
                <w:color w:val="auto"/>
                <w:sz w:val="18"/>
                <w:szCs w:val="18"/>
                <w:highlight w:val="none"/>
              </w:rPr>
              <w:t>未做树盘的每处扣0.2-0.5分。</w:t>
            </w:r>
          </w:p>
        </w:tc>
        <w:tc>
          <w:tcPr>
            <w:tcW w:w="709" w:type="dxa"/>
            <w:tcBorders>
              <w:top w:val="single" w:color="auto" w:sz="4" w:space="0"/>
              <w:left w:val="nil"/>
              <w:bottom w:val="single" w:color="auto" w:sz="4" w:space="0"/>
              <w:right w:val="single" w:color="auto" w:sz="4" w:space="0"/>
            </w:tcBorders>
            <w:noWrap w:val="0"/>
            <w:vAlign w:val="center"/>
          </w:tcPr>
          <w:p w14:paraId="26923E3D">
            <w:pPr>
              <w:spacing w:line="260" w:lineRule="exact"/>
              <w:jc w:val="center"/>
              <w:rPr>
                <w:rFonts w:ascii="宋体"/>
                <w:color w:val="auto"/>
                <w:sz w:val="18"/>
                <w:szCs w:val="18"/>
                <w:highlight w:val="none"/>
              </w:rPr>
            </w:pPr>
          </w:p>
        </w:tc>
      </w:tr>
      <w:tr w14:paraId="6244348B">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4D96989C">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926FC54">
            <w:pPr>
              <w:spacing w:line="260" w:lineRule="exact"/>
              <w:jc w:val="center"/>
              <w:rPr>
                <w:rFonts w:ascii="宋体"/>
                <w:color w:val="auto"/>
                <w:sz w:val="18"/>
                <w:szCs w:val="18"/>
                <w:highlight w:val="none"/>
              </w:rPr>
            </w:pPr>
            <w:r>
              <w:rPr>
                <w:rFonts w:hint="eastAsia" w:ascii="宋体" w:hAnsi="宋体"/>
                <w:color w:val="auto"/>
                <w:sz w:val="18"/>
                <w:szCs w:val="18"/>
                <w:highlight w:val="none"/>
              </w:rPr>
              <w:t>5</w:t>
            </w:r>
          </w:p>
        </w:tc>
        <w:tc>
          <w:tcPr>
            <w:tcW w:w="3149" w:type="dxa"/>
            <w:tcBorders>
              <w:top w:val="single" w:color="auto" w:sz="4" w:space="0"/>
              <w:left w:val="nil"/>
              <w:bottom w:val="single" w:color="auto" w:sz="4" w:space="0"/>
              <w:right w:val="single" w:color="auto" w:sz="4" w:space="0"/>
            </w:tcBorders>
            <w:noWrap w:val="0"/>
            <w:vAlign w:val="center"/>
          </w:tcPr>
          <w:p w14:paraId="52F09434">
            <w:pPr>
              <w:spacing w:line="260" w:lineRule="exact"/>
              <w:jc w:val="left"/>
              <w:rPr>
                <w:rFonts w:ascii="宋体"/>
                <w:color w:val="auto"/>
                <w:sz w:val="18"/>
                <w:szCs w:val="18"/>
                <w:highlight w:val="none"/>
              </w:rPr>
            </w:pPr>
            <w:r>
              <w:rPr>
                <w:rFonts w:hint="eastAsia" w:ascii="宋体" w:hAnsi="宋体"/>
                <w:color w:val="auto"/>
                <w:sz w:val="18"/>
                <w:szCs w:val="18"/>
                <w:highlight w:val="none"/>
              </w:rPr>
              <w:t>及时清理死树桩。</w:t>
            </w:r>
          </w:p>
        </w:tc>
        <w:tc>
          <w:tcPr>
            <w:tcW w:w="525" w:type="dxa"/>
            <w:tcBorders>
              <w:top w:val="single" w:color="auto" w:sz="4" w:space="0"/>
              <w:left w:val="nil"/>
              <w:bottom w:val="single" w:color="auto" w:sz="4" w:space="0"/>
              <w:right w:val="single" w:color="auto" w:sz="4" w:space="0"/>
            </w:tcBorders>
            <w:noWrap w:val="0"/>
            <w:vAlign w:val="center"/>
          </w:tcPr>
          <w:p w14:paraId="3D2AD8C6">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27571AEC">
            <w:pPr>
              <w:spacing w:line="260" w:lineRule="exact"/>
              <w:rPr>
                <w:rFonts w:ascii="宋体"/>
                <w:color w:val="auto"/>
                <w:sz w:val="18"/>
                <w:szCs w:val="18"/>
                <w:highlight w:val="none"/>
              </w:rPr>
            </w:pPr>
            <w:r>
              <w:rPr>
                <w:rFonts w:hint="eastAsia" w:ascii="宋体" w:hAnsi="宋体"/>
                <w:color w:val="auto"/>
                <w:sz w:val="18"/>
                <w:szCs w:val="18"/>
                <w:highlight w:val="none"/>
              </w:rPr>
              <w:t>发现有死树桩的每个扣0.5分。</w:t>
            </w:r>
          </w:p>
        </w:tc>
        <w:tc>
          <w:tcPr>
            <w:tcW w:w="709" w:type="dxa"/>
            <w:tcBorders>
              <w:top w:val="single" w:color="auto" w:sz="4" w:space="0"/>
              <w:left w:val="nil"/>
              <w:bottom w:val="single" w:color="auto" w:sz="4" w:space="0"/>
              <w:right w:val="single" w:color="auto" w:sz="4" w:space="0"/>
            </w:tcBorders>
            <w:noWrap w:val="0"/>
            <w:vAlign w:val="center"/>
          </w:tcPr>
          <w:p w14:paraId="244F8296">
            <w:pPr>
              <w:spacing w:line="260" w:lineRule="exact"/>
              <w:jc w:val="center"/>
              <w:rPr>
                <w:rFonts w:ascii="宋体"/>
                <w:color w:val="auto"/>
                <w:sz w:val="18"/>
                <w:szCs w:val="18"/>
                <w:highlight w:val="none"/>
              </w:rPr>
            </w:pPr>
          </w:p>
        </w:tc>
      </w:tr>
      <w:tr w14:paraId="21B1F1C6">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078A5CE9">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83A79C7">
            <w:pPr>
              <w:spacing w:line="260" w:lineRule="exact"/>
              <w:jc w:val="center"/>
              <w:rPr>
                <w:rFonts w:ascii="宋体"/>
                <w:color w:val="auto"/>
                <w:sz w:val="18"/>
                <w:szCs w:val="18"/>
                <w:highlight w:val="none"/>
              </w:rPr>
            </w:pPr>
            <w:r>
              <w:rPr>
                <w:rFonts w:hint="eastAsia" w:ascii="宋体" w:hAnsi="宋体"/>
                <w:color w:val="auto"/>
                <w:sz w:val="18"/>
                <w:szCs w:val="18"/>
                <w:highlight w:val="none"/>
              </w:rPr>
              <w:t>6</w:t>
            </w:r>
          </w:p>
        </w:tc>
        <w:tc>
          <w:tcPr>
            <w:tcW w:w="3149" w:type="dxa"/>
            <w:tcBorders>
              <w:top w:val="single" w:color="auto" w:sz="4" w:space="0"/>
              <w:left w:val="nil"/>
              <w:bottom w:val="single" w:color="auto" w:sz="4" w:space="0"/>
              <w:right w:val="single" w:color="auto" w:sz="4" w:space="0"/>
            </w:tcBorders>
            <w:noWrap w:val="0"/>
            <w:vAlign w:val="center"/>
          </w:tcPr>
          <w:p w14:paraId="12AA4888">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整形乔木要及时修剪，修剪面平滑整齐，无枝叶粘连。剪后成形美观</w:t>
            </w:r>
          </w:p>
          <w:p w14:paraId="00A88346">
            <w:pPr>
              <w:spacing w:line="260" w:lineRule="exact"/>
              <w:jc w:val="left"/>
              <w:rPr>
                <w:rFonts w:ascii="宋体"/>
                <w:color w:val="auto"/>
                <w:sz w:val="18"/>
                <w:szCs w:val="18"/>
                <w:highlight w:val="none"/>
              </w:rPr>
            </w:pPr>
            <w:r>
              <w:rPr>
                <w:rFonts w:hint="eastAsia" w:ascii="宋体" w:hAnsi="宋体"/>
                <w:color w:val="auto"/>
                <w:sz w:val="18"/>
                <w:szCs w:val="18"/>
                <w:highlight w:val="none"/>
              </w:rPr>
              <w:t>。修剪后当天及时清理残枝。</w:t>
            </w:r>
          </w:p>
        </w:tc>
        <w:tc>
          <w:tcPr>
            <w:tcW w:w="525" w:type="dxa"/>
            <w:tcBorders>
              <w:top w:val="single" w:color="auto" w:sz="4" w:space="0"/>
              <w:left w:val="nil"/>
              <w:bottom w:val="single" w:color="auto" w:sz="4" w:space="0"/>
              <w:right w:val="single" w:color="auto" w:sz="4" w:space="0"/>
            </w:tcBorders>
            <w:noWrap w:val="0"/>
            <w:vAlign w:val="center"/>
          </w:tcPr>
          <w:p w14:paraId="5A8BAFA7">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01126E2C">
            <w:pPr>
              <w:spacing w:line="260" w:lineRule="exact"/>
              <w:rPr>
                <w:rFonts w:ascii="宋体"/>
                <w:color w:val="auto"/>
                <w:sz w:val="18"/>
                <w:szCs w:val="18"/>
                <w:highlight w:val="none"/>
              </w:rPr>
            </w:pPr>
            <w:r>
              <w:rPr>
                <w:rFonts w:hint="eastAsia" w:ascii="宋体" w:hAnsi="宋体"/>
                <w:color w:val="auto"/>
                <w:sz w:val="18"/>
                <w:szCs w:val="18"/>
                <w:highlight w:val="none"/>
              </w:rPr>
              <w:t>未及时修剪、剪面不整齐或枝叶粘连、残枝未及时处理的每处扣0.2-0.5分。</w:t>
            </w:r>
          </w:p>
        </w:tc>
        <w:tc>
          <w:tcPr>
            <w:tcW w:w="709" w:type="dxa"/>
            <w:tcBorders>
              <w:top w:val="single" w:color="auto" w:sz="4" w:space="0"/>
              <w:left w:val="nil"/>
              <w:bottom w:val="single" w:color="auto" w:sz="4" w:space="0"/>
              <w:right w:val="single" w:color="auto" w:sz="4" w:space="0"/>
            </w:tcBorders>
            <w:noWrap w:val="0"/>
            <w:vAlign w:val="center"/>
          </w:tcPr>
          <w:p w14:paraId="395066E6">
            <w:pPr>
              <w:spacing w:line="260" w:lineRule="exact"/>
              <w:jc w:val="center"/>
              <w:rPr>
                <w:rFonts w:ascii="宋体"/>
                <w:color w:val="auto"/>
                <w:sz w:val="18"/>
                <w:szCs w:val="18"/>
                <w:highlight w:val="none"/>
              </w:rPr>
            </w:pPr>
          </w:p>
        </w:tc>
      </w:tr>
      <w:tr w14:paraId="78DB71EE">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613F8170">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0D7B4685">
            <w:pPr>
              <w:spacing w:line="260" w:lineRule="exact"/>
              <w:jc w:val="center"/>
              <w:rPr>
                <w:rFonts w:ascii="宋体"/>
                <w:color w:val="auto"/>
                <w:sz w:val="18"/>
                <w:szCs w:val="18"/>
                <w:highlight w:val="none"/>
              </w:rPr>
            </w:pPr>
            <w:r>
              <w:rPr>
                <w:rFonts w:hint="eastAsia" w:ascii="宋体" w:hAnsi="宋体"/>
                <w:color w:val="auto"/>
                <w:sz w:val="18"/>
                <w:szCs w:val="18"/>
                <w:highlight w:val="none"/>
              </w:rPr>
              <w:t>7</w:t>
            </w:r>
          </w:p>
        </w:tc>
        <w:tc>
          <w:tcPr>
            <w:tcW w:w="3149" w:type="dxa"/>
            <w:tcBorders>
              <w:top w:val="single" w:color="auto" w:sz="4" w:space="0"/>
              <w:left w:val="nil"/>
              <w:bottom w:val="single" w:color="auto" w:sz="4" w:space="0"/>
              <w:right w:val="single" w:color="auto" w:sz="4" w:space="0"/>
            </w:tcBorders>
            <w:noWrap w:val="0"/>
            <w:vAlign w:val="center"/>
          </w:tcPr>
          <w:p w14:paraId="6663E9BD">
            <w:pPr>
              <w:spacing w:line="260" w:lineRule="exact"/>
              <w:jc w:val="left"/>
              <w:rPr>
                <w:rFonts w:ascii="宋体"/>
                <w:color w:val="auto"/>
                <w:sz w:val="18"/>
                <w:szCs w:val="18"/>
                <w:highlight w:val="none"/>
              </w:rPr>
            </w:pPr>
            <w:r>
              <w:rPr>
                <w:rFonts w:hint="eastAsia" w:ascii="宋体" w:hAnsi="宋体"/>
                <w:color w:val="auto"/>
                <w:sz w:val="18"/>
                <w:szCs w:val="18"/>
                <w:highlight w:val="none"/>
              </w:rPr>
              <w:t>过低枝条、内膛枝、折断枝条应及时修剪，树冠通透，修剪面平滑，无枝</w:t>
            </w:r>
            <w:r>
              <w:rPr>
                <w:rFonts w:hint="eastAsia" w:ascii="宋体" w:hAnsi="宋体"/>
                <w:color w:val="auto"/>
                <w:sz w:val="18"/>
                <w:szCs w:val="18"/>
                <w:highlight w:val="none"/>
                <w:lang w:val="en-US" w:eastAsia="zh-CN"/>
              </w:rPr>
              <w:t>干</w:t>
            </w:r>
            <w:r>
              <w:rPr>
                <w:rFonts w:hint="eastAsia" w:ascii="宋体" w:hAnsi="宋体"/>
                <w:color w:val="auto"/>
                <w:sz w:val="18"/>
                <w:szCs w:val="18"/>
                <w:highlight w:val="none"/>
              </w:rPr>
              <w:t>撕裂，创口做保护处理。</w:t>
            </w:r>
          </w:p>
        </w:tc>
        <w:tc>
          <w:tcPr>
            <w:tcW w:w="525" w:type="dxa"/>
            <w:tcBorders>
              <w:top w:val="single" w:color="auto" w:sz="4" w:space="0"/>
              <w:left w:val="nil"/>
              <w:bottom w:val="single" w:color="auto" w:sz="4" w:space="0"/>
              <w:right w:val="single" w:color="auto" w:sz="4" w:space="0"/>
            </w:tcBorders>
            <w:noWrap w:val="0"/>
            <w:vAlign w:val="center"/>
          </w:tcPr>
          <w:p w14:paraId="08120A38">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56D66A3B">
            <w:pPr>
              <w:spacing w:line="260" w:lineRule="exact"/>
              <w:rPr>
                <w:rFonts w:ascii="宋体"/>
                <w:color w:val="auto"/>
                <w:sz w:val="18"/>
                <w:szCs w:val="18"/>
                <w:highlight w:val="none"/>
              </w:rPr>
            </w:pPr>
            <w:r>
              <w:rPr>
                <w:rFonts w:hint="eastAsia" w:ascii="宋体" w:hAnsi="宋体"/>
                <w:color w:val="auto"/>
                <w:sz w:val="18"/>
                <w:szCs w:val="18"/>
                <w:highlight w:val="none"/>
              </w:rPr>
              <w:t>修剪不及时或修剪创口不做任何保护处理的每处扣0.1-0.5分。</w:t>
            </w:r>
          </w:p>
        </w:tc>
        <w:tc>
          <w:tcPr>
            <w:tcW w:w="709" w:type="dxa"/>
            <w:tcBorders>
              <w:top w:val="single" w:color="auto" w:sz="4" w:space="0"/>
              <w:left w:val="nil"/>
              <w:bottom w:val="single" w:color="auto" w:sz="4" w:space="0"/>
              <w:right w:val="single" w:color="auto" w:sz="4" w:space="0"/>
            </w:tcBorders>
            <w:noWrap w:val="0"/>
            <w:vAlign w:val="center"/>
          </w:tcPr>
          <w:p w14:paraId="600B4491">
            <w:pPr>
              <w:spacing w:line="260" w:lineRule="exact"/>
              <w:jc w:val="center"/>
              <w:rPr>
                <w:rFonts w:ascii="宋体"/>
                <w:color w:val="auto"/>
                <w:sz w:val="18"/>
                <w:szCs w:val="18"/>
                <w:highlight w:val="none"/>
              </w:rPr>
            </w:pPr>
          </w:p>
        </w:tc>
      </w:tr>
      <w:tr w14:paraId="579FFD3C">
        <w:tblPrEx>
          <w:tblCellMar>
            <w:top w:w="0" w:type="dxa"/>
            <w:left w:w="108" w:type="dxa"/>
            <w:bottom w:w="0" w:type="dxa"/>
            <w:right w:w="108" w:type="dxa"/>
          </w:tblCellMar>
        </w:tblPrEx>
        <w:trPr>
          <w:cantSplit/>
        </w:trPr>
        <w:tc>
          <w:tcPr>
            <w:tcW w:w="419" w:type="dxa"/>
            <w:vMerge w:val="restart"/>
            <w:tcBorders>
              <w:top w:val="nil"/>
              <w:left w:val="single" w:color="auto" w:sz="4" w:space="0"/>
              <w:bottom w:val="single" w:color="auto" w:sz="4" w:space="0"/>
              <w:right w:val="single" w:color="auto" w:sz="4" w:space="0"/>
            </w:tcBorders>
            <w:noWrap w:val="0"/>
            <w:vAlign w:val="center"/>
          </w:tcPr>
          <w:p w14:paraId="12684547">
            <w:pPr>
              <w:spacing w:line="260" w:lineRule="exact"/>
              <w:jc w:val="center"/>
              <w:rPr>
                <w:rFonts w:ascii="宋体"/>
                <w:color w:val="auto"/>
                <w:sz w:val="18"/>
                <w:szCs w:val="18"/>
                <w:highlight w:val="none"/>
              </w:rPr>
            </w:pPr>
            <w:r>
              <w:rPr>
                <w:rFonts w:hint="eastAsia" w:ascii="宋体" w:hAnsi="宋体"/>
                <w:color w:val="auto"/>
                <w:sz w:val="18"/>
                <w:szCs w:val="18"/>
                <w:highlight w:val="none"/>
              </w:rPr>
              <w:t>灌</w:t>
            </w:r>
          </w:p>
          <w:p w14:paraId="1C15FFA5">
            <w:pPr>
              <w:spacing w:line="260" w:lineRule="exact"/>
              <w:jc w:val="center"/>
              <w:rPr>
                <w:rFonts w:ascii="宋体"/>
                <w:color w:val="auto"/>
                <w:sz w:val="18"/>
                <w:szCs w:val="18"/>
                <w:highlight w:val="none"/>
              </w:rPr>
            </w:pPr>
          </w:p>
          <w:p w14:paraId="5FE14E08">
            <w:pPr>
              <w:spacing w:line="260" w:lineRule="exact"/>
              <w:jc w:val="center"/>
              <w:rPr>
                <w:rFonts w:ascii="宋体"/>
                <w:color w:val="auto"/>
                <w:sz w:val="18"/>
                <w:szCs w:val="18"/>
                <w:highlight w:val="none"/>
              </w:rPr>
            </w:pPr>
            <w:r>
              <w:rPr>
                <w:rFonts w:hint="eastAsia" w:ascii="宋体" w:hAnsi="宋体"/>
                <w:color w:val="auto"/>
                <w:sz w:val="18"/>
                <w:szCs w:val="18"/>
                <w:highlight w:val="none"/>
              </w:rPr>
              <w:t>木</w:t>
            </w:r>
          </w:p>
          <w:p w14:paraId="60E75860">
            <w:pPr>
              <w:spacing w:line="260" w:lineRule="exact"/>
              <w:jc w:val="center"/>
              <w:rPr>
                <w:rFonts w:ascii="宋体"/>
                <w:color w:val="auto"/>
                <w:sz w:val="18"/>
                <w:szCs w:val="18"/>
                <w:highlight w:val="none"/>
              </w:rPr>
            </w:pPr>
          </w:p>
          <w:p w14:paraId="2DF37450">
            <w:pPr>
              <w:spacing w:line="260" w:lineRule="exact"/>
              <w:jc w:val="center"/>
              <w:rPr>
                <w:rFonts w:ascii="宋体"/>
                <w:color w:val="auto"/>
                <w:sz w:val="18"/>
                <w:szCs w:val="18"/>
                <w:highlight w:val="none"/>
              </w:rPr>
            </w:pPr>
            <w:r>
              <w:rPr>
                <w:rFonts w:hint="eastAsia" w:ascii="宋体" w:hAnsi="宋体"/>
                <w:color w:val="auto"/>
                <w:sz w:val="18"/>
                <w:szCs w:val="18"/>
                <w:highlight w:val="none"/>
              </w:rPr>
              <w:t>绿</w:t>
            </w:r>
          </w:p>
          <w:p w14:paraId="75567390">
            <w:pPr>
              <w:spacing w:line="260" w:lineRule="exact"/>
              <w:jc w:val="center"/>
              <w:rPr>
                <w:rFonts w:ascii="宋体"/>
                <w:color w:val="auto"/>
                <w:sz w:val="18"/>
                <w:szCs w:val="18"/>
                <w:highlight w:val="none"/>
              </w:rPr>
            </w:pPr>
          </w:p>
          <w:p w14:paraId="7DE13912">
            <w:pPr>
              <w:spacing w:line="260" w:lineRule="exact"/>
              <w:jc w:val="center"/>
              <w:rPr>
                <w:rFonts w:ascii="宋体"/>
                <w:color w:val="auto"/>
                <w:sz w:val="18"/>
                <w:szCs w:val="18"/>
                <w:highlight w:val="none"/>
              </w:rPr>
            </w:pPr>
            <w:r>
              <w:rPr>
                <w:rFonts w:hint="eastAsia" w:ascii="宋体" w:hAnsi="宋体"/>
                <w:color w:val="auto"/>
                <w:sz w:val="18"/>
                <w:szCs w:val="18"/>
                <w:highlight w:val="none"/>
              </w:rPr>
              <w:t>篱</w:t>
            </w:r>
          </w:p>
        </w:tc>
        <w:tc>
          <w:tcPr>
            <w:tcW w:w="420" w:type="dxa"/>
            <w:tcBorders>
              <w:top w:val="single" w:color="auto" w:sz="4" w:space="0"/>
              <w:left w:val="nil"/>
              <w:bottom w:val="single" w:color="auto" w:sz="4" w:space="0"/>
              <w:right w:val="single" w:color="auto" w:sz="4" w:space="0"/>
            </w:tcBorders>
            <w:noWrap w:val="0"/>
            <w:vAlign w:val="center"/>
          </w:tcPr>
          <w:p w14:paraId="47397EEF">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149" w:type="dxa"/>
            <w:tcBorders>
              <w:top w:val="single" w:color="auto" w:sz="4" w:space="0"/>
              <w:left w:val="nil"/>
              <w:bottom w:val="single" w:color="auto" w:sz="4" w:space="0"/>
              <w:right w:val="single" w:color="auto" w:sz="4" w:space="0"/>
            </w:tcBorders>
            <w:noWrap w:val="0"/>
            <w:vAlign w:val="center"/>
          </w:tcPr>
          <w:p w14:paraId="4FD9DBF1">
            <w:pPr>
              <w:spacing w:line="260" w:lineRule="exact"/>
              <w:jc w:val="left"/>
              <w:rPr>
                <w:rFonts w:ascii="宋体"/>
                <w:color w:val="auto"/>
                <w:sz w:val="18"/>
                <w:szCs w:val="18"/>
                <w:highlight w:val="none"/>
              </w:rPr>
            </w:pPr>
            <w:r>
              <w:rPr>
                <w:rFonts w:hint="eastAsia" w:ascii="宋体" w:hAnsi="宋体"/>
                <w:color w:val="auto"/>
                <w:sz w:val="18"/>
                <w:szCs w:val="18"/>
                <w:highlight w:val="none"/>
              </w:rPr>
              <w:t>灌木生长良好，树体正直不偏斜，观花灌木，植株无病害。</w:t>
            </w:r>
          </w:p>
        </w:tc>
        <w:tc>
          <w:tcPr>
            <w:tcW w:w="525" w:type="dxa"/>
            <w:tcBorders>
              <w:top w:val="single" w:color="auto" w:sz="4" w:space="0"/>
              <w:left w:val="nil"/>
              <w:bottom w:val="single" w:color="auto" w:sz="4" w:space="0"/>
              <w:right w:val="single" w:color="auto" w:sz="4" w:space="0"/>
            </w:tcBorders>
            <w:noWrap w:val="0"/>
            <w:vAlign w:val="center"/>
          </w:tcPr>
          <w:p w14:paraId="521659D2">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207D14F0">
            <w:pPr>
              <w:spacing w:line="260" w:lineRule="exact"/>
              <w:rPr>
                <w:rFonts w:ascii="宋体"/>
                <w:color w:val="auto"/>
                <w:sz w:val="18"/>
                <w:szCs w:val="18"/>
                <w:highlight w:val="none"/>
              </w:rPr>
            </w:pPr>
            <w:r>
              <w:rPr>
                <w:rFonts w:hint="eastAsia" w:ascii="宋体" w:hAnsi="宋体"/>
                <w:color w:val="auto"/>
                <w:sz w:val="18"/>
                <w:szCs w:val="18"/>
                <w:highlight w:val="none"/>
              </w:rPr>
              <w:t>长势不良或有明显病害的每处扣0.2-0.5分。</w:t>
            </w:r>
          </w:p>
        </w:tc>
        <w:tc>
          <w:tcPr>
            <w:tcW w:w="709" w:type="dxa"/>
            <w:tcBorders>
              <w:top w:val="single" w:color="auto" w:sz="4" w:space="0"/>
              <w:left w:val="nil"/>
              <w:bottom w:val="single" w:color="auto" w:sz="4" w:space="0"/>
              <w:right w:val="single" w:color="auto" w:sz="4" w:space="0"/>
            </w:tcBorders>
            <w:noWrap w:val="0"/>
            <w:vAlign w:val="center"/>
          </w:tcPr>
          <w:p w14:paraId="4AFA5E36">
            <w:pPr>
              <w:spacing w:line="260" w:lineRule="exact"/>
              <w:jc w:val="center"/>
              <w:rPr>
                <w:rFonts w:ascii="宋体"/>
                <w:color w:val="auto"/>
                <w:sz w:val="18"/>
                <w:szCs w:val="18"/>
                <w:highlight w:val="none"/>
              </w:rPr>
            </w:pPr>
          </w:p>
        </w:tc>
      </w:tr>
      <w:tr w14:paraId="1D29FC4F">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5CCF16E0">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9A578B7">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149" w:type="dxa"/>
            <w:tcBorders>
              <w:top w:val="single" w:color="auto" w:sz="4" w:space="0"/>
              <w:left w:val="nil"/>
              <w:bottom w:val="single" w:color="auto" w:sz="4" w:space="0"/>
              <w:right w:val="single" w:color="auto" w:sz="4" w:space="0"/>
            </w:tcBorders>
            <w:noWrap w:val="0"/>
            <w:vAlign w:val="center"/>
          </w:tcPr>
          <w:p w14:paraId="64EB2092">
            <w:pPr>
              <w:spacing w:line="260" w:lineRule="exact"/>
              <w:jc w:val="left"/>
              <w:rPr>
                <w:rFonts w:ascii="宋体"/>
                <w:color w:val="auto"/>
                <w:sz w:val="18"/>
                <w:szCs w:val="18"/>
                <w:highlight w:val="none"/>
              </w:rPr>
            </w:pPr>
            <w:r>
              <w:rPr>
                <w:rFonts w:hint="eastAsia" w:ascii="宋体" w:hAnsi="宋体"/>
                <w:color w:val="auto"/>
                <w:sz w:val="18"/>
                <w:szCs w:val="18"/>
                <w:highlight w:val="none"/>
              </w:rPr>
              <w:t>灌木树盘边线整齐，无杂草。</w:t>
            </w:r>
          </w:p>
        </w:tc>
        <w:tc>
          <w:tcPr>
            <w:tcW w:w="525" w:type="dxa"/>
            <w:tcBorders>
              <w:top w:val="single" w:color="auto" w:sz="4" w:space="0"/>
              <w:left w:val="nil"/>
              <w:bottom w:val="single" w:color="auto" w:sz="4" w:space="0"/>
              <w:right w:val="single" w:color="auto" w:sz="4" w:space="0"/>
            </w:tcBorders>
            <w:noWrap w:val="0"/>
            <w:vAlign w:val="center"/>
          </w:tcPr>
          <w:p w14:paraId="406AD381">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1A07FC62">
            <w:pPr>
              <w:spacing w:line="260" w:lineRule="exact"/>
              <w:rPr>
                <w:rFonts w:ascii="宋体"/>
                <w:color w:val="auto"/>
                <w:sz w:val="18"/>
                <w:szCs w:val="18"/>
                <w:highlight w:val="none"/>
              </w:rPr>
            </w:pPr>
            <w:r>
              <w:rPr>
                <w:rFonts w:hint="eastAsia" w:ascii="宋体" w:hAnsi="宋体"/>
                <w:color w:val="auto"/>
                <w:sz w:val="18"/>
                <w:szCs w:val="18"/>
                <w:highlight w:val="none"/>
              </w:rPr>
              <w:t>未做树盘或有杂草每处扣0.2-0.5分。</w:t>
            </w:r>
          </w:p>
        </w:tc>
        <w:tc>
          <w:tcPr>
            <w:tcW w:w="709" w:type="dxa"/>
            <w:tcBorders>
              <w:top w:val="single" w:color="auto" w:sz="4" w:space="0"/>
              <w:left w:val="nil"/>
              <w:bottom w:val="single" w:color="auto" w:sz="4" w:space="0"/>
              <w:right w:val="single" w:color="auto" w:sz="4" w:space="0"/>
            </w:tcBorders>
            <w:noWrap w:val="0"/>
            <w:vAlign w:val="center"/>
          </w:tcPr>
          <w:p w14:paraId="6AE1D9A9">
            <w:pPr>
              <w:spacing w:line="260" w:lineRule="exact"/>
              <w:jc w:val="center"/>
              <w:rPr>
                <w:rFonts w:ascii="宋体"/>
                <w:color w:val="auto"/>
                <w:sz w:val="18"/>
                <w:szCs w:val="18"/>
                <w:highlight w:val="none"/>
              </w:rPr>
            </w:pPr>
          </w:p>
        </w:tc>
      </w:tr>
      <w:tr w14:paraId="3180E4A2">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530EFCC7">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A1D2079">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149" w:type="dxa"/>
            <w:tcBorders>
              <w:top w:val="single" w:color="auto" w:sz="4" w:space="0"/>
              <w:left w:val="nil"/>
              <w:bottom w:val="single" w:color="auto" w:sz="4" w:space="0"/>
              <w:right w:val="single" w:color="auto" w:sz="4" w:space="0"/>
            </w:tcBorders>
            <w:noWrap w:val="0"/>
            <w:vAlign w:val="top"/>
          </w:tcPr>
          <w:p w14:paraId="2F83513B">
            <w:pPr>
              <w:spacing w:line="260" w:lineRule="exact"/>
              <w:jc w:val="left"/>
              <w:rPr>
                <w:rFonts w:ascii="宋体"/>
                <w:color w:val="auto"/>
                <w:sz w:val="18"/>
                <w:szCs w:val="18"/>
                <w:highlight w:val="none"/>
              </w:rPr>
            </w:pPr>
            <w:r>
              <w:rPr>
                <w:rFonts w:hint="eastAsia" w:ascii="宋体" w:hAnsi="宋体"/>
                <w:color w:val="auto"/>
                <w:sz w:val="18"/>
                <w:szCs w:val="18"/>
                <w:highlight w:val="none"/>
              </w:rPr>
              <w:t>整形灌木、孤植灌球、片植灌木要及时修剪。修剪面平滑整齐，无枝叶粘连。整形灌木剪后成形美观，内部通透。</w:t>
            </w:r>
          </w:p>
        </w:tc>
        <w:tc>
          <w:tcPr>
            <w:tcW w:w="525" w:type="dxa"/>
            <w:tcBorders>
              <w:top w:val="single" w:color="auto" w:sz="4" w:space="0"/>
              <w:left w:val="nil"/>
              <w:bottom w:val="single" w:color="auto" w:sz="4" w:space="0"/>
              <w:right w:val="single" w:color="auto" w:sz="4" w:space="0"/>
            </w:tcBorders>
            <w:noWrap w:val="0"/>
            <w:vAlign w:val="center"/>
          </w:tcPr>
          <w:p w14:paraId="1791D7D4">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988" w:type="dxa"/>
            <w:tcBorders>
              <w:top w:val="single" w:color="auto" w:sz="4" w:space="0"/>
              <w:left w:val="nil"/>
              <w:bottom w:val="single" w:color="auto" w:sz="4" w:space="0"/>
              <w:right w:val="single" w:color="auto" w:sz="4" w:space="0"/>
            </w:tcBorders>
            <w:noWrap w:val="0"/>
            <w:vAlign w:val="center"/>
          </w:tcPr>
          <w:p w14:paraId="53E09A9C">
            <w:pPr>
              <w:spacing w:line="260" w:lineRule="exact"/>
              <w:rPr>
                <w:rFonts w:ascii="宋体"/>
                <w:color w:val="auto"/>
                <w:sz w:val="18"/>
                <w:szCs w:val="18"/>
                <w:highlight w:val="none"/>
              </w:rPr>
            </w:pPr>
            <w:r>
              <w:rPr>
                <w:rFonts w:hint="eastAsia" w:ascii="宋体" w:hAnsi="宋体"/>
                <w:color w:val="auto"/>
                <w:sz w:val="18"/>
                <w:szCs w:val="18"/>
                <w:highlight w:val="none"/>
              </w:rPr>
              <w:t>未及时修剪的每处扣0.2-0.5分。修剪面不整齐或枝叶粘连、修剪后不美观的每处扣0.2-0.5分。</w:t>
            </w:r>
          </w:p>
        </w:tc>
        <w:tc>
          <w:tcPr>
            <w:tcW w:w="709" w:type="dxa"/>
            <w:tcBorders>
              <w:top w:val="single" w:color="auto" w:sz="4" w:space="0"/>
              <w:left w:val="nil"/>
              <w:bottom w:val="single" w:color="auto" w:sz="4" w:space="0"/>
              <w:right w:val="single" w:color="auto" w:sz="4" w:space="0"/>
            </w:tcBorders>
            <w:noWrap w:val="0"/>
            <w:vAlign w:val="center"/>
          </w:tcPr>
          <w:p w14:paraId="251C3EFA">
            <w:pPr>
              <w:spacing w:line="260" w:lineRule="exact"/>
              <w:jc w:val="center"/>
              <w:rPr>
                <w:rFonts w:ascii="宋体"/>
                <w:color w:val="auto"/>
                <w:sz w:val="18"/>
                <w:szCs w:val="18"/>
                <w:highlight w:val="none"/>
              </w:rPr>
            </w:pPr>
          </w:p>
        </w:tc>
      </w:tr>
      <w:tr w14:paraId="0AC8E7A8">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78758A0B">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31AEF11">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149" w:type="dxa"/>
            <w:tcBorders>
              <w:top w:val="single" w:color="auto" w:sz="4" w:space="0"/>
              <w:left w:val="nil"/>
              <w:bottom w:val="single" w:color="auto" w:sz="4" w:space="0"/>
              <w:right w:val="single" w:color="auto" w:sz="4" w:space="0"/>
            </w:tcBorders>
            <w:noWrap w:val="0"/>
            <w:vAlign w:val="top"/>
          </w:tcPr>
          <w:p w14:paraId="00AFE1EF">
            <w:pPr>
              <w:spacing w:line="260" w:lineRule="exact"/>
              <w:jc w:val="left"/>
              <w:rPr>
                <w:rFonts w:ascii="宋体"/>
                <w:color w:val="auto"/>
                <w:sz w:val="18"/>
                <w:szCs w:val="18"/>
                <w:highlight w:val="none"/>
              </w:rPr>
            </w:pPr>
            <w:r>
              <w:rPr>
                <w:rFonts w:hint="eastAsia" w:ascii="宋体" w:hAnsi="宋体"/>
                <w:color w:val="auto"/>
                <w:sz w:val="18"/>
                <w:szCs w:val="18"/>
                <w:highlight w:val="none"/>
              </w:rPr>
              <w:t>修剪后及时清理干净绿化垃圾（地面和植株上）。</w:t>
            </w:r>
          </w:p>
        </w:tc>
        <w:tc>
          <w:tcPr>
            <w:tcW w:w="525" w:type="dxa"/>
            <w:tcBorders>
              <w:top w:val="single" w:color="auto" w:sz="4" w:space="0"/>
              <w:left w:val="nil"/>
              <w:bottom w:val="single" w:color="auto" w:sz="4" w:space="0"/>
              <w:right w:val="single" w:color="auto" w:sz="4" w:space="0"/>
            </w:tcBorders>
            <w:noWrap w:val="0"/>
            <w:vAlign w:val="center"/>
          </w:tcPr>
          <w:p w14:paraId="6A83AE7F">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22452C06">
            <w:pPr>
              <w:spacing w:line="260" w:lineRule="exact"/>
              <w:rPr>
                <w:rFonts w:ascii="宋体"/>
                <w:color w:val="auto"/>
                <w:sz w:val="18"/>
                <w:szCs w:val="18"/>
                <w:highlight w:val="none"/>
              </w:rPr>
            </w:pPr>
            <w:r>
              <w:rPr>
                <w:rFonts w:hint="eastAsia" w:ascii="宋体" w:hAnsi="宋体"/>
                <w:color w:val="auto"/>
                <w:sz w:val="18"/>
                <w:szCs w:val="18"/>
                <w:highlight w:val="none"/>
              </w:rPr>
              <w:t>修剪后未及时清理的每处扣0.2 -0.5分。</w:t>
            </w:r>
          </w:p>
        </w:tc>
        <w:tc>
          <w:tcPr>
            <w:tcW w:w="709" w:type="dxa"/>
            <w:tcBorders>
              <w:top w:val="single" w:color="auto" w:sz="4" w:space="0"/>
              <w:left w:val="nil"/>
              <w:bottom w:val="single" w:color="auto" w:sz="4" w:space="0"/>
              <w:right w:val="single" w:color="auto" w:sz="4" w:space="0"/>
            </w:tcBorders>
            <w:noWrap w:val="0"/>
            <w:vAlign w:val="center"/>
          </w:tcPr>
          <w:p w14:paraId="6D168847">
            <w:pPr>
              <w:spacing w:line="260" w:lineRule="exact"/>
              <w:jc w:val="center"/>
              <w:rPr>
                <w:rFonts w:ascii="宋体"/>
                <w:color w:val="auto"/>
                <w:sz w:val="18"/>
                <w:szCs w:val="18"/>
                <w:highlight w:val="none"/>
              </w:rPr>
            </w:pPr>
          </w:p>
        </w:tc>
      </w:tr>
      <w:tr w14:paraId="62EA0832">
        <w:tblPrEx>
          <w:tblCellMar>
            <w:top w:w="0" w:type="dxa"/>
            <w:left w:w="108" w:type="dxa"/>
            <w:bottom w:w="0" w:type="dxa"/>
            <w:right w:w="108" w:type="dxa"/>
          </w:tblCellMar>
        </w:tblPrEx>
        <w:trPr>
          <w:cantSplit/>
          <w:trHeight w:val="665"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0D146E75">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1151951F">
            <w:pPr>
              <w:spacing w:line="260" w:lineRule="exact"/>
              <w:jc w:val="center"/>
              <w:rPr>
                <w:rFonts w:ascii="宋体"/>
                <w:color w:val="auto"/>
                <w:sz w:val="18"/>
                <w:szCs w:val="18"/>
                <w:highlight w:val="none"/>
              </w:rPr>
            </w:pPr>
            <w:r>
              <w:rPr>
                <w:rFonts w:hint="eastAsia" w:ascii="宋体" w:hAnsi="宋体"/>
                <w:color w:val="auto"/>
                <w:sz w:val="18"/>
                <w:szCs w:val="18"/>
                <w:highlight w:val="none"/>
              </w:rPr>
              <w:t>5</w:t>
            </w:r>
          </w:p>
        </w:tc>
        <w:tc>
          <w:tcPr>
            <w:tcW w:w="3149" w:type="dxa"/>
            <w:tcBorders>
              <w:top w:val="single" w:color="auto" w:sz="4" w:space="0"/>
              <w:left w:val="nil"/>
              <w:bottom w:val="single" w:color="auto" w:sz="4" w:space="0"/>
              <w:right w:val="single" w:color="auto" w:sz="4" w:space="0"/>
            </w:tcBorders>
            <w:noWrap w:val="0"/>
            <w:vAlign w:val="top"/>
          </w:tcPr>
          <w:p w14:paraId="4E2E0273">
            <w:pPr>
              <w:spacing w:line="260" w:lineRule="exact"/>
              <w:jc w:val="left"/>
              <w:rPr>
                <w:rFonts w:ascii="宋体"/>
                <w:color w:val="auto"/>
                <w:sz w:val="18"/>
                <w:szCs w:val="18"/>
                <w:highlight w:val="none"/>
              </w:rPr>
            </w:pPr>
            <w:r>
              <w:rPr>
                <w:rFonts w:hint="eastAsia" w:ascii="宋体" w:hAnsi="宋体"/>
                <w:color w:val="auto"/>
                <w:sz w:val="18"/>
                <w:szCs w:val="18"/>
                <w:highlight w:val="none"/>
              </w:rPr>
              <w:t>片植灌木无光脚、死株、断档现象。</w:t>
            </w:r>
          </w:p>
        </w:tc>
        <w:tc>
          <w:tcPr>
            <w:tcW w:w="525" w:type="dxa"/>
            <w:tcBorders>
              <w:top w:val="single" w:color="auto" w:sz="4" w:space="0"/>
              <w:left w:val="nil"/>
              <w:bottom w:val="single" w:color="auto" w:sz="4" w:space="0"/>
              <w:right w:val="single" w:color="auto" w:sz="4" w:space="0"/>
            </w:tcBorders>
            <w:noWrap w:val="0"/>
            <w:vAlign w:val="center"/>
          </w:tcPr>
          <w:p w14:paraId="0070DAF7">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2245AA5F">
            <w:pPr>
              <w:spacing w:line="260" w:lineRule="exact"/>
              <w:rPr>
                <w:rFonts w:ascii="宋体"/>
                <w:color w:val="auto"/>
                <w:sz w:val="18"/>
                <w:szCs w:val="18"/>
                <w:highlight w:val="none"/>
              </w:rPr>
            </w:pPr>
            <w:r>
              <w:rPr>
                <w:rFonts w:hint="eastAsia" w:ascii="宋体" w:hAnsi="宋体"/>
                <w:color w:val="auto"/>
                <w:sz w:val="18"/>
                <w:szCs w:val="18"/>
                <w:highlight w:val="none"/>
              </w:rPr>
              <w:t>片植灌木有光脚、死株、断档现象的每处扣0.2-0.5分。</w:t>
            </w:r>
          </w:p>
        </w:tc>
        <w:tc>
          <w:tcPr>
            <w:tcW w:w="709" w:type="dxa"/>
            <w:tcBorders>
              <w:top w:val="single" w:color="auto" w:sz="4" w:space="0"/>
              <w:left w:val="nil"/>
              <w:bottom w:val="single" w:color="auto" w:sz="4" w:space="0"/>
              <w:right w:val="single" w:color="auto" w:sz="4" w:space="0"/>
            </w:tcBorders>
            <w:noWrap w:val="0"/>
            <w:vAlign w:val="center"/>
          </w:tcPr>
          <w:p w14:paraId="5F656D80">
            <w:pPr>
              <w:spacing w:line="260" w:lineRule="exact"/>
              <w:jc w:val="center"/>
              <w:rPr>
                <w:rFonts w:ascii="宋体"/>
                <w:color w:val="auto"/>
                <w:sz w:val="18"/>
                <w:szCs w:val="18"/>
                <w:highlight w:val="none"/>
              </w:rPr>
            </w:pPr>
          </w:p>
        </w:tc>
      </w:tr>
      <w:tr w14:paraId="24D8714D">
        <w:tblPrEx>
          <w:tblCellMar>
            <w:top w:w="0" w:type="dxa"/>
            <w:left w:w="108" w:type="dxa"/>
            <w:bottom w:w="0" w:type="dxa"/>
            <w:right w:w="108" w:type="dxa"/>
          </w:tblCellMar>
        </w:tblPrEx>
        <w:trPr>
          <w:cantSplit/>
          <w:trHeight w:val="665"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72AA44DF">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8EC763D">
            <w:pPr>
              <w:spacing w:line="260" w:lineRule="exact"/>
              <w:jc w:val="center"/>
              <w:rPr>
                <w:rFonts w:ascii="宋体"/>
                <w:color w:val="auto"/>
                <w:sz w:val="18"/>
                <w:szCs w:val="18"/>
                <w:highlight w:val="none"/>
              </w:rPr>
            </w:pPr>
            <w:r>
              <w:rPr>
                <w:rFonts w:hint="eastAsia" w:ascii="宋体" w:hAnsi="宋体"/>
                <w:color w:val="auto"/>
                <w:sz w:val="18"/>
                <w:szCs w:val="18"/>
                <w:highlight w:val="none"/>
              </w:rPr>
              <w:t>6</w:t>
            </w:r>
          </w:p>
        </w:tc>
        <w:tc>
          <w:tcPr>
            <w:tcW w:w="3149" w:type="dxa"/>
            <w:tcBorders>
              <w:top w:val="single" w:color="auto" w:sz="4" w:space="0"/>
              <w:left w:val="nil"/>
              <w:bottom w:val="single" w:color="auto" w:sz="4" w:space="0"/>
              <w:right w:val="single" w:color="auto" w:sz="4" w:space="0"/>
            </w:tcBorders>
            <w:noWrap w:val="0"/>
            <w:vAlign w:val="center"/>
          </w:tcPr>
          <w:p w14:paraId="24A420E0">
            <w:pPr>
              <w:spacing w:line="260" w:lineRule="exact"/>
              <w:rPr>
                <w:rFonts w:ascii="宋体"/>
                <w:color w:val="auto"/>
                <w:sz w:val="18"/>
                <w:szCs w:val="18"/>
                <w:highlight w:val="none"/>
              </w:rPr>
            </w:pPr>
            <w:r>
              <w:rPr>
                <w:rFonts w:hint="eastAsia" w:ascii="宋体" w:hAnsi="宋体"/>
                <w:color w:val="auto"/>
                <w:sz w:val="18"/>
                <w:szCs w:val="18"/>
                <w:highlight w:val="none"/>
              </w:rPr>
              <w:t>片植灌木内无石块等杂物。</w:t>
            </w:r>
          </w:p>
        </w:tc>
        <w:tc>
          <w:tcPr>
            <w:tcW w:w="525" w:type="dxa"/>
            <w:tcBorders>
              <w:top w:val="single" w:color="auto" w:sz="4" w:space="0"/>
              <w:left w:val="nil"/>
              <w:bottom w:val="single" w:color="auto" w:sz="4" w:space="0"/>
              <w:right w:val="single" w:color="auto" w:sz="4" w:space="0"/>
            </w:tcBorders>
            <w:noWrap w:val="0"/>
            <w:vAlign w:val="center"/>
          </w:tcPr>
          <w:p w14:paraId="1554B116">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6FDE7A09">
            <w:pPr>
              <w:spacing w:line="260" w:lineRule="exact"/>
              <w:rPr>
                <w:rFonts w:ascii="宋体"/>
                <w:color w:val="auto"/>
                <w:sz w:val="18"/>
                <w:szCs w:val="18"/>
                <w:highlight w:val="none"/>
              </w:rPr>
            </w:pPr>
            <w:r>
              <w:rPr>
                <w:rFonts w:hint="eastAsia" w:ascii="宋体" w:hAnsi="宋体"/>
                <w:color w:val="auto"/>
                <w:sz w:val="18"/>
                <w:szCs w:val="18"/>
                <w:highlight w:val="none"/>
              </w:rPr>
              <w:t>片植灌木内有石块等杂物的每处扣0.2-0.5分。</w:t>
            </w:r>
          </w:p>
        </w:tc>
        <w:tc>
          <w:tcPr>
            <w:tcW w:w="709" w:type="dxa"/>
            <w:tcBorders>
              <w:top w:val="single" w:color="auto" w:sz="4" w:space="0"/>
              <w:left w:val="nil"/>
              <w:bottom w:val="single" w:color="auto" w:sz="4" w:space="0"/>
              <w:right w:val="single" w:color="auto" w:sz="4" w:space="0"/>
            </w:tcBorders>
            <w:noWrap w:val="0"/>
            <w:vAlign w:val="center"/>
          </w:tcPr>
          <w:p w14:paraId="37EFE936">
            <w:pPr>
              <w:spacing w:line="260" w:lineRule="exact"/>
              <w:jc w:val="center"/>
              <w:rPr>
                <w:rFonts w:ascii="宋体"/>
                <w:color w:val="auto"/>
                <w:sz w:val="18"/>
                <w:szCs w:val="18"/>
                <w:highlight w:val="none"/>
              </w:rPr>
            </w:pPr>
          </w:p>
        </w:tc>
      </w:tr>
      <w:tr w14:paraId="2707A16A">
        <w:tblPrEx>
          <w:tblCellMar>
            <w:top w:w="0" w:type="dxa"/>
            <w:left w:w="108" w:type="dxa"/>
            <w:bottom w:w="0" w:type="dxa"/>
            <w:right w:w="108" w:type="dxa"/>
          </w:tblCellMar>
        </w:tblPrEx>
        <w:trPr>
          <w:cantSplit/>
          <w:trHeight w:val="459" w:hRule="atLeast"/>
        </w:trPr>
        <w:tc>
          <w:tcPr>
            <w:tcW w:w="419" w:type="dxa"/>
            <w:vMerge w:val="restart"/>
            <w:tcBorders>
              <w:top w:val="single" w:color="auto" w:sz="4" w:space="0"/>
              <w:left w:val="single" w:color="auto" w:sz="4" w:space="0"/>
              <w:bottom w:val="single" w:color="auto" w:sz="4" w:space="0"/>
              <w:right w:val="single" w:color="auto" w:sz="4" w:space="0"/>
            </w:tcBorders>
            <w:noWrap w:val="0"/>
            <w:vAlign w:val="center"/>
          </w:tcPr>
          <w:p w14:paraId="1B294638">
            <w:pPr>
              <w:spacing w:line="260" w:lineRule="exact"/>
              <w:rPr>
                <w:rFonts w:ascii="宋体" w:hAnsi="宋体"/>
                <w:color w:val="auto"/>
                <w:sz w:val="18"/>
                <w:szCs w:val="18"/>
                <w:highlight w:val="none"/>
              </w:rPr>
            </w:pPr>
            <w:r>
              <w:rPr>
                <w:rFonts w:hint="eastAsia" w:ascii="宋体" w:hAnsi="宋体"/>
                <w:color w:val="auto"/>
                <w:sz w:val="18"/>
                <w:szCs w:val="18"/>
                <w:highlight w:val="none"/>
              </w:rPr>
              <w:t>茶花</w:t>
            </w:r>
          </w:p>
        </w:tc>
        <w:tc>
          <w:tcPr>
            <w:tcW w:w="420" w:type="dxa"/>
            <w:tcBorders>
              <w:top w:val="single" w:color="auto" w:sz="4" w:space="0"/>
              <w:left w:val="nil"/>
              <w:bottom w:val="single" w:color="auto" w:sz="4" w:space="0"/>
              <w:right w:val="single" w:color="auto" w:sz="4" w:space="0"/>
            </w:tcBorders>
            <w:noWrap w:val="0"/>
            <w:vAlign w:val="center"/>
          </w:tcPr>
          <w:p w14:paraId="45C36F44">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3149" w:type="dxa"/>
            <w:tcBorders>
              <w:top w:val="single" w:color="auto" w:sz="4" w:space="0"/>
              <w:left w:val="nil"/>
              <w:bottom w:val="single" w:color="auto" w:sz="4" w:space="0"/>
              <w:right w:val="single" w:color="auto" w:sz="4" w:space="0"/>
            </w:tcBorders>
            <w:noWrap w:val="0"/>
            <w:vAlign w:val="center"/>
          </w:tcPr>
          <w:p w14:paraId="3C957C5D">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茶花要求</w:t>
            </w:r>
            <w:r>
              <w:rPr>
                <w:rFonts w:hint="eastAsia"/>
                <w:color w:val="auto"/>
                <w:sz w:val="18"/>
                <w:szCs w:val="18"/>
                <w:highlight w:val="none"/>
              </w:rPr>
              <w:t>生长势强，枝叶健壮，枝多叶茂，叶色</w:t>
            </w:r>
            <w:r>
              <w:rPr>
                <w:rFonts w:hint="eastAsia" w:ascii="宋体" w:hAnsi="宋体"/>
                <w:color w:val="auto"/>
                <w:sz w:val="18"/>
                <w:szCs w:val="18"/>
                <w:highlight w:val="none"/>
              </w:rPr>
              <w:t>浓绿</w:t>
            </w:r>
            <w:r>
              <w:rPr>
                <w:rFonts w:hint="eastAsia"/>
                <w:color w:val="auto"/>
                <w:sz w:val="18"/>
                <w:szCs w:val="18"/>
                <w:highlight w:val="none"/>
              </w:rPr>
              <w:t>，树冠完整成形，无枯枝残叶；适时开花，</w:t>
            </w:r>
            <w:r>
              <w:rPr>
                <w:rFonts w:hint="eastAsia" w:ascii="宋体" w:hAnsi="宋体"/>
                <w:color w:val="auto"/>
                <w:sz w:val="18"/>
                <w:szCs w:val="18"/>
                <w:highlight w:val="none"/>
              </w:rPr>
              <w:t>花蕾饱满，</w:t>
            </w:r>
            <w:r>
              <w:rPr>
                <w:rFonts w:hint="eastAsia"/>
                <w:color w:val="auto"/>
                <w:sz w:val="18"/>
                <w:szCs w:val="18"/>
                <w:highlight w:val="none"/>
              </w:rPr>
              <w:t>花多色艳，</w:t>
            </w:r>
            <w:r>
              <w:rPr>
                <w:rFonts w:hint="eastAsia" w:ascii="宋体" w:hAnsi="宋体"/>
                <w:color w:val="auto"/>
                <w:sz w:val="18"/>
                <w:szCs w:val="18"/>
                <w:highlight w:val="none"/>
              </w:rPr>
              <w:t>植株</w:t>
            </w:r>
            <w:r>
              <w:rPr>
                <w:rFonts w:hint="eastAsia"/>
                <w:color w:val="auto"/>
                <w:sz w:val="18"/>
                <w:szCs w:val="18"/>
                <w:highlight w:val="none"/>
              </w:rPr>
              <w:t>着花均衡。</w:t>
            </w:r>
          </w:p>
        </w:tc>
        <w:tc>
          <w:tcPr>
            <w:tcW w:w="525" w:type="dxa"/>
            <w:tcBorders>
              <w:top w:val="single" w:color="auto" w:sz="4" w:space="0"/>
              <w:left w:val="nil"/>
              <w:bottom w:val="single" w:color="auto" w:sz="4" w:space="0"/>
              <w:right w:val="single" w:color="auto" w:sz="4" w:space="0"/>
            </w:tcBorders>
            <w:noWrap w:val="0"/>
            <w:vAlign w:val="center"/>
          </w:tcPr>
          <w:p w14:paraId="5ADB43A0">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3988" w:type="dxa"/>
            <w:tcBorders>
              <w:top w:val="single" w:color="auto" w:sz="4" w:space="0"/>
              <w:left w:val="nil"/>
              <w:bottom w:val="single" w:color="auto" w:sz="4" w:space="0"/>
              <w:right w:val="single" w:color="auto" w:sz="4" w:space="0"/>
            </w:tcBorders>
            <w:noWrap w:val="0"/>
            <w:vAlign w:val="center"/>
          </w:tcPr>
          <w:p w14:paraId="68264891">
            <w:pPr>
              <w:spacing w:line="260" w:lineRule="exact"/>
              <w:rPr>
                <w:rFonts w:ascii="宋体" w:hAnsi="宋体"/>
                <w:color w:val="auto"/>
                <w:sz w:val="18"/>
                <w:szCs w:val="18"/>
                <w:highlight w:val="none"/>
              </w:rPr>
            </w:pPr>
            <w:r>
              <w:rPr>
                <w:rFonts w:hint="eastAsia" w:ascii="宋体" w:hAnsi="宋体"/>
                <w:color w:val="auto"/>
                <w:sz w:val="18"/>
                <w:szCs w:val="18"/>
                <w:highlight w:val="none"/>
              </w:rPr>
              <w:t>如因管理不到位导致植株生长不良或花开不好每1株扣0.5-1分。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4D733A12">
            <w:pPr>
              <w:spacing w:line="260" w:lineRule="exact"/>
              <w:jc w:val="center"/>
              <w:rPr>
                <w:rFonts w:ascii="宋体"/>
                <w:color w:val="auto"/>
                <w:sz w:val="18"/>
                <w:szCs w:val="18"/>
                <w:highlight w:val="none"/>
              </w:rPr>
            </w:pPr>
          </w:p>
        </w:tc>
      </w:tr>
      <w:tr w14:paraId="248424BD">
        <w:tblPrEx>
          <w:tblCellMar>
            <w:top w:w="0" w:type="dxa"/>
            <w:left w:w="108" w:type="dxa"/>
            <w:bottom w:w="0" w:type="dxa"/>
            <w:right w:w="108" w:type="dxa"/>
          </w:tblCellMar>
        </w:tblPrEx>
        <w:trPr>
          <w:cantSplit/>
          <w:trHeight w:val="459"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A4189BF">
            <w:pPr>
              <w:widowControl/>
              <w:jc w:val="left"/>
              <w:rPr>
                <w:rFonts w:ascii="宋体" w:hAns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E7C60C9">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3149" w:type="dxa"/>
            <w:tcBorders>
              <w:top w:val="single" w:color="auto" w:sz="4" w:space="0"/>
              <w:left w:val="nil"/>
              <w:bottom w:val="single" w:color="auto" w:sz="4" w:space="0"/>
              <w:right w:val="single" w:color="auto" w:sz="4" w:space="0"/>
            </w:tcBorders>
            <w:noWrap w:val="0"/>
            <w:vAlign w:val="center"/>
          </w:tcPr>
          <w:p w14:paraId="74240CE3">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茶花种植地块保持土壤疏松、平整，无杂草、杂物，无明显块土、石头，定时切断外来树根，土壤pH在合理范围，定期增施有机质改善土壤肥力和结构。</w:t>
            </w:r>
          </w:p>
        </w:tc>
        <w:tc>
          <w:tcPr>
            <w:tcW w:w="525" w:type="dxa"/>
            <w:tcBorders>
              <w:top w:val="single" w:color="auto" w:sz="4" w:space="0"/>
              <w:left w:val="nil"/>
              <w:bottom w:val="single" w:color="auto" w:sz="4" w:space="0"/>
              <w:right w:val="single" w:color="auto" w:sz="4" w:space="0"/>
            </w:tcBorders>
            <w:noWrap w:val="0"/>
            <w:vAlign w:val="center"/>
          </w:tcPr>
          <w:p w14:paraId="63A506AA">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41373EAE">
            <w:pPr>
              <w:spacing w:line="260" w:lineRule="exact"/>
              <w:rPr>
                <w:rFonts w:ascii="宋体" w:hAnsi="宋体"/>
                <w:color w:val="auto"/>
                <w:sz w:val="18"/>
                <w:szCs w:val="18"/>
                <w:highlight w:val="none"/>
              </w:rPr>
            </w:pPr>
            <w:r>
              <w:rPr>
                <w:rFonts w:hint="eastAsia" w:ascii="宋体" w:hAnsi="宋体"/>
                <w:color w:val="auto"/>
                <w:sz w:val="18"/>
                <w:szCs w:val="18"/>
                <w:highlight w:val="none"/>
              </w:rPr>
              <w:t>每违例1㎡或1株扣0.2-0.5分</w:t>
            </w:r>
          </w:p>
        </w:tc>
        <w:tc>
          <w:tcPr>
            <w:tcW w:w="709" w:type="dxa"/>
            <w:tcBorders>
              <w:top w:val="single" w:color="auto" w:sz="4" w:space="0"/>
              <w:left w:val="nil"/>
              <w:bottom w:val="single" w:color="auto" w:sz="4" w:space="0"/>
              <w:right w:val="single" w:color="auto" w:sz="4" w:space="0"/>
            </w:tcBorders>
            <w:noWrap w:val="0"/>
            <w:vAlign w:val="center"/>
          </w:tcPr>
          <w:p w14:paraId="355223E9">
            <w:pPr>
              <w:spacing w:line="260" w:lineRule="exact"/>
              <w:jc w:val="center"/>
              <w:rPr>
                <w:rFonts w:ascii="宋体"/>
                <w:color w:val="auto"/>
                <w:sz w:val="18"/>
                <w:szCs w:val="18"/>
                <w:highlight w:val="none"/>
              </w:rPr>
            </w:pPr>
          </w:p>
        </w:tc>
      </w:tr>
      <w:tr w14:paraId="5505CA6B">
        <w:tblPrEx>
          <w:tblCellMar>
            <w:top w:w="0" w:type="dxa"/>
            <w:left w:w="108" w:type="dxa"/>
            <w:bottom w:w="0" w:type="dxa"/>
            <w:right w:w="108" w:type="dxa"/>
          </w:tblCellMar>
        </w:tblPrEx>
        <w:trPr>
          <w:cantSplit/>
          <w:trHeight w:val="90"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29740A74">
            <w:pPr>
              <w:widowControl/>
              <w:jc w:val="left"/>
              <w:rPr>
                <w:rFonts w:ascii="宋体" w:hAns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A07FC47">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3149" w:type="dxa"/>
            <w:tcBorders>
              <w:top w:val="single" w:color="auto" w:sz="4" w:space="0"/>
              <w:left w:val="nil"/>
              <w:bottom w:val="single" w:color="auto" w:sz="4" w:space="0"/>
              <w:right w:val="single" w:color="auto" w:sz="4" w:space="0"/>
            </w:tcBorders>
            <w:noWrap w:val="0"/>
            <w:vAlign w:val="center"/>
          </w:tcPr>
          <w:p w14:paraId="48CC5FEA">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根据植物生长状况和环境及时适量淋水，对积水的植株要及时进行排涝处理。</w:t>
            </w:r>
          </w:p>
        </w:tc>
        <w:tc>
          <w:tcPr>
            <w:tcW w:w="525" w:type="dxa"/>
            <w:tcBorders>
              <w:top w:val="single" w:color="auto" w:sz="4" w:space="0"/>
              <w:left w:val="nil"/>
              <w:bottom w:val="single" w:color="auto" w:sz="4" w:space="0"/>
              <w:right w:val="single" w:color="auto" w:sz="4" w:space="0"/>
            </w:tcBorders>
            <w:noWrap w:val="0"/>
            <w:vAlign w:val="center"/>
          </w:tcPr>
          <w:p w14:paraId="4C413543">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16C7B9C0">
            <w:pPr>
              <w:spacing w:line="260" w:lineRule="exact"/>
              <w:rPr>
                <w:rFonts w:ascii="宋体" w:hAnsi="宋体"/>
                <w:color w:val="auto"/>
                <w:sz w:val="18"/>
                <w:szCs w:val="18"/>
                <w:highlight w:val="none"/>
              </w:rPr>
            </w:pPr>
            <w:r>
              <w:rPr>
                <w:rFonts w:hint="eastAsia" w:ascii="宋体" w:hAnsi="宋体"/>
                <w:color w:val="auto"/>
                <w:sz w:val="18"/>
                <w:szCs w:val="18"/>
                <w:highlight w:val="none"/>
              </w:rPr>
              <w:t>因水分管理不当造成植物生长不良的每1株扣0.5-1分。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5064A722">
            <w:pPr>
              <w:spacing w:line="260" w:lineRule="exact"/>
              <w:jc w:val="center"/>
              <w:rPr>
                <w:rFonts w:ascii="宋体"/>
                <w:color w:val="auto"/>
                <w:sz w:val="18"/>
                <w:szCs w:val="18"/>
                <w:highlight w:val="none"/>
              </w:rPr>
            </w:pPr>
          </w:p>
        </w:tc>
      </w:tr>
      <w:tr w14:paraId="1E085FBE">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791EBC40">
            <w:pPr>
              <w:widowControl/>
              <w:jc w:val="left"/>
              <w:rPr>
                <w:rFonts w:ascii="宋体" w:hAns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D87CD04">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4</w:t>
            </w:r>
          </w:p>
        </w:tc>
        <w:tc>
          <w:tcPr>
            <w:tcW w:w="3149" w:type="dxa"/>
            <w:tcBorders>
              <w:top w:val="single" w:color="auto" w:sz="4" w:space="0"/>
              <w:left w:val="nil"/>
              <w:bottom w:val="single" w:color="auto" w:sz="4" w:space="0"/>
              <w:right w:val="single" w:color="auto" w:sz="4" w:space="0"/>
            </w:tcBorders>
            <w:noWrap w:val="0"/>
            <w:vAlign w:val="center"/>
          </w:tcPr>
          <w:p w14:paraId="3069892D">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按茶花养护技术要求及时适量施肥。</w:t>
            </w:r>
          </w:p>
        </w:tc>
        <w:tc>
          <w:tcPr>
            <w:tcW w:w="525" w:type="dxa"/>
            <w:tcBorders>
              <w:top w:val="single" w:color="auto" w:sz="4" w:space="0"/>
              <w:left w:val="nil"/>
              <w:bottom w:val="single" w:color="auto" w:sz="4" w:space="0"/>
              <w:right w:val="single" w:color="auto" w:sz="4" w:space="0"/>
            </w:tcBorders>
            <w:noWrap w:val="0"/>
            <w:vAlign w:val="center"/>
          </w:tcPr>
          <w:p w14:paraId="46EF2FF5">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19A7B1C3">
            <w:pPr>
              <w:spacing w:line="260" w:lineRule="exact"/>
              <w:rPr>
                <w:rFonts w:ascii="宋体" w:hAnsi="宋体"/>
                <w:color w:val="auto"/>
                <w:sz w:val="18"/>
                <w:szCs w:val="18"/>
                <w:highlight w:val="none"/>
              </w:rPr>
            </w:pPr>
            <w:r>
              <w:rPr>
                <w:rFonts w:hint="eastAsia" w:ascii="宋体" w:hAnsi="宋体"/>
                <w:color w:val="auto"/>
                <w:sz w:val="18"/>
                <w:szCs w:val="18"/>
                <w:highlight w:val="none"/>
              </w:rPr>
              <w:t>不及时施肥或施肥不当造成植物生长不良每株扣0.5-1分。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7A1CC6DA">
            <w:pPr>
              <w:spacing w:line="260" w:lineRule="exact"/>
              <w:jc w:val="center"/>
              <w:rPr>
                <w:rFonts w:ascii="宋体"/>
                <w:color w:val="auto"/>
                <w:sz w:val="18"/>
                <w:szCs w:val="18"/>
                <w:highlight w:val="none"/>
              </w:rPr>
            </w:pPr>
          </w:p>
        </w:tc>
      </w:tr>
      <w:tr w14:paraId="0AB69FE8">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656EF072">
            <w:pPr>
              <w:widowControl/>
              <w:jc w:val="left"/>
              <w:rPr>
                <w:rFonts w:ascii="宋体" w:hAns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00429E60">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3149" w:type="dxa"/>
            <w:tcBorders>
              <w:top w:val="single" w:color="auto" w:sz="4" w:space="0"/>
              <w:left w:val="nil"/>
              <w:bottom w:val="single" w:color="auto" w:sz="4" w:space="0"/>
              <w:right w:val="single" w:color="auto" w:sz="4" w:space="0"/>
            </w:tcBorders>
            <w:noWrap w:val="0"/>
            <w:vAlign w:val="center"/>
          </w:tcPr>
          <w:p w14:paraId="2F2EAA2A">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及时进行病虫害防治</w:t>
            </w:r>
          </w:p>
        </w:tc>
        <w:tc>
          <w:tcPr>
            <w:tcW w:w="525" w:type="dxa"/>
            <w:tcBorders>
              <w:top w:val="single" w:color="auto" w:sz="4" w:space="0"/>
              <w:left w:val="nil"/>
              <w:bottom w:val="single" w:color="auto" w:sz="4" w:space="0"/>
              <w:right w:val="single" w:color="auto" w:sz="4" w:space="0"/>
            </w:tcBorders>
            <w:noWrap w:val="0"/>
            <w:vAlign w:val="center"/>
          </w:tcPr>
          <w:p w14:paraId="621693B0">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7E2583D2">
            <w:pPr>
              <w:spacing w:line="260" w:lineRule="exact"/>
              <w:rPr>
                <w:rFonts w:ascii="宋体" w:hAnsi="宋体"/>
                <w:color w:val="auto"/>
                <w:sz w:val="18"/>
                <w:szCs w:val="18"/>
                <w:highlight w:val="none"/>
              </w:rPr>
            </w:pPr>
            <w:r>
              <w:rPr>
                <w:rFonts w:hint="eastAsia" w:ascii="宋体" w:hAnsi="宋体"/>
                <w:color w:val="auto"/>
                <w:sz w:val="18"/>
                <w:szCs w:val="18"/>
                <w:highlight w:val="none"/>
              </w:rPr>
              <w:t>发生严重病虫害（枝叶受害率15%以上，树干受害率5%以上或发现蛀干害虫1处），每株扣0.5-1分。不按技术规范喷药造成药害每处扣0.5-1分。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0AAD8BF1">
            <w:pPr>
              <w:spacing w:line="260" w:lineRule="exact"/>
              <w:jc w:val="center"/>
              <w:rPr>
                <w:rFonts w:ascii="宋体"/>
                <w:color w:val="auto"/>
                <w:sz w:val="18"/>
                <w:szCs w:val="18"/>
                <w:highlight w:val="none"/>
              </w:rPr>
            </w:pPr>
          </w:p>
        </w:tc>
      </w:tr>
      <w:tr w14:paraId="50FAE044">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52F63D47">
            <w:pPr>
              <w:widowControl/>
              <w:jc w:val="left"/>
              <w:rPr>
                <w:rFonts w:ascii="宋体" w:hAns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2CC3607">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6</w:t>
            </w:r>
          </w:p>
        </w:tc>
        <w:tc>
          <w:tcPr>
            <w:tcW w:w="3149" w:type="dxa"/>
            <w:tcBorders>
              <w:top w:val="single" w:color="auto" w:sz="4" w:space="0"/>
              <w:left w:val="nil"/>
              <w:bottom w:val="single" w:color="auto" w:sz="4" w:space="0"/>
              <w:right w:val="single" w:color="auto" w:sz="4" w:space="0"/>
            </w:tcBorders>
            <w:noWrap w:val="0"/>
            <w:vAlign w:val="center"/>
          </w:tcPr>
          <w:p w14:paraId="6123F306">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及时疏蕾，使花蕾分布均匀，每枝叶片在6-8张以上保留一个花蕾（金花茶和单瓣山茶除外），疏蕾时不能损伤叶芽，花后及时摘除残花，及时清理枯枝、枯叶和悬挂物。</w:t>
            </w:r>
            <w:r>
              <w:rPr>
                <w:rFonts w:hint="eastAsia" w:ascii="宋体" w:hAnsi="宋体" w:cs="宋体"/>
                <w:color w:val="auto"/>
                <w:sz w:val="18"/>
                <w:szCs w:val="18"/>
                <w:highlight w:val="none"/>
              </w:rPr>
              <w:t>茶花花后及时修剪荫枝、病残枝，或按要求缩剪。</w:t>
            </w:r>
          </w:p>
        </w:tc>
        <w:tc>
          <w:tcPr>
            <w:tcW w:w="525" w:type="dxa"/>
            <w:tcBorders>
              <w:top w:val="single" w:color="auto" w:sz="4" w:space="0"/>
              <w:left w:val="nil"/>
              <w:bottom w:val="single" w:color="auto" w:sz="4" w:space="0"/>
              <w:right w:val="single" w:color="auto" w:sz="4" w:space="0"/>
            </w:tcBorders>
            <w:noWrap w:val="0"/>
            <w:vAlign w:val="center"/>
          </w:tcPr>
          <w:p w14:paraId="0839DB96">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66AFF805">
            <w:pPr>
              <w:spacing w:line="260" w:lineRule="exact"/>
              <w:rPr>
                <w:rFonts w:ascii="宋体" w:hAnsi="宋体"/>
                <w:color w:val="auto"/>
                <w:sz w:val="18"/>
                <w:szCs w:val="18"/>
                <w:highlight w:val="none"/>
              </w:rPr>
            </w:pPr>
            <w:r>
              <w:rPr>
                <w:rFonts w:hint="eastAsia" w:ascii="宋体" w:hAnsi="宋体"/>
                <w:color w:val="auto"/>
                <w:sz w:val="18"/>
                <w:szCs w:val="18"/>
                <w:highlight w:val="none"/>
              </w:rPr>
              <w:t>每违例1株扣0.5-1分。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255F698A">
            <w:pPr>
              <w:spacing w:line="260" w:lineRule="exact"/>
              <w:jc w:val="center"/>
              <w:rPr>
                <w:rFonts w:ascii="宋体"/>
                <w:color w:val="auto"/>
                <w:sz w:val="18"/>
                <w:szCs w:val="18"/>
                <w:highlight w:val="none"/>
              </w:rPr>
            </w:pPr>
          </w:p>
        </w:tc>
      </w:tr>
      <w:tr w14:paraId="65DFC051">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6F4E2C6E">
            <w:pPr>
              <w:widowControl/>
              <w:jc w:val="left"/>
              <w:rPr>
                <w:rFonts w:ascii="宋体" w:hAns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5E36859D">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7</w:t>
            </w:r>
          </w:p>
        </w:tc>
        <w:tc>
          <w:tcPr>
            <w:tcW w:w="3149" w:type="dxa"/>
            <w:tcBorders>
              <w:top w:val="single" w:color="auto" w:sz="4" w:space="0"/>
              <w:left w:val="nil"/>
              <w:bottom w:val="single" w:color="auto" w:sz="4" w:space="0"/>
              <w:right w:val="single" w:color="auto" w:sz="4" w:space="0"/>
            </w:tcBorders>
            <w:noWrap w:val="0"/>
            <w:vAlign w:val="center"/>
          </w:tcPr>
          <w:p w14:paraId="4A7883E5">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配合完成茶花展布展、撤展工作（含园内茶花的运输和花展布置、撤展用工）。</w:t>
            </w:r>
          </w:p>
        </w:tc>
        <w:tc>
          <w:tcPr>
            <w:tcW w:w="525" w:type="dxa"/>
            <w:tcBorders>
              <w:top w:val="single" w:color="auto" w:sz="4" w:space="0"/>
              <w:left w:val="nil"/>
              <w:bottom w:val="single" w:color="auto" w:sz="4" w:space="0"/>
              <w:right w:val="single" w:color="auto" w:sz="4" w:space="0"/>
            </w:tcBorders>
            <w:noWrap w:val="0"/>
            <w:vAlign w:val="center"/>
          </w:tcPr>
          <w:p w14:paraId="59AC83FF">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026946E9">
            <w:pPr>
              <w:spacing w:line="260" w:lineRule="exact"/>
              <w:rPr>
                <w:rFonts w:ascii="宋体" w:hAnsi="宋体"/>
                <w:color w:val="auto"/>
                <w:sz w:val="18"/>
                <w:szCs w:val="18"/>
                <w:highlight w:val="none"/>
              </w:rPr>
            </w:pPr>
            <w:r>
              <w:rPr>
                <w:rFonts w:hint="eastAsia" w:ascii="宋体" w:hAnsi="宋体"/>
                <w:color w:val="auto"/>
                <w:sz w:val="18"/>
                <w:szCs w:val="18"/>
                <w:highlight w:val="none"/>
              </w:rPr>
              <w:t>未按工作要求车辆、人员及时到位或是不听从安排，每发现一次扣1分。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29A9FF94">
            <w:pPr>
              <w:spacing w:line="260" w:lineRule="exact"/>
              <w:jc w:val="center"/>
              <w:rPr>
                <w:rFonts w:ascii="宋体"/>
                <w:color w:val="auto"/>
                <w:sz w:val="18"/>
                <w:szCs w:val="18"/>
                <w:highlight w:val="none"/>
              </w:rPr>
            </w:pPr>
          </w:p>
        </w:tc>
      </w:tr>
      <w:tr w14:paraId="0D2EFD51">
        <w:tblPrEx>
          <w:tblCellMar>
            <w:top w:w="0" w:type="dxa"/>
            <w:left w:w="108" w:type="dxa"/>
            <w:bottom w:w="0" w:type="dxa"/>
            <w:right w:w="108" w:type="dxa"/>
          </w:tblCellMar>
        </w:tblPrEx>
        <w:trPr>
          <w:cantSplit/>
        </w:trPr>
        <w:tc>
          <w:tcPr>
            <w:tcW w:w="419" w:type="dxa"/>
            <w:vMerge w:val="restart"/>
            <w:tcBorders>
              <w:top w:val="nil"/>
              <w:left w:val="single" w:color="auto" w:sz="4" w:space="0"/>
              <w:bottom w:val="single" w:color="auto" w:sz="4" w:space="0"/>
              <w:right w:val="single" w:color="auto" w:sz="4" w:space="0"/>
            </w:tcBorders>
            <w:noWrap w:val="0"/>
            <w:vAlign w:val="center"/>
          </w:tcPr>
          <w:p w14:paraId="5E29E3B2">
            <w:pPr>
              <w:spacing w:line="260" w:lineRule="exact"/>
              <w:jc w:val="center"/>
              <w:rPr>
                <w:rFonts w:ascii="宋体"/>
                <w:color w:val="auto"/>
                <w:sz w:val="18"/>
                <w:szCs w:val="18"/>
                <w:highlight w:val="none"/>
              </w:rPr>
            </w:pPr>
            <w:r>
              <w:rPr>
                <w:rFonts w:hint="eastAsia" w:ascii="宋体" w:hAnsi="宋体"/>
                <w:color w:val="auto"/>
                <w:sz w:val="18"/>
                <w:szCs w:val="18"/>
                <w:highlight w:val="none"/>
              </w:rPr>
              <w:t>草</w:t>
            </w:r>
          </w:p>
          <w:p w14:paraId="0F9BE278">
            <w:pPr>
              <w:spacing w:line="260" w:lineRule="exact"/>
              <w:jc w:val="center"/>
              <w:rPr>
                <w:rFonts w:ascii="宋体"/>
                <w:color w:val="auto"/>
                <w:sz w:val="18"/>
                <w:szCs w:val="18"/>
                <w:highlight w:val="none"/>
              </w:rPr>
            </w:pPr>
            <w:r>
              <w:rPr>
                <w:rFonts w:hint="eastAsia" w:ascii="宋体" w:hAnsi="宋体"/>
                <w:color w:val="auto"/>
                <w:sz w:val="18"/>
                <w:szCs w:val="18"/>
                <w:highlight w:val="none"/>
              </w:rPr>
              <w:t>坪</w:t>
            </w:r>
          </w:p>
          <w:p w14:paraId="47BEB0A6">
            <w:pPr>
              <w:spacing w:line="260" w:lineRule="exact"/>
              <w:jc w:val="center"/>
              <w:rPr>
                <w:rFonts w:ascii="宋体"/>
                <w:color w:val="auto"/>
                <w:sz w:val="18"/>
                <w:szCs w:val="18"/>
                <w:highlight w:val="none"/>
              </w:rPr>
            </w:pPr>
            <w:r>
              <w:rPr>
                <w:rFonts w:hint="eastAsia" w:ascii="宋体" w:hAnsi="宋体"/>
                <w:color w:val="auto"/>
                <w:sz w:val="18"/>
                <w:szCs w:val="18"/>
                <w:highlight w:val="none"/>
              </w:rPr>
              <w:t>及</w:t>
            </w:r>
          </w:p>
          <w:p w14:paraId="485D589C">
            <w:pPr>
              <w:spacing w:line="260" w:lineRule="exact"/>
              <w:rPr>
                <w:rFonts w:ascii="宋体"/>
                <w:color w:val="auto"/>
                <w:sz w:val="18"/>
                <w:szCs w:val="18"/>
                <w:highlight w:val="none"/>
              </w:rPr>
            </w:pPr>
            <w:r>
              <w:rPr>
                <w:rFonts w:hint="eastAsia" w:ascii="宋体" w:hAnsi="宋体"/>
                <w:color w:val="auto"/>
                <w:sz w:val="18"/>
                <w:szCs w:val="18"/>
                <w:highlight w:val="none"/>
              </w:rPr>
              <w:t>地</w:t>
            </w:r>
          </w:p>
          <w:p w14:paraId="4D5C4548">
            <w:pPr>
              <w:spacing w:line="260" w:lineRule="exact"/>
              <w:rPr>
                <w:rFonts w:ascii="宋体"/>
                <w:color w:val="auto"/>
                <w:sz w:val="18"/>
                <w:szCs w:val="18"/>
                <w:highlight w:val="none"/>
              </w:rPr>
            </w:pPr>
            <w:r>
              <w:rPr>
                <w:rFonts w:hint="eastAsia" w:ascii="宋体" w:hAnsi="宋体"/>
                <w:color w:val="auto"/>
                <w:sz w:val="18"/>
                <w:szCs w:val="18"/>
                <w:highlight w:val="none"/>
              </w:rPr>
              <w:t>被、花坛</w:t>
            </w:r>
          </w:p>
        </w:tc>
        <w:tc>
          <w:tcPr>
            <w:tcW w:w="420" w:type="dxa"/>
            <w:tcBorders>
              <w:top w:val="single" w:color="auto" w:sz="4" w:space="0"/>
              <w:left w:val="nil"/>
              <w:bottom w:val="single" w:color="auto" w:sz="4" w:space="0"/>
              <w:right w:val="single" w:color="auto" w:sz="4" w:space="0"/>
            </w:tcBorders>
            <w:noWrap w:val="0"/>
            <w:vAlign w:val="center"/>
          </w:tcPr>
          <w:p w14:paraId="196BAB79">
            <w:pPr>
              <w:spacing w:line="260" w:lineRule="exact"/>
              <w:jc w:val="center"/>
              <w:rPr>
                <w:rFonts w:ascii="宋体"/>
                <w:color w:val="auto"/>
                <w:sz w:val="18"/>
                <w:szCs w:val="18"/>
                <w:highlight w:val="none"/>
              </w:rPr>
            </w:pPr>
          </w:p>
          <w:p w14:paraId="1ACAFF3B">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149" w:type="dxa"/>
            <w:tcBorders>
              <w:top w:val="single" w:color="auto" w:sz="4" w:space="0"/>
              <w:left w:val="nil"/>
              <w:bottom w:val="single" w:color="auto" w:sz="4" w:space="0"/>
              <w:right w:val="single" w:color="auto" w:sz="4" w:space="0"/>
            </w:tcBorders>
            <w:noWrap w:val="0"/>
            <w:vAlign w:val="center"/>
          </w:tcPr>
          <w:p w14:paraId="672BAA25">
            <w:pPr>
              <w:spacing w:line="260" w:lineRule="exact"/>
              <w:jc w:val="left"/>
              <w:rPr>
                <w:rFonts w:ascii="宋体"/>
                <w:color w:val="auto"/>
                <w:sz w:val="18"/>
                <w:szCs w:val="18"/>
                <w:highlight w:val="none"/>
              </w:rPr>
            </w:pPr>
            <w:r>
              <w:rPr>
                <w:rFonts w:hint="eastAsia" w:ascii="宋体" w:hAnsi="宋体"/>
                <w:color w:val="auto"/>
                <w:sz w:val="18"/>
                <w:szCs w:val="18"/>
                <w:highlight w:val="none"/>
              </w:rPr>
              <w:t>保持草坪青绿无枯黄，无明显病虫害、无杂草、碎石，草坪美观平整，高度控制在10cm以下。</w:t>
            </w:r>
          </w:p>
        </w:tc>
        <w:tc>
          <w:tcPr>
            <w:tcW w:w="525" w:type="dxa"/>
            <w:tcBorders>
              <w:top w:val="single" w:color="auto" w:sz="4" w:space="0"/>
              <w:left w:val="nil"/>
              <w:bottom w:val="single" w:color="auto" w:sz="4" w:space="0"/>
              <w:right w:val="single" w:color="auto" w:sz="4" w:space="0"/>
            </w:tcBorders>
            <w:noWrap w:val="0"/>
            <w:vAlign w:val="center"/>
          </w:tcPr>
          <w:p w14:paraId="4CE30D7F">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988" w:type="dxa"/>
            <w:tcBorders>
              <w:top w:val="single" w:color="auto" w:sz="4" w:space="0"/>
              <w:left w:val="nil"/>
              <w:bottom w:val="single" w:color="auto" w:sz="4" w:space="0"/>
              <w:right w:val="single" w:color="auto" w:sz="4" w:space="0"/>
            </w:tcBorders>
            <w:noWrap w:val="0"/>
            <w:vAlign w:val="center"/>
          </w:tcPr>
          <w:p w14:paraId="77EBB71D">
            <w:pPr>
              <w:spacing w:line="260" w:lineRule="exact"/>
              <w:rPr>
                <w:rFonts w:ascii="宋体"/>
                <w:color w:val="auto"/>
                <w:sz w:val="18"/>
                <w:szCs w:val="18"/>
                <w:highlight w:val="none"/>
              </w:rPr>
            </w:pPr>
            <w:r>
              <w:rPr>
                <w:rFonts w:hint="eastAsia" w:ascii="宋体" w:hAnsi="宋体"/>
                <w:color w:val="auto"/>
                <w:sz w:val="18"/>
                <w:szCs w:val="18"/>
                <w:highlight w:val="none"/>
              </w:rPr>
              <w:t>草坪枯黄面积达50㎡（重点区域20㎡）以上或有明显病虫害、杂草、碎石的每处扣0.2-0.5分，草坪起球、杂乱、高度过高的每处扣0.2-0.5分。</w:t>
            </w:r>
          </w:p>
        </w:tc>
        <w:tc>
          <w:tcPr>
            <w:tcW w:w="709" w:type="dxa"/>
            <w:tcBorders>
              <w:top w:val="single" w:color="auto" w:sz="4" w:space="0"/>
              <w:left w:val="nil"/>
              <w:bottom w:val="single" w:color="auto" w:sz="4" w:space="0"/>
              <w:right w:val="single" w:color="auto" w:sz="4" w:space="0"/>
            </w:tcBorders>
            <w:noWrap w:val="0"/>
            <w:vAlign w:val="center"/>
          </w:tcPr>
          <w:p w14:paraId="27095882">
            <w:pPr>
              <w:spacing w:line="260" w:lineRule="exact"/>
              <w:jc w:val="center"/>
              <w:rPr>
                <w:rFonts w:ascii="宋体"/>
                <w:color w:val="auto"/>
                <w:sz w:val="18"/>
                <w:szCs w:val="18"/>
                <w:highlight w:val="none"/>
              </w:rPr>
            </w:pPr>
          </w:p>
        </w:tc>
      </w:tr>
      <w:tr w14:paraId="64815AFF">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6F22381B">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1AC463D">
            <w:pPr>
              <w:spacing w:line="260" w:lineRule="exact"/>
              <w:jc w:val="center"/>
              <w:rPr>
                <w:rFonts w:ascii="宋体"/>
                <w:color w:val="auto"/>
                <w:sz w:val="18"/>
                <w:szCs w:val="18"/>
                <w:highlight w:val="none"/>
              </w:rPr>
            </w:pPr>
          </w:p>
          <w:p w14:paraId="1A9F9BE2">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149" w:type="dxa"/>
            <w:tcBorders>
              <w:top w:val="single" w:color="auto" w:sz="4" w:space="0"/>
              <w:left w:val="nil"/>
              <w:bottom w:val="single" w:color="auto" w:sz="4" w:space="0"/>
              <w:right w:val="single" w:color="auto" w:sz="4" w:space="0"/>
            </w:tcBorders>
            <w:noWrap w:val="0"/>
            <w:vAlign w:val="center"/>
          </w:tcPr>
          <w:p w14:paraId="2A646ABE">
            <w:pPr>
              <w:spacing w:line="260" w:lineRule="exact"/>
              <w:jc w:val="left"/>
              <w:rPr>
                <w:rFonts w:ascii="宋体"/>
                <w:color w:val="auto"/>
                <w:sz w:val="18"/>
                <w:szCs w:val="18"/>
                <w:highlight w:val="none"/>
              </w:rPr>
            </w:pPr>
            <w:r>
              <w:rPr>
                <w:rFonts w:hint="eastAsia" w:ascii="宋体" w:hAnsi="宋体"/>
                <w:color w:val="auto"/>
                <w:sz w:val="18"/>
                <w:szCs w:val="18"/>
                <w:highlight w:val="none"/>
              </w:rPr>
              <w:t>打草要及时清理绿化垃圾（地面及草地上）。</w:t>
            </w:r>
          </w:p>
        </w:tc>
        <w:tc>
          <w:tcPr>
            <w:tcW w:w="525" w:type="dxa"/>
            <w:tcBorders>
              <w:top w:val="single" w:color="auto" w:sz="4" w:space="0"/>
              <w:left w:val="nil"/>
              <w:bottom w:val="single" w:color="auto" w:sz="4" w:space="0"/>
              <w:right w:val="single" w:color="auto" w:sz="4" w:space="0"/>
            </w:tcBorders>
            <w:noWrap w:val="0"/>
            <w:vAlign w:val="center"/>
          </w:tcPr>
          <w:p w14:paraId="1EEF358B">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60A86830">
            <w:pPr>
              <w:spacing w:line="260" w:lineRule="exact"/>
              <w:rPr>
                <w:rFonts w:ascii="宋体"/>
                <w:color w:val="auto"/>
                <w:sz w:val="18"/>
                <w:szCs w:val="18"/>
                <w:highlight w:val="none"/>
              </w:rPr>
            </w:pPr>
            <w:r>
              <w:rPr>
                <w:rFonts w:hint="eastAsia" w:ascii="宋体" w:hAnsi="宋体"/>
                <w:color w:val="auto"/>
                <w:sz w:val="18"/>
                <w:szCs w:val="18"/>
                <w:highlight w:val="none"/>
              </w:rPr>
              <w:t>不及时清理的每处扣0.2-0.5分。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2BF30950">
            <w:pPr>
              <w:spacing w:line="260" w:lineRule="exact"/>
              <w:jc w:val="center"/>
              <w:rPr>
                <w:rFonts w:ascii="宋体"/>
                <w:color w:val="auto"/>
                <w:sz w:val="18"/>
                <w:szCs w:val="18"/>
                <w:highlight w:val="none"/>
              </w:rPr>
            </w:pPr>
          </w:p>
        </w:tc>
      </w:tr>
      <w:tr w14:paraId="091C9425">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70D31DDE">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DB0FCD8">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149" w:type="dxa"/>
            <w:tcBorders>
              <w:top w:val="single" w:color="auto" w:sz="4" w:space="0"/>
              <w:left w:val="nil"/>
              <w:bottom w:val="single" w:color="auto" w:sz="4" w:space="0"/>
              <w:right w:val="single" w:color="auto" w:sz="4" w:space="0"/>
            </w:tcBorders>
            <w:noWrap w:val="0"/>
            <w:vAlign w:val="center"/>
          </w:tcPr>
          <w:p w14:paraId="1664360E">
            <w:pPr>
              <w:spacing w:line="260" w:lineRule="exact"/>
              <w:jc w:val="left"/>
              <w:rPr>
                <w:rFonts w:ascii="宋体"/>
                <w:color w:val="auto"/>
                <w:sz w:val="18"/>
                <w:szCs w:val="18"/>
                <w:highlight w:val="none"/>
              </w:rPr>
            </w:pPr>
            <w:r>
              <w:rPr>
                <w:rFonts w:hint="eastAsia" w:ascii="宋体" w:hAnsi="宋体"/>
                <w:color w:val="auto"/>
                <w:sz w:val="18"/>
                <w:szCs w:val="18"/>
                <w:highlight w:val="none"/>
              </w:rPr>
              <w:t>地被无明显病虫害、杂草、黄叶。地被植物图形清晰，边线明显。</w:t>
            </w:r>
          </w:p>
        </w:tc>
        <w:tc>
          <w:tcPr>
            <w:tcW w:w="525" w:type="dxa"/>
            <w:tcBorders>
              <w:top w:val="single" w:color="auto" w:sz="4" w:space="0"/>
              <w:left w:val="nil"/>
              <w:bottom w:val="single" w:color="auto" w:sz="4" w:space="0"/>
              <w:right w:val="single" w:color="auto" w:sz="4" w:space="0"/>
            </w:tcBorders>
            <w:noWrap w:val="0"/>
            <w:vAlign w:val="center"/>
          </w:tcPr>
          <w:p w14:paraId="75BFBA49">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49B49421">
            <w:pPr>
              <w:spacing w:line="260" w:lineRule="exact"/>
              <w:rPr>
                <w:rFonts w:ascii="宋体"/>
                <w:color w:val="auto"/>
                <w:sz w:val="18"/>
                <w:szCs w:val="18"/>
                <w:highlight w:val="none"/>
              </w:rPr>
            </w:pPr>
            <w:r>
              <w:rPr>
                <w:rFonts w:hint="eastAsia" w:ascii="宋体" w:hAnsi="宋体"/>
                <w:color w:val="auto"/>
                <w:sz w:val="18"/>
                <w:szCs w:val="18"/>
                <w:highlight w:val="none"/>
              </w:rPr>
              <w:t>有明显病虫害、杂草、黄叶的每处扣0.2-0.5分。</w:t>
            </w:r>
          </w:p>
        </w:tc>
        <w:tc>
          <w:tcPr>
            <w:tcW w:w="709" w:type="dxa"/>
            <w:tcBorders>
              <w:top w:val="single" w:color="auto" w:sz="4" w:space="0"/>
              <w:left w:val="nil"/>
              <w:bottom w:val="single" w:color="auto" w:sz="4" w:space="0"/>
              <w:right w:val="single" w:color="auto" w:sz="4" w:space="0"/>
            </w:tcBorders>
            <w:noWrap w:val="0"/>
            <w:vAlign w:val="center"/>
          </w:tcPr>
          <w:p w14:paraId="51EC57EA">
            <w:pPr>
              <w:spacing w:line="260" w:lineRule="exact"/>
              <w:jc w:val="center"/>
              <w:rPr>
                <w:rFonts w:ascii="宋体"/>
                <w:color w:val="auto"/>
                <w:sz w:val="18"/>
                <w:szCs w:val="18"/>
                <w:highlight w:val="none"/>
              </w:rPr>
            </w:pPr>
          </w:p>
        </w:tc>
      </w:tr>
      <w:tr w14:paraId="4E0D8F17">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5856240B">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2D58D71">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149" w:type="dxa"/>
            <w:tcBorders>
              <w:top w:val="single" w:color="auto" w:sz="4" w:space="0"/>
              <w:left w:val="nil"/>
              <w:bottom w:val="single" w:color="auto" w:sz="4" w:space="0"/>
              <w:right w:val="single" w:color="auto" w:sz="4" w:space="0"/>
            </w:tcBorders>
            <w:noWrap w:val="0"/>
            <w:vAlign w:val="center"/>
          </w:tcPr>
          <w:p w14:paraId="2037DA42">
            <w:pPr>
              <w:spacing w:line="260" w:lineRule="exact"/>
              <w:jc w:val="left"/>
              <w:rPr>
                <w:rFonts w:ascii="宋体"/>
                <w:color w:val="auto"/>
                <w:sz w:val="18"/>
                <w:szCs w:val="18"/>
                <w:highlight w:val="none"/>
              </w:rPr>
            </w:pPr>
            <w:r>
              <w:rPr>
                <w:rFonts w:hint="eastAsia" w:ascii="宋体" w:hAnsi="宋体"/>
                <w:color w:val="auto"/>
                <w:sz w:val="18"/>
                <w:szCs w:val="18"/>
                <w:highlight w:val="none"/>
              </w:rPr>
              <w:t>伸出路边的地被要及时修剪。铺装面上的杂草要及时清理。</w:t>
            </w:r>
          </w:p>
        </w:tc>
        <w:tc>
          <w:tcPr>
            <w:tcW w:w="525" w:type="dxa"/>
            <w:tcBorders>
              <w:top w:val="single" w:color="auto" w:sz="4" w:space="0"/>
              <w:left w:val="nil"/>
              <w:bottom w:val="single" w:color="auto" w:sz="4" w:space="0"/>
              <w:right w:val="single" w:color="auto" w:sz="4" w:space="0"/>
            </w:tcBorders>
            <w:noWrap w:val="0"/>
            <w:vAlign w:val="center"/>
          </w:tcPr>
          <w:p w14:paraId="304E5516">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679744B0">
            <w:pPr>
              <w:spacing w:line="260" w:lineRule="exact"/>
              <w:rPr>
                <w:rFonts w:ascii="宋体"/>
                <w:color w:val="auto"/>
                <w:sz w:val="18"/>
                <w:szCs w:val="18"/>
                <w:highlight w:val="none"/>
              </w:rPr>
            </w:pPr>
            <w:r>
              <w:rPr>
                <w:rFonts w:hint="eastAsia" w:ascii="宋体" w:hAnsi="宋体"/>
                <w:color w:val="auto"/>
                <w:sz w:val="18"/>
                <w:szCs w:val="18"/>
                <w:highlight w:val="none"/>
              </w:rPr>
              <w:t>不及时修剪或不及时清理的每处扣0.1-0.2分。</w:t>
            </w:r>
          </w:p>
        </w:tc>
        <w:tc>
          <w:tcPr>
            <w:tcW w:w="709" w:type="dxa"/>
            <w:tcBorders>
              <w:top w:val="single" w:color="auto" w:sz="4" w:space="0"/>
              <w:left w:val="nil"/>
              <w:bottom w:val="single" w:color="auto" w:sz="4" w:space="0"/>
              <w:right w:val="single" w:color="auto" w:sz="4" w:space="0"/>
            </w:tcBorders>
            <w:noWrap w:val="0"/>
            <w:vAlign w:val="center"/>
          </w:tcPr>
          <w:p w14:paraId="18AE30AA">
            <w:pPr>
              <w:spacing w:line="260" w:lineRule="exact"/>
              <w:jc w:val="center"/>
              <w:rPr>
                <w:rFonts w:ascii="宋体"/>
                <w:color w:val="auto"/>
                <w:sz w:val="18"/>
                <w:szCs w:val="18"/>
                <w:highlight w:val="none"/>
              </w:rPr>
            </w:pPr>
          </w:p>
        </w:tc>
      </w:tr>
      <w:tr w14:paraId="150DE23C">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10DFC124">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C86A064">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5</w:t>
            </w:r>
          </w:p>
        </w:tc>
        <w:tc>
          <w:tcPr>
            <w:tcW w:w="3149" w:type="dxa"/>
            <w:tcBorders>
              <w:top w:val="single" w:color="auto" w:sz="4" w:space="0"/>
              <w:left w:val="nil"/>
              <w:bottom w:val="single" w:color="auto" w:sz="4" w:space="0"/>
              <w:right w:val="single" w:color="auto" w:sz="4" w:space="0"/>
            </w:tcBorders>
            <w:noWrap w:val="0"/>
            <w:vAlign w:val="center"/>
          </w:tcPr>
          <w:p w14:paraId="5442BC9D">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及时更换花坛鲜花，有需要更换的地块要及时报告，并做好水肥、病虫害管理。</w:t>
            </w:r>
          </w:p>
        </w:tc>
        <w:tc>
          <w:tcPr>
            <w:tcW w:w="525" w:type="dxa"/>
            <w:tcBorders>
              <w:top w:val="single" w:color="auto" w:sz="4" w:space="0"/>
              <w:left w:val="nil"/>
              <w:bottom w:val="single" w:color="auto" w:sz="4" w:space="0"/>
              <w:right w:val="single" w:color="auto" w:sz="4" w:space="0"/>
            </w:tcBorders>
            <w:noWrap w:val="0"/>
            <w:vAlign w:val="center"/>
          </w:tcPr>
          <w:p w14:paraId="6AF22F9C">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62D6A41D">
            <w:pPr>
              <w:spacing w:line="260" w:lineRule="exact"/>
              <w:rPr>
                <w:rFonts w:ascii="宋体" w:hAnsi="宋体"/>
                <w:color w:val="auto"/>
                <w:sz w:val="18"/>
                <w:szCs w:val="18"/>
                <w:highlight w:val="none"/>
              </w:rPr>
            </w:pPr>
            <w:r>
              <w:rPr>
                <w:rFonts w:hint="eastAsia" w:ascii="宋体" w:hAnsi="宋体"/>
                <w:color w:val="auto"/>
                <w:sz w:val="18"/>
                <w:szCs w:val="18"/>
                <w:highlight w:val="none"/>
              </w:rPr>
              <w:t>不及时更换或不及时报告的每地块扣0.5-1分。出现缺水、长势差或有病虫害的每1㎡扣0.2-0.5分.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4DA4EFBD">
            <w:pPr>
              <w:spacing w:line="260" w:lineRule="exact"/>
              <w:jc w:val="center"/>
              <w:rPr>
                <w:rFonts w:ascii="宋体"/>
                <w:color w:val="auto"/>
                <w:sz w:val="18"/>
                <w:szCs w:val="18"/>
                <w:highlight w:val="none"/>
              </w:rPr>
            </w:pPr>
          </w:p>
        </w:tc>
      </w:tr>
      <w:tr w14:paraId="353FF8D6">
        <w:tblPrEx>
          <w:tblCellMar>
            <w:top w:w="0" w:type="dxa"/>
            <w:left w:w="108" w:type="dxa"/>
            <w:bottom w:w="0" w:type="dxa"/>
            <w:right w:w="108" w:type="dxa"/>
          </w:tblCellMar>
        </w:tblPrEx>
        <w:trPr>
          <w:cantSplit/>
        </w:trPr>
        <w:tc>
          <w:tcPr>
            <w:tcW w:w="419" w:type="dxa"/>
            <w:vMerge w:val="restart"/>
            <w:tcBorders>
              <w:top w:val="nil"/>
              <w:left w:val="single" w:color="auto" w:sz="4" w:space="0"/>
              <w:bottom w:val="single" w:color="auto" w:sz="4" w:space="0"/>
              <w:right w:val="single" w:color="auto" w:sz="4" w:space="0"/>
            </w:tcBorders>
            <w:noWrap w:val="0"/>
            <w:vAlign w:val="center"/>
          </w:tcPr>
          <w:p w14:paraId="4F891B95">
            <w:pPr>
              <w:spacing w:line="260" w:lineRule="exact"/>
              <w:jc w:val="center"/>
              <w:rPr>
                <w:rFonts w:ascii="宋体"/>
                <w:color w:val="auto"/>
                <w:sz w:val="18"/>
                <w:szCs w:val="18"/>
                <w:highlight w:val="none"/>
              </w:rPr>
            </w:pPr>
          </w:p>
          <w:p w14:paraId="53D8FDE1">
            <w:pPr>
              <w:spacing w:line="260" w:lineRule="exact"/>
              <w:jc w:val="center"/>
              <w:rPr>
                <w:rFonts w:ascii="宋体"/>
                <w:color w:val="auto"/>
                <w:sz w:val="18"/>
                <w:szCs w:val="18"/>
                <w:highlight w:val="none"/>
              </w:rPr>
            </w:pPr>
            <w:r>
              <w:rPr>
                <w:rFonts w:hint="eastAsia" w:ascii="宋体" w:hAnsi="宋体"/>
                <w:color w:val="auto"/>
                <w:sz w:val="18"/>
                <w:szCs w:val="18"/>
                <w:highlight w:val="none"/>
              </w:rPr>
              <w:t>安全生产</w:t>
            </w:r>
          </w:p>
        </w:tc>
        <w:tc>
          <w:tcPr>
            <w:tcW w:w="420" w:type="dxa"/>
            <w:tcBorders>
              <w:top w:val="single" w:color="auto" w:sz="4" w:space="0"/>
              <w:left w:val="nil"/>
              <w:bottom w:val="single" w:color="auto" w:sz="4" w:space="0"/>
              <w:right w:val="single" w:color="auto" w:sz="4" w:space="0"/>
            </w:tcBorders>
            <w:noWrap w:val="0"/>
            <w:vAlign w:val="center"/>
          </w:tcPr>
          <w:p w14:paraId="3AF46589">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149" w:type="dxa"/>
            <w:tcBorders>
              <w:top w:val="single" w:color="auto" w:sz="4" w:space="0"/>
              <w:left w:val="nil"/>
              <w:bottom w:val="single" w:color="auto" w:sz="4" w:space="0"/>
              <w:right w:val="single" w:color="auto" w:sz="4" w:space="0"/>
            </w:tcBorders>
            <w:noWrap w:val="0"/>
            <w:vAlign w:val="center"/>
          </w:tcPr>
          <w:p w14:paraId="0D97A325">
            <w:pPr>
              <w:spacing w:line="260" w:lineRule="exact"/>
              <w:jc w:val="left"/>
              <w:rPr>
                <w:rFonts w:ascii="宋体"/>
                <w:color w:val="auto"/>
                <w:sz w:val="18"/>
                <w:szCs w:val="18"/>
                <w:highlight w:val="none"/>
              </w:rPr>
            </w:pPr>
            <w:r>
              <w:rPr>
                <w:rFonts w:hint="eastAsia" w:ascii="宋体" w:hAnsi="宋体"/>
                <w:color w:val="auto"/>
                <w:sz w:val="18"/>
                <w:szCs w:val="18"/>
                <w:highlight w:val="none"/>
              </w:rPr>
              <w:t>严格按操作规程要求，佩戴防护器具，正确使用器具。</w:t>
            </w:r>
          </w:p>
        </w:tc>
        <w:tc>
          <w:tcPr>
            <w:tcW w:w="525" w:type="dxa"/>
            <w:tcBorders>
              <w:top w:val="single" w:color="auto" w:sz="4" w:space="0"/>
              <w:left w:val="nil"/>
              <w:bottom w:val="single" w:color="auto" w:sz="4" w:space="0"/>
              <w:right w:val="single" w:color="auto" w:sz="4" w:space="0"/>
            </w:tcBorders>
            <w:noWrap w:val="0"/>
            <w:vAlign w:val="center"/>
          </w:tcPr>
          <w:p w14:paraId="37E8549E">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988" w:type="dxa"/>
            <w:tcBorders>
              <w:top w:val="single" w:color="auto" w:sz="4" w:space="0"/>
              <w:left w:val="nil"/>
              <w:bottom w:val="single" w:color="auto" w:sz="4" w:space="0"/>
              <w:right w:val="single" w:color="auto" w:sz="4" w:space="0"/>
            </w:tcBorders>
            <w:noWrap w:val="0"/>
            <w:vAlign w:val="center"/>
          </w:tcPr>
          <w:p w14:paraId="51341312">
            <w:pPr>
              <w:spacing w:line="260" w:lineRule="exact"/>
              <w:rPr>
                <w:rFonts w:ascii="宋体"/>
                <w:color w:val="auto"/>
                <w:sz w:val="18"/>
                <w:szCs w:val="18"/>
                <w:highlight w:val="none"/>
              </w:rPr>
            </w:pPr>
            <w:r>
              <w:rPr>
                <w:rFonts w:hint="eastAsia" w:ascii="宋体" w:hAnsi="宋体"/>
                <w:color w:val="auto"/>
                <w:sz w:val="18"/>
                <w:szCs w:val="18"/>
                <w:highlight w:val="none"/>
              </w:rPr>
              <w:t>不按操作规程要求，没有佩戴防护器具、使器具受到损坏或使人身受到伤害的每次扣0.5- 1分。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55B1657A">
            <w:pPr>
              <w:spacing w:line="260" w:lineRule="exact"/>
              <w:jc w:val="center"/>
              <w:rPr>
                <w:rFonts w:ascii="宋体"/>
                <w:color w:val="auto"/>
                <w:sz w:val="18"/>
                <w:szCs w:val="18"/>
                <w:highlight w:val="none"/>
              </w:rPr>
            </w:pPr>
          </w:p>
        </w:tc>
      </w:tr>
      <w:tr w14:paraId="22B8E9A2">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39115A89">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FF7EBCD">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149" w:type="dxa"/>
            <w:tcBorders>
              <w:top w:val="single" w:color="auto" w:sz="4" w:space="0"/>
              <w:left w:val="nil"/>
              <w:bottom w:val="single" w:color="auto" w:sz="4" w:space="0"/>
              <w:right w:val="single" w:color="auto" w:sz="4" w:space="0"/>
            </w:tcBorders>
            <w:noWrap w:val="0"/>
            <w:vAlign w:val="center"/>
          </w:tcPr>
          <w:p w14:paraId="0B7501C4">
            <w:pPr>
              <w:spacing w:line="260" w:lineRule="exact"/>
              <w:jc w:val="left"/>
              <w:rPr>
                <w:rFonts w:ascii="宋体"/>
                <w:color w:val="auto"/>
                <w:sz w:val="18"/>
                <w:szCs w:val="18"/>
                <w:highlight w:val="none"/>
              </w:rPr>
            </w:pPr>
            <w:r>
              <w:rPr>
                <w:rFonts w:hint="eastAsia" w:ascii="宋体" w:hAnsi="宋体"/>
                <w:color w:val="auto"/>
                <w:sz w:val="18"/>
                <w:szCs w:val="18"/>
                <w:highlight w:val="none"/>
              </w:rPr>
              <w:t>汽油、农药要妥善处理。</w:t>
            </w:r>
          </w:p>
        </w:tc>
        <w:tc>
          <w:tcPr>
            <w:tcW w:w="525" w:type="dxa"/>
            <w:tcBorders>
              <w:top w:val="single" w:color="auto" w:sz="4" w:space="0"/>
              <w:left w:val="nil"/>
              <w:bottom w:val="single" w:color="auto" w:sz="4" w:space="0"/>
              <w:right w:val="single" w:color="auto" w:sz="4" w:space="0"/>
            </w:tcBorders>
            <w:noWrap w:val="0"/>
            <w:vAlign w:val="center"/>
          </w:tcPr>
          <w:p w14:paraId="4E2E2A91">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top"/>
          </w:tcPr>
          <w:p w14:paraId="2E388196">
            <w:pPr>
              <w:spacing w:line="260" w:lineRule="exact"/>
              <w:rPr>
                <w:rFonts w:ascii="宋体"/>
                <w:color w:val="auto"/>
                <w:sz w:val="18"/>
                <w:szCs w:val="18"/>
                <w:highlight w:val="none"/>
              </w:rPr>
            </w:pPr>
            <w:r>
              <w:rPr>
                <w:rFonts w:hint="eastAsia" w:ascii="宋体" w:hAnsi="宋体"/>
                <w:color w:val="auto"/>
                <w:sz w:val="18"/>
                <w:szCs w:val="18"/>
                <w:highlight w:val="none"/>
              </w:rPr>
              <w:t>乱扔、乱放农药汽油每次扣0.5分。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3C3E5345">
            <w:pPr>
              <w:spacing w:line="260" w:lineRule="exact"/>
              <w:jc w:val="center"/>
              <w:rPr>
                <w:rFonts w:ascii="宋体"/>
                <w:color w:val="auto"/>
                <w:sz w:val="18"/>
                <w:szCs w:val="18"/>
                <w:highlight w:val="none"/>
              </w:rPr>
            </w:pPr>
          </w:p>
        </w:tc>
      </w:tr>
      <w:tr w14:paraId="591DE83D">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5837337C">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12A45F0E">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149" w:type="dxa"/>
            <w:tcBorders>
              <w:top w:val="single" w:color="auto" w:sz="4" w:space="0"/>
              <w:left w:val="nil"/>
              <w:bottom w:val="single" w:color="auto" w:sz="4" w:space="0"/>
              <w:right w:val="single" w:color="auto" w:sz="4" w:space="0"/>
            </w:tcBorders>
            <w:noWrap w:val="0"/>
            <w:vAlign w:val="center"/>
          </w:tcPr>
          <w:p w14:paraId="104610E8">
            <w:pPr>
              <w:spacing w:line="260" w:lineRule="exact"/>
              <w:jc w:val="left"/>
              <w:rPr>
                <w:rFonts w:ascii="宋体"/>
                <w:color w:val="auto"/>
                <w:sz w:val="18"/>
                <w:szCs w:val="18"/>
                <w:highlight w:val="none"/>
              </w:rPr>
            </w:pPr>
            <w:r>
              <w:rPr>
                <w:rFonts w:hint="eastAsia" w:ascii="宋体" w:hAnsi="宋体"/>
                <w:color w:val="auto"/>
                <w:sz w:val="18"/>
                <w:szCs w:val="18"/>
                <w:highlight w:val="none"/>
              </w:rPr>
              <w:t>绿化器具按要求进行保养，损坏器具及时维修。及时保养、维修粉碎房设备及淋水管头。保管好维修工具。</w:t>
            </w:r>
          </w:p>
        </w:tc>
        <w:tc>
          <w:tcPr>
            <w:tcW w:w="525" w:type="dxa"/>
            <w:tcBorders>
              <w:top w:val="single" w:color="auto" w:sz="4" w:space="0"/>
              <w:left w:val="nil"/>
              <w:bottom w:val="single" w:color="auto" w:sz="4" w:space="0"/>
              <w:right w:val="single" w:color="auto" w:sz="4" w:space="0"/>
            </w:tcBorders>
            <w:noWrap w:val="0"/>
            <w:vAlign w:val="center"/>
          </w:tcPr>
          <w:p w14:paraId="30FA9B73">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0FA465C9">
            <w:pPr>
              <w:spacing w:line="260" w:lineRule="exact"/>
              <w:rPr>
                <w:rFonts w:ascii="宋体"/>
                <w:color w:val="auto"/>
                <w:sz w:val="18"/>
                <w:szCs w:val="18"/>
                <w:highlight w:val="none"/>
              </w:rPr>
            </w:pPr>
            <w:r>
              <w:rPr>
                <w:rFonts w:hint="eastAsia" w:ascii="宋体" w:hAnsi="宋体"/>
                <w:color w:val="auto"/>
                <w:sz w:val="18"/>
                <w:szCs w:val="18"/>
                <w:highlight w:val="none"/>
              </w:rPr>
              <w:t>器具不按要求进行保养或损坏器具不及时维修的每次扣0.5-1分。没有及时保养、维修抽水泵房设备及淋水管头影响工作的每次扣0.5-2分。人为损坏或丢失维修工具的每次扣0.5-1分。</w:t>
            </w:r>
          </w:p>
        </w:tc>
        <w:tc>
          <w:tcPr>
            <w:tcW w:w="709" w:type="dxa"/>
            <w:tcBorders>
              <w:top w:val="single" w:color="auto" w:sz="4" w:space="0"/>
              <w:left w:val="nil"/>
              <w:bottom w:val="single" w:color="auto" w:sz="4" w:space="0"/>
              <w:right w:val="single" w:color="auto" w:sz="4" w:space="0"/>
            </w:tcBorders>
            <w:noWrap w:val="0"/>
            <w:vAlign w:val="center"/>
          </w:tcPr>
          <w:p w14:paraId="7DD5AF47">
            <w:pPr>
              <w:spacing w:line="260" w:lineRule="exact"/>
              <w:jc w:val="center"/>
              <w:rPr>
                <w:rFonts w:ascii="宋体"/>
                <w:color w:val="auto"/>
                <w:sz w:val="18"/>
                <w:szCs w:val="18"/>
                <w:highlight w:val="none"/>
              </w:rPr>
            </w:pPr>
          </w:p>
        </w:tc>
      </w:tr>
      <w:tr w14:paraId="3B990133">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3767A4CD">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454E796">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149" w:type="dxa"/>
            <w:tcBorders>
              <w:top w:val="single" w:color="auto" w:sz="4" w:space="0"/>
              <w:left w:val="nil"/>
              <w:bottom w:val="single" w:color="auto" w:sz="4" w:space="0"/>
              <w:right w:val="single" w:color="auto" w:sz="4" w:space="0"/>
            </w:tcBorders>
            <w:noWrap w:val="0"/>
            <w:vAlign w:val="center"/>
          </w:tcPr>
          <w:p w14:paraId="5B7DC493">
            <w:pPr>
              <w:spacing w:line="260" w:lineRule="exact"/>
              <w:jc w:val="left"/>
              <w:rPr>
                <w:rFonts w:ascii="宋体"/>
                <w:color w:val="auto"/>
                <w:sz w:val="18"/>
                <w:szCs w:val="18"/>
                <w:highlight w:val="none"/>
              </w:rPr>
            </w:pPr>
            <w:r>
              <w:rPr>
                <w:rFonts w:hint="eastAsia" w:ascii="宋体" w:hAnsi="宋体"/>
                <w:color w:val="auto"/>
                <w:sz w:val="18"/>
                <w:szCs w:val="18"/>
                <w:highlight w:val="none"/>
              </w:rPr>
              <w:t>作业车辆按时年检，保持车况良好，车内干净整洁。每月对各车辆做一次全面安全卫生检查。驾驶员及特殊工种持证上岗，按规范操作行驶，不得疲劳、酒后驾驶。</w:t>
            </w:r>
          </w:p>
        </w:tc>
        <w:tc>
          <w:tcPr>
            <w:tcW w:w="525" w:type="dxa"/>
            <w:tcBorders>
              <w:top w:val="single" w:color="auto" w:sz="4" w:space="0"/>
              <w:left w:val="nil"/>
              <w:bottom w:val="single" w:color="auto" w:sz="4" w:space="0"/>
              <w:right w:val="single" w:color="auto" w:sz="4" w:space="0"/>
            </w:tcBorders>
            <w:noWrap w:val="0"/>
            <w:vAlign w:val="center"/>
          </w:tcPr>
          <w:p w14:paraId="7987FCB6">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626D4869">
            <w:pPr>
              <w:spacing w:before="100" w:beforeAutospacing="1" w:line="260" w:lineRule="exact"/>
              <w:rPr>
                <w:rFonts w:ascii="宋体"/>
                <w:color w:val="auto"/>
                <w:sz w:val="18"/>
                <w:szCs w:val="18"/>
                <w:highlight w:val="none"/>
              </w:rPr>
            </w:pPr>
            <w:r>
              <w:rPr>
                <w:rFonts w:hint="eastAsia" w:ascii="宋体" w:hAnsi="宋体"/>
                <w:color w:val="auto"/>
                <w:sz w:val="18"/>
                <w:szCs w:val="18"/>
                <w:highlight w:val="none"/>
              </w:rPr>
              <w:t>不按时年检或影响生产用车的每次扣1分。不及时清扫工作车辆的每次扣0.2-0.5分。没有进行安全卫生检查的每次扣1分。驾驶员及特殊工种违规操作行驶的，每次扣1分；疲劳、酒后驾驶的，每次扣1分。</w:t>
            </w:r>
          </w:p>
        </w:tc>
        <w:tc>
          <w:tcPr>
            <w:tcW w:w="709" w:type="dxa"/>
            <w:tcBorders>
              <w:top w:val="single" w:color="auto" w:sz="4" w:space="0"/>
              <w:left w:val="nil"/>
              <w:bottom w:val="single" w:color="auto" w:sz="4" w:space="0"/>
              <w:right w:val="single" w:color="auto" w:sz="4" w:space="0"/>
            </w:tcBorders>
            <w:noWrap w:val="0"/>
            <w:vAlign w:val="center"/>
          </w:tcPr>
          <w:p w14:paraId="35E4D3E4">
            <w:pPr>
              <w:spacing w:line="260" w:lineRule="exact"/>
              <w:jc w:val="center"/>
              <w:rPr>
                <w:rFonts w:ascii="宋体"/>
                <w:color w:val="auto"/>
                <w:sz w:val="18"/>
                <w:szCs w:val="18"/>
                <w:highlight w:val="none"/>
              </w:rPr>
            </w:pPr>
          </w:p>
        </w:tc>
      </w:tr>
      <w:tr w14:paraId="69941708">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659CAADE">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06ABE12D">
            <w:pPr>
              <w:spacing w:line="260" w:lineRule="exact"/>
              <w:jc w:val="center"/>
              <w:rPr>
                <w:rFonts w:ascii="宋体"/>
                <w:color w:val="auto"/>
                <w:sz w:val="18"/>
                <w:szCs w:val="18"/>
                <w:highlight w:val="none"/>
              </w:rPr>
            </w:pPr>
            <w:r>
              <w:rPr>
                <w:rFonts w:hint="eastAsia" w:ascii="宋体" w:hAnsi="宋体"/>
                <w:color w:val="auto"/>
                <w:sz w:val="18"/>
                <w:szCs w:val="18"/>
                <w:highlight w:val="none"/>
              </w:rPr>
              <w:t>5</w:t>
            </w:r>
          </w:p>
        </w:tc>
        <w:tc>
          <w:tcPr>
            <w:tcW w:w="3149" w:type="dxa"/>
            <w:tcBorders>
              <w:top w:val="single" w:color="auto" w:sz="4" w:space="0"/>
              <w:left w:val="nil"/>
              <w:bottom w:val="single" w:color="auto" w:sz="4" w:space="0"/>
              <w:right w:val="single" w:color="auto" w:sz="4" w:space="0"/>
            </w:tcBorders>
            <w:noWrap w:val="0"/>
            <w:vAlign w:val="center"/>
          </w:tcPr>
          <w:p w14:paraId="2AEC505F">
            <w:pPr>
              <w:spacing w:line="260" w:lineRule="exact"/>
              <w:jc w:val="left"/>
              <w:rPr>
                <w:rFonts w:ascii="宋体"/>
                <w:color w:val="auto"/>
                <w:sz w:val="18"/>
                <w:szCs w:val="18"/>
                <w:highlight w:val="none"/>
              </w:rPr>
            </w:pPr>
            <w:r>
              <w:rPr>
                <w:rFonts w:hint="eastAsia" w:hAnsi="宋体"/>
                <w:color w:val="auto"/>
                <w:sz w:val="18"/>
                <w:szCs w:val="18"/>
                <w:highlight w:val="none"/>
              </w:rPr>
              <w:t>进行喷药、裁枝等对游人游园环境影响较大的工作需提前贴出告示及温馨提示。</w:t>
            </w:r>
            <w:r>
              <w:rPr>
                <w:rFonts w:hint="eastAsia" w:ascii="宋体" w:hAnsi="宋体"/>
                <w:color w:val="auto"/>
                <w:sz w:val="18"/>
                <w:szCs w:val="18"/>
                <w:highlight w:val="none"/>
              </w:rPr>
              <w:t>高空作业或钩除大树枯枝黄叶时，佩</w:t>
            </w:r>
            <w:r>
              <w:rPr>
                <w:rFonts w:hint="eastAsia" w:ascii="宋体" w:hAnsi="宋体"/>
                <w:color w:val="auto"/>
                <w:sz w:val="18"/>
                <w:szCs w:val="18"/>
                <w:highlight w:val="none"/>
                <w:lang w:val="en-US" w:eastAsia="zh-CN"/>
              </w:rPr>
              <w:t>戴</w:t>
            </w:r>
            <w:r>
              <w:rPr>
                <w:rFonts w:hint="eastAsia" w:ascii="宋体" w:hAnsi="宋体"/>
                <w:color w:val="auto"/>
                <w:sz w:val="18"/>
                <w:szCs w:val="18"/>
                <w:highlight w:val="none"/>
              </w:rPr>
              <w:t>安全帽。喷农药时，佩戴口罩。设立安全警示牌。</w:t>
            </w:r>
          </w:p>
        </w:tc>
        <w:tc>
          <w:tcPr>
            <w:tcW w:w="525" w:type="dxa"/>
            <w:tcBorders>
              <w:top w:val="single" w:color="auto" w:sz="4" w:space="0"/>
              <w:left w:val="nil"/>
              <w:bottom w:val="single" w:color="auto" w:sz="4" w:space="0"/>
              <w:right w:val="single" w:color="auto" w:sz="4" w:space="0"/>
            </w:tcBorders>
            <w:noWrap w:val="0"/>
            <w:vAlign w:val="center"/>
          </w:tcPr>
          <w:p w14:paraId="291C39C5">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988" w:type="dxa"/>
            <w:tcBorders>
              <w:top w:val="single" w:color="auto" w:sz="4" w:space="0"/>
              <w:left w:val="nil"/>
              <w:bottom w:val="single" w:color="auto" w:sz="4" w:space="0"/>
              <w:right w:val="single" w:color="auto" w:sz="4" w:space="0"/>
            </w:tcBorders>
            <w:noWrap w:val="0"/>
            <w:vAlign w:val="center"/>
          </w:tcPr>
          <w:p w14:paraId="6636BD62">
            <w:pPr>
              <w:spacing w:line="260" w:lineRule="exact"/>
              <w:rPr>
                <w:rFonts w:ascii="宋体"/>
                <w:color w:val="auto"/>
                <w:sz w:val="18"/>
                <w:szCs w:val="18"/>
                <w:highlight w:val="none"/>
              </w:rPr>
            </w:pPr>
            <w:r>
              <w:rPr>
                <w:rFonts w:hint="eastAsia" w:hAnsi="宋体"/>
                <w:color w:val="auto"/>
                <w:sz w:val="18"/>
                <w:szCs w:val="18"/>
                <w:highlight w:val="none"/>
              </w:rPr>
              <w:t>对游人游园环境影响较大的作业时未提前贴出告示及温馨提示的每次扣</w:t>
            </w:r>
            <w:r>
              <w:rPr>
                <w:rFonts w:hAnsi="宋体"/>
                <w:color w:val="auto"/>
                <w:sz w:val="18"/>
                <w:szCs w:val="18"/>
                <w:highlight w:val="none"/>
              </w:rPr>
              <w:t>1</w:t>
            </w:r>
            <w:r>
              <w:rPr>
                <w:rFonts w:hint="eastAsia" w:hAnsi="宋体"/>
                <w:color w:val="auto"/>
                <w:sz w:val="18"/>
                <w:szCs w:val="18"/>
                <w:highlight w:val="none"/>
              </w:rPr>
              <w:t>分。</w:t>
            </w:r>
            <w:r>
              <w:rPr>
                <w:rFonts w:hint="eastAsia" w:ascii="宋体" w:hAnsi="宋体"/>
                <w:color w:val="auto"/>
                <w:sz w:val="18"/>
                <w:szCs w:val="18"/>
                <w:highlight w:val="none"/>
              </w:rPr>
              <w:t>作业时，不按要求佩</w:t>
            </w:r>
            <w:r>
              <w:rPr>
                <w:rFonts w:hint="eastAsia" w:ascii="宋体" w:hAnsi="宋体"/>
                <w:color w:val="auto"/>
                <w:sz w:val="18"/>
                <w:szCs w:val="18"/>
                <w:highlight w:val="none"/>
                <w:lang w:val="en-US" w:eastAsia="zh-CN"/>
              </w:rPr>
              <w:t>戴</w:t>
            </w:r>
            <w:r>
              <w:rPr>
                <w:rFonts w:hint="eastAsia" w:ascii="宋体" w:hAnsi="宋体"/>
                <w:color w:val="auto"/>
                <w:sz w:val="18"/>
                <w:szCs w:val="18"/>
                <w:highlight w:val="none"/>
              </w:rPr>
              <w:t>安全帽或口罩或不</w:t>
            </w:r>
            <w:r>
              <w:rPr>
                <w:rFonts w:hint="eastAsia" w:ascii="宋体" w:hAnsi="宋体"/>
                <w:color w:val="auto"/>
                <w:sz w:val="18"/>
                <w:szCs w:val="18"/>
                <w:highlight w:val="none"/>
                <w:lang w:val="en-US" w:eastAsia="zh-CN"/>
              </w:rPr>
              <w:t>竖</w:t>
            </w:r>
            <w:r>
              <w:rPr>
                <w:rFonts w:hint="eastAsia" w:ascii="宋体" w:hAnsi="宋体"/>
                <w:color w:val="auto"/>
                <w:sz w:val="18"/>
                <w:szCs w:val="18"/>
                <w:highlight w:val="none"/>
              </w:rPr>
              <w:t>立警示牌的每发现1次扣1分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2368B4CB">
            <w:pPr>
              <w:spacing w:line="260" w:lineRule="exact"/>
              <w:jc w:val="center"/>
              <w:rPr>
                <w:rFonts w:ascii="宋体"/>
                <w:color w:val="auto"/>
                <w:sz w:val="18"/>
                <w:szCs w:val="18"/>
                <w:highlight w:val="none"/>
              </w:rPr>
            </w:pPr>
          </w:p>
        </w:tc>
      </w:tr>
      <w:tr w14:paraId="7DA48C21">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481755E9">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1B1027E">
            <w:pPr>
              <w:spacing w:line="260" w:lineRule="exact"/>
              <w:jc w:val="center"/>
              <w:rPr>
                <w:rFonts w:ascii="宋体"/>
                <w:color w:val="auto"/>
                <w:sz w:val="18"/>
                <w:szCs w:val="18"/>
                <w:highlight w:val="none"/>
              </w:rPr>
            </w:pPr>
            <w:r>
              <w:rPr>
                <w:rFonts w:hint="eastAsia" w:ascii="宋体" w:hAnsi="宋体"/>
                <w:color w:val="auto"/>
                <w:sz w:val="18"/>
                <w:szCs w:val="18"/>
                <w:highlight w:val="none"/>
              </w:rPr>
              <w:t>6</w:t>
            </w:r>
          </w:p>
        </w:tc>
        <w:tc>
          <w:tcPr>
            <w:tcW w:w="3149" w:type="dxa"/>
            <w:tcBorders>
              <w:top w:val="single" w:color="auto" w:sz="4" w:space="0"/>
              <w:left w:val="nil"/>
              <w:bottom w:val="single" w:color="auto" w:sz="4" w:space="0"/>
              <w:right w:val="single" w:color="auto" w:sz="4" w:space="0"/>
            </w:tcBorders>
            <w:noWrap w:val="0"/>
            <w:vAlign w:val="center"/>
          </w:tcPr>
          <w:p w14:paraId="3AF6CF65">
            <w:pPr>
              <w:spacing w:line="260" w:lineRule="exact"/>
              <w:jc w:val="left"/>
              <w:rPr>
                <w:rFonts w:ascii="宋体"/>
                <w:color w:val="auto"/>
                <w:sz w:val="18"/>
                <w:szCs w:val="18"/>
                <w:highlight w:val="none"/>
              </w:rPr>
            </w:pPr>
            <w:r>
              <w:rPr>
                <w:rFonts w:hint="eastAsia" w:ascii="宋体" w:hAnsi="宋体"/>
                <w:color w:val="auto"/>
                <w:sz w:val="18"/>
                <w:szCs w:val="18"/>
                <w:highlight w:val="none"/>
              </w:rPr>
              <w:t>安全作业。如发现责任地段有安全隐患现象，应立即向班长或管理人员汇报。</w:t>
            </w:r>
          </w:p>
        </w:tc>
        <w:tc>
          <w:tcPr>
            <w:tcW w:w="525" w:type="dxa"/>
            <w:tcBorders>
              <w:top w:val="single" w:color="auto" w:sz="4" w:space="0"/>
              <w:left w:val="nil"/>
              <w:bottom w:val="single" w:color="auto" w:sz="4" w:space="0"/>
              <w:right w:val="single" w:color="auto" w:sz="4" w:space="0"/>
            </w:tcBorders>
            <w:noWrap w:val="0"/>
            <w:vAlign w:val="center"/>
          </w:tcPr>
          <w:p w14:paraId="1204136F">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4FF37881">
            <w:pPr>
              <w:spacing w:line="260" w:lineRule="exact"/>
              <w:rPr>
                <w:rFonts w:ascii="宋体"/>
                <w:color w:val="auto"/>
                <w:sz w:val="18"/>
                <w:szCs w:val="18"/>
                <w:highlight w:val="none"/>
              </w:rPr>
            </w:pPr>
            <w:r>
              <w:rPr>
                <w:rFonts w:hint="eastAsia" w:ascii="宋体" w:hAnsi="宋体"/>
                <w:color w:val="auto"/>
                <w:sz w:val="18"/>
                <w:szCs w:val="18"/>
                <w:highlight w:val="none"/>
              </w:rPr>
              <w:t>不立即汇报安全隐患情况的扣1分。</w:t>
            </w:r>
          </w:p>
        </w:tc>
        <w:tc>
          <w:tcPr>
            <w:tcW w:w="709" w:type="dxa"/>
            <w:tcBorders>
              <w:top w:val="single" w:color="auto" w:sz="4" w:space="0"/>
              <w:left w:val="nil"/>
              <w:bottom w:val="single" w:color="auto" w:sz="4" w:space="0"/>
              <w:right w:val="single" w:color="auto" w:sz="4" w:space="0"/>
            </w:tcBorders>
            <w:noWrap w:val="0"/>
            <w:vAlign w:val="center"/>
          </w:tcPr>
          <w:p w14:paraId="416BF10E">
            <w:pPr>
              <w:spacing w:line="260" w:lineRule="exact"/>
              <w:jc w:val="center"/>
              <w:rPr>
                <w:rFonts w:ascii="宋体"/>
                <w:color w:val="auto"/>
                <w:sz w:val="18"/>
                <w:szCs w:val="18"/>
                <w:highlight w:val="none"/>
              </w:rPr>
            </w:pPr>
          </w:p>
        </w:tc>
      </w:tr>
      <w:tr w14:paraId="43E36999">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672D71C6">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1490D36">
            <w:pPr>
              <w:spacing w:line="260" w:lineRule="exact"/>
              <w:jc w:val="center"/>
              <w:rPr>
                <w:rFonts w:ascii="宋体"/>
                <w:color w:val="auto"/>
                <w:sz w:val="18"/>
                <w:szCs w:val="18"/>
                <w:highlight w:val="none"/>
              </w:rPr>
            </w:pPr>
            <w:r>
              <w:rPr>
                <w:rFonts w:hint="eastAsia" w:ascii="宋体" w:hAnsi="宋体"/>
                <w:color w:val="auto"/>
                <w:sz w:val="18"/>
                <w:szCs w:val="18"/>
                <w:highlight w:val="none"/>
              </w:rPr>
              <w:t>7</w:t>
            </w:r>
          </w:p>
        </w:tc>
        <w:tc>
          <w:tcPr>
            <w:tcW w:w="3149" w:type="dxa"/>
            <w:tcBorders>
              <w:top w:val="single" w:color="auto" w:sz="4" w:space="0"/>
              <w:left w:val="nil"/>
              <w:bottom w:val="single" w:color="auto" w:sz="4" w:space="0"/>
              <w:right w:val="single" w:color="auto" w:sz="4" w:space="0"/>
            </w:tcBorders>
            <w:noWrap w:val="0"/>
            <w:vAlign w:val="center"/>
          </w:tcPr>
          <w:p w14:paraId="35F8829D">
            <w:pPr>
              <w:spacing w:line="260" w:lineRule="exact"/>
              <w:jc w:val="left"/>
              <w:rPr>
                <w:rFonts w:ascii="宋体"/>
                <w:color w:val="auto"/>
                <w:sz w:val="18"/>
                <w:szCs w:val="18"/>
                <w:highlight w:val="none"/>
              </w:rPr>
            </w:pPr>
            <w:r>
              <w:rPr>
                <w:rFonts w:hint="eastAsia" w:ascii="宋体" w:hAnsi="宋体"/>
                <w:color w:val="auto"/>
                <w:sz w:val="18"/>
                <w:szCs w:val="18"/>
                <w:highlight w:val="none"/>
              </w:rPr>
              <w:t>工具房内规范用电，劳动工具应整齐摆放在指定地点，存放工具处整洁、干净，无乱堆杂物，非工作状态时工具不出现在游客视线范围内，工具房外不得晾晒衣物。</w:t>
            </w:r>
          </w:p>
        </w:tc>
        <w:tc>
          <w:tcPr>
            <w:tcW w:w="525" w:type="dxa"/>
            <w:tcBorders>
              <w:top w:val="single" w:color="auto" w:sz="4" w:space="0"/>
              <w:left w:val="nil"/>
              <w:bottom w:val="single" w:color="auto" w:sz="4" w:space="0"/>
              <w:right w:val="single" w:color="auto" w:sz="4" w:space="0"/>
            </w:tcBorders>
            <w:noWrap w:val="0"/>
            <w:vAlign w:val="center"/>
          </w:tcPr>
          <w:p w14:paraId="0729D2E1">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0DCD932B">
            <w:pPr>
              <w:spacing w:line="260" w:lineRule="exact"/>
              <w:rPr>
                <w:rFonts w:ascii="宋体"/>
                <w:color w:val="auto"/>
                <w:sz w:val="18"/>
                <w:szCs w:val="18"/>
                <w:highlight w:val="none"/>
              </w:rPr>
            </w:pPr>
            <w:r>
              <w:rPr>
                <w:rFonts w:hint="eastAsia" w:ascii="宋体" w:hAnsi="宋体"/>
                <w:color w:val="auto"/>
                <w:sz w:val="18"/>
                <w:szCs w:val="18"/>
                <w:highlight w:val="none"/>
              </w:rPr>
              <w:t>违规用电、超负荷用电导致线路故障的，每次扣2分；工具房杂乱、工具乱丢乱放的，每处扣0.2-0.5分。非工作状态时工具出现在游客视线范围内的，每次扣0.2-0.5分；工具房外晾晒衣物的，每次扣1分。</w:t>
            </w:r>
          </w:p>
        </w:tc>
        <w:tc>
          <w:tcPr>
            <w:tcW w:w="709" w:type="dxa"/>
            <w:tcBorders>
              <w:top w:val="single" w:color="auto" w:sz="4" w:space="0"/>
              <w:left w:val="nil"/>
              <w:bottom w:val="single" w:color="auto" w:sz="4" w:space="0"/>
              <w:right w:val="single" w:color="auto" w:sz="4" w:space="0"/>
            </w:tcBorders>
            <w:noWrap w:val="0"/>
            <w:vAlign w:val="center"/>
          </w:tcPr>
          <w:p w14:paraId="62521131">
            <w:pPr>
              <w:spacing w:line="260" w:lineRule="exact"/>
              <w:jc w:val="center"/>
              <w:rPr>
                <w:rFonts w:ascii="宋体"/>
                <w:color w:val="auto"/>
                <w:sz w:val="18"/>
                <w:szCs w:val="18"/>
                <w:highlight w:val="none"/>
              </w:rPr>
            </w:pPr>
          </w:p>
        </w:tc>
      </w:tr>
      <w:tr w14:paraId="2A828826">
        <w:tblPrEx>
          <w:tblCellMar>
            <w:top w:w="0" w:type="dxa"/>
            <w:left w:w="108" w:type="dxa"/>
            <w:bottom w:w="0" w:type="dxa"/>
            <w:right w:w="108" w:type="dxa"/>
          </w:tblCellMar>
        </w:tblPrEx>
        <w:trPr>
          <w:cantSplit/>
        </w:trPr>
        <w:tc>
          <w:tcPr>
            <w:tcW w:w="419" w:type="dxa"/>
            <w:vMerge w:val="restart"/>
            <w:tcBorders>
              <w:top w:val="nil"/>
              <w:left w:val="single" w:color="auto" w:sz="4" w:space="0"/>
              <w:bottom w:val="single" w:color="auto" w:sz="4" w:space="0"/>
              <w:right w:val="single" w:color="auto" w:sz="4" w:space="0"/>
            </w:tcBorders>
            <w:noWrap w:val="0"/>
            <w:vAlign w:val="center"/>
          </w:tcPr>
          <w:p w14:paraId="1CDF9ABA">
            <w:pPr>
              <w:spacing w:line="260" w:lineRule="exact"/>
              <w:jc w:val="center"/>
              <w:rPr>
                <w:rFonts w:ascii="宋体"/>
                <w:color w:val="auto"/>
                <w:sz w:val="18"/>
                <w:szCs w:val="18"/>
                <w:highlight w:val="none"/>
              </w:rPr>
            </w:pPr>
          </w:p>
          <w:p w14:paraId="01B48641">
            <w:pPr>
              <w:spacing w:line="260" w:lineRule="exact"/>
              <w:jc w:val="center"/>
              <w:rPr>
                <w:rFonts w:ascii="宋体"/>
                <w:color w:val="auto"/>
                <w:sz w:val="18"/>
                <w:szCs w:val="18"/>
                <w:highlight w:val="none"/>
              </w:rPr>
            </w:pPr>
            <w:r>
              <w:rPr>
                <w:rFonts w:hint="eastAsia" w:ascii="宋体" w:hAnsi="宋体"/>
                <w:color w:val="auto"/>
                <w:sz w:val="18"/>
                <w:szCs w:val="18"/>
                <w:highlight w:val="none"/>
              </w:rPr>
              <w:t>其</w:t>
            </w:r>
          </w:p>
          <w:p w14:paraId="2B09C6ED">
            <w:pPr>
              <w:spacing w:line="260" w:lineRule="exact"/>
              <w:jc w:val="center"/>
              <w:rPr>
                <w:rFonts w:ascii="宋体"/>
                <w:color w:val="auto"/>
                <w:sz w:val="18"/>
                <w:szCs w:val="18"/>
                <w:highlight w:val="none"/>
              </w:rPr>
            </w:pPr>
          </w:p>
          <w:p w14:paraId="6D33D511">
            <w:pPr>
              <w:spacing w:line="260" w:lineRule="exact"/>
              <w:jc w:val="center"/>
              <w:rPr>
                <w:rFonts w:ascii="宋体"/>
                <w:color w:val="auto"/>
                <w:sz w:val="18"/>
                <w:szCs w:val="18"/>
                <w:highlight w:val="none"/>
              </w:rPr>
            </w:pPr>
            <w:r>
              <w:rPr>
                <w:rFonts w:hint="eastAsia" w:ascii="宋体" w:hAnsi="宋体"/>
                <w:color w:val="auto"/>
                <w:sz w:val="18"/>
                <w:szCs w:val="18"/>
                <w:highlight w:val="none"/>
              </w:rPr>
              <w:t>他</w:t>
            </w:r>
          </w:p>
        </w:tc>
        <w:tc>
          <w:tcPr>
            <w:tcW w:w="420" w:type="dxa"/>
            <w:tcBorders>
              <w:top w:val="single" w:color="auto" w:sz="4" w:space="0"/>
              <w:left w:val="nil"/>
              <w:bottom w:val="single" w:color="auto" w:sz="4" w:space="0"/>
              <w:right w:val="single" w:color="auto" w:sz="4" w:space="0"/>
            </w:tcBorders>
            <w:noWrap w:val="0"/>
            <w:vAlign w:val="center"/>
          </w:tcPr>
          <w:p w14:paraId="6BD41989">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149" w:type="dxa"/>
            <w:tcBorders>
              <w:top w:val="single" w:color="auto" w:sz="4" w:space="0"/>
              <w:left w:val="nil"/>
              <w:bottom w:val="single" w:color="auto" w:sz="4" w:space="0"/>
              <w:right w:val="single" w:color="auto" w:sz="4" w:space="0"/>
            </w:tcBorders>
            <w:noWrap w:val="0"/>
            <w:vAlign w:val="center"/>
          </w:tcPr>
          <w:p w14:paraId="6F75B2DB">
            <w:pPr>
              <w:spacing w:line="260" w:lineRule="exact"/>
              <w:jc w:val="left"/>
              <w:rPr>
                <w:rFonts w:ascii="宋体"/>
                <w:color w:val="auto"/>
                <w:sz w:val="18"/>
                <w:szCs w:val="18"/>
                <w:highlight w:val="none"/>
              </w:rPr>
            </w:pPr>
            <w:r>
              <w:rPr>
                <w:rFonts w:hint="eastAsia" w:ascii="宋体" w:hAnsi="宋体"/>
                <w:color w:val="auto"/>
                <w:sz w:val="18"/>
                <w:szCs w:val="18"/>
                <w:highlight w:val="none"/>
              </w:rPr>
              <w:t>安装指纹打卡机，进行指纹考勤，每月报送一次考勤记录。养护人员统一穿着工作服装，不得随意空岗、串岗，并做好各项有关物业管理的台账(如：规章制度、人员配置、考勤管理等)。</w:t>
            </w:r>
          </w:p>
        </w:tc>
        <w:tc>
          <w:tcPr>
            <w:tcW w:w="525" w:type="dxa"/>
            <w:tcBorders>
              <w:top w:val="single" w:color="auto" w:sz="4" w:space="0"/>
              <w:left w:val="nil"/>
              <w:bottom w:val="single" w:color="auto" w:sz="4" w:space="0"/>
              <w:right w:val="single" w:color="auto" w:sz="4" w:space="0"/>
            </w:tcBorders>
            <w:noWrap w:val="0"/>
            <w:vAlign w:val="center"/>
          </w:tcPr>
          <w:p w14:paraId="1239EFDF">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988" w:type="dxa"/>
            <w:tcBorders>
              <w:top w:val="single" w:color="auto" w:sz="4" w:space="0"/>
              <w:left w:val="nil"/>
              <w:bottom w:val="single" w:color="auto" w:sz="4" w:space="0"/>
              <w:right w:val="single" w:color="auto" w:sz="4" w:space="0"/>
            </w:tcBorders>
            <w:noWrap w:val="0"/>
            <w:vAlign w:val="center"/>
          </w:tcPr>
          <w:p w14:paraId="520A448A">
            <w:pPr>
              <w:spacing w:line="260" w:lineRule="exact"/>
              <w:rPr>
                <w:rFonts w:ascii="宋体"/>
                <w:color w:val="auto"/>
                <w:sz w:val="18"/>
                <w:szCs w:val="18"/>
                <w:highlight w:val="none"/>
              </w:rPr>
            </w:pPr>
            <w:r>
              <w:rPr>
                <w:rFonts w:hint="eastAsia" w:ascii="宋体" w:hAnsi="宋体"/>
                <w:color w:val="auto"/>
                <w:sz w:val="18"/>
                <w:szCs w:val="18"/>
                <w:highlight w:val="none"/>
              </w:rPr>
              <w:t>不将打卡机的考勤记录按时报送的，每次扣0.1-0.3分；不穿工作服装的，每人每次各扣0.5分；例行检查时无故缺岗（15—30分钟内），每次扣0.5分；30分钟以上，每次扣1分；不得以任何理由与游客发生争执，发现一次扣1分；上班时间不得做与工作无关的事情，发现一次每次扣0.5分；不服从工作安排的每次扣2分；无故不落实管理员安排的任务每次各扣1分；每次检查发现台账不完善的，扣0.5分。</w:t>
            </w:r>
            <w:r>
              <w:rPr>
                <w:rFonts w:hint="eastAsia" w:ascii="宋体" w:hAnsi="宋体"/>
                <w:b/>
                <w:bCs/>
                <w:color w:val="auto"/>
                <w:sz w:val="18"/>
                <w:szCs w:val="18"/>
                <w:highlight w:val="none"/>
                <w:u w:val="single"/>
              </w:rPr>
              <w:t>以上扣分值不设上限。</w:t>
            </w:r>
          </w:p>
        </w:tc>
        <w:tc>
          <w:tcPr>
            <w:tcW w:w="709" w:type="dxa"/>
            <w:tcBorders>
              <w:top w:val="single" w:color="auto" w:sz="4" w:space="0"/>
              <w:left w:val="nil"/>
              <w:bottom w:val="single" w:color="auto" w:sz="4" w:space="0"/>
              <w:right w:val="single" w:color="auto" w:sz="4" w:space="0"/>
            </w:tcBorders>
            <w:noWrap w:val="0"/>
            <w:vAlign w:val="center"/>
          </w:tcPr>
          <w:p w14:paraId="6112844A">
            <w:pPr>
              <w:spacing w:line="260" w:lineRule="exact"/>
              <w:jc w:val="center"/>
              <w:rPr>
                <w:rFonts w:ascii="宋体"/>
                <w:color w:val="auto"/>
                <w:sz w:val="18"/>
                <w:szCs w:val="18"/>
                <w:highlight w:val="none"/>
              </w:rPr>
            </w:pPr>
          </w:p>
        </w:tc>
      </w:tr>
      <w:tr w14:paraId="5EEE8A09">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7204D1DE">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57509AA7">
            <w:pPr>
              <w:spacing w:line="260" w:lineRule="exact"/>
              <w:jc w:val="center"/>
              <w:rPr>
                <w:rFonts w:ascii="宋体"/>
                <w:color w:val="auto"/>
                <w:sz w:val="18"/>
                <w:szCs w:val="18"/>
                <w:highlight w:val="none"/>
              </w:rPr>
            </w:pPr>
          </w:p>
          <w:p w14:paraId="6AF40747">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149" w:type="dxa"/>
            <w:tcBorders>
              <w:top w:val="single" w:color="auto" w:sz="4" w:space="0"/>
              <w:left w:val="nil"/>
              <w:bottom w:val="single" w:color="auto" w:sz="4" w:space="0"/>
              <w:right w:val="single" w:color="auto" w:sz="4" w:space="0"/>
            </w:tcBorders>
            <w:noWrap w:val="0"/>
            <w:vAlign w:val="center"/>
          </w:tcPr>
          <w:p w14:paraId="6727E6C7">
            <w:pPr>
              <w:spacing w:line="260" w:lineRule="exact"/>
              <w:jc w:val="left"/>
              <w:rPr>
                <w:rFonts w:ascii="宋体"/>
                <w:color w:val="auto"/>
                <w:sz w:val="18"/>
                <w:szCs w:val="18"/>
                <w:highlight w:val="none"/>
              </w:rPr>
            </w:pPr>
            <w:r>
              <w:rPr>
                <w:rFonts w:hint="eastAsia" w:ascii="宋体" w:hAnsi="宋体"/>
                <w:color w:val="auto"/>
                <w:sz w:val="18"/>
                <w:szCs w:val="18"/>
                <w:highlight w:val="none"/>
              </w:rPr>
              <w:t>保护园林设施的完好，发现破坏绿地的行为要及时制止，发现有外来单位在公园施工要及时上报。</w:t>
            </w:r>
          </w:p>
        </w:tc>
        <w:tc>
          <w:tcPr>
            <w:tcW w:w="525" w:type="dxa"/>
            <w:tcBorders>
              <w:top w:val="single" w:color="auto" w:sz="4" w:space="0"/>
              <w:left w:val="nil"/>
              <w:bottom w:val="single" w:color="auto" w:sz="4" w:space="0"/>
              <w:right w:val="single" w:color="auto" w:sz="4" w:space="0"/>
            </w:tcBorders>
            <w:noWrap w:val="0"/>
            <w:vAlign w:val="center"/>
          </w:tcPr>
          <w:p w14:paraId="770ABAA5">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50409868">
            <w:pPr>
              <w:spacing w:line="260" w:lineRule="exact"/>
              <w:rPr>
                <w:rFonts w:ascii="宋体"/>
                <w:color w:val="auto"/>
                <w:sz w:val="18"/>
                <w:szCs w:val="18"/>
                <w:highlight w:val="none"/>
              </w:rPr>
            </w:pPr>
            <w:r>
              <w:rPr>
                <w:rFonts w:hint="eastAsia" w:ascii="宋体" w:hAnsi="宋体"/>
                <w:color w:val="auto"/>
                <w:sz w:val="18"/>
                <w:szCs w:val="18"/>
                <w:highlight w:val="none"/>
              </w:rPr>
              <w:t>发现破坏绿地的行为而不及时制止或发现有外来单位在公园施工要及时上报的每次扣0.5分。</w:t>
            </w:r>
          </w:p>
        </w:tc>
        <w:tc>
          <w:tcPr>
            <w:tcW w:w="709" w:type="dxa"/>
            <w:tcBorders>
              <w:top w:val="single" w:color="auto" w:sz="4" w:space="0"/>
              <w:left w:val="nil"/>
              <w:bottom w:val="single" w:color="auto" w:sz="4" w:space="0"/>
              <w:right w:val="single" w:color="auto" w:sz="4" w:space="0"/>
            </w:tcBorders>
            <w:noWrap w:val="0"/>
            <w:vAlign w:val="center"/>
          </w:tcPr>
          <w:p w14:paraId="49614713">
            <w:pPr>
              <w:spacing w:line="260" w:lineRule="exact"/>
              <w:jc w:val="center"/>
              <w:rPr>
                <w:rFonts w:ascii="宋体"/>
                <w:color w:val="auto"/>
                <w:sz w:val="18"/>
                <w:szCs w:val="18"/>
                <w:highlight w:val="none"/>
              </w:rPr>
            </w:pPr>
          </w:p>
        </w:tc>
      </w:tr>
      <w:tr w14:paraId="38A19A85">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1EEC120C">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9979E62">
            <w:pPr>
              <w:spacing w:line="260" w:lineRule="exact"/>
              <w:jc w:val="center"/>
              <w:rPr>
                <w:rFonts w:ascii="宋体"/>
                <w:color w:val="auto"/>
                <w:sz w:val="18"/>
                <w:szCs w:val="18"/>
                <w:highlight w:val="none"/>
              </w:rPr>
            </w:pPr>
            <w:r>
              <w:rPr>
                <w:rFonts w:hint="eastAsia" w:ascii="宋体" w:hAnsi="宋体"/>
                <w:color w:val="auto"/>
                <w:sz w:val="18"/>
                <w:szCs w:val="18"/>
                <w:highlight w:val="none"/>
              </w:rPr>
              <w:t>3</w:t>
            </w:r>
          </w:p>
        </w:tc>
        <w:tc>
          <w:tcPr>
            <w:tcW w:w="3149" w:type="dxa"/>
            <w:tcBorders>
              <w:top w:val="single" w:color="auto" w:sz="4" w:space="0"/>
              <w:left w:val="nil"/>
              <w:bottom w:val="single" w:color="auto" w:sz="4" w:space="0"/>
              <w:right w:val="single" w:color="auto" w:sz="4" w:space="0"/>
            </w:tcBorders>
            <w:noWrap w:val="0"/>
            <w:vAlign w:val="center"/>
          </w:tcPr>
          <w:p w14:paraId="360FD728">
            <w:pPr>
              <w:spacing w:line="260" w:lineRule="exact"/>
              <w:jc w:val="left"/>
              <w:rPr>
                <w:rFonts w:ascii="宋体"/>
                <w:color w:val="auto"/>
                <w:sz w:val="18"/>
                <w:szCs w:val="18"/>
                <w:highlight w:val="none"/>
              </w:rPr>
            </w:pPr>
            <w:r>
              <w:rPr>
                <w:rFonts w:hint="eastAsia" w:ascii="宋体" w:hAnsi="宋体"/>
                <w:color w:val="auto"/>
                <w:sz w:val="18"/>
                <w:szCs w:val="18"/>
                <w:highlight w:val="none"/>
              </w:rPr>
              <w:t>保持绿地整洁，无乱搭棚和圈占树木现象。发现鼠洞要随时堵塞，无鼠洞和蚊蝇滋生在等。</w:t>
            </w:r>
          </w:p>
        </w:tc>
        <w:tc>
          <w:tcPr>
            <w:tcW w:w="525" w:type="dxa"/>
            <w:tcBorders>
              <w:top w:val="single" w:color="auto" w:sz="4" w:space="0"/>
              <w:left w:val="nil"/>
              <w:bottom w:val="single" w:color="auto" w:sz="4" w:space="0"/>
              <w:right w:val="single" w:color="auto" w:sz="4" w:space="0"/>
            </w:tcBorders>
            <w:noWrap w:val="0"/>
            <w:vAlign w:val="center"/>
          </w:tcPr>
          <w:p w14:paraId="1763AC4A">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147A2501">
            <w:pPr>
              <w:spacing w:line="260" w:lineRule="exact"/>
              <w:rPr>
                <w:rFonts w:ascii="宋体"/>
                <w:color w:val="auto"/>
                <w:sz w:val="18"/>
                <w:szCs w:val="18"/>
                <w:highlight w:val="none"/>
              </w:rPr>
            </w:pPr>
            <w:r>
              <w:rPr>
                <w:rFonts w:hint="eastAsia" w:ascii="宋体" w:hAnsi="宋体"/>
                <w:color w:val="auto"/>
                <w:sz w:val="18"/>
                <w:szCs w:val="18"/>
                <w:highlight w:val="none"/>
              </w:rPr>
              <w:t>绿地不整洁或不及时堵塞鼠洞的每处扣0.2-0.5分。</w:t>
            </w:r>
          </w:p>
        </w:tc>
        <w:tc>
          <w:tcPr>
            <w:tcW w:w="709" w:type="dxa"/>
            <w:tcBorders>
              <w:top w:val="single" w:color="auto" w:sz="4" w:space="0"/>
              <w:left w:val="nil"/>
              <w:bottom w:val="single" w:color="auto" w:sz="4" w:space="0"/>
              <w:right w:val="single" w:color="auto" w:sz="4" w:space="0"/>
            </w:tcBorders>
            <w:noWrap w:val="0"/>
            <w:vAlign w:val="center"/>
          </w:tcPr>
          <w:p w14:paraId="4223F489">
            <w:pPr>
              <w:spacing w:line="260" w:lineRule="exact"/>
              <w:jc w:val="center"/>
              <w:rPr>
                <w:rFonts w:ascii="宋体"/>
                <w:color w:val="auto"/>
                <w:sz w:val="18"/>
                <w:szCs w:val="18"/>
                <w:highlight w:val="none"/>
              </w:rPr>
            </w:pPr>
          </w:p>
        </w:tc>
      </w:tr>
      <w:tr w14:paraId="3C63B580">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3337B618">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97C9A9D">
            <w:pPr>
              <w:spacing w:line="260" w:lineRule="exact"/>
              <w:jc w:val="center"/>
              <w:rPr>
                <w:rFonts w:ascii="宋体"/>
                <w:color w:val="auto"/>
                <w:sz w:val="18"/>
                <w:szCs w:val="18"/>
                <w:highlight w:val="none"/>
              </w:rPr>
            </w:pPr>
            <w:r>
              <w:rPr>
                <w:rFonts w:hint="eastAsia" w:ascii="宋体" w:hAnsi="宋体"/>
                <w:color w:val="auto"/>
                <w:sz w:val="18"/>
                <w:szCs w:val="18"/>
                <w:highlight w:val="none"/>
              </w:rPr>
              <w:t>4</w:t>
            </w:r>
          </w:p>
        </w:tc>
        <w:tc>
          <w:tcPr>
            <w:tcW w:w="3149" w:type="dxa"/>
            <w:tcBorders>
              <w:top w:val="single" w:color="auto" w:sz="4" w:space="0"/>
              <w:left w:val="nil"/>
              <w:bottom w:val="single" w:color="auto" w:sz="4" w:space="0"/>
              <w:right w:val="single" w:color="auto" w:sz="4" w:space="0"/>
            </w:tcBorders>
            <w:noWrap w:val="0"/>
            <w:vAlign w:val="center"/>
          </w:tcPr>
          <w:p w14:paraId="1BF34587">
            <w:pPr>
              <w:spacing w:line="260" w:lineRule="exact"/>
              <w:jc w:val="left"/>
              <w:rPr>
                <w:rFonts w:ascii="宋体"/>
                <w:color w:val="auto"/>
                <w:sz w:val="18"/>
                <w:szCs w:val="18"/>
                <w:highlight w:val="none"/>
              </w:rPr>
            </w:pPr>
            <w:r>
              <w:rPr>
                <w:rFonts w:hint="eastAsia" w:ascii="宋体" w:hAnsi="宋体"/>
                <w:color w:val="auto"/>
                <w:sz w:val="18"/>
                <w:szCs w:val="18"/>
                <w:highlight w:val="none"/>
              </w:rPr>
              <w:t>绿地整理出的垃圾应及时清理，未能及时清理的应放置绿化垃圾临时堆放警示牌。绿化垃圾不可堆放过夜。树叶及时按照</w:t>
            </w:r>
            <w:r>
              <w:rPr>
                <w:rFonts w:hint="eastAsia" w:ascii="宋体" w:hAnsi="宋体"/>
                <w:color w:val="auto"/>
                <w:sz w:val="18"/>
                <w:szCs w:val="18"/>
                <w:highlight w:val="none"/>
                <w:lang w:val="en-US" w:eastAsia="zh-CN"/>
              </w:rPr>
              <w:t>公园</w:t>
            </w:r>
            <w:r>
              <w:rPr>
                <w:rFonts w:hint="eastAsia" w:ascii="宋体" w:hAnsi="宋体"/>
                <w:color w:val="auto"/>
                <w:sz w:val="18"/>
                <w:szCs w:val="18"/>
                <w:highlight w:val="none"/>
              </w:rPr>
              <w:t>要求和配比制造</w:t>
            </w:r>
            <w:r>
              <w:rPr>
                <w:rFonts w:hint="eastAsia" w:ascii="宋体" w:hAnsi="宋体" w:cs="宋体"/>
                <w:color w:val="auto"/>
                <w:sz w:val="18"/>
                <w:szCs w:val="18"/>
                <w:highlight w:val="none"/>
              </w:rPr>
              <w:t>改良土壤基质</w:t>
            </w:r>
            <w:r>
              <w:rPr>
                <w:rFonts w:hint="eastAsia" w:ascii="宋体" w:hAnsi="宋体"/>
                <w:color w:val="auto"/>
                <w:sz w:val="18"/>
                <w:szCs w:val="18"/>
                <w:highlight w:val="none"/>
              </w:rPr>
              <w:t>。</w:t>
            </w:r>
          </w:p>
        </w:tc>
        <w:tc>
          <w:tcPr>
            <w:tcW w:w="525" w:type="dxa"/>
            <w:tcBorders>
              <w:top w:val="single" w:color="auto" w:sz="4" w:space="0"/>
              <w:left w:val="nil"/>
              <w:bottom w:val="single" w:color="auto" w:sz="4" w:space="0"/>
              <w:right w:val="single" w:color="auto" w:sz="4" w:space="0"/>
            </w:tcBorders>
            <w:noWrap w:val="0"/>
            <w:vAlign w:val="center"/>
          </w:tcPr>
          <w:p w14:paraId="2F6B909B">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2AE4765C">
            <w:pPr>
              <w:spacing w:line="260" w:lineRule="exact"/>
              <w:rPr>
                <w:rFonts w:ascii="宋体"/>
                <w:color w:val="auto"/>
                <w:sz w:val="18"/>
                <w:szCs w:val="18"/>
                <w:highlight w:val="none"/>
              </w:rPr>
            </w:pPr>
            <w:r>
              <w:rPr>
                <w:rFonts w:hint="eastAsia" w:ascii="宋体" w:hAnsi="宋体"/>
                <w:color w:val="auto"/>
                <w:sz w:val="18"/>
                <w:szCs w:val="18"/>
                <w:highlight w:val="none"/>
              </w:rPr>
              <w:t>不及时清理绿化垃圾或不</w:t>
            </w:r>
            <w:r>
              <w:rPr>
                <w:rFonts w:hint="eastAsia" w:ascii="宋体" w:hAnsi="宋体"/>
                <w:color w:val="auto"/>
                <w:sz w:val="18"/>
                <w:szCs w:val="18"/>
                <w:highlight w:val="none"/>
                <w:lang w:val="en-US" w:eastAsia="zh-CN"/>
              </w:rPr>
              <w:t>按</w:t>
            </w:r>
            <w:r>
              <w:rPr>
                <w:rFonts w:hint="eastAsia" w:ascii="宋体" w:hAnsi="宋体"/>
                <w:color w:val="auto"/>
                <w:sz w:val="18"/>
                <w:szCs w:val="18"/>
                <w:highlight w:val="none"/>
              </w:rPr>
              <w:t>规定放置警示牌的每处扣0.5-1分，不及时按照</w:t>
            </w:r>
            <w:r>
              <w:rPr>
                <w:rFonts w:hint="eastAsia" w:ascii="宋体" w:hAnsi="宋体"/>
                <w:color w:val="auto"/>
                <w:sz w:val="18"/>
                <w:szCs w:val="18"/>
                <w:highlight w:val="none"/>
                <w:lang w:val="en-US" w:eastAsia="zh-CN"/>
              </w:rPr>
              <w:t>公园</w:t>
            </w:r>
            <w:r>
              <w:rPr>
                <w:rFonts w:hint="eastAsia" w:ascii="宋体" w:hAnsi="宋体"/>
                <w:color w:val="auto"/>
                <w:sz w:val="18"/>
                <w:szCs w:val="18"/>
                <w:highlight w:val="none"/>
              </w:rPr>
              <w:t>要求和配比制造</w:t>
            </w:r>
            <w:r>
              <w:rPr>
                <w:rFonts w:hint="eastAsia" w:ascii="宋体" w:hAnsi="宋体" w:cs="宋体"/>
                <w:color w:val="auto"/>
                <w:sz w:val="18"/>
                <w:szCs w:val="18"/>
                <w:highlight w:val="none"/>
              </w:rPr>
              <w:t>改良土壤基质</w:t>
            </w:r>
            <w:r>
              <w:rPr>
                <w:rFonts w:hint="eastAsia" w:ascii="宋体" w:hAnsi="宋体"/>
                <w:color w:val="auto"/>
                <w:sz w:val="18"/>
                <w:szCs w:val="18"/>
                <w:highlight w:val="none"/>
              </w:rPr>
              <w:t>的扣0.1-0.5分</w:t>
            </w:r>
            <w:r>
              <w:rPr>
                <w:rFonts w:hint="eastAsia" w:ascii="宋体" w:hAnsi="宋体"/>
                <w:b/>
                <w:bCs/>
                <w:color w:val="auto"/>
                <w:sz w:val="18"/>
                <w:szCs w:val="18"/>
                <w:highlight w:val="none"/>
                <w:u w:val="single"/>
              </w:rPr>
              <w:t>此条扣分值不设上限。</w:t>
            </w:r>
          </w:p>
        </w:tc>
        <w:tc>
          <w:tcPr>
            <w:tcW w:w="709" w:type="dxa"/>
            <w:tcBorders>
              <w:top w:val="single" w:color="auto" w:sz="4" w:space="0"/>
              <w:left w:val="nil"/>
              <w:bottom w:val="single" w:color="auto" w:sz="4" w:space="0"/>
              <w:right w:val="single" w:color="auto" w:sz="4" w:space="0"/>
            </w:tcBorders>
            <w:noWrap w:val="0"/>
            <w:vAlign w:val="center"/>
          </w:tcPr>
          <w:p w14:paraId="329EE344">
            <w:pPr>
              <w:spacing w:line="260" w:lineRule="exact"/>
              <w:jc w:val="center"/>
              <w:rPr>
                <w:rFonts w:ascii="宋体"/>
                <w:color w:val="auto"/>
                <w:sz w:val="18"/>
                <w:szCs w:val="18"/>
                <w:highlight w:val="none"/>
              </w:rPr>
            </w:pPr>
          </w:p>
        </w:tc>
      </w:tr>
      <w:tr w14:paraId="7E03173D">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08D91C73">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520A50A6">
            <w:pPr>
              <w:spacing w:line="260" w:lineRule="exact"/>
              <w:jc w:val="center"/>
              <w:rPr>
                <w:rFonts w:ascii="宋体"/>
                <w:color w:val="auto"/>
                <w:sz w:val="18"/>
                <w:szCs w:val="18"/>
                <w:highlight w:val="none"/>
              </w:rPr>
            </w:pPr>
            <w:r>
              <w:rPr>
                <w:rFonts w:hint="eastAsia" w:ascii="宋体" w:hAnsi="宋体"/>
                <w:color w:val="auto"/>
                <w:sz w:val="18"/>
                <w:szCs w:val="18"/>
                <w:highlight w:val="none"/>
              </w:rPr>
              <w:t>5</w:t>
            </w:r>
          </w:p>
        </w:tc>
        <w:tc>
          <w:tcPr>
            <w:tcW w:w="3149" w:type="dxa"/>
            <w:tcBorders>
              <w:top w:val="single" w:color="auto" w:sz="4" w:space="0"/>
              <w:left w:val="nil"/>
              <w:bottom w:val="single" w:color="auto" w:sz="4" w:space="0"/>
              <w:right w:val="single" w:color="auto" w:sz="4" w:space="0"/>
            </w:tcBorders>
            <w:noWrap w:val="0"/>
            <w:vAlign w:val="center"/>
          </w:tcPr>
          <w:p w14:paraId="6FAC38C2">
            <w:pPr>
              <w:spacing w:line="260" w:lineRule="exact"/>
              <w:jc w:val="left"/>
              <w:rPr>
                <w:rFonts w:ascii="宋体"/>
                <w:color w:val="auto"/>
                <w:sz w:val="18"/>
                <w:szCs w:val="18"/>
                <w:highlight w:val="none"/>
              </w:rPr>
            </w:pPr>
            <w:r>
              <w:rPr>
                <w:rFonts w:hint="eastAsia" w:ascii="宋体" w:hAnsi="宋体"/>
                <w:color w:val="auto"/>
                <w:sz w:val="18"/>
                <w:szCs w:val="18"/>
                <w:highlight w:val="none"/>
              </w:rPr>
              <w:t>超过1㎡的黄土裸露或灌木缺株要及时补种。发生较大枝条折断、乔木倒伏等严重影响游园环境的突发事件应立即上报并及时处理。</w:t>
            </w:r>
          </w:p>
        </w:tc>
        <w:tc>
          <w:tcPr>
            <w:tcW w:w="525" w:type="dxa"/>
            <w:tcBorders>
              <w:top w:val="single" w:color="auto" w:sz="4" w:space="0"/>
              <w:left w:val="nil"/>
              <w:bottom w:val="single" w:color="auto" w:sz="4" w:space="0"/>
              <w:right w:val="single" w:color="auto" w:sz="4" w:space="0"/>
            </w:tcBorders>
            <w:noWrap w:val="0"/>
            <w:vAlign w:val="center"/>
          </w:tcPr>
          <w:p w14:paraId="25E5B197">
            <w:pPr>
              <w:spacing w:line="260" w:lineRule="exact"/>
              <w:jc w:val="center"/>
              <w:rPr>
                <w:rFonts w:ascii="宋体"/>
                <w:color w:val="auto"/>
                <w:sz w:val="18"/>
                <w:szCs w:val="18"/>
                <w:highlight w:val="none"/>
              </w:rPr>
            </w:pPr>
            <w:r>
              <w:rPr>
                <w:rFonts w:hint="eastAsia" w:ascii="宋体" w:hAnsi="宋体"/>
                <w:color w:val="auto"/>
                <w:sz w:val="18"/>
                <w:szCs w:val="18"/>
                <w:highlight w:val="none"/>
              </w:rPr>
              <w:t>5</w:t>
            </w:r>
          </w:p>
        </w:tc>
        <w:tc>
          <w:tcPr>
            <w:tcW w:w="3988" w:type="dxa"/>
            <w:tcBorders>
              <w:top w:val="single" w:color="auto" w:sz="4" w:space="0"/>
              <w:left w:val="nil"/>
              <w:bottom w:val="single" w:color="auto" w:sz="4" w:space="0"/>
              <w:right w:val="single" w:color="auto" w:sz="4" w:space="0"/>
            </w:tcBorders>
            <w:noWrap w:val="0"/>
            <w:vAlign w:val="center"/>
          </w:tcPr>
          <w:p w14:paraId="0CA2B826">
            <w:pPr>
              <w:spacing w:line="260" w:lineRule="exact"/>
              <w:rPr>
                <w:rFonts w:ascii="宋体"/>
                <w:color w:val="auto"/>
                <w:sz w:val="18"/>
                <w:szCs w:val="18"/>
                <w:highlight w:val="none"/>
              </w:rPr>
            </w:pPr>
            <w:r>
              <w:rPr>
                <w:rFonts w:hint="eastAsia" w:ascii="宋体" w:hAnsi="宋体"/>
                <w:color w:val="auto"/>
                <w:sz w:val="18"/>
                <w:szCs w:val="18"/>
                <w:highlight w:val="none"/>
              </w:rPr>
              <w:t>不及时补种的每处扣0.1-0.5分。突发事件不能及时处理的每次扣0.5-2分。</w:t>
            </w:r>
            <w:r>
              <w:rPr>
                <w:rFonts w:hint="eastAsia" w:ascii="宋体" w:hAnsi="宋体"/>
                <w:b/>
                <w:bCs/>
                <w:color w:val="auto"/>
                <w:sz w:val="18"/>
                <w:szCs w:val="18"/>
                <w:highlight w:val="none"/>
                <w:u w:val="single"/>
              </w:rPr>
              <w:t>此条扣分值不设上限。</w:t>
            </w:r>
          </w:p>
        </w:tc>
        <w:tc>
          <w:tcPr>
            <w:tcW w:w="709" w:type="dxa"/>
            <w:tcBorders>
              <w:top w:val="single" w:color="auto" w:sz="4" w:space="0"/>
              <w:left w:val="nil"/>
              <w:bottom w:val="single" w:color="auto" w:sz="4" w:space="0"/>
              <w:right w:val="single" w:color="auto" w:sz="4" w:space="0"/>
            </w:tcBorders>
            <w:noWrap w:val="0"/>
            <w:vAlign w:val="center"/>
          </w:tcPr>
          <w:p w14:paraId="23BC0D4A">
            <w:pPr>
              <w:spacing w:line="260" w:lineRule="exact"/>
              <w:jc w:val="center"/>
              <w:rPr>
                <w:rFonts w:ascii="宋体"/>
                <w:color w:val="auto"/>
                <w:sz w:val="18"/>
                <w:szCs w:val="18"/>
                <w:highlight w:val="none"/>
              </w:rPr>
            </w:pPr>
          </w:p>
        </w:tc>
      </w:tr>
      <w:tr w14:paraId="59036610">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74035AE5">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0A718C0B">
            <w:pPr>
              <w:spacing w:line="260" w:lineRule="exact"/>
              <w:jc w:val="center"/>
              <w:rPr>
                <w:rFonts w:ascii="宋体"/>
                <w:color w:val="auto"/>
                <w:sz w:val="18"/>
                <w:szCs w:val="18"/>
                <w:highlight w:val="none"/>
              </w:rPr>
            </w:pPr>
            <w:r>
              <w:rPr>
                <w:rFonts w:hint="eastAsia" w:ascii="宋体" w:hAnsi="宋体"/>
                <w:color w:val="auto"/>
                <w:sz w:val="18"/>
                <w:szCs w:val="18"/>
                <w:highlight w:val="none"/>
              </w:rPr>
              <w:t>6</w:t>
            </w:r>
          </w:p>
        </w:tc>
        <w:tc>
          <w:tcPr>
            <w:tcW w:w="3149" w:type="dxa"/>
            <w:tcBorders>
              <w:top w:val="single" w:color="auto" w:sz="4" w:space="0"/>
              <w:left w:val="nil"/>
              <w:bottom w:val="single" w:color="auto" w:sz="4" w:space="0"/>
              <w:right w:val="single" w:color="auto" w:sz="4" w:space="0"/>
            </w:tcBorders>
            <w:noWrap w:val="0"/>
            <w:vAlign w:val="center"/>
          </w:tcPr>
          <w:p w14:paraId="352680EB">
            <w:pPr>
              <w:spacing w:line="260" w:lineRule="exact"/>
              <w:jc w:val="left"/>
              <w:rPr>
                <w:rFonts w:ascii="宋体"/>
                <w:color w:val="auto"/>
                <w:sz w:val="18"/>
                <w:szCs w:val="18"/>
                <w:highlight w:val="none"/>
              </w:rPr>
            </w:pPr>
            <w:r>
              <w:rPr>
                <w:rFonts w:hint="eastAsia" w:ascii="宋体" w:hAnsi="宋体"/>
                <w:color w:val="auto"/>
                <w:sz w:val="18"/>
                <w:szCs w:val="18"/>
                <w:highlight w:val="none"/>
              </w:rPr>
              <w:t>在地段施工时间，应做好配合及善后工作。</w:t>
            </w:r>
          </w:p>
        </w:tc>
        <w:tc>
          <w:tcPr>
            <w:tcW w:w="525" w:type="dxa"/>
            <w:tcBorders>
              <w:top w:val="single" w:color="auto" w:sz="4" w:space="0"/>
              <w:left w:val="nil"/>
              <w:bottom w:val="single" w:color="auto" w:sz="4" w:space="0"/>
              <w:right w:val="single" w:color="auto" w:sz="4" w:space="0"/>
            </w:tcBorders>
            <w:noWrap w:val="0"/>
            <w:vAlign w:val="center"/>
          </w:tcPr>
          <w:p w14:paraId="661BD343">
            <w:pPr>
              <w:spacing w:line="260" w:lineRule="exact"/>
              <w:jc w:val="center"/>
              <w:rPr>
                <w:rFonts w:ascii="宋体"/>
                <w:color w:val="auto"/>
                <w:sz w:val="18"/>
                <w:szCs w:val="18"/>
                <w:highlight w:val="none"/>
              </w:rPr>
            </w:pPr>
            <w:r>
              <w:rPr>
                <w:rFonts w:hint="eastAsia" w:ascii="宋体" w:hAnsi="宋体"/>
                <w:color w:val="auto"/>
                <w:sz w:val="18"/>
                <w:szCs w:val="18"/>
                <w:highlight w:val="none"/>
              </w:rPr>
              <w:t>1</w:t>
            </w:r>
          </w:p>
        </w:tc>
        <w:tc>
          <w:tcPr>
            <w:tcW w:w="3988" w:type="dxa"/>
            <w:tcBorders>
              <w:top w:val="single" w:color="auto" w:sz="4" w:space="0"/>
              <w:left w:val="nil"/>
              <w:bottom w:val="single" w:color="auto" w:sz="4" w:space="0"/>
              <w:right w:val="single" w:color="auto" w:sz="4" w:space="0"/>
            </w:tcBorders>
            <w:noWrap w:val="0"/>
            <w:vAlign w:val="center"/>
          </w:tcPr>
          <w:p w14:paraId="363FCF80">
            <w:pPr>
              <w:spacing w:line="260" w:lineRule="exact"/>
              <w:rPr>
                <w:rFonts w:ascii="宋体"/>
                <w:color w:val="auto"/>
                <w:sz w:val="18"/>
                <w:szCs w:val="18"/>
                <w:highlight w:val="none"/>
              </w:rPr>
            </w:pPr>
            <w:r>
              <w:rPr>
                <w:rFonts w:hint="eastAsia" w:ascii="宋体" w:hAnsi="宋体"/>
                <w:color w:val="auto"/>
                <w:sz w:val="18"/>
                <w:szCs w:val="18"/>
                <w:highlight w:val="none"/>
              </w:rPr>
              <w:t>不积极配合工作的扣1分。</w:t>
            </w:r>
          </w:p>
        </w:tc>
        <w:tc>
          <w:tcPr>
            <w:tcW w:w="709" w:type="dxa"/>
            <w:tcBorders>
              <w:top w:val="single" w:color="auto" w:sz="4" w:space="0"/>
              <w:left w:val="nil"/>
              <w:bottom w:val="single" w:color="auto" w:sz="4" w:space="0"/>
              <w:right w:val="single" w:color="auto" w:sz="4" w:space="0"/>
            </w:tcBorders>
            <w:noWrap w:val="0"/>
            <w:vAlign w:val="center"/>
          </w:tcPr>
          <w:p w14:paraId="5CF33EA9">
            <w:pPr>
              <w:spacing w:line="260" w:lineRule="exact"/>
              <w:jc w:val="center"/>
              <w:rPr>
                <w:rFonts w:ascii="宋体"/>
                <w:color w:val="auto"/>
                <w:sz w:val="18"/>
                <w:szCs w:val="18"/>
                <w:highlight w:val="none"/>
              </w:rPr>
            </w:pPr>
          </w:p>
        </w:tc>
      </w:tr>
      <w:tr w14:paraId="54C6CFD5">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3F1BA541">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8D878B3">
            <w:pPr>
              <w:spacing w:line="260" w:lineRule="exact"/>
              <w:jc w:val="center"/>
              <w:rPr>
                <w:rFonts w:ascii="宋体"/>
                <w:color w:val="auto"/>
                <w:sz w:val="18"/>
                <w:szCs w:val="18"/>
                <w:highlight w:val="none"/>
              </w:rPr>
            </w:pPr>
            <w:r>
              <w:rPr>
                <w:rFonts w:hint="eastAsia" w:ascii="宋体" w:hAnsi="宋体"/>
                <w:color w:val="auto"/>
                <w:sz w:val="18"/>
                <w:szCs w:val="18"/>
                <w:highlight w:val="none"/>
              </w:rPr>
              <w:t>7</w:t>
            </w:r>
          </w:p>
        </w:tc>
        <w:tc>
          <w:tcPr>
            <w:tcW w:w="3149" w:type="dxa"/>
            <w:tcBorders>
              <w:top w:val="single" w:color="auto" w:sz="4" w:space="0"/>
              <w:left w:val="nil"/>
              <w:bottom w:val="single" w:color="auto" w:sz="4" w:space="0"/>
              <w:right w:val="single" w:color="auto" w:sz="4" w:space="0"/>
            </w:tcBorders>
            <w:noWrap w:val="0"/>
            <w:vAlign w:val="center"/>
          </w:tcPr>
          <w:p w14:paraId="32B2F066">
            <w:pPr>
              <w:spacing w:line="260" w:lineRule="exact"/>
              <w:jc w:val="left"/>
              <w:rPr>
                <w:rFonts w:ascii="宋体"/>
                <w:color w:val="auto"/>
                <w:sz w:val="18"/>
                <w:szCs w:val="18"/>
                <w:highlight w:val="none"/>
              </w:rPr>
            </w:pPr>
            <w:r>
              <w:rPr>
                <w:rFonts w:hint="eastAsia" w:ascii="宋体" w:hAnsi="宋体"/>
                <w:color w:val="auto"/>
                <w:sz w:val="18"/>
                <w:szCs w:val="18"/>
                <w:highlight w:val="none"/>
              </w:rPr>
              <w:t>日常检查整改通知下达后，应及时按整改期限进行整改。</w:t>
            </w:r>
          </w:p>
        </w:tc>
        <w:tc>
          <w:tcPr>
            <w:tcW w:w="525" w:type="dxa"/>
            <w:tcBorders>
              <w:top w:val="single" w:color="auto" w:sz="4" w:space="0"/>
              <w:left w:val="nil"/>
              <w:bottom w:val="single" w:color="auto" w:sz="4" w:space="0"/>
              <w:right w:val="single" w:color="auto" w:sz="4" w:space="0"/>
            </w:tcBorders>
            <w:noWrap w:val="0"/>
            <w:vAlign w:val="center"/>
          </w:tcPr>
          <w:p w14:paraId="71C8ED79">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605A61AB">
            <w:pPr>
              <w:spacing w:line="260" w:lineRule="exact"/>
              <w:rPr>
                <w:rFonts w:ascii="宋体"/>
                <w:color w:val="auto"/>
                <w:sz w:val="18"/>
                <w:szCs w:val="18"/>
                <w:highlight w:val="none"/>
              </w:rPr>
            </w:pPr>
            <w:r>
              <w:rPr>
                <w:rFonts w:hint="eastAsia" w:ascii="宋体" w:hAnsi="宋体"/>
                <w:color w:val="auto"/>
                <w:sz w:val="18"/>
                <w:szCs w:val="18"/>
                <w:highlight w:val="none"/>
              </w:rPr>
              <w:t>不及时按整改期限进行整改的，每延期一天扣0.2-0.5分。</w:t>
            </w:r>
            <w:r>
              <w:rPr>
                <w:rFonts w:hint="eastAsia" w:ascii="宋体" w:hAnsi="宋体"/>
                <w:b/>
                <w:bCs/>
                <w:color w:val="auto"/>
                <w:sz w:val="18"/>
                <w:szCs w:val="18"/>
                <w:highlight w:val="none"/>
                <w:u w:val="single"/>
              </w:rPr>
              <w:t>此条款扣分值不设上限。</w:t>
            </w:r>
          </w:p>
        </w:tc>
        <w:tc>
          <w:tcPr>
            <w:tcW w:w="709" w:type="dxa"/>
            <w:tcBorders>
              <w:top w:val="single" w:color="auto" w:sz="4" w:space="0"/>
              <w:left w:val="nil"/>
              <w:bottom w:val="single" w:color="auto" w:sz="4" w:space="0"/>
              <w:right w:val="single" w:color="auto" w:sz="4" w:space="0"/>
            </w:tcBorders>
            <w:noWrap w:val="0"/>
            <w:vAlign w:val="center"/>
          </w:tcPr>
          <w:p w14:paraId="2CE5C92C">
            <w:pPr>
              <w:spacing w:line="260" w:lineRule="exact"/>
              <w:jc w:val="center"/>
              <w:rPr>
                <w:rFonts w:ascii="宋体"/>
                <w:color w:val="auto"/>
                <w:sz w:val="18"/>
                <w:szCs w:val="18"/>
                <w:highlight w:val="none"/>
              </w:rPr>
            </w:pPr>
          </w:p>
        </w:tc>
      </w:tr>
      <w:tr w14:paraId="4ED4A98B">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013F6663">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4BF1365">
            <w:pPr>
              <w:spacing w:line="260" w:lineRule="exact"/>
              <w:jc w:val="center"/>
              <w:rPr>
                <w:rFonts w:ascii="宋体"/>
                <w:color w:val="auto"/>
                <w:sz w:val="18"/>
                <w:szCs w:val="18"/>
                <w:highlight w:val="none"/>
              </w:rPr>
            </w:pPr>
            <w:r>
              <w:rPr>
                <w:rFonts w:hint="eastAsia" w:ascii="宋体" w:hAnsi="宋体"/>
                <w:color w:val="auto"/>
                <w:sz w:val="18"/>
                <w:szCs w:val="18"/>
                <w:highlight w:val="none"/>
              </w:rPr>
              <w:t>8</w:t>
            </w:r>
          </w:p>
        </w:tc>
        <w:tc>
          <w:tcPr>
            <w:tcW w:w="3149" w:type="dxa"/>
            <w:tcBorders>
              <w:top w:val="single" w:color="auto" w:sz="4" w:space="0"/>
              <w:left w:val="nil"/>
              <w:bottom w:val="single" w:color="auto" w:sz="4" w:space="0"/>
              <w:right w:val="single" w:color="auto" w:sz="4" w:space="0"/>
            </w:tcBorders>
            <w:noWrap w:val="0"/>
            <w:vAlign w:val="center"/>
          </w:tcPr>
          <w:p w14:paraId="136A7135">
            <w:pPr>
              <w:spacing w:line="260" w:lineRule="exact"/>
              <w:jc w:val="left"/>
              <w:rPr>
                <w:rFonts w:ascii="宋体"/>
                <w:color w:val="auto"/>
                <w:sz w:val="18"/>
                <w:szCs w:val="18"/>
                <w:highlight w:val="none"/>
              </w:rPr>
            </w:pPr>
            <w:r>
              <w:rPr>
                <w:rFonts w:hint="eastAsia" w:ascii="宋体" w:hAnsi="宋体"/>
                <w:color w:val="auto"/>
                <w:sz w:val="18"/>
                <w:szCs w:val="18"/>
                <w:highlight w:val="none"/>
              </w:rPr>
              <w:t>认真开展月度考核工作</w:t>
            </w:r>
          </w:p>
        </w:tc>
        <w:tc>
          <w:tcPr>
            <w:tcW w:w="525" w:type="dxa"/>
            <w:tcBorders>
              <w:top w:val="single" w:color="auto" w:sz="4" w:space="0"/>
              <w:left w:val="nil"/>
              <w:bottom w:val="single" w:color="auto" w:sz="4" w:space="0"/>
              <w:right w:val="single" w:color="auto" w:sz="4" w:space="0"/>
            </w:tcBorders>
            <w:noWrap w:val="0"/>
            <w:vAlign w:val="center"/>
          </w:tcPr>
          <w:p w14:paraId="300085AC">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70A7F44C">
            <w:pPr>
              <w:spacing w:line="260" w:lineRule="exact"/>
              <w:rPr>
                <w:rFonts w:ascii="宋体"/>
                <w:color w:val="auto"/>
                <w:sz w:val="18"/>
                <w:szCs w:val="18"/>
                <w:highlight w:val="none"/>
              </w:rPr>
            </w:pPr>
            <w:r>
              <w:rPr>
                <w:rFonts w:hint="eastAsia" w:ascii="宋体" w:hAnsi="宋体"/>
                <w:color w:val="auto"/>
                <w:sz w:val="18"/>
                <w:szCs w:val="18"/>
                <w:highlight w:val="none"/>
              </w:rPr>
              <w:t>在进行月度考核检查过程中，如发问题按相应的评分条款扣分。</w:t>
            </w:r>
          </w:p>
        </w:tc>
        <w:tc>
          <w:tcPr>
            <w:tcW w:w="709" w:type="dxa"/>
            <w:tcBorders>
              <w:top w:val="single" w:color="auto" w:sz="4" w:space="0"/>
              <w:left w:val="nil"/>
              <w:bottom w:val="single" w:color="auto" w:sz="4" w:space="0"/>
              <w:right w:val="single" w:color="auto" w:sz="4" w:space="0"/>
            </w:tcBorders>
            <w:noWrap w:val="0"/>
            <w:vAlign w:val="center"/>
          </w:tcPr>
          <w:p w14:paraId="307276C6">
            <w:pPr>
              <w:spacing w:line="260" w:lineRule="exact"/>
              <w:jc w:val="center"/>
              <w:rPr>
                <w:rFonts w:ascii="宋体"/>
                <w:color w:val="auto"/>
                <w:sz w:val="18"/>
                <w:szCs w:val="18"/>
                <w:highlight w:val="none"/>
              </w:rPr>
            </w:pPr>
          </w:p>
        </w:tc>
      </w:tr>
      <w:tr w14:paraId="54F0B24A">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5BB16B74">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A05D384">
            <w:pPr>
              <w:spacing w:line="260" w:lineRule="exact"/>
              <w:jc w:val="center"/>
              <w:rPr>
                <w:rFonts w:ascii="宋体"/>
                <w:color w:val="auto"/>
                <w:sz w:val="18"/>
                <w:szCs w:val="18"/>
                <w:highlight w:val="none"/>
              </w:rPr>
            </w:pPr>
            <w:r>
              <w:rPr>
                <w:rFonts w:hint="eastAsia" w:ascii="宋体" w:hAnsi="宋体"/>
                <w:color w:val="auto"/>
                <w:sz w:val="18"/>
                <w:szCs w:val="18"/>
                <w:highlight w:val="none"/>
              </w:rPr>
              <w:t>9</w:t>
            </w:r>
          </w:p>
        </w:tc>
        <w:tc>
          <w:tcPr>
            <w:tcW w:w="3149" w:type="dxa"/>
            <w:tcBorders>
              <w:top w:val="single" w:color="auto" w:sz="4" w:space="0"/>
              <w:left w:val="nil"/>
              <w:bottom w:val="single" w:color="auto" w:sz="4" w:space="0"/>
              <w:right w:val="single" w:color="auto" w:sz="4" w:space="0"/>
            </w:tcBorders>
            <w:noWrap w:val="0"/>
            <w:vAlign w:val="center"/>
          </w:tcPr>
          <w:p w14:paraId="767D63EC">
            <w:pPr>
              <w:spacing w:line="260" w:lineRule="exact"/>
              <w:jc w:val="left"/>
              <w:rPr>
                <w:rFonts w:ascii="宋体"/>
                <w:color w:val="auto"/>
                <w:sz w:val="18"/>
                <w:szCs w:val="18"/>
                <w:highlight w:val="none"/>
              </w:rPr>
            </w:pPr>
            <w:r>
              <w:rPr>
                <w:rFonts w:hint="eastAsia" w:ascii="宋体" w:hAnsi="宋体"/>
                <w:color w:val="auto"/>
                <w:sz w:val="18"/>
                <w:szCs w:val="18"/>
                <w:highlight w:val="none"/>
              </w:rPr>
              <w:t>按时报送月度工作计划、月度问题记录表及整改情况记录表</w:t>
            </w:r>
          </w:p>
        </w:tc>
        <w:tc>
          <w:tcPr>
            <w:tcW w:w="525" w:type="dxa"/>
            <w:tcBorders>
              <w:top w:val="single" w:color="auto" w:sz="4" w:space="0"/>
              <w:left w:val="nil"/>
              <w:bottom w:val="single" w:color="auto" w:sz="4" w:space="0"/>
              <w:right w:val="single" w:color="auto" w:sz="4" w:space="0"/>
            </w:tcBorders>
            <w:noWrap w:val="0"/>
            <w:vAlign w:val="center"/>
          </w:tcPr>
          <w:p w14:paraId="7FB21580">
            <w:pPr>
              <w:spacing w:line="260" w:lineRule="exact"/>
              <w:jc w:val="center"/>
              <w:rPr>
                <w:rFonts w:ascii="宋体"/>
                <w:color w:val="auto"/>
                <w:sz w:val="18"/>
                <w:szCs w:val="18"/>
                <w:highlight w:val="none"/>
              </w:rPr>
            </w:pPr>
            <w:r>
              <w:rPr>
                <w:rFonts w:hint="eastAsia" w:ascii="宋体" w:hAnsi="宋体"/>
                <w:color w:val="auto"/>
                <w:sz w:val="18"/>
                <w:szCs w:val="18"/>
                <w:highlight w:val="none"/>
              </w:rPr>
              <w:t>2</w:t>
            </w:r>
          </w:p>
        </w:tc>
        <w:tc>
          <w:tcPr>
            <w:tcW w:w="3988" w:type="dxa"/>
            <w:tcBorders>
              <w:top w:val="single" w:color="auto" w:sz="4" w:space="0"/>
              <w:left w:val="nil"/>
              <w:bottom w:val="single" w:color="auto" w:sz="4" w:space="0"/>
              <w:right w:val="single" w:color="auto" w:sz="4" w:space="0"/>
            </w:tcBorders>
            <w:noWrap w:val="0"/>
            <w:vAlign w:val="center"/>
          </w:tcPr>
          <w:p w14:paraId="7CF97E74">
            <w:pPr>
              <w:spacing w:line="260" w:lineRule="exact"/>
              <w:rPr>
                <w:rFonts w:ascii="宋体"/>
                <w:color w:val="auto"/>
                <w:sz w:val="18"/>
                <w:szCs w:val="18"/>
                <w:highlight w:val="none"/>
              </w:rPr>
            </w:pPr>
            <w:r>
              <w:rPr>
                <w:rFonts w:hint="eastAsia" w:ascii="宋体" w:hAnsi="宋体"/>
                <w:color w:val="auto"/>
                <w:sz w:val="18"/>
                <w:szCs w:val="18"/>
                <w:highlight w:val="none"/>
              </w:rPr>
              <w:t>不按时报送的，每延期一天扣0.2-0.5分。</w:t>
            </w:r>
          </w:p>
        </w:tc>
        <w:tc>
          <w:tcPr>
            <w:tcW w:w="709" w:type="dxa"/>
            <w:tcBorders>
              <w:top w:val="single" w:color="auto" w:sz="4" w:space="0"/>
              <w:left w:val="nil"/>
              <w:bottom w:val="single" w:color="auto" w:sz="4" w:space="0"/>
              <w:right w:val="single" w:color="auto" w:sz="4" w:space="0"/>
            </w:tcBorders>
            <w:noWrap w:val="0"/>
            <w:vAlign w:val="center"/>
          </w:tcPr>
          <w:p w14:paraId="65C83372">
            <w:pPr>
              <w:spacing w:line="260" w:lineRule="exact"/>
              <w:jc w:val="center"/>
              <w:rPr>
                <w:rFonts w:ascii="宋体"/>
                <w:color w:val="auto"/>
                <w:sz w:val="18"/>
                <w:szCs w:val="18"/>
                <w:highlight w:val="none"/>
              </w:rPr>
            </w:pPr>
          </w:p>
        </w:tc>
      </w:tr>
      <w:tr w14:paraId="7E445AE1">
        <w:tblPrEx>
          <w:tblCellMar>
            <w:top w:w="0" w:type="dxa"/>
            <w:left w:w="108" w:type="dxa"/>
            <w:bottom w:w="0" w:type="dxa"/>
            <w:right w:w="108" w:type="dxa"/>
          </w:tblCellMar>
        </w:tblPrEx>
        <w:trPr>
          <w:cantSplit/>
        </w:trPr>
        <w:tc>
          <w:tcPr>
            <w:tcW w:w="419" w:type="dxa"/>
            <w:vMerge w:val="continue"/>
            <w:tcBorders>
              <w:top w:val="nil"/>
              <w:left w:val="single" w:color="auto" w:sz="4" w:space="0"/>
              <w:bottom w:val="single" w:color="auto" w:sz="4" w:space="0"/>
              <w:right w:val="single" w:color="auto" w:sz="4" w:space="0"/>
            </w:tcBorders>
            <w:noWrap w:val="0"/>
            <w:vAlign w:val="center"/>
          </w:tcPr>
          <w:p w14:paraId="79D108A7">
            <w:pPr>
              <w:widowControl/>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58D93F89">
            <w:pPr>
              <w:spacing w:line="260" w:lineRule="exact"/>
              <w:jc w:val="center"/>
              <w:rPr>
                <w:rFonts w:ascii="宋体" w:hAnsi="宋体"/>
                <w:color w:val="auto"/>
                <w:sz w:val="18"/>
                <w:szCs w:val="18"/>
                <w:highlight w:val="none"/>
              </w:rPr>
            </w:pPr>
            <w:r>
              <w:rPr>
                <w:rFonts w:hint="eastAsia" w:ascii="宋体" w:hAnsi="宋体"/>
                <w:color w:val="auto"/>
                <w:sz w:val="18"/>
                <w:szCs w:val="18"/>
                <w:highlight w:val="none"/>
              </w:rPr>
              <w:t>10</w:t>
            </w:r>
          </w:p>
        </w:tc>
        <w:tc>
          <w:tcPr>
            <w:tcW w:w="3149" w:type="dxa"/>
            <w:tcBorders>
              <w:top w:val="single" w:color="auto" w:sz="4" w:space="0"/>
              <w:left w:val="nil"/>
              <w:bottom w:val="single" w:color="auto" w:sz="4" w:space="0"/>
              <w:right w:val="single" w:color="auto" w:sz="4" w:space="0"/>
            </w:tcBorders>
            <w:noWrap w:val="0"/>
            <w:vAlign w:val="center"/>
          </w:tcPr>
          <w:p w14:paraId="38026ACB">
            <w:pPr>
              <w:spacing w:line="260" w:lineRule="exact"/>
              <w:jc w:val="left"/>
              <w:rPr>
                <w:rFonts w:ascii="宋体" w:hAnsi="宋体"/>
                <w:color w:val="auto"/>
                <w:sz w:val="18"/>
                <w:szCs w:val="18"/>
                <w:highlight w:val="none"/>
              </w:rPr>
            </w:pPr>
            <w:r>
              <w:rPr>
                <w:rFonts w:hint="eastAsia" w:ascii="宋体" w:hAnsi="宋体"/>
                <w:color w:val="auto"/>
                <w:sz w:val="18"/>
                <w:szCs w:val="18"/>
                <w:highlight w:val="none"/>
              </w:rPr>
              <w:t>其他未列举但涉及到安全或对园林景观有不良影响的</w:t>
            </w:r>
          </w:p>
        </w:tc>
        <w:tc>
          <w:tcPr>
            <w:tcW w:w="525" w:type="dxa"/>
            <w:tcBorders>
              <w:top w:val="single" w:color="auto" w:sz="4" w:space="0"/>
              <w:left w:val="nil"/>
              <w:bottom w:val="single" w:color="auto" w:sz="4" w:space="0"/>
              <w:right w:val="single" w:color="auto" w:sz="4" w:space="0"/>
            </w:tcBorders>
            <w:noWrap w:val="0"/>
            <w:vAlign w:val="center"/>
          </w:tcPr>
          <w:p w14:paraId="3FC13868">
            <w:pPr>
              <w:spacing w:line="260" w:lineRule="exact"/>
              <w:jc w:val="center"/>
              <w:rPr>
                <w:rFonts w:ascii="宋体" w:hAnsi="宋体"/>
                <w:color w:val="auto"/>
                <w:sz w:val="18"/>
                <w:szCs w:val="18"/>
                <w:highlight w:val="none"/>
              </w:rPr>
            </w:pPr>
          </w:p>
        </w:tc>
        <w:tc>
          <w:tcPr>
            <w:tcW w:w="3988" w:type="dxa"/>
            <w:tcBorders>
              <w:top w:val="single" w:color="auto" w:sz="4" w:space="0"/>
              <w:left w:val="nil"/>
              <w:bottom w:val="single" w:color="auto" w:sz="4" w:space="0"/>
              <w:right w:val="single" w:color="auto" w:sz="4" w:space="0"/>
            </w:tcBorders>
            <w:noWrap w:val="0"/>
            <w:vAlign w:val="center"/>
          </w:tcPr>
          <w:p w14:paraId="377F2A47">
            <w:pPr>
              <w:spacing w:line="260" w:lineRule="exact"/>
              <w:rPr>
                <w:rFonts w:ascii="宋体" w:hAnsi="宋体"/>
                <w:color w:val="auto"/>
                <w:sz w:val="18"/>
                <w:szCs w:val="18"/>
                <w:highlight w:val="none"/>
              </w:rPr>
            </w:pPr>
            <w:r>
              <w:rPr>
                <w:rFonts w:hint="eastAsia" w:ascii="宋体" w:hAnsi="宋体"/>
                <w:color w:val="auto"/>
                <w:sz w:val="18"/>
                <w:szCs w:val="18"/>
                <w:highlight w:val="none"/>
              </w:rPr>
              <w:t>由园容管理科视具体内容及扣分标准现场认定</w:t>
            </w:r>
          </w:p>
        </w:tc>
        <w:tc>
          <w:tcPr>
            <w:tcW w:w="709" w:type="dxa"/>
            <w:tcBorders>
              <w:top w:val="single" w:color="auto" w:sz="4" w:space="0"/>
              <w:left w:val="nil"/>
              <w:bottom w:val="single" w:color="auto" w:sz="4" w:space="0"/>
              <w:right w:val="single" w:color="auto" w:sz="4" w:space="0"/>
            </w:tcBorders>
            <w:noWrap w:val="0"/>
            <w:vAlign w:val="center"/>
          </w:tcPr>
          <w:p w14:paraId="18CD0EED">
            <w:pPr>
              <w:spacing w:line="260" w:lineRule="exact"/>
              <w:jc w:val="center"/>
              <w:rPr>
                <w:rFonts w:ascii="宋体"/>
                <w:color w:val="auto"/>
                <w:sz w:val="18"/>
                <w:szCs w:val="18"/>
                <w:highlight w:val="none"/>
              </w:rPr>
            </w:pPr>
          </w:p>
        </w:tc>
      </w:tr>
      <w:tr w14:paraId="77E9383D">
        <w:tblPrEx>
          <w:tblCellMar>
            <w:top w:w="0" w:type="dxa"/>
            <w:left w:w="108" w:type="dxa"/>
            <w:bottom w:w="0" w:type="dxa"/>
            <w:right w:w="108" w:type="dxa"/>
          </w:tblCellMar>
        </w:tblPrEx>
        <w:trPr>
          <w:trHeight w:val="467" w:hRule="atLeast"/>
        </w:trPr>
        <w:tc>
          <w:tcPr>
            <w:tcW w:w="839" w:type="dxa"/>
            <w:gridSpan w:val="2"/>
            <w:tcBorders>
              <w:top w:val="single" w:color="auto" w:sz="4" w:space="0"/>
              <w:left w:val="single" w:color="auto" w:sz="4" w:space="0"/>
              <w:bottom w:val="single" w:color="auto" w:sz="4" w:space="0"/>
              <w:right w:val="single" w:color="auto" w:sz="4" w:space="0"/>
            </w:tcBorders>
            <w:noWrap w:val="0"/>
            <w:vAlign w:val="top"/>
          </w:tcPr>
          <w:p w14:paraId="62A119D8">
            <w:pPr>
              <w:spacing w:line="260" w:lineRule="exact"/>
              <w:jc w:val="center"/>
              <w:rPr>
                <w:rFonts w:ascii="宋体"/>
                <w:color w:val="auto"/>
                <w:sz w:val="18"/>
                <w:szCs w:val="18"/>
                <w:highlight w:val="none"/>
              </w:rPr>
            </w:pPr>
            <w:r>
              <w:rPr>
                <w:rFonts w:hint="eastAsia" w:ascii="宋体" w:hAnsi="宋体"/>
                <w:color w:val="auto"/>
                <w:sz w:val="18"/>
                <w:szCs w:val="18"/>
                <w:highlight w:val="none"/>
              </w:rPr>
              <w:t>合计</w:t>
            </w:r>
          </w:p>
        </w:tc>
        <w:tc>
          <w:tcPr>
            <w:tcW w:w="3149" w:type="dxa"/>
            <w:tcBorders>
              <w:top w:val="single" w:color="auto" w:sz="4" w:space="0"/>
              <w:left w:val="nil"/>
              <w:bottom w:val="single" w:color="auto" w:sz="4" w:space="0"/>
              <w:right w:val="single" w:color="auto" w:sz="4" w:space="0"/>
            </w:tcBorders>
            <w:noWrap w:val="0"/>
            <w:vAlign w:val="center"/>
          </w:tcPr>
          <w:p w14:paraId="7689A1CE">
            <w:pPr>
              <w:spacing w:line="260" w:lineRule="exact"/>
              <w:jc w:val="center"/>
              <w:rPr>
                <w:rFonts w:ascii="宋体"/>
                <w:color w:val="auto"/>
                <w:sz w:val="18"/>
                <w:szCs w:val="18"/>
                <w:highlight w:val="none"/>
              </w:rPr>
            </w:pPr>
          </w:p>
        </w:tc>
        <w:tc>
          <w:tcPr>
            <w:tcW w:w="525" w:type="dxa"/>
            <w:tcBorders>
              <w:top w:val="single" w:color="auto" w:sz="4" w:space="0"/>
              <w:left w:val="nil"/>
              <w:bottom w:val="single" w:color="auto" w:sz="4" w:space="0"/>
              <w:right w:val="single" w:color="auto" w:sz="4" w:space="0"/>
            </w:tcBorders>
            <w:noWrap w:val="0"/>
            <w:vAlign w:val="center"/>
          </w:tcPr>
          <w:p w14:paraId="4414B6D3">
            <w:pPr>
              <w:spacing w:line="260" w:lineRule="exact"/>
              <w:jc w:val="center"/>
              <w:rPr>
                <w:rFonts w:ascii="宋体"/>
                <w:color w:val="auto"/>
                <w:sz w:val="18"/>
                <w:szCs w:val="18"/>
                <w:highlight w:val="none"/>
              </w:rPr>
            </w:pPr>
            <w:r>
              <w:rPr>
                <w:rFonts w:hint="eastAsia" w:ascii="宋体" w:hAnsi="宋体"/>
                <w:color w:val="auto"/>
                <w:sz w:val="18"/>
                <w:szCs w:val="18"/>
                <w:highlight w:val="none"/>
              </w:rPr>
              <w:t>100</w:t>
            </w:r>
          </w:p>
        </w:tc>
        <w:tc>
          <w:tcPr>
            <w:tcW w:w="3988" w:type="dxa"/>
            <w:tcBorders>
              <w:top w:val="single" w:color="auto" w:sz="4" w:space="0"/>
              <w:left w:val="nil"/>
              <w:bottom w:val="single" w:color="auto" w:sz="4" w:space="0"/>
              <w:right w:val="single" w:color="auto" w:sz="4" w:space="0"/>
            </w:tcBorders>
            <w:noWrap w:val="0"/>
            <w:vAlign w:val="center"/>
          </w:tcPr>
          <w:p w14:paraId="14FBB5FA">
            <w:pPr>
              <w:spacing w:line="260" w:lineRule="exact"/>
              <w:rPr>
                <w:rFonts w:ascii="宋体"/>
                <w:color w:val="auto"/>
                <w:sz w:val="18"/>
                <w:szCs w:val="18"/>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EEC5096">
            <w:pPr>
              <w:spacing w:line="260" w:lineRule="exact"/>
              <w:jc w:val="center"/>
              <w:rPr>
                <w:rFonts w:ascii="宋体"/>
                <w:color w:val="auto"/>
                <w:sz w:val="18"/>
                <w:szCs w:val="18"/>
                <w:highlight w:val="none"/>
              </w:rPr>
            </w:pPr>
          </w:p>
        </w:tc>
      </w:tr>
      <w:tr w14:paraId="4A1A276A">
        <w:tblPrEx>
          <w:tblCellMar>
            <w:top w:w="0" w:type="dxa"/>
            <w:left w:w="108" w:type="dxa"/>
            <w:bottom w:w="0" w:type="dxa"/>
            <w:right w:w="108" w:type="dxa"/>
          </w:tblCellMar>
        </w:tblPrEx>
        <w:trPr>
          <w:trHeight w:val="426" w:hRule="atLeast"/>
        </w:trPr>
        <w:tc>
          <w:tcPr>
            <w:tcW w:w="9210" w:type="dxa"/>
            <w:gridSpan w:val="6"/>
            <w:tcBorders>
              <w:top w:val="single" w:color="auto" w:sz="4" w:space="0"/>
              <w:left w:val="single" w:color="auto" w:sz="4" w:space="0"/>
              <w:bottom w:val="single" w:color="auto" w:sz="4" w:space="0"/>
              <w:right w:val="single" w:color="auto" w:sz="4" w:space="0"/>
            </w:tcBorders>
            <w:noWrap w:val="0"/>
            <w:vAlign w:val="top"/>
          </w:tcPr>
          <w:p w14:paraId="49054549">
            <w:pPr>
              <w:spacing w:line="260" w:lineRule="exact"/>
              <w:rPr>
                <w:rFonts w:ascii="宋体"/>
                <w:color w:val="auto"/>
                <w:sz w:val="18"/>
                <w:szCs w:val="18"/>
                <w:highlight w:val="none"/>
              </w:rPr>
            </w:pPr>
            <w:r>
              <w:rPr>
                <w:rFonts w:hint="eastAsia" w:ascii="宋体" w:hAnsi="宋体"/>
                <w:color w:val="auto"/>
                <w:sz w:val="18"/>
                <w:szCs w:val="18"/>
                <w:highlight w:val="none"/>
              </w:rPr>
              <w:t>其他管养工作：</w:t>
            </w:r>
          </w:p>
        </w:tc>
      </w:tr>
    </w:tbl>
    <w:p w14:paraId="61080031">
      <w:pPr>
        <w:spacing w:line="400" w:lineRule="exact"/>
        <w:rPr>
          <w:color w:val="auto"/>
          <w:szCs w:val="21"/>
          <w:highlight w:val="none"/>
        </w:rPr>
      </w:pPr>
      <w:r>
        <w:rPr>
          <w:rFonts w:hint="eastAsia" w:ascii="宋体" w:hAnsi="宋体"/>
          <w:color w:val="auto"/>
          <w:szCs w:val="21"/>
          <w:highlight w:val="none"/>
        </w:rPr>
        <w:t>园容科技术员：                               养护公司技术员：</w:t>
      </w:r>
    </w:p>
    <w:p w14:paraId="02D686A0">
      <w:pPr>
        <w:spacing w:line="400" w:lineRule="exact"/>
        <w:rPr>
          <w:rFonts w:ascii="宋体"/>
          <w:b/>
          <w:bCs/>
          <w:color w:val="auto"/>
          <w:highlight w:val="none"/>
        </w:rPr>
      </w:pPr>
      <w:r>
        <w:rPr>
          <w:rFonts w:hint="eastAsia" w:ascii="宋体" w:hAnsi="宋体"/>
          <w:b/>
          <w:bCs/>
          <w:color w:val="auto"/>
          <w:highlight w:val="none"/>
        </w:rPr>
        <w:t xml:space="preserve">备注：                                                                                                                                                                                                                                                                                                                                                                                                                                                                                                                                                                                                                                                                                                                                                                                                                                                                                                                                                                                                                                                                                                                                                                                                                                                                                                                                                                                                                                                                                                                                                                                                                                                                                                                                                                                                                                                                                                                                                                                                                                                                                                                                                                                                                                                                                                                                                                                                                                                                                                                                                                                                                                                                                                                                                                                                                                                                                                                                                                                                                                                                                                                                                                                                                         </w:t>
      </w:r>
    </w:p>
    <w:p w14:paraId="577C6D78">
      <w:pPr>
        <w:spacing w:line="400" w:lineRule="exact"/>
        <w:ind w:firstLine="420" w:firstLineChars="200"/>
        <w:rPr>
          <w:rFonts w:ascii="宋体"/>
          <w:color w:val="auto"/>
          <w:highlight w:val="none"/>
        </w:rPr>
      </w:pPr>
      <w:r>
        <w:rPr>
          <w:rFonts w:hint="eastAsia" w:ascii="宋体" w:hAnsi="宋体"/>
          <w:color w:val="auto"/>
          <w:kern w:val="0"/>
          <w:highlight w:val="none"/>
        </w:rPr>
        <w:t>1.考核评分满分为100分，</w:t>
      </w:r>
      <w:r>
        <w:rPr>
          <w:rFonts w:hint="eastAsia" w:ascii="宋体" w:hAnsi="宋体"/>
          <w:color w:val="auto"/>
          <w:highlight w:val="none"/>
        </w:rPr>
        <w:t>人员、养护内容及要求均列入考核范围，按要求进行考核</w:t>
      </w:r>
      <w:r>
        <w:rPr>
          <w:rFonts w:hint="eastAsia" w:ascii="宋体" w:hAnsi="宋体"/>
          <w:color w:val="auto"/>
          <w:kern w:val="0"/>
          <w:highlight w:val="none"/>
        </w:rPr>
        <w:t>。</w:t>
      </w:r>
    </w:p>
    <w:p w14:paraId="20F8D6B5">
      <w:pPr>
        <w:spacing w:line="400" w:lineRule="exact"/>
        <w:ind w:firstLine="420" w:firstLineChars="200"/>
        <w:rPr>
          <w:color w:val="auto"/>
          <w:highlight w:val="none"/>
        </w:rPr>
      </w:pPr>
      <w:r>
        <w:rPr>
          <w:color w:val="auto"/>
          <w:highlight w:val="none"/>
        </w:rPr>
        <w:t>2.日常检查、平时公园不定期抽查发现问题，能认真对待、及时整改的，不作扣分处理，整改期限内同一地点同一事项不再重复扣分</w:t>
      </w:r>
      <w:r>
        <w:rPr>
          <w:rFonts w:hint="eastAsia"/>
          <w:color w:val="auto"/>
          <w:highlight w:val="none"/>
        </w:rPr>
        <w:t>；</w:t>
      </w:r>
      <w:r>
        <w:rPr>
          <w:color w:val="auto"/>
          <w:highlight w:val="none"/>
        </w:rPr>
        <w:t>在问题整改期间，如其他地方出现类似问题的，则按未整改扣分。不整改或不按时按质按量完成整改的，作扣分处理并计入月度考核。</w:t>
      </w:r>
    </w:p>
    <w:p w14:paraId="5581D123">
      <w:pPr>
        <w:spacing w:line="400" w:lineRule="exact"/>
        <w:ind w:firstLine="420" w:firstLineChars="200"/>
        <w:rPr>
          <w:color w:val="auto"/>
          <w:highlight w:val="none"/>
        </w:rPr>
      </w:pPr>
      <w:r>
        <w:rPr>
          <w:color w:val="auto"/>
          <w:highlight w:val="none"/>
        </w:rPr>
        <w:t>3.</w:t>
      </w:r>
      <w:r>
        <w:rPr>
          <w:rFonts w:hint="eastAsia" w:ascii="宋体" w:hAnsi="宋体"/>
          <w:color w:val="auto"/>
          <w:highlight w:val="none"/>
        </w:rPr>
        <w:t>一般扣分情况整改期限规定：</w:t>
      </w:r>
    </w:p>
    <w:p w14:paraId="03EC9F52">
      <w:pPr>
        <w:spacing w:line="400" w:lineRule="exact"/>
        <w:ind w:firstLine="210" w:firstLineChars="100"/>
        <w:rPr>
          <w:color w:val="auto"/>
          <w:highlight w:val="none"/>
        </w:rPr>
      </w:pPr>
      <w:bookmarkStart w:id="25" w:name="_Toc186728987"/>
      <w:bookmarkStart w:id="26" w:name="_Toc185611657"/>
      <w:bookmarkStart w:id="27" w:name="_Toc185611589"/>
      <w:r>
        <w:rPr>
          <w:rFonts w:hint="eastAsia"/>
          <w:color w:val="auto"/>
          <w:highlight w:val="none"/>
        </w:rPr>
        <w:t>（1）违反安全操作规程、有安全隐患的情况立即整改；</w:t>
      </w:r>
    </w:p>
    <w:p w14:paraId="5E995823">
      <w:pPr>
        <w:spacing w:line="400" w:lineRule="exact"/>
        <w:ind w:firstLine="210" w:firstLineChars="100"/>
        <w:rPr>
          <w:color w:val="auto"/>
          <w:highlight w:val="none"/>
        </w:rPr>
      </w:pPr>
      <w:r>
        <w:rPr>
          <w:rFonts w:hint="eastAsia"/>
          <w:color w:val="auto"/>
          <w:highlight w:val="none"/>
        </w:rPr>
        <w:t>（2）水电设施损坏整改时限为0.5个小时至1天；</w:t>
      </w:r>
    </w:p>
    <w:p w14:paraId="21AB3580">
      <w:pPr>
        <w:spacing w:line="400" w:lineRule="exact"/>
        <w:ind w:firstLine="210" w:firstLineChars="100"/>
        <w:rPr>
          <w:color w:val="auto"/>
          <w:highlight w:val="none"/>
        </w:rPr>
      </w:pPr>
      <w:r>
        <w:rPr>
          <w:rFonts w:hint="eastAsia"/>
          <w:color w:val="auto"/>
          <w:highlight w:val="none"/>
        </w:rPr>
        <w:t>（3）倒伏树木的整改时限为0.5-3天，但重要节点位置的，须立即整改；</w:t>
      </w:r>
    </w:p>
    <w:p w14:paraId="7A0D5816">
      <w:pPr>
        <w:spacing w:line="400" w:lineRule="exact"/>
        <w:ind w:firstLine="210" w:firstLineChars="100"/>
        <w:rPr>
          <w:color w:val="auto"/>
          <w:highlight w:val="none"/>
        </w:rPr>
      </w:pPr>
      <w:r>
        <w:rPr>
          <w:rFonts w:hint="eastAsia"/>
          <w:color w:val="auto"/>
          <w:highlight w:val="none"/>
        </w:rPr>
        <w:t>（4）病虫害防治的整改时限为0.5-5天；</w:t>
      </w:r>
    </w:p>
    <w:p w14:paraId="2DDE6331">
      <w:pPr>
        <w:spacing w:line="400" w:lineRule="exact"/>
        <w:ind w:firstLine="210" w:firstLineChars="100"/>
        <w:rPr>
          <w:color w:val="auto"/>
          <w:highlight w:val="none"/>
        </w:rPr>
      </w:pPr>
      <w:r>
        <w:rPr>
          <w:rFonts w:hint="eastAsia"/>
          <w:color w:val="auto"/>
          <w:highlight w:val="none"/>
        </w:rPr>
        <w:t>（5）杂草整改时限为0.5-3天；</w:t>
      </w:r>
    </w:p>
    <w:p w14:paraId="08ED4DE1">
      <w:pPr>
        <w:spacing w:line="400" w:lineRule="exact"/>
        <w:ind w:firstLine="210" w:firstLineChars="100"/>
        <w:rPr>
          <w:color w:val="auto"/>
          <w:highlight w:val="none"/>
        </w:rPr>
      </w:pPr>
      <w:r>
        <w:rPr>
          <w:rFonts w:hint="eastAsia"/>
          <w:color w:val="auto"/>
          <w:highlight w:val="none"/>
        </w:rPr>
        <w:t>（6）非自然倾斜树木、死株的整改时限为0.5-5天；</w:t>
      </w:r>
    </w:p>
    <w:p w14:paraId="26EFA4DC">
      <w:pPr>
        <w:spacing w:line="400" w:lineRule="exact"/>
        <w:ind w:firstLine="210" w:firstLineChars="100"/>
        <w:rPr>
          <w:color w:val="auto"/>
          <w:highlight w:val="none"/>
        </w:rPr>
      </w:pPr>
      <w:r>
        <w:rPr>
          <w:rFonts w:hint="eastAsia"/>
          <w:color w:val="auto"/>
          <w:highlight w:val="none"/>
        </w:rPr>
        <w:t>（7）园林设施破损整改时限为0.5-5天；</w:t>
      </w:r>
    </w:p>
    <w:p w14:paraId="25E5970C">
      <w:pPr>
        <w:spacing w:line="400" w:lineRule="exact"/>
        <w:ind w:firstLine="210" w:firstLineChars="100"/>
        <w:rPr>
          <w:color w:val="auto"/>
          <w:highlight w:val="none"/>
        </w:rPr>
      </w:pPr>
      <w:r>
        <w:rPr>
          <w:rFonts w:hint="eastAsia"/>
          <w:color w:val="auto"/>
          <w:highlight w:val="none"/>
        </w:rPr>
        <w:t>（8）黄土裸露整改时限为0.5-7天；</w:t>
      </w:r>
    </w:p>
    <w:p w14:paraId="43CE139C">
      <w:pPr>
        <w:spacing w:line="400" w:lineRule="exact"/>
        <w:ind w:firstLine="210" w:firstLineChars="100"/>
        <w:rPr>
          <w:color w:val="auto"/>
          <w:highlight w:val="none"/>
        </w:rPr>
      </w:pPr>
      <w:r>
        <w:rPr>
          <w:rFonts w:hint="eastAsia"/>
          <w:color w:val="auto"/>
          <w:highlight w:val="none"/>
        </w:rPr>
        <w:t>（9）工具房、管理用房整改时限为0.5-10天。</w:t>
      </w:r>
    </w:p>
    <w:p w14:paraId="60944CFD">
      <w:pPr>
        <w:spacing w:line="400" w:lineRule="exact"/>
        <w:ind w:firstLine="630" w:firstLineChars="300"/>
        <w:rPr>
          <w:color w:val="auto"/>
          <w:highlight w:val="none"/>
        </w:rPr>
      </w:pPr>
      <w:r>
        <w:rPr>
          <w:rFonts w:hint="eastAsia"/>
          <w:color w:val="auto"/>
          <w:highlight w:val="none"/>
        </w:rPr>
        <w:t>以上整改时限检查人员可视具体时间、具体位置及工作量进行调整，未列明的整改事项可根据实际情况确定。</w:t>
      </w:r>
    </w:p>
    <w:bookmarkEnd w:id="25"/>
    <w:bookmarkEnd w:id="26"/>
    <w:bookmarkEnd w:id="27"/>
    <w:p w14:paraId="3BE53BAF">
      <w:pPr>
        <w:spacing w:line="400" w:lineRule="exact"/>
        <w:rPr>
          <w:rFonts w:ascii="宋体"/>
          <w:color w:val="auto"/>
          <w:highlight w:val="none"/>
        </w:rPr>
      </w:pPr>
    </w:p>
    <w:p w14:paraId="4E891139">
      <w:pPr>
        <w:spacing w:line="400" w:lineRule="exact"/>
        <w:rPr>
          <w:rFonts w:ascii="宋体"/>
          <w:color w:val="auto"/>
          <w:highlight w:val="none"/>
        </w:rPr>
      </w:pPr>
    </w:p>
    <w:p w14:paraId="4488BADB">
      <w:pPr>
        <w:spacing w:line="360" w:lineRule="auto"/>
        <w:rPr>
          <w:rFonts w:ascii="黑体" w:hAnsi="黑体" w:eastAsia="黑体" w:cs="宋体"/>
          <w:bCs/>
          <w:color w:val="auto"/>
          <w:sz w:val="30"/>
          <w:szCs w:val="30"/>
          <w:highlight w:val="none"/>
        </w:rPr>
      </w:pPr>
    </w:p>
    <w:p w14:paraId="292FFA89">
      <w:pPr>
        <w:rPr>
          <w:rFonts w:hint="eastAsia" w:ascii="宋体" w:hAnsi="宋体" w:eastAsia="宋体" w:cs="宋体"/>
          <w:b/>
          <w:bCs w:val="0"/>
          <w:color w:val="auto"/>
          <w:sz w:val="24"/>
          <w:szCs w:val="24"/>
          <w:highlight w:val="none"/>
          <w:lang w:val="en-US" w:eastAsia="zh-CN"/>
        </w:rPr>
      </w:pPr>
      <w:r>
        <w:rPr>
          <w:rFonts w:ascii="黑体" w:hAnsi="黑体" w:eastAsia="黑体" w:cs="宋体"/>
          <w:bCs/>
          <w:color w:val="auto"/>
          <w:sz w:val="30"/>
          <w:szCs w:val="30"/>
          <w:highlight w:val="none"/>
        </w:rPr>
        <w:br w:type="page"/>
      </w:r>
      <w:r>
        <w:rPr>
          <w:rFonts w:hint="eastAsia" w:ascii="宋体" w:hAnsi="宋体" w:eastAsia="宋体" w:cs="宋体"/>
          <w:b/>
          <w:bCs w:val="0"/>
          <w:color w:val="auto"/>
          <w:sz w:val="24"/>
          <w:szCs w:val="24"/>
          <w:highlight w:val="none"/>
          <w:lang w:val="en-US" w:eastAsia="zh-CN"/>
        </w:rPr>
        <w:t>附件3-2-5</w:t>
      </w:r>
    </w:p>
    <w:p w14:paraId="50F7DE54">
      <w:pPr>
        <w:jc w:val="center"/>
        <w:rPr>
          <w:rFonts w:ascii="Calibri" w:hAnsi="宋体"/>
          <w:color w:val="auto"/>
          <w:sz w:val="32"/>
          <w:szCs w:val="32"/>
          <w:highlight w:val="none"/>
        </w:rPr>
      </w:pPr>
      <w:r>
        <w:rPr>
          <w:rFonts w:hint="eastAsia" w:ascii="宋体" w:hAnsi="宋体"/>
          <w:b/>
          <w:bCs/>
          <w:color w:val="auto"/>
          <w:sz w:val="32"/>
          <w:szCs w:val="32"/>
          <w:highlight w:val="none"/>
        </w:rPr>
        <w:t>南宁市金花茶公园绿化养护月度检查考核评分表</w:t>
      </w:r>
    </w:p>
    <w:p w14:paraId="426FF09B">
      <w:pPr>
        <w:jc w:val="left"/>
        <w:rPr>
          <w:b/>
          <w:bCs/>
          <w:color w:val="auto"/>
          <w:sz w:val="15"/>
          <w:szCs w:val="15"/>
          <w:highlight w:val="none"/>
        </w:rPr>
      </w:pPr>
    </w:p>
    <w:tbl>
      <w:tblPr>
        <w:tblStyle w:val="22"/>
        <w:tblW w:w="9315" w:type="dxa"/>
        <w:tblInd w:w="0" w:type="dxa"/>
        <w:tblLayout w:type="fixed"/>
        <w:tblCellMar>
          <w:top w:w="0" w:type="dxa"/>
          <w:left w:w="108" w:type="dxa"/>
          <w:bottom w:w="0" w:type="dxa"/>
          <w:right w:w="108" w:type="dxa"/>
        </w:tblCellMar>
      </w:tblPr>
      <w:tblGrid>
        <w:gridCol w:w="419"/>
        <w:gridCol w:w="630"/>
        <w:gridCol w:w="3132"/>
        <w:gridCol w:w="991"/>
        <w:gridCol w:w="1275"/>
        <w:gridCol w:w="54"/>
        <w:gridCol w:w="87"/>
        <w:gridCol w:w="194"/>
        <w:gridCol w:w="315"/>
        <w:gridCol w:w="703"/>
        <w:gridCol w:w="32"/>
        <w:gridCol w:w="16"/>
        <w:gridCol w:w="1467"/>
      </w:tblGrid>
      <w:tr w14:paraId="65D5346A">
        <w:tblPrEx>
          <w:tblCellMar>
            <w:top w:w="0" w:type="dxa"/>
            <w:left w:w="108" w:type="dxa"/>
            <w:bottom w:w="0" w:type="dxa"/>
            <w:right w:w="108" w:type="dxa"/>
          </w:tblCellMar>
        </w:tblPrEx>
        <w:trPr>
          <w:cantSplit/>
          <w:trHeight w:val="452" w:hRule="atLeast"/>
        </w:trPr>
        <w:tc>
          <w:tcPr>
            <w:tcW w:w="419" w:type="dxa"/>
            <w:tcBorders>
              <w:top w:val="single" w:color="auto" w:sz="4" w:space="0"/>
              <w:left w:val="single" w:color="auto" w:sz="4" w:space="0"/>
              <w:bottom w:val="single" w:color="auto" w:sz="4" w:space="0"/>
              <w:right w:val="single" w:color="auto" w:sz="4" w:space="0"/>
            </w:tcBorders>
            <w:noWrap w:val="0"/>
            <w:vAlign w:val="center"/>
          </w:tcPr>
          <w:p w14:paraId="6BCFDEF1">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项目</w:t>
            </w:r>
          </w:p>
        </w:tc>
        <w:tc>
          <w:tcPr>
            <w:tcW w:w="630" w:type="dxa"/>
            <w:tcBorders>
              <w:top w:val="single" w:color="auto" w:sz="4" w:space="0"/>
              <w:left w:val="nil"/>
              <w:bottom w:val="single" w:color="auto" w:sz="4" w:space="0"/>
              <w:right w:val="single" w:color="auto" w:sz="4" w:space="0"/>
            </w:tcBorders>
            <w:noWrap w:val="0"/>
            <w:vAlign w:val="center"/>
          </w:tcPr>
          <w:p w14:paraId="45C1D745">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条款</w:t>
            </w:r>
          </w:p>
        </w:tc>
        <w:tc>
          <w:tcPr>
            <w:tcW w:w="3132" w:type="dxa"/>
            <w:tcBorders>
              <w:top w:val="single" w:color="auto" w:sz="4" w:space="0"/>
              <w:left w:val="nil"/>
              <w:bottom w:val="single" w:color="auto" w:sz="4" w:space="0"/>
              <w:right w:val="single" w:color="auto" w:sz="4" w:space="0"/>
            </w:tcBorders>
            <w:noWrap w:val="0"/>
            <w:vAlign w:val="center"/>
          </w:tcPr>
          <w:p w14:paraId="0AFEFCEA">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内</w:t>
            </w:r>
            <w:r>
              <w:rPr>
                <w:b/>
                <w:bCs/>
                <w:color w:val="auto"/>
                <w:sz w:val="18"/>
                <w:szCs w:val="18"/>
                <w:highlight w:val="none"/>
              </w:rPr>
              <w:t> </w:t>
            </w:r>
            <w:r>
              <w:rPr>
                <w:rFonts w:hint="eastAsia" w:ascii="宋体" w:hAnsi="宋体"/>
                <w:b/>
                <w:bCs/>
                <w:color w:val="auto"/>
                <w:sz w:val="18"/>
                <w:szCs w:val="18"/>
                <w:highlight w:val="none"/>
              </w:rPr>
              <w:t>容</w:t>
            </w:r>
          </w:p>
        </w:tc>
        <w:tc>
          <w:tcPr>
            <w:tcW w:w="991" w:type="dxa"/>
            <w:tcBorders>
              <w:top w:val="single" w:color="auto" w:sz="4" w:space="0"/>
              <w:left w:val="nil"/>
              <w:bottom w:val="single" w:color="auto" w:sz="4" w:space="0"/>
              <w:right w:val="single" w:color="auto" w:sz="4" w:space="0"/>
            </w:tcBorders>
            <w:noWrap w:val="0"/>
            <w:vAlign w:val="center"/>
          </w:tcPr>
          <w:p w14:paraId="15195521">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单位</w:t>
            </w:r>
          </w:p>
        </w:tc>
        <w:tc>
          <w:tcPr>
            <w:tcW w:w="2660" w:type="dxa"/>
            <w:gridSpan w:val="7"/>
            <w:tcBorders>
              <w:top w:val="single" w:color="auto" w:sz="4" w:space="0"/>
              <w:left w:val="nil"/>
              <w:bottom w:val="single" w:color="auto" w:sz="4" w:space="0"/>
              <w:right w:val="single" w:color="auto" w:sz="4" w:space="0"/>
            </w:tcBorders>
            <w:noWrap w:val="0"/>
            <w:vAlign w:val="center"/>
          </w:tcPr>
          <w:p w14:paraId="74144F0B">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扣分标准</w:t>
            </w:r>
          </w:p>
        </w:tc>
        <w:tc>
          <w:tcPr>
            <w:tcW w:w="1483" w:type="dxa"/>
            <w:gridSpan w:val="2"/>
            <w:tcBorders>
              <w:top w:val="single" w:color="auto" w:sz="4" w:space="0"/>
              <w:left w:val="nil"/>
              <w:bottom w:val="single" w:color="auto" w:sz="4" w:space="0"/>
              <w:right w:val="single" w:color="auto" w:sz="4" w:space="0"/>
            </w:tcBorders>
            <w:noWrap w:val="0"/>
            <w:vAlign w:val="center"/>
          </w:tcPr>
          <w:p w14:paraId="1FD0173C">
            <w:pPr>
              <w:spacing w:line="240" w:lineRule="exact"/>
              <w:jc w:val="center"/>
              <w:rPr>
                <w:rFonts w:ascii="宋体"/>
                <w:b/>
                <w:bCs/>
                <w:color w:val="auto"/>
                <w:sz w:val="18"/>
                <w:szCs w:val="18"/>
                <w:highlight w:val="none"/>
              </w:rPr>
            </w:pPr>
            <w:r>
              <w:rPr>
                <w:rFonts w:hint="eastAsia" w:ascii="宋体" w:hAnsi="宋体"/>
                <w:b/>
                <w:bCs/>
                <w:color w:val="auto"/>
                <w:sz w:val="18"/>
                <w:szCs w:val="18"/>
                <w:highlight w:val="none"/>
              </w:rPr>
              <w:t>扣分</w:t>
            </w:r>
          </w:p>
        </w:tc>
      </w:tr>
      <w:tr w14:paraId="7D3E3B02">
        <w:tblPrEx>
          <w:tblCellMar>
            <w:top w:w="0" w:type="dxa"/>
            <w:left w:w="108" w:type="dxa"/>
            <w:bottom w:w="0" w:type="dxa"/>
            <w:right w:w="108" w:type="dxa"/>
          </w:tblCellMar>
        </w:tblPrEx>
        <w:trPr>
          <w:cantSplit/>
          <w:trHeight w:val="452" w:hRule="atLeast"/>
        </w:trPr>
        <w:tc>
          <w:tcPr>
            <w:tcW w:w="419" w:type="dxa"/>
            <w:vMerge w:val="restart"/>
            <w:tcBorders>
              <w:top w:val="nil"/>
              <w:left w:val="single" w:color="auto" w:sz="4" w:space="0"/>
              <w:bottom w:val="single" w:color="auto" w:sz="4" w:space="0"/>
              <w:right w:val="single" w:color="auto" w:sz="4" w:space="0"/>
            </w:tcBorders>
            <w:noWrap w:val="0"/>
            <w:vAlign w:val="center"/>
          </w:tcPr>
          <w:p w14:paraId="44FF84AC">
            <w:pPr>
              <w:spacing w:line="240" w:lineRule="exact"/>
              <w:rPr>
                <w:rFonts w:ascii="宋体"/>
                <w:color w:val="auto"/>
                <w:sz w:val="18"/>
                <w:szCs w:val="18"/>
                <w:highlight w:val="none"/>
              </w:rPr>
            </w:pPr>
            <w:r>
              <w:rPr>
                <w:rFonts w:hint="eastAsia" w:ascii="宋体" w:hAnsi="宋体"/>
                <w:color w:val="auto"/>
                <w:sz w:val="18"/>
                <w:szCs w:val="18"/>
                <w:highlight w:val="none"/>
              </w:rPr>
              <w:t>一</w:t>
            </w:r>
          </w:p>
          <w:p w14:paraId="6F08DE30">
            <w:pPr>
              <w:spacing w:line="240" w:lineRule="exact"/>
              <w:rPr>
                <w:rFonts w:ascii="宋体"/>
                <w:color w:val="auto"/>
                <w:sz w:val="18"/>
                <w:szCs w:val="18"/>
                <w:highlight w:val="none"/>
              </w:rPr>
            </w:pPr>
          </w:p>
          <w:p w14:paraId="2C9A5CE0">
            <w:pPr>
              <w:spacing w:line="240" w:lineRule="exact"/>
              <w:rPr>
                <w:rFonts w:ascii="Calibri" w:hAnsi="Calibri"/>
                <w:color w:val="auto"/>
                <w:sz w:val="18"/>
                <w:szCs w:val="18"/>
                <w:highlight w:val="none"/>
              </w:rPr>
            </w:pPr>
            <w:r>
              <w:rPr>
                <w:rFonts w:hint="eastAsia" w:ascii="宋体" w:hAnsi="宋体"/>
                <w:color w:val="auto"/>
                <w:sz w:val="18"/>
                <w:szCs w:val="18"/>
                <w:highlight w:val="none"/>
              </w:rPr>
              <w:t>人力、物力投入和管理</w:t>
            </w:r>
          </w:p>
        </w:tc>
        <w:tc>
          <w:tcPr>
            <w:tcW w:w="630" w:type="dxa"/>
            <w:tcBorders>
              <w:top w:val="single" w:color="auto" w:sz="4" w:space="0"/>
              <w:left w:val="nil"/>
              <w:bottom w:val="single" w:color="auto" w:sz="4" w:space="0"/>
              <w:right w:val="single" w:color="auto" w:sz="4" w:space="0"/>
            </w:tcBorders>
            <w:noWrap w:val="0"/>
            <w:vAlign w:val="center"/>
          </w:tcPr>
          <w:p w14:paraId="42B9B3DF">
            <w:pPr>
              <w:spacing w:line="240" w:lineRule="exact"/>
              <w:jc w:val="center"/>
              <w:rPr>
                <w:rFonts w:ascii="Calibri" w:hAnsi="Calibri"/>
                <w:b/>
                <w:bCs/>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w:t>
            </w:r>
          </w:p>
        </w:tc>
        <w:tc>
          <w:tcPr>
            <w:tcW w:w="3132" w:type="dxa"/>
            <w:tcBorders>
              <w:top w:val="single" w:color="auto" w:sz="4" w:space="0"/>
              <w:left w:val="nil"/>
              <w:bottom w:val="single" w:color="auto" w:sz="4" w:space="0"/>
              <w:right w:val="single" w:color="auto" w:sz="4" w:space="0"/>
            </w:tcBorders>
            <w:noWrap w:val="0"/>
            <w:vAlign w:val="center"/>
          </w:tcPr>
          <w:p w14:paraId="51C48209">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全月一线养护人员总出工数未按投标文件的要求到位或人员数量弄虚作假</w:t>
            </w:r>
            <w:r>
              <w:rPr>
                <w:color w:val="auto"/>
                <w:sz w:val="18"/>
                <w:szCs w:val="18"/>
                <w:highlight w:val="none"/>
              </w:rPr>
              <w:t> </w:t>
            </w:r>
          </w:p>
        </w:tc>
        <w:tc>
          <w:tcPr>
            <w:tcW w:w="991" w:type="dxa"/>
            <w:tcBorders>
              <w:top w:val="single" w:color="auto" w:sz="4" w:space="0"/>
              <w:left w:val="nil"/>
              <w:bottom w:val="single" w:color="auto" w:sz="4" w:space="0"/>
              <w:right w:val="single" w:color="auto" w:sz="4" w:space="0"/>
            </w:tcBorders>
            <w:noWrap w:val="0"/>
            <w:vAlign w:val="center"/>
          </w:tcPr>
          <w:p w14:paraId="14080DF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每工日</w:t>
            </w:r>
          </w:p>
        </w:tc>
        <w:tc>
          <w:tcPr>
            <w:tcW w:w="2660" w:type="dxa"/>
            <w:gridSpan w:val="7"/>
            <w:tcBorders>
              <w:top w:val="single" w:color="auto" w:sz="4" w:space="0"/>
              <w:left w:val="nil"/>
              <w:bottom w:val="single" w:color="auto" w:sz="4" w:space="0"/>
              <w:right w:val="single" w:color="auto" w:sz="4" w:space="0"/>
            </w:tcBorders>
            <w:noWrap w:val="0"/>
            <w:vAlign w:val="center"/>
          </w:tcPr>
          <w:p w14:paraId="72020DC4">
            <w:pPr>
              <w:spacing w:line="240" w:lineRule="exact"/>
              <w:jc w:val="center"/>
              <w:rPr>
                <w:color w:val="auto"/>
                <w:sz w:val="18"/>
                <w:szCs w:val="18"/>
                <w:highlight w:val="none"/>
              </w:rPr>
            </w:pPr>
            <w:r>
              <w:rPr>
                <w:rFonts w:hint="eastAsia" w:ascii="宋体" w:hAnsi="宋体"/>
                <w:color w:val="auto"/>
                <w:sz w:val="18"/>
                <w:szCs w:val="18"/>
                <w:highlight w:val="none"/>
              </w:rPr>
              <w:t>每少1工日扣</w:t>
            </w:r>
            <w:r>
              <w:rPr>
                <w:color w:val="auto"/>
                <w:sz w:val="18"/>
                <w:szCs w:val="18"/>
                <w:highlight w:val="none"/>
              </w:rPr>
              <w:t>0.2</w:t>
            </w:r>
            <w:r>
              <w:rPr>
                <w:rFonts w:hint="eastAsia"/>
                <w:color w:val="auto"/>
                <w:sz w:val="18"/>
                <w:szCs w:val="18"/>
                <w:highlight w:val="none"/>
              </w:rPr>
              <w:t>分，每作假</w:t>
            </w:r>
            <w:r>
              <w:rPr>
                <w:color w:val="auto"/>
                <w:sz w:val="18"/>
                <w:szCs w:val="18"/>
                <w:highlight w:val="none"/>
              </w:rPr>
              <w:t>1</w:t>
            </w:r>
            <w:r>
              <w:rPr>
                <w:rFonts w:hint="eastAsia"/>
                <w:color w:val="auto"/>
                <w:sz w:val="18"/>
                <w:szCs w:val="18"/>
                <w:highlight w:val="none"/>
              </w:rPr>
              <w:t>工日扣</w:t>
            </w:r>
            <w:r>
              <w:rPr>
                <w:color w:val="auto"/>
                <w:sz w:val="18"/>
                <w:szCs w:val="18"/>
                <w:highlight w:val="none"/>
              </w:rPr>
              <w:t>0.5</w:t>
            </w:r>
            <w:r>
              <w:rPr>
                <w:rFonts w:hint="eastAsia"/>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7E00A7AE">
            <w:pPr>
              <w:spacing w:line="240" w:lineRule="exact"/>
              <w:jc w:val="center"/>
              <w:rPr>
                <w:rFonts w:ascii="宋体"/>
                <w:color w:val="auto"/>
                <w:sz w:val="18"/>
                <w:szCs w:val="18"/>
                <w:highlight w:val="none"/>
              </w:rPr>
            </w:pPr>
          </w:p>
        </w:tc>
      </w:tr>
      <w:tr w14:paraId="3EAA38FC">
        <w:tblPrEx>
          <w:tblCellMar>
            <w:top w:w="0" w:type="dxa"/>
            <w:left w:w="108" w:type="dxa"/>
            <w:bottom w:w="0" w:type="dxa"/>
            <w:right w:w="108" w:type="dxa"/>
          </w:tblCellMar>
        </w:tblPrEx>
        <w:trPr>
          <w:cantSplit/>
          <w:trHeight w:val="452"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2146A9CF">
            <w:pPr>
              <w:widowControl/>
              <w:jc w:val="left"/>
              <w:rPr>
                <w:rFonts w:ascii="Calibri" w:hAnsi="Calibri"/>
                <w:color w:val="auto"/>
                <w:sz w:val="18"/>
                <w:szCs w:val="18"/>
                <w:highlight w:val="none"/>
              </w:rPr>
            </w:pPr>
          </w:p>
        </w:tc>
        <w:tc>
          <w:tcPr>
            <w:tcW w:w="630" w:type="dxa"/>
            <w:tcBorders>
              <w:top w:val="single" w:color="auto" w:sz="4" w:space="0"/>
              <w:left w:val="nil"/>
              <w:bottom w:val="single" w:color="auto" w:sz="4" w:space="0"/>
              <w:right w:val="single" w:color="auto" w:sz="4" w:space="0"/>
            </w:tcBorders>
            <w:noWrap w:val="0"/>
            <w:vAlign w:val="center"/>
          </w:tcPr>
          <w:p w14:paraId="36B08C9C">
            <w:pPr>
              <w:spacing w:line="240" w:lineRule="exact"/>
              <w:jc w:val="center"/>
              <w:rPr>
                <w:rFonts w:ascii="Calibri" w:hAnsi="Calibri"/>
                <w:b/>
                <w:bCs/>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w:t>
            </w:r>
          </w:p>
        </w:tc>
        <w:tc>
          <w:tcPr>
            <w:tcW w:w="3132" w:type="dxa"/>
            <w:tcBorders>
              <w:top w:val="single" w:color="auto" w:sz="4" w:space="0"/>
              <w:left w:val="nil"/>
              <w:bottom w:val="single" w:color="auto" w:sz="4" w:space="0"/>
              <w:right w:val="single" w:color="auto" w:sz="4" w:space="0"/>
            </w:tcBorders>
            <w:noWrap w:val="0"/>
            <w:vAlign w:val="center"/>
          </w:tcPr>
          <w:p w14:paraId="10DD0CCE">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管理层人员和技术人员总出工数未按投标文件的要求到位</w:t>
            </w:r>
            <w:r>
              <w:rPr>
                <w:color w:val="auto"/>
                <w:sz w:val="18"/>
                <w:szCs w:val="18"/>
                <w:highlight w:val="none"/>
              </w:rPr>
              <w:t> </w:t>
            </w:r>
            <w:r>
              <w:rPr>
                <w:rFonts w:hint="eastAsia"/>
                <w:color w:val="auto"/>
                <w:sz w:val="18"/>
                <w:szCs w:val="18"/>
                <w:highlight w:val="none"/>
              </w:rPr>
              <w:t>（此项扣分不设上限）</w:t>
            </w:r>
          </w:p>
        </w:tc>
        <w:tc>
          <w:tcPr>
            <w:tcW w:w="991" w:type="dxa"/>
            <w:tcBorders>
              <w:top w:val="single" w:color="auto" w:sz="4" w:space="0"/>
              <w:left w:val="nil"/>
              <w:bottom w:val="single" w:color="auto" w:sz="4" w:space="0"/>
              <w:right w:val="single" w:color="auto" w:sz="4" w:space="0"/>
            </w:tcBorders>
            <w:noWrap w:val="0"/>
            <w:vAlign w:val="center"/>
          </w:tcPr>
          <w:p w14:paraId="0BFE6B8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每工日</w:t>
            </w:r>
          </w:p>
        </w:tc>
        <w:tc>
          <w:tcPr>
            <w:tcW w:w="2660" w:type="dxa"/>
            <w:gridSpan w:val="7"/>
            <w:tcBorders>
              <w:top w:val="single" w:color="auto" w:sz="4" w:space="0"/>
              <w:left w:val="nil"/>
              <w:bottom w:val="single" w:color="auto" w:sz="4" w:space="0"/>
              <w:right w:val="single" w:color="auto" w:sz="4" w:space="0"/>
            </w:tcBorders>
            <w:noWrap w:val="0"/>
            <w:vAlign w:val="center"/>
          </w:tcPr>
          <w:p w14:paraId="7E56D88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17850CB8">
            <w:pPr>
              <w:spacing w:line="240" w:lineRule="exact"/>
              <w:jc w:val="center"/>
              <w:rPr>
                <w:rFonts w:ascii="宋体"/>
                <w:color w:val="auto"/>
                <w:sz w:val="18"/>
                <w:szCs w:val="18"/>
                <w:highlight w:val="none"/>
              </w:rPr>
            </w:pPr>
          </w:p>
        </w:tc>
      </w:tr>
      <w:tr w14:paraId="0E31462A">
        <w:tblPrEx>
          <w:tblCellMar>
            <w:top w:w="0" w:type="dxa"/>
            <w:left w:w="108" w:type="dxa"/>
            <w:bottom w:w="0" w:type="dxa"/>
            <w:right w:w="108" w:type="dxa"/>
          </w:tblCellMar>
        </w:tblPrEx>
        <w:trPr>
          <w:cantSplit/>
          <w:trHeight w:val="452"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6F87EE69">
            <w:pPr>
              <w:widowControl/>
              <w:jc w:val="left"/>
              <w:rPr>
                <w:rFonts w:ascii="Calibri" w:hAnsi="Calibri"/>
                <w:color w:val="auto"/>
                <w:sz w:val="18"/>
                <w:szCs w:val="18"/>
                <w:highlight w:val="none"/>
              </w:rPr>
            </w:pPr>
          </w:p>
        </w:tc>
        <w:tc>
          <w:tcPr>
            <w:tcW w:w="630" w:type="dxa"/>
            <w:tcBorders>
              <w:top w:val="single" w:color="auto" w:sz="4" w:space="0"/>
              <w:left w:val="nil"/>
              <w:bottom w:val="single" w:color="auto" w:sz="4" w:space="0"/>
              <w:right w:val="single" w:color="auto" w:sz="4" w:space="0"/>
            </w:tcBorders>
            <w:noWrap w:val="0"/>
            <w:vAlign w:val="center"/>
          </w:tcPr>
          <w:p w14:paraId="0F16205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w:t>
            </w:r>
          </w:p>
        </w:tc>
        <w:tc>
          <w:tcPr>
            <w:tcW w:w="3132" w:type="dxa"/>
            <w:tcBorders>
              <w:top w:val="single" w:color="auto" w:sz="4" w:space="0"/>
              <w:left w:val="nil"/>
              <w:bottom w:val="single" w:color="auto" w:sz="4" w:space="0"/>
              <w:right w:val="single" w:color="auto" w:sz="4" w:space="0"/>
            </w:tcBorders>
            <w:noWrap w:val="0"/>
            <w:vAlign w:val="center"/>
          </w:tcPr>
          <w:p w14:paraId="0ACC3FD0">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无正当理由，不能按照养护工作计划开展养护工作，人力、物力投入量与计划量严重脱离。</w:t>
            </w:r>
          </w:p>
        </w:tc>
        <w:tc>
          <w:tcPr>
            <w:tcW w:w="991" w:type="dxa"/>
            <w:tcBorders>
              <w:top w:val="single" w:color="auto" w:sz="4" w:space="0"/>
              <w:left w:val="nil"/>
              <w:bottom w:val="single" w:color="auto" w:sz="4" w:space="0"/>
              <w:right w:val="single" w:color="auto" w:sz="4" w:space="0"/>
            </w:tcBorders>
            <w:noWrap w:val="0"/>
            <w:vAlign w:val="center"/>
          </w:tcPr>
          <w:p w14:paraId="1BB7459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2660" w:type="dxa"/>
            <w:gridSpan w:val="7"/>
            <w:tcBorders>
              <w:top w:val="single" w:color="auto" w:sz="4" w:space="0"/>
              <w:left w:val="nil"/>
              <w:bottom w:val="single" w:color="auto" w:sz="4" w:space="0"/>
              <w:right w:val="single" w:color="auto" w:sz="4" w:space="0"/>
            </w:tcBorders>
            <w:noWrap w:val="0"/>
            <w:vAlign w:val="center"/>
          </w:tcPr>
          <w:p w14:paraId="3498CE7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0.5-3</w:t>
            </w:r>
            <w:r>
              <w:rPr>
                <w:rFonts w:hint="eastAsia" w:ascii="宋体" w:hAnsi="宋体"/>
                <w:color w:val="auto"/>
                <w:sz w:val="18"/>
                <w:szCs w:val="18"/>
                <w:highlight w:val="none"/>
              </w:rPr>
              <w:t>分，涉及养护成效的全面施肥、松土、修剪等工作，扣3-10分。</w:t>
            </w:r>
          </w:p>
        </w:tc>
        <w:tc>
          <w:tcPr>
            <w:tcW w:w="1483" w:type="dxa"/>
            <w:gridSpan w:val="2"/>
            <w:tcBorders>
              <w:top w:val="single" w:color="auto" w:sz="4" w:space="0"/>
              <w:left w:val="nil"/>
              <w:bottom w:val="single" w:color="auto" w:sz="4" w:space="0"/>
              <w:right w:val="single" w:color="auto" w:sz="4" w:space="0"/>
            </w:tcBorders>
            <w:noWrap w:val="0"/>
            <w:vAlign w:val="center"/>
          </w:tcPr>
          <w:p w14:paraId="1F7533B2">
            <w:pPr>
              <w:spacing w:line="240" w:lineRule="exact"/>
              <w:jc w:val="center"/>
              <w:rPr>
                <w:rFonts w:ascii="宋体"/>
                <w:color w:val="auto"/>
                <w:sz w:val="18"/>
                <w:szCs w:val="18"/>
                <w:highlight w:val="none"/>
              </w:rPr>
            </w:pPr>
          </w:p>
        </w:tc>
      </w:tr>
      <w:tr w14:paraId="11493878">
        <w:tblPrEx>
          <w:tblCellMar>
            <w:top w:w="0" w:type="dxa"/>
            <w:left w:w="108" w:type="dxa"/>
            <w:bottom w:w="0" w:type="dxa"/>
            <w:right w:w="108" w:type="dxa"/>
          </w:tblCellMar>
        </w:tblPrEx>
        <w:trPr>
          <w:cantSplit/>
          <w:trHeight w:val="260"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57AA96B8">
            <w:pPr>
              <w:widowControl/>
              <w:jc w:val="left"/>
              <w:rPr>
                <w:rFonts w:ascii="Calibri" w:hAnsi="Calibri"/>
                <w:color w:val="auto"/>
                <w:sz w:val="18"/>
                <w:szCs w:val="18"/>
                <w:highlight w:val="none"/>
              </w:rPr>
            </w:pPr>
          </w:p>
        </w:tc>
        <w:tc>
          <w:tcPr>
            <w:tcW w:w="630" w:type="dxa"/>
            <w:vMerge w:val="restart"/>
            <w:tcBorders>
              <w:top w:val="nil"/>
              <w:left w:val="nil"/>
              <w:bottom w:val="single" w:color="auto" w:sz="4" w:space="0"/>
              <w:right w:val="single" w:color="auto" w:sz="4" w:space="0"/>
            </w:tcBorders>
            <w:noWrap w:val="0"/>
            <w:vAlign w:val="center"/>
          </w:tcPr>
          <w:p w14:paraId="4A89982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4</w:t>
            </w:r>
          </w:p>
        </w:tc>
        <w:tc>
          <w:tcPr>
            <w:tcW w:w="3132" w:type="dxa"/>
            <w:vMerge w:val="restart"/>
            <w:tcBorders>
              <w:top w:val="nil"/>
              <w:left w:val="nil"/>
              <w:bottom w:val="single" w:color="auto" w:sz="4" w:space="0"/>
              <w:right w:val="single" w:color="auto" w:sz="4" w:space="0"/>
            </w:tcBorders>
            <w:noWrap w:val="0"/>
            <w:vAlign w:val="center"/>
          </w:tcPr>
          <w:p w14:paraId="06CCBA41">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未按合同约定或与中标供应商要求，投入使用园林机械及车辆、设备等</w:t>
            </w:r>
          </w:p>
        </w:tc>
        <w:tc>
          <w:tcPr>
            <w:tcW w:w="991" w:type="dxa"/>
            <w:vMerge w:val="restart"/>
            <w:tcBorders>
              <w:top w:val="nil"/>
              <w:left w:val="nil"/>
              <w:bottom w:val="single" w:color="auto" w:sz="4" w:space="0"/>
              <w:right w:val="single" w:color="auto" w:sz="4" w:space="0"/>
            </w:tcBorders>
            <w:noWrap w:val="0"/>
            <w:vAlign w:val="center"/>
          </w:tcPr>
          <w:p w14:paraId="64BD933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1610" w:type="dxa"/>
            <w:gridSpan w:val="4"/>
            <w:tcBorders>
              <w:top w:val="single" w:color="auto" w:sz="4" w:space="0"/>
              <w:left w:val="nil"/>
              <w:bottom w:val="single" w:color="auto" w:sz="4" w:space="0"/>
              <w:right w:val="single" w:color="auto" w:sz="4" w:space="0"/>
            </w:tcBorders>
            <w:noWrap w:val="0"/>
            <w:vAlign w:val="center"/>
          </w:tcPr>
          <w:p w14:paraId="6C68FE3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园林机械</w:t>
            </w:r>
          </w:p>
        </w:tc>
        <w:tc>
          <w:tcPr>
            <w:tcW w:w="1050" w:type="dxa"/>
            <w:gridSpan w:val="3"/>
            <w:tcBorders>
              <w:top w:val="single" w:color="auto" w:sz="4" w:space="0"/>
              <w:left w:val="nil"/>
              <w:bottom w:val="single" w:color="auto" w:sz="4" w:space="0"/>
              <w:right w:val="single" w:color="auto" w:sz="4" w:space="0"/>
            </w:tcBorders>
            <w:noWrap w:val="0"/>
            <w:vAlign w:val="center"/>
          </w:tcPr>
          <w:p w14:paraId="4CF4EAE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0A7781F9">
            <w:pPr>
              <w:spacing w:line="240" w:lineRule="exact"/>
              <w:jc w:val="center"/>
              <w:rPr>
                <w:rFonts w:ascii="宋体"/>
                <w:color w:val="auto"/>
                <w:sz w:val="18"/>
                <w:szCs w:val="18"/>
                <w:highlight w:val="none"/>
              </w:rPr>
            </w:pPr>
          </w:p>
        </w:tc>
      </w:tr>
      <w:tr w14:paraId="372D7B4C">
        <w:tblPrEx>
          <w:tblCellMar>
            <w:top w:w="0" w:type="dxa"/>
            <w:left w:w="108" w:type="dxa"/>
            <w:bottom w:w="0" w:type="dxa"/>
            <w:right w:w="108" w:type="dxa"/>
          </w:tblCellMar>
        </w:tblPrEx>
        <w:trPr>
          <w:cantSplit/>
          <w:trHeight w:val="270"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604E2E5B">
            <w:pPr>
              <w:widowControl/>
              <w:jc w:val="left"/>
              <w:rPr>
                <w:rFonts w:ascii="Calibri" w:hAnsi="Calibri"/>
                <w:color w:val="auto"/>
                <w:sz w:val="18"/>
                <w:szCs w:val="18"/>
                <w:highlight w:val="none"/>
              </w:rPr>
            </w:pPr>
          </w:p>
        </w:tc>
        <w:tc>
          <w:tcPr>
            <w:tcW w:w="630" w:type="dxa"/>
            <w:vMerge w:val="continue"/>
            <w:tcBorders>
              <w:top w:val="nil"/>
              <w:left w:val="nil"/>
              <w:bottom w:val="single" w:color="auto" w:sz="4" w:space="0"/>
              <w:right w:val="single" w:color="auto" w:sz="4" w:space="0"/>
            </w:tcBorders>
            <w:noWrap w:val="0"/>
            <w:vAlign w:val="center"/>
          </w:tcPr>
          <w:p w14:paraId="387848F7">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14FF1DDD">
            <w:pPr>
              <w:widowControl/>
              <w:jc w:val="left"/>
              <w:rPr>
                <w:rFonts w:ascii="Calibri" w:hAnsi="Calibri"/>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7F3CB42A">
            <w:pPr>
              <w:widowControl/>
              <w:jc w:val="left"/>
              <w:rPr>
                <w:rFonts w:ascii="Calibri" w:hAnsi="Calibri"/>
                <w:color w:val="auto"/>
                <w:sz w:val="18"/>
                <w:szCs w:val="18"/>
                <w:highlight w:val="none"/>
              </w:rPr>
            </w:pPr>
          </w:p>
        </w:tc>
        <w:tc>
          <w:tcPr>
            <w:tcW w:w="1610" w:type="dxa"/>
            <w:gridSpan w:val="4"/>
            <w:tcBorders>
              <w:top w:val="single" w:color="auto" w:sz="4" w:space="0"/>
              <w:left w:val="nil"/>
              <w:bottom w:val="single" w:color="auto" w:sz="4" w:space="0"/>
              <w:right w:val="single" w:color="auto" w:sz="4" w:space="0"/>
            </w:tcBorders>
            <w:noWrap w:val="0"/>
            <w:vAlign w:val="center"/>
          </w:tcPr>
          <w:p w14:paraId="1AC54FA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生产、管理用车</w:t>
            </w:r>
          </w:p>
        </w:tc>
        <w:tc>
          <w:tcPr>
            <w:tcW w:w="1050" w:type="dxa"/>
            <w:gridSpan w:val="3"/>
            <w:tcBorders>
              <w:top w:val="single" w:color="auto" w:sz="4" w:space="0"/>
              <w:left w:val="nil"/>
              <w:bottom w:val="single" w:color="auto" w:sz="4" w:space="0"/>
              <w:right w:val="single" w:color="auto" w:sz="4" w:space="0"/>
            </w:tcBorders>
            <w:noWrap w:val="0"/>
            <w:vAlign w:val="center"/>
          </w:tcPr>
          <w:p w14:paraId="06546F0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66CEC9E0">
            <w:pPr>
              <w:spacing w:line="240" w:lineRule="exact"/>
              <w:jc w:val="center"/>
              <w:rPr>
                <w:rFonts w:ascii="宋体"/>
                <w:color w:val="auto"/>
                <w:sz w:val="18"/>
                <w:szCs w:val="18"/>
                <w:highlight w:val="none"/>
              </w:rPr>
            </w:pPr>
          </w:p>
        </w:tc>
      </w:tr>
      <w:tr w14:paraId="59A27B25">
        <w:tblPrEx>
          <w:tblCellMar>
            <w:top w:w="0" w:type="dxa"/>
            <w:left w:w="108" w:type="dxa"/>
            <w:bottom w:w="0" w:type="dxa"/>
            <w:right w:w="108" w:type="dxa"/>
          </w:tblCellMar>
        </w:tblPrEx>
        <w:trPr>
          <w:cantSplit/>
          <w:trHeight w:val="452"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45A789B6">
            <w:pPr>
              <w:widowControl/>
              <w:jc w:val="left"/>
              <w:rPr>
                <w:rFonts w:ascii="Calibri" w:hAnsi="Calibri"/>
                <w:color w:val="auto"/>
                <w:sz w:val="18"/>
                <w:szCs w:val="18"/>
                <w:highlight w:val="none"/>
              </w:rPr>
            </w:pPr>
          </w:p>
        </w:tc>
        <w:tc>
          <w:tcPr>
            <w:tcW w:w="630" w:type="dxa"/>
            <w:tcBorders>
              <w:top w:val="single" w:color="auto" w:sz="4" w:space="0"/>
              <w:left w:val="nil"/>
              <w:bottom w:val="single" w:color="auto" w:sz="4" w:space="0"/>
              <w:right w:val="single" w:color="auto" w:sz="4" w:space="0"/>
            </w:tcBorders>
            <w:noWrap w:val="0"/>
            <w:vAlign w:val="center"/>
          </w:tcPr>
          <w:p w14:paraId="5D56410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5</w:t>
            </w:r>
          </w:p>
        </w:tc>
        <w:tc>
          <w:tcPr>
            <w:tcW w:w="3132" w:type="dxa"/>
            <w:tcBorders>
              <w:top w:val="single" w:color="auto" w:sz="4" w:space="0"/>
              <w:left w:val="nil"/>
              <w:bottom w:val="single" w:color="auto" w:sz="4" w:space="0"/>
              <w:right w:val="single" w:color="auto" w:sz="4" w:space="0"/>
            </w:tcBorders>
            <w:noWrap w:val="0"/>
            <w:vAlign w:val="center"/>
          </w:tcPr>
          <w:p w14:paraId="5CE25E4E">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服务及时性差，未按合同约定或与公园约定。</w:t>
            </w:r>
          </w:p>
        </w:tc>
        <w:tc>
          <w:tcPr>
            <w:tcW w:w="991" w:type="dxa"/>
            <w:tcBorders>
              <w:top w:val="single" w:color="auto" w:sz="4" w:space="0"/>
              <w:left w:val="nil"/>
              <w:bottom w:val="single" w:color="auto" w:sz="4" w:space="0"/>
              <w:right w:val="single" w:color="auto" w:sz="4" w:space="0"/>
            </w:tcBorders>
            <w:noWrap w:val="0"/>
            <w:vAlign w:val="center"/>
          </w:tcPr>
          <w:p w14:paraId="30CD276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2660" w:type="dxa"/>
            <w:gridSpan w:val="7"/>
            <w:tcBorders>
              <w:top w:val="single" w:color="auto" w:sz="4" w:space="0"/>
              <w:left w:val="nil"/>
              <w:bottom w:val="single" w:color="auto" w:sz="4" w:space="0"/>
              <w:right w:val="single" w:color="auto" w:sz="4" w:space="0"/>
            </w:tcBorders>
            <w:noWrap w:val="0"/>
            <w:vAlign w:val="center"/>
          </w:tcPr>
          <w:p w14:paraId="2EAF6DD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0.1-0.3</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07DB9D7E">
            <w:pPr>
              <w:spacing w:line="240" w:lineRule="exact"/>
              <w:jc w:val="center"/>
              <w:rPr>
                <w:rFonts w:ascii="宋体"/>
                <w:color w:val="auto"/>
                <w:sz w:val="18"/>
                <w:szCs w:val="18"/>
                <w:highlight w:val="none"/>
              </w:rPr>
            </w:pPr>
          </w:p>
        </w:tc>
      </w:tr>
      <w:tr w14:paraId="15AD54D0">
        <w:tblPrEx>
          <w:tblCellMar>
            <w:top w:w="0" w:type="dxa"/>
            <w:left w:w="108" w:type="dxa"/>
            <w:bottom w:w="0" w:type="dxa"/>
            <w:right w:w="108" w:type="dxa"/>
          </w:tblCellMar>
        </w:tblPrEx>
        <w:trPr>
          <w:cantSplit/>
          <w:trHeight w:val="452"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112AF6B7">
            <w:pPr>
              <w:widowControl/>
              <w:jc w:val="left"/>
              <w:rPr>
                <w:rFonts w:ascii="Calibri" w:hAnsi="Calibri"/>
                <w:color w:val="auto"/>
                <w:sz w:val="18"/>
                <w:szCs w:val="18"/>
                <w:highlight w:val="none"/>
              </w:rPr>
            </w:pPr>
          </w:p>
        </w:tc>
        <w:tc>
          <w:tcPr>
            <w:tcW w:w="630" w:type="dxa"/>
            <w:tcBorders>
              <w:top w:val="single" w:color="auto" w:sz="4" w:space="0"/>
              <w:left w:val="nil"/>
              <w:bottom w:val="single" w:color="auto" w:sz="4" w:space="0"/>
              <w:right w:val="single" w:color="auto" w:sz="4" w:space="0"/>
            </w:tcBorders>
            <w:noWrap w:val="0"/>
            <w:vAlign w:val="center"/>
          </w:tcPr>
          <w:p w14:paraId="5365A0C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6</w:t>
            </w:r>
          </w:p>
        </w:tc>
        <w:tc>
          <w:tcPr>
            <w:tcW w:w="3132" w:type="dxa"/>
            <w:tcBorders>
              <w:top w:val="single" w:color="auto" w:sz="4" w:space="0"/>
              <w:left w:val="nil"/>
              <w:bottom w:val="single" w:color="auto" w:sz="4" w:space="0"/>
              <w:right w:val="single" w:color="auto" w:sz="4" w:space="0"/>
            </w:tcBorders>
            <w:noWrap w:val="0"/>
            <w:vAlign w:val="center"/>
          </w:tcPr>
          <w:p w14:paraId="6B9A6558">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未按投标响应条件合理配置办公用品。</w:t>
            </w:r>
          </w:p>
        </w:tc>
        <w:tc>
          <w:tcPr>
            <w:tcW w:w="991" w:type="dxa"/>
            <w:tcBorders>
              <w:top w:val="single" w:color="auto" w:sz="4" w:space="0"/>
              <w:left w:val="nil"/>
              <w:bottom w:val="single" w:color="auto" w:sz="4" w:space="0"/>
              <w:right w:val="single" w:color="auto" w:sz="4" w:space="0"/>
            </w:tcBorders>
            <w:noWrap w:val="0"/>
            <w:vAlign w:val="center"/>
          </w:tcPr>
          <w:p w14:paraId="7C8D635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2660" w:type="dxa"/>
            <w:gridSpan w:val="7"/>
            <w:tcBorders>
              <w:top w:val="single" w:color="auto" w:sz="4" w:space="0"/>
              <w:left w:val="nil"/>
              <w:bottom w:val="single" w:color="auto" w:sz="4" w:space="0"/>
              <w:right w:val="single" w:color="auto" w:sz="4" w:space="0"/>
            </w:tcBorders>
            <w:noWrap w:val="0"/>
            <w:vAlign w:val="center"/>
          </w:tcPr>
          <w:p w14:paraId="58B4341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2A34087B">
            <w:pPr>
              <w:spacing w:line="240" w:lineRule="exact"/>
              <w:jc w:val="center"/>
              <w:rPr>
                <w:rFonts w:ascii="宋体"/>
                <w:color w:val="auto"/>
                <w:sz w:val="18"/>
                <w:szCs w:val="18"/>
                <w:highlight w:val="none"/>
              </w:rPr>
            </w:pPr>
          </w:p>
        </w:tc>
      </w:tr>
      <w:tr w14:paraId="0D0613E1">
        <w:tblPrEx>
          <w:tblCellMar>
            <w:top w:w="0" w:type="dxa"/>
            <w:left w:w="108" w:type="dxa"/>
            <w:bottom w:w="0" w:type="dxa"/>
            <w:right w:w="108" w:type="dxa"/>
          </w:tblCellMar>
        </w:tblPrEx>
        <w:trPr>
          <w:cantSplit/>
          <w:trHeight w:val="698" w:hRule="atLeast"/>
        </w:trPr>
        <w:tc>
          <w:tcPr>
            <w:tcW w:w="419" w:type="dxa"/>
            <w:vMerge w:val="restart"/>
            <w:tcBorders>
              <w:top w:val="nil"/>
              <w:left w:val="single" w:color="auto" w:sz="4" w:space="0"/>
              <w:bottom w:val="single" w:color="auto" w:sz="4" w:space="0"/>
              <w:right w:val="single" w:color="auto" w:sz="4" w:space="0"/>
            </w:tcBorders>
            <w:noWrap w:val="0"/>
            <w:vAlign w:val="center"/>
          </w:tcPr>
          <w:p w14:paraId="65FDC7E6">
            <w:pPr>
              <w:spacing w:line="240" w:lineRule="exact"/>
              <w:jc w:val="center"/>
              <w:rPr>
                <w:rFonts w:ascii="宋体"/>
                <w:color w:val="auto"/>
                <w:sz w:val="18"/>
                <w:szCs w:val="18"/>
                <w:highlight w:val="none"/>
              </w:rPr>
            </w:pPr>
            <w:r>
              <w:rPr>
                <w:rFonts w:hint="eastAsia" w:ascii="宋体" w:hAnsi="宋体"/>
                <w:color w:val="auto"/>
                <w:sz w:val="18"/>
                <w:szCs w:val="18"/>
                <w:highlight w:val="none"/>
              </w:rPr>
              <w:t>二</w:t>
            </w:r>
          </w:p>
          <w:p w14:paraId="1A55E687">
            <w:pPr>
              <w:spacing w:line="240" w:lineRule="exact"/>
              <w:rPr>
                <w:rFonts w:ascii="宋体"/>
                <w:color w:val="auto"/>
                <w:sz w:val="18"/>
                <w:szCs w:val="18"/>
                <w:highlight w:val="none"/>
              </w:rPr>
            </w:pPr>
          </w:p>
          <w:p w14:paraId="1D8E0A2C">
            <w:pPr>
              <w:spacing w:line="240" w:lineRule="exact"/>
              <w:rPr>
                <w:rFonts w:ascii="Calibri" w:hAnsi="Calibri"/>
                <w:color w:val="auto"/>
                <w:sz w:val="18"/>
                <w:szCs w:val="18"/>
                <w:highlight w:val="none"/>
              </w:rPr>
            </w:pPr>
            <w:r>
              <w:rPr>
                <w:rFonts w:hint="eastAsia" w:ascii="宋体" w:hAnsi="宋体"/>
                <w:color w:val="auto"/>
                <w:sz w:val="18"/>
                <w:szCs w:val="18"/>
                <w:highlight w:val="none"/>
              </w:rPr>
              <w:t>安全生产</w:t>
            </w:r>
          </w:p>
        </w:tc>
        <w:tc>
          <w:tcPr>
            <w:tcW w:w="630" w:type="dxa"/>
            <w:tcBorders>
              <w:top w:val="single" w:color="auto" w:sz="4" w:space="0"/>
              <w:left w:val="nil"/>
              <w:bottom w:val="single" w:color="auto" w:sz="4" w:space="0"/>
              <w:right w:val="single" w:color="auto" w:sz="4" w:space="0"/>
            </w:tcBorders>
            <w:noWrap w:val="0"/>
            <w:vAlign w:val="center"/>
          </w:tcPr>
          <w:p w14:paraId="3417205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7</w:t>
            </w:r>
          </w:p>
        </w:tc>
        <w:tc>
          <w:tcPr>
            <w:tcW w:w="3132" w:type="dxa"/>
            <w:tcBorders>
              <w:top w:val="single" w:color="auto" w:sz="4" w:space="0"/>
              <w:left w:val="nil"/>
              <w:bottom w:val="single" w:color="auto" w:sz="4" w:space="0"/>
              <w:right w:val="single" w:color="auto" w:sz="4" w:space="0"/>
            </w:tcBorders>
            <w:noWrap w:val="0"/>
            <w:vAlign w:val="center"/>
          </w:tcPr>
          <w:p w14:paraId="4B5AD975">
            <w:pPr>
              <w:spacing w:line="240" w:lineRule="exact"/>
              <w:rPr>
                <w:rFonts w:ascii="Calibri" w:hAnsi="Calibri"/>
                <w:color w:val="auto"/>
                <w:sz w:val="18"/>
                <w:szCs w:val="18"/>
                <w:highlight w:val="none"/>
              </w:rPr>
            </w:pPr>
            <w:r>
              <w:rPr>
                <w:rFonts w:hint="eastAsia" w:ascii="宋体" w:hAnsi="宋体"/>
                <w:color w:val="auto"/>
                <w:sz w:val="18"/>
                <w:szCs w:val="18"/>
                <w:highlight w:val="none"/>
              </w:rPr>
              <w:t>工作人员违反公园安全生产作业规程，不按要求穿着安全防护服、防护眼镜、口罩、安全绳等安全防护用品，以及打草时不设置警示标志等。</w:t>
            </w:r>
          </w:p>
        </w:tc>
        <w:tc>
          <w:tcPr>
            <w:tcW w:w="991" w:type="dxa"/>
            <w:tcBorders>
              <w:top w:val="single" w:color="auto" w:sz="4" w:space="0"/>
              <w:left w:val="nil"/>
              <w:bottom w:val="single" w:color="auto" w:sz="4" w:space="0"/>
              <w:right w:val="single" w:color="auto" w:sz="4" w:space="0"/>
            </w:tcBorders>
            <w:noWrap w:val="0"/>
            <w:vAlign w:val="center"/>
          </w:tcPr>
          <w:p w14:paraId="7CAF952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每人次</w:t>
            </w:r>
          </w:p>
        </w:tc>
        <w:tc>
          <w:tcPr>
            <w:tcW w:w="2660" w:type="dxa"/>
            <w:gridSpan w:val="7"/>
            <w:tcBorders>
              <w:top w:val="single" w:color="auto" w:sz="4" w:space="0"/>
              <w:left w:val="nil"/>
              <w:bottom w:val="single" w:color="auto" w:sz="4" w:space="0"/>
              <w:right w:val="single" w:color="auto" w:sz="4" w:space="0"/>
            </w:tcBorders>
            <w:noWrap w:val="0"/>
            <w:vAlign w:val="center"/>
          </w:tcPr>
          <w:p w14:paraId="59BD99B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166F98AF">
            <w:pPr>
              <w:spacing w:line="240" w:lineRule="exact"/>
              <w:jc w:val="center"/>
              <w:rPr>
                <w:rFonts w:ascii="宋体"/>
                <w:color w:val="auto"/>
                <w:sz w:val="18"/>
                <w:szCs w:val="18"/>
                <w:highlight w:val="none"/>
              </w:rPr>
            </w:pPr>
          </w:p>
        </w:tc>
      </w:tr>
      <w:tr w14:paraId="4BC830FB">
        <w:tblPrEx>
          <w:tblCellMar>
            <w:top w:w="0" w:type="dxa"/>
            <w:left w:w="108" w:type="dxa"/>
            <w:bottom w:w="0" w:type="dxa"/>
            <w:right w:w="108" w:type="dxa"/>
          </w:tblCellMar>
        </w:tblPrEx>
        <w:trPr>
          <w:cantSplit/>
          <w:trHeight w:val="512"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19F4F32E">
            <w:pPr>
              <w:widowControl/>
              <w:jc w:val="left"/>
              <w:rPr>
                <w:rFonts w:ascii="Calibri" w:hAnsi="Calibri"/>
                <w:color w:val="auto"/>
                <w:sz w:val="18"/>
                <w:szCs w:val="18"/>
                <w:highlight w:val="none"/>
              </w:rPr>
            </w:pPr>
          </w:p>
        </w:tc>
        <w:tc>
          <w:tcPr>
            <w:tcW w:w="630" w:type="dxa"/>
            <w:tcBorders>
              <w:top w:val="single" w:color="auto" w:sz="4" w:space="0"/>
              <w:left w:val="nil"/>
              <w:bottom w:val="single" w:color="auto" w:sz="4" w:space="0"/>
              <w:right w:val="single" w:color="auto" w:sz="4" w:space="0"/>
            </w:tcBorders>
            <w:noWrap w:val="0"/>
            <w:vAlign w:val="center"/>
          </w:tcPr>
          <w:p w14:paraId="457AB2D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8</w:t>
            </w:r>
          </w:p>
        </w:tc>
        <w:tc>
          <w:tcPr>
            <w:tcW w:w="3132" w:type="dxa"/>
            <w:tcBorders>
              <w:top w:val="single" w:color="auto" w:sz="4" w:space="0"/>
              <w:left w:val="nil"/>
              <w:bottom w:val="single" w:color="auto" w:sz="4" w:space="0"/>
              <w:right w:val="single" w:color="auto" w:sz="4" w:space="0"/>
            </w:tcBorders>
            <w:noWrap w:val="0"/>
            <w:vAlign w:val="center"/>
          </w:tcPr>
          <w:p w14:paraId="43459E42">
            <w:pPr>
              <w:spacing w:line="240" w:lineRule="exact"/>
              <w:rPr>
                <w:rFonts w:ascii="Calibri" w:hAnsi="Calibri"/>
                <w:color w:val="auto"/>
                <w:sz w:val="18"/>
                <w:szCs w:val="18"/>
                <w:highlight w:val="none"/>
              </w:rPr>
            </w:pPr>
            <w:r>
              <w:rPr>
                <w:rFonts w:hint="eastAsia" w:ascii="宋体" w:hAnsi="宋体"/>
                <w:color w:val="auto"/>
                <w:sz w:val="18"/>
                <w:szCs w:val="18"/>
                <w:highlight w:val="none"/>
              </w:rPr>
              <w:t>未按安全生产作业规程进行或不按安全生产作业规程要求正确摆放安全锥、警示牌等</w:t>
            </w:r>
          </w:p>
        </w:tc>
        <w:tc>
          <w:tcPr>
            <w:tcW w:w="991" w:type="dxa"/>
            <w:tcBorders>
              <w:top w:val="single" w:color="auto" w:sz="4" w:space="0"/>
              <w:left w:val="nil"/>
              <w:bottom w:val="single" w:color="auto" w:sz="4" w:space="0"/>
              <w:right w:val="single" w:color="auto" w:sz="4" w:space="0"/>
            </w:tcBorders>
            <w:noWrap w:val="0"/>
            <w:vAlign w:val="center"/>
          </w:tcPr>
          <w:p w14:paraId="696A33D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每次</w:t>
            </w:r>
          </w:p>
        </w:tc>
        <w:tc>
          <w:tcPr>
            <w:tcW w:w="2660" w:type="dxa"/>
            <w:gridSpan w:val="7"/>
            <w:tcBorders>
              <w:top w:val="single" w:color="auto" w:sz="4" w:space="0"/>
              <w:left w:val="nil"/>
              <w:bottom w:val="single" w:color="auto" w:sz="4" w:space="0"/>
              <w:right w:val="single" w:color="auto" w:sz="4" w:space="0"/>
            </w:tcBorders>
            <w:noWrap w:val="0"/>
            <w:vAlign w:val="center"/>
          </w:tcPr>
          <w:p w14:paraId="48D8456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3320A6E6">
            <w:pPr>
              <w:spacing w:line="240" w:lineRule="exact"/>
              <w:jc w:val="center"/>
              <w:rPr>
                <w:rFonts w:ascii="宋体"/>
                <w:color w:val="auto"/>
                <w:sz w:val="18"/>
                <w:szCs w:val="18"/>
                <w:highlight w:val="none"/>
              </w:rPr>
            </w:pPr>
          </w:p>
        </w:tc>
      </w:tr>
      <w:tr w14:paraId="2CF17C11">
        <w:tblPrEx>
          <w:tblCellMar>
            <w:top w:w="0" w:type="dxa"/>
            <w:left w:w="108" w:type="dxa"/>
            <w:bottom w:w="0" w:type="dxa"/>
            <w:right w:w="108" w:type="dxa"/>
          </w:tblCellMar>
        </w:tblPrEx>
        <w:trPr>
          <w:cantSplit/>
          <w:trHeight w:val="984"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29251153">
            <w:pPr>
              <w:widowControl/>
              <w:jc w:val="left"/>
              <w:rPr>
                <w:rFonts w:ascii="Calibri" w:hAnsi="Calibri"/>
                <w:color w:val="auto"/>
                <w:sz w:val="18"/>
                <w:szCs w:val="18"/>
                <w:highlight w:val="none"/>
              </w:rPr>
            </w:pPr>
          </w:p>
        </w:tc>
        <w:tc>
          <w:tcPr>
            <w:tcW w:w="630" w:type="dxa"/>
            <w:tcBorders>
              <w:top w:val="single" w:color="auto" w:sz="4" w:space="0"/>
              <w:left w:val="nil"/>
              <w:bottom w:val="single" w:color="auto" w:sz="4" w:space="0"/>
              <w:right w:val="single" w:color="auto" w:sz="4" w:space="0"/>
            </w:tcBorders>
            <w:noWrap w:val="0"/>
            <w:vAlign w:val="center"/>
          </w:tcPr>
          <w:p w14:paraId="30DA492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9</w:t>
            </w:r>
          </w:p>
        </w:tc>
        <w:tc>
          <w:tcPr>
            <w:tcW w:w="3132" w:type="dxa"/>
            <w:tcBorders>
              <w:top w:val="single" w:color="auto" w:sz="4" w:space="0"/>
              <w:left w:val="nil"/>
              <w:bottom w:val="single" w:color="auto" w:sz="4" w:space="0"/>
              <w:right w:val="single" w:color="auto" w:sz="4" w:space="0"/>
            </w:tcBorders>
            <w:noWrap w:val="0"/>
            <w:vAlign w:val="center"/>
          </w:tcPr>
          <w:p w14:paraId="43F8731E">
            <w:pPr>
              <w:spacing w:line="240" w:lineRule="exact"/>
              <w:rPr>
                <w:rFonts w:ascii="Calibri" w:hAnsi="Calibri"/>
                <w:color w:val="auto"/>
                <w:sz w:val="18"/>
                <w:szCs w:val="18"/>
                <w:highlight w:val="none"/>
              </w:rPr>
            </w:pPr>
            <w:r>
              <w:rPr>
                <w:rFonts w:hint="eastAsia" w:ascii="宋体" w:hAnsi="宋体"/>
                <w:color w:val="auto"/>
                <w:sz w:val="18"/>
                <w:szCs w:val="18"/>
                <w:highlight w:val="none"/>
              </w:rPr>
              <w:t>绿化作业车辆违反作业规范，如安全标识不齐、安全措施不规范、以及园路漏洒绿化垃圾、泥沙、把泥土冲出路面等不文明养护行为的</w:t>
            </w:r>
          </w:p>
        </w:tc>
        <w:tc>
          <w:tcPr>
            <w:tcW w:w="991" w:type="dxa"/>
            <w:tcBorders>
              <w:top w:val="single" w:color="auto" w:sz="4" w:space="0"/>
              <w:left w:val="nil"/>
              <w:bottom w:val="single" w:color="auto" w:sz="4" w:space="0"/>
              <w:right w:val="single" w:color="auto" w:sz="4" w:space="0"/>
            </w:tcBorders>
            <w:noWrap w:val="0"/>
            <w:vAlign w:val="center"/>
          </w:tcPr>
          <w:p w14:paraId="54507B4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每车次</w:t>
            </w:r>
          </w:p>
        </w:tc>
        <w:tc>
          <w:tcPr>
            <w:tcW w:w="2660" w:type="dxa"/>
            <w:gridSpan w:val="7"/>
            <w:tcBorders>
              <w:top w:val="single" w:color="auto" w:sz="4" w:space="0"/>
              <w:left w:val="nil"/>
              <w:bottom w:val="single" w:color="auto" w:sz="4" w:space="0"/>
              <w:right w:val="single" w:color="auto" w:sz="4" w:space="0"/>
            </w:tcBorders>
            <w:noWrap w:val="0"/>
            <w:vAlign w:val="center"/>
          </w:tcPr>
          <w:p w14:paraId="59541F8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0.1-0.5</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5B7A8DFB">
            <w:pPr>
              <w:spacing w:line="240" w:lineRule="exact"/>
              <w:jc w:val="center"/>
              <w:rPr>
                <w:rFonts w:ascii="宋体"/>
                <w:color w:val="auto"/>
                <w:sz w:val="18"/>
                <w:szCs w:val="18"/>
                <w:highlight w:val="none"/>
              </w:rPr>
            </w:pPr>
          </w:p>
        </w:tc>
      </w:tr>
      <w:tr w14:paraId="112C3773">
        <w:tblPrEx>
          <w:tblCellMar>
            <w:top w:w="0" w:type="dxa"/>
            <w:left w:w="108" w:type="dxa"/>
            <w:bottom w:w="0" w:type="dxa"/>
            <w:right w:w="108" w:type="dxa"/>
          </w:tblCellMar>
        </w:tblPrEx>
        <w:trPr>
          <w:cantSplit/>
          <w:trHeight w:val="219" w:hRule="atLeast"/>
        </w:trPr>
        <w:tc>
          <w:tcPr>
            <w:tcW w:w="419" w:type="dxa"/>
            <w:vMerge w:val="restart"/>
            <w:tcBorders>
              <w:top w:val="nil"/>
              <w:left w:val="single" w:color="auto" w:sz="4" w:space="0"/>
              <w:bottom w:val="single" w:color="auto" w:sz="4" w:space="0"/>
              <w:right w:val="single" w:color="auto" w:sz="4" w:space="0"/>
            </w:tcBorders>
            <w:noWrap w:val="0"/>
            <w:vAlign w:val="center"/>
          </w:tcPr>
          <w:p w14:paraId="3428596F">
            <w:pPr>
              <w:spacing w:line="240" w:lineRule="exact"/>
              <w:jc w:val="center"/>
              <w:rPr>
                <w:rFonts w:ascii="宋体"/>
                <w:color w:val="auto"/>
                <w:sz w:val="18"/>
                <w:szCs w:val="18"/>
                <w:highlight w:val="none"/>
              </w:rPr>
            </w:pPr>
            <w:r>
              <w:rPr>
                <w:rFonts w:hint="eastAsia" w:ascii="宋体" w:hAnsi="宋体"/>
                <w:color w:val="auto"/>
                <w:sz w:val="18"/>
                <w:szCs w:val="18"/>
                <w:highlight w:val="none"/>
              </w:rPr>
              <w:t>三</w:t>
            </w:r>
          </w:p>
          <w:p w14:paraId="38673510">
            <w:pPr>
              <w:spacing w:line="240" w:lineRule="exact"/>
              <w:jc w:val="center"/>
              <w:rPr>
                <w:rFonts w:ascii="宋体"/>
                <w:color w:val="auto"/>
                <w:sz w:val="18"/>
                <w:szCs w:val="18"/>
                <w:highlight w:val="none"/>
              </w:rPr>
            </w:pPr>
          </w:p>
          <w:p w14:paraId="05E8134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绿化管理</w:t>
            </w:r>
          </w:p>
        </w:tc>
        <w:tc>
          <w:tcPr>
            <w:tcW w:w="630" w:type="dxa"/>
            <w:vMerge w:val="restart"/>
            <w:tcBorders>
              <w:top w:val="nil"/>
              <w:left w:val="nil"/>
              <w:bottom w:val="single" w:color="auto" w:sz="4" w:space="0"/>
              <w:right w:val="single" w:color="auto" w:sz="4" w:space="0"/>
            </w:tcBorders>
            <w:noWrap w:val="0"/>
            <w:vAlign w:val="center"/>
          </w:tcPr>
          <w:p w14:paraId="183EB20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10</w:t>
            </w:r>
          </w:p>
        </w:tc>
        <w:tc>
          <w:tcPr>
            <w:tcW w:w="3132" w:type="dxa"/>
            <w:vMerge w:val="restart"/>
            <w:tcBorders>
              <w:top w:val="nil"/>
              <w:left w:val="nil"/>
              <w:bottom w:val="single" w:color="auto" w:sz="4" w:space="0"/>
              <w:right w:val="single" w:color="auto" w:sz="4" w:space="0"/>
            </w:tcBorders>
            <w:noWrap w:val="0"/>
            <w:vAlign w:val="center"/>
          </w:tcPr>
          <w:p w14:paraId="3B91589E">
            <w:pPr>
              <w:spacing w:line="240" w:lineRule="exact"/>
              <w:rPr>
                <w:rFonts w:ascii="Calibri" w:hAnsi="Calibri"/>
                <w:color w:val="auto"/>
                <w:sz w:val="18"/>
                <w:szCs w:val="18"/>
                <w:highlight w:val="none"/>
              </w:rPr>
            </w:pPr>
            <w:r>
              <w:rPr>
                <w:rFonts w:hint="eastAsia" w:ascii="宋体" w:hAnsi="宋体"/>
                <w:color w:val="auto"/>
                <w:sz w:val="18"/>
                <w:szCs w:val="18"/>
                <w:highlight w:val="none"/>
              </w:rPr>
              <w:t>对违法破坏绿化，未能及时发现、上报或采取措施制止的，或未按要求恢复的</w:t>
            </w:r>
          </w:p>
        </w:tc>
        <w:tc>
          <w:tcPr>
            <w:tcW w:w="991" w:type="dxa"/>
            <w:vMerge w:val="restart"/>
            <w:tcBorders>
              <w:top w:val="nil"/>
              <w:left w:val="nil"/>
              <w:bottom w:val="single" w:color="auto" w:sz="4" w:space="0"/>
              <w:right w:val="single" w:color="auto" w:sz="4" w:space="0"/>
            </w:tcBorders>
            <w:noWrap w:val="0"/>
            <w:vAlign w:val="center"/>
          </w:tcPr>
          <w:p w14:paraId="0D750C0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每宗案件</w:t>
            </w:r>
          </w:p>
        </w:tc>
        <w:tc>
          <w:tcPr>
            <w:tcW w:w="1925" w:type="dxa"/>
            <w:gridSpan w:val="5"/>
            <w:tcBorders>
              <w:top w:val="single" w:color="auto" w:sz="4" w:space="0"/>
              <w:left w:val="nil"/>
              <w:bottom w:val="single" w:color="auto" w:sz="4" w:space="0"/>
              <w:right w:val="single" w:color="auto" w:sz="4" w:space="0"/>
            </w:tcBorders>
            <w:noWrap w:val="0"/>
            <w:vAlign w:val="center"/>
          </w:tcPr>
          <w:p w14:paraId="20C4EB29">
            <w:pPr>
              <w:spacing w:line="240" w:lineRule="exact"/>
              <w:jc w:val="center"/>
              <w:rPr>
                <w:rFonts w:ascii="Calibri" w:hAnsi="Calibri"/>
                <w:color w:val="auto"/>
                <w:sz w:val="18"/>
                <w:szCs w:val="18"/>
                <w:highlight w:val="none"/>
              </w:rPr>
            </w:pPr>
            <w:r>
              <w:rPr>
                <w:color w:val="auto"/>
                <w:sz w:val="18"/>
                <w:szCs w:val="18"/>
                <w:highlight w:val="none"/>
              </w:rPr>
              <w:t>1</w:t>
            </w:r>
            <w:r>
              <w:rPr>
                <w:rFonts w:hint="eastAsia" w:ascii="宋体" w:hAnsi="宋体"/>
                <w:color w:val="auto"/>
                <w:sz w:val="18"/>
                <w:szCs w:val="18"/>
                <w:highlight w:val="none"/>
              </w:rPr>
              <w:t>株乔木或</w:t>
            </w:r>
            <w:r>
              <w:rPr>
                <w:color w:val="auto"/>
                <w:sz w:val="18"/>
                <w:szCs w:val="18"/>
                <w:highlight w:val="none"/>
              </w:rPr>
              <w:t>5</w:t>
            </w:r>
            <w:r>
              <w:rPr>
                <w:rFonts w:hint="eastAsia" w:ascii="宋体" w:hAnsi="宋体"/>
                <w:color w:val="auto"/>
                <w:sz w:val="18"/>
                <w:szCs w:val="18"/>
                <w:highlight w:val="none"/>
              </w:rPr>
              <w:t>㎡以内绿地</w:t>
            </w:r>
          </w:p>
        </w:tc>
        <w:tc>
          <w:tcPr>
            <w:tcW w:w="735" w:type="dxa"/>
            <w:gridSpan w:val="2"/>
            <w:tcBorders>
              <w:top w:val="single" w:color="auto" w:sz="4" w:space="0"/>
              <w:left w:val="nil"/>
              <w:bottom w:val="single" w:color="auto" w:sz="4" w:space="0"/>
              <w:right w:val="single" w:color="auto" w:sz="4" w:space="0"/>
            </w:tcBorders>
            <w:noWrap w:val="0"/>
            <w:vAlign w:val="center"/>
          </w:tcPr>
          <w:p w14:paraId="394FC7D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2284C63E">
            <w:pPr>
              <w:spacing w:line="240" w:lineRule="exact"/>
              <w:jc w:val="center"/>
              <w:rPr>
                <w:rFonts w:ascii="宋体"/>
                <w:color w:val="auto"/>
                <w:sz w:val="18"/>
                <w:szCs w:val="18"/>
                <w:highlight w:val="none"/>
              </w:rPr>
            </w:pPr>
          </w:p>
        </w:tc>
      </w:tr>
      <w:tr w14:paraId="35748B2B">
        <w:tblPrEx>
          <w:tblCellMar>
            <w:top w:w="0" w:type="dxa"/>
            <w:left w:w="108" w:type="dxa"/>
            <w:bottom w:w="0" w:type="dxa"/>
            <w:right w:w="108" w:type="dxa"/>
          </w:tblCellMar>
        </w:tblPrEx>
        <w:trPr>
          <w:cantSplit/>
          <w:trHeight w:val="195"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53D22D87">
            <w:pPr>
              <w:widowControl/>
              <w:jc w:val="left"/>
              <w:rPr>
                <w:rFonts w:ascii="Calibri" w:hAnsi="Calibri"/>
                <w:color w:val="auto"/>
                <w:sz w:val="18"/>
                <w:szCs w:val="18"/>
                <w:highlight w:val="none"/>
              </w:rPr>
            </w:pPr>
          </w:p>
        </w:tc>
        <w:tc>
          <w:tcPr>
            <w:tcW w:w="630" w:type="dxa"/>
            <w:vMerge w:val="continue"/>
            <w:tcBorders>
              <w:top w:val="nil"/>
              <w:left w:val="nil"/>
              <w:bottom w:val="single" w:color="auto" w:sz="4" w:space="0"/>
              <w:right w:val="single" w:color="auto" w:sz="4" w:space="0"/>
            </w:tcBorders>
            <w:noWrap w:val="0"/>
            <w:vAlign w:val="center"/>
          </w:tcPr>
          <w:p w14:paraId="2D8AE3C0">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1574E14A">
            <w:pPr>
              <w:widowControl/>
              <w:jc w:val="left"/>
              <w:rPr>
                <w:rFonts w:ascii="Calibri" w:hAnsi="Calibri"/>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087B038A">
            <w:pPr>
              <w:widowControl/>
              <w:jc w:val="left"/>
              <w:rPr>
                <w:rFonts w:ascii="Calibri" w:hAnsi="Calibri"/>
                <w:color w:val="auto"/>
                <w:sz w:val="18"/>
                <w:szCs w:val="18"/>
                <w:highlight w:val="none"/>
              </w:rPr>
            </w:pPr>
          </w:p>
        </w:tc>
        <w:tc>
          <w:tcPr>
            <w:tcW w:w="1925" w:type="dxa"/>
            <w:gridSpan w:val="5"/>
            <w:tcBorders>
              <w:top w:val="single" w:color="auto" w:sz="4" w:space="0"/>
              <w:left w:val="nil"/>
              <w:bottom w:val="single" w:color="auto" w:sz="4" w:space="0"/>
              <w:right w:val="single" w:color="auto" w:sz="4" w:space="0"/>
            </w:tcBorders>
            <w:noWrap w:val="0"/>
            <w:vAlign w:val="center"/>
          </w:tcPr>
          <w:p w14:paraId="3B16966C">
            <w:pPr>
              <w:spacing w:line="240" w:lineRule="exact"/>
              <w:jc w:val="center"/>
              <w:rPr>
                <w:rFonts w:ascii="Calibri" w:hAnsi="Calibri"/>
                <w:color w:val="auto"/>
                <w:sz w:val="18"/>
                <w:szCs w:val="18"/>
                <w:highlight w:val="none"/>
              </w:rPr>
            </w:pPr>
            <w:r>
              <w:rPr>
                <w:color w:val="auto"/>
                <w:sz w:val="18"/>
                <w:szCs w:val="18"/>
                <w:highlight w:val="none"/>
              </w:rPr>
              <w:t>2-10</w:t>
            </w:r>
            <w:r>
              <w:rPr>
                <w:rFonts w:hint="eastAsia" w:ascii="宋体" w:hAnsi="宋体"/>
                <w:color w:val="auto"/>
                <w:sz w:val="18"/>
                <w:szCs w:val="18"/>
                <w:highlight w:val="none"/>
              </w:rPr>
              <w:t>株乔木或</w:t>
            </w:r>
            <w:r>
              <w:rPr>
                <w:color w:val="auto"/>
                <w:sz w:val="18"/>
                <w:szCs w:val="18"/>
                <w:highlight w:val="none"/>
              </w:rPr>
              <w:t>5-50</w:t>
            </w:r>
            <w:r>
              <w:rPr>
                <w:rFonts w:hint="eastAsia" w:ascii="宋体" w:hAnsi="宋体"/>
                <w:color w:val="auto"/>
                <w:sz w:val="18"/>
                <w:szCs w:val="18"/>
                <w:highlight w:val="none"/>
              </w:rPr>
              <w:t>㎡绿地</w:t>
            </w:r>
          </w:p>
        </w:tc>
        <w:tc>
          <w:tcPr>
            <w:tcW w:w="735" w:type="dxa"/>
            <w:gridSpan w:val="2"/>
            <w:tcBorders>
              <w:top w:val="single" w:color="auto" w:sz="4" w:space="0"/>
              <w:left w:val="nil"/>
              <w:bottom w:val="single" w:color="auto" w:sz="4" w:space="0"/>
              <w:right w:val="single" w:color="auto" w:sz="4" w:space="0"/>
            </w:tcBorders>
            <w:noWrap w:val="0"/>
            <w:vAlign w:val="center"/>
          </w:tcPr>
          <w:p w14:paraId="6495E3D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70EA2598">
            <w:pPr>
              <w:spacing w:line="240" w:lineRule="exact"/>
              <w:jc w:val="center"/>
              <w:rPr>
                <w:rFonts w:ascii="宋体"/>
                <w:color w:val="auto"/>
                <w:sz w:val="18"/>
                <w:szCs w:val="18"/>
                <w:highlight w:val="none"/>
              </w:rPr>
            </w:pPr>
          </w:p>
        </w:tc>
      </w:tr>
      <w:tr w14:paraId="7F9FE157">
        <w:tblPrEx>
          <w:tblCellMar>
            <w:top w:w="0" w:type="dxa"/>
            <w:left w:w="108" w:type="dxa"/>
            <w:bottom w:w="0" w:type="dxa"/>
            <w:right w:w="108" w:type="dxa"/>
          </w:tblCellMar>
        </w:tblPrEx>
        <w:trPr>
          <w:cantSplit/>
          <w:trHeight w:val="210"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10E7C1D4">
            <w:pPr>
              <w:widowControl/>
              <w:jc w:val="left"/>
              <w:rPr>
                <w:rFonts w:ascii="Calibri" w:hAnsi="Calibri"/>
                <w:color w:val="auto"/>
                <w:sz w:val="18"/>
                <w:szCs w:val="18"/>
                <w:highlight w:val="none"/>
              </w:rPr>
            </w:pPr>
          </w:p>
        </w:tc>
        <w:tc>
          <w:tcPr>
            <w:tcW w:w="630" w:type="dxa"/>
            <w:vMerge w:val="continue"/>
            <w:tcBorders>
              <w:top w:val="nil"/>
              <w:left w:val="nil"/>
              <w:bottom w:val="single" w:color="auto" w:sz="4" w:space="0"/>
              <w:right w:val="single" w:color="auto" w:sz="4" w:space="0"/>
            </w:tcBorders>
            <w:noWrap w:val="0"/>
            <w:vAlign w:val="center"/>
          </w:tcPr>
          <w:p w14:paraId="42BA527B">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647EFACB">
            <w:pPr>
              <w:widowControl/>
              <w:jc w:val="left"/>
              <w:rPr>
                <w:rFonts w:ascii="Calibri" w:hAnsi="Calibri"/>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52946B92">
            <w:pPr>
              <w:widowControl/>
              <w:jc w:val="left"/>
              <w:rPr>
                <w:rFonts w:ascii="Calibri" w:hAnsi="Calibri"/>
                <w:color w:val="auto"/>
                <w:sz w:val="18"/>
                <w:szCs w:val="18"/>
                <w:highlight w:val="none"/>
              </w:rPr>
            </w:pPr>
          </w:p>
        </w:tc>
        <w:tc>
          <w:tcPr>
            <w:tcW w:w="1925" w:type="dxa"/>
            <w:gridSpan w:val="5"/>
            <w:tcBorders>
              <w:top w:val="single" w:color="auto" w:sz="4" w:space="0"/>
              <w:left w:val="nil"/>
              <w:bottom w:val="single" w:color="auto" w:sz="4" w:space="0"/>
              <w:right w:val="single" w:color="auto" w:sz="4" w:space="0"/>
            </w:tcBorders>
            <w:noWrap w:val="0"/>
            <w:vAlign w:val="center"/>
          </w:tcPr>
          <w:p w14:paraId="1E71D574">
            <w:pPr>
              <w:spacing w:line="240" w:lineRule="exact"/>
              <w:jc w:val="center"/>
              <w:rPr>
                <w:rFonts w:ascii="Calibri" w:hAnsi="Calibri"/>
                <w:color w:val="auto"/>
                <w:sz w:val="18"/>
                <w:szCs w:val="18"/>
                <w:highlight w:val="none"/>
              </w:rPr>
            </w:pPr>
            <w:r>
              <w:rPr>
                <w:color w:val="auto"/>
                <w:sz w:val="18"/>
                <w:szCs w:val="18"/>
                <w:highlight w:val="none"/>
              </w:rPr>
              <w:t>10</w:t>
            </w:r>
            <w:r>
              <w:rPr>
                <w:rFonts w:hint="eastAsia" w:ascii="宋体" w:hAnsi="宋体"/>
                <w:color w:val="auto"/>
                <w:sz w:val="18"/>
                <w:szCs w:val="18"/>
                <w:highlight w:val="none"/>
              </w:rPr>
              <w:t>株以上乔木或</w:t>
            </w:r>
            <w:r>
              <w:rPr>
                <w:color w:val="auto"/>
                <w:sz w:val="18"/>
                <w:szCs w:val="18"/>
                <w:highlight w:val="none"/>
              </w:rPr>
              <w:t>50</w:t>
            </w:r>
            <w:r>
              <w:rPr>
                <w:rFonts w:hint="eastAsia" w:ascii="宋体" w:hAnsi="宋体"/>
                <w:color w:val="auto"/>
                <w:sz w:val="18"/>
                <w:szCs w:val="18"/>
                <w:highlight w:val="none"/>
              </w:rPr>
              <w:t>㎡以上绿地</w:t>
            </w:r>
          </w:p>
        </w:tc>
        <w:tc>
          <w:tcPr>
            <w:tcW w:w="735" w:type="dxa"/>
            <w:gridSpan w:val="2"/>
            <w:tcBorders>
              <w:top w:val="single" w:color="auto" w:sz="4" w:space="0"/>
              <w:left w:val="nil"/>
              <w:bottom w:val="single" w:color="auto" w:sz="4" w:space="0"/>
              <w:right w:val="single" w:color="auto" w:sz="4" w:space="0"/>
            </w:tcBorders>
            <w:noWrap w:val="0"/>
            <w:vAlign w:val="center"/>
          </w:tcPr>
          <w:p w14:paraId="34E5BA3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2-5</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64E9E757">
            <w:pPr>
              <w:spacing w:line="240" w:lineRule="exact"/>
              <w:jc w:val="center"/>
              <w:rPr>
                <w:rFonts w:ascii="宋体"/>
                <w:color w:val="auto"/>
                <w:sz w:val="18"/>
                <w:szCs w:val="18"/>
                <w:highlight w:val="none"/>
              </w:rPr>
            </w:pPr>
          </w:p>
        </w:tc>
      </w:tr>
      <w:tr w14:paraId="3F3B8849">
        <w:tblPrEx>
          <w:tblCellMar>
            <w:top w:w="0" w:type="dxa"/>
            <w:left w:w="108" w:type="dxa"/>
            <w:bottom w:w="0" w:type="dxa"/>
            <w:right w:w="108" w:type="dxa"/>
          </w:tblCellMar>
        </w:tblPrEx>
        <w:trPr>
          <w:cantSplit/>
          <w:trHeight w:val="450"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6828AE7E">
            <w:pPr>
              <w:widowControl/>
              <w:jc w:val="left"/>
              <w:rPr>
                <w:rFonts w:ascii="Calibri" w:hAnsi="Calibri"/>
                <w:color w:val="auto"/>
                <w:sz w:val="18"/>
                <w:szCs w:val="18"/>
                <w:highlight w:val="none"/>
              </w:rPr>
            </w:pPr>
          </w:p>
        </w:tc>
        <w:tc>
          <w:tcPr>
            <w:tcW w:w="630" w:type="dxa"/>
            <w:vMerge w:val="restart"/>
            <w:tcBorders>
              <w:top w:val="nil"/>
              <w:left w:val="nil"/>
              <w:bottom w:val="single" w:color="auto" w:sz="4" w:space="0"/>
              <w:right w:val="single" w:color="auto" w:sz="4" w:space="0"/>
            </w:tcBorders>
            <w:noWrap w:val="0"/>
            <w:vAlign w:val="center"/>
          </w:tcPr>
          <w:p w14:paraId="539654F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11</w:t>
            </w:r>
          </w:p>
        </w:tc>
        <w:tc>
          <w:tcPr>
            <w:tcW w:w="3132" w:type="dxa"/>
            <w:vMerge w:val="restart"/>
            <w:tcBorders>
              <w:top w:val="nil"/>
              <w:left w:val="nil"/>
              <w:bottom w:val="single" w:color="auto" w:sz="4" w:space="0"/>
              <w:right w:val="single" w:color="auto" w:sz="4" w:space="0"/>
            </w:tcBorders>
            <w:noWrap w:val="0"/>
            <w:vAlign w:val="center"/>
          </w:tcPr>
          <w:p w14:paraId="793AC554">
            <w:pPr>
              <w:spacing w:line="240" w:lineRule="exact"/>
              <w:rPr>
                <w:rFonts w:ascii="Calibri" w:hAnsi="Calibri"/>
                <w:color w:val="auto"/>
                <w:sz w:val="18"/>
                <w:szCs w:val="18"/>
                <w:highlight w:val="none"/>
              </w:rPr>
            </w:pPr>
            <w:r>
              <w:rPr>
                <w:rFonts w:hint="eastAsia" w:ascii="宋体" w:hAnsi="宋体"/>
                <w:color w:val="auto"/>
                <w:sz w:val="18"/>
                <w:szCs w:val="18"/>
                <w:highlight w:val="none"/>
              </w:rPr>
              <w:t>社会投诉、网上信访、市长热线投诉、数字化城管平台一般案件直接由中标供应商自行整改，整改不及时致使案件超期完成的</w:t>
            </w:r>
          </w:p>
        </w:tc>
        <w:tc>
          <w:tcPr>
            <w:tcW w:w="991" w:type="dxa"/>
            <w:vMerge w:val="restart"/>
            <w:tcBorders>
              <w:top w:val="nil"/>
              <w:left w:val="nil"/>
              <w:bottom w:val="single" w:color="auto" w:sz="4" w:space="0"/>
              <w:right w:val="single" w:color="auto" w:sz="4" w:space="0"/>
            </w:tcBorders>
            <w:noWrap w:val="0"/>
            <w:vAlign w:val="center"/>
          </w:tcPr>
          <w:p w14:paraId="3585B47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每宗案件</w:t>
            </w:r>
          </w:p>
        </w:tc>
        <w:tc>
          <w:tcPr>
            <w:tcW w:w="1925" w:type="dxa"/>
            <w:gridSpan w:val="5"/>
            <w:tcBorders>
              <w:top w:val="single" w:color="auto" w:sz="4" w:space="0"/>
              <w:left w:val="nil"/>
              <w:bottom w:val="single" w:color="auto" w:sz="4" w:space="0"/>
              <w:right w:val="single" w:color="auto" w:sz="4" w:space="0"/>
            </w:tcBorders>
            <w:noWrap w:val="0"/>
            <w:vAlign w:val="center"/>
          </w:tcPr>
          <w:p w14:paraId="2AB963D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不及时</w:t>
            </w:r>
          </w:p>
        </w:tc>
        <w:tc>
          <w:tcPr>
            <w:tcW w:w="735" w:type="dxa"/>
            <w:gridSpan w:val="2"/>
            <w:tcBorders>
              <w:top w:val="nil"/>
              <w:left w:val="nil"/>
              <w:bottom w:val="single" w:color="auto" w:sz="4" w:space="0"/>
              <w:right w:val="single" w:color="auto" w:sz="4" w:space="0"/>
            </w:tcBorders>
            <w:noWrap w:val="0"/>
            <w:vAlign w:val="center"/>
          </w:tcPr>
          <w:p w14:paraId="4A9F18F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0.2-1</w:t>
            </w:r>
            <w:r>
              <w:rPr>
                <w:rFonts w:hint="eastAsia" w:ascii="宋体" w:hAnsi="宋体"/>
                <w:color w:val="auto"/>
                <w:sz w:val="18"/>
                <w:szCs w:val="18"/>
                <w:highlight w:val="none"/>
              </w:rPr>
              <w:t>分</w:t>
            </w:r>
          </w:p>
        </w:tc>
        <w:tc>
          <w:tcPr>
            <w:tcW w:w="1483" w:type="dxa"/>
            <w:gridSpan w:val="2"/>
            <w:tcBorders>
              <w:top w:val="nil"/>
              <w:left w:val="nil"/>
              <w:bottom w:val="single" w:color="auto" w:sz="4" w:space="0"/>
              <w:right w:val="single" w:color="auto" w:sz="4" w:space="0"/>
            </w:tcBorders>
            <w:noWrap w:val="0"/>
            <w:vAlign w:val="center"/>
          </w:tcPr>
          <w:p w14:paraId="27822E6A">
            <w:pPr>
              <w:spacing w:line="240" w:lineRule="exact"/>
              <w:jc w:val="center"/>
              <w:rPr>
                <w:rFonts w:ascii="宋体"/>
                <w:color w:val="auto"/>
                <w:sz w:val="18"/>
                <w:szCs w:val="18"/>
                <w:highlight w:val="none"/>
              </w:rPr>
            </w:pPr>
          </w:p>
        </w:tc>
      </w:tr>
      <w:tr w14:paraId="1318DE61">
        <w:tblPrEx>
          <w:tblCellMar>
            <w:top w:w="0" w:type="dxa"/>
            <w:left w:w="108" w:type="dxa"/>
            <w:bottom w:w="0" w:type="dxa"/>
            <w:right w:w="108" w:type="dxa"/>
          </w:tblCellMar>
        </w:tblPrEx>
        <w:trPr>
          <w:cantSplit/>
          <w:trHeight w:val="352"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2F3D77FA">
            <w:pPr>
              <w:widowControl/>
              <w:jc w:val="left"/>
              <w:rPr>
                <w:rFonts w:ascii="Calibri" w:hAnsi="Calibri"/>
                <w:color w:val="auto"/>
                <w:sz w:val="18"/>
                <w:szCs w:val="18"/>
                <w:highlight w:val="none"/>
              </w:rPr>
            </w:pPr>
          </w:p>
        </w:tc>
        <w:tc>
          <w:tcPr>
            <w:tcW w:w="630" w:type="dxa"/>
            <w:vMerge w:val="continue"/>
            <w:tcBorders>
              <w:top w:val="nil"/>
              <w:left w:val="nil"/>
              <w:bottom w:val="single" w:color="auto" w:sz="4" w:space="0"/>
              <w:right w:val="single" w:color="auto" w:sz="4" w:space="0"/>
            </w:tcBorders>
            <w:noWrap w:val="0"/>
            <w:vAlign w:val="center"/>
          </w:tcPr>
          <w:p w14:paraId="4F3809E1">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616D7D38">
            <w:pPr>
              <w:widowControl/>
              <w:jc w:val="left"/>
              <w:rPr>
                <w:rFonts w:ascii="Calibri" w:hAnsi="Calibri"/>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1E3E9B4E">
            <w:pPr>
              <w:widowControl/>
              <w:jc w:val="left"/>
              <w:rPr>
                <w:rFonts w:ascii="Calibri" w:hAnsi="Calibri"/>
                <w:color w:val="auto"/>
                <w:sz w:val="18"/>
                <w:szCs w:val="18"/>
                <w:highlight w:val="none"/>
              </w:rPr>
            </w:pPr>
          </w:p>
        </w:tc>
        <w:tc>
          <w:tcPr>
            <w:tcW w:w="1925" w:type="dxa"/>
            <w:gridSpan w:val="5"/>
            <w:tcBorders>
              <w:top w:val="single" w:color="auto" w:sz="4" w:space="0"/>
              <w:left w:val="nil"/>
              <w:bottom w:val="single" w:color="auto" w:sz="4" w:space="0"/>
              <w:right w:val="single" w:color="auto" w:sz="4" w:space="0"/>
            </w:tcBorders>
            <w:noWrap w:val="0"/>
            <w:vAlign w:val="center"/>
          </w:tcPr>
          <w:p w14:paraId="3E03BB2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假结案</w:t>
            </w:r>
          </w:p>
        </w:tc>
        <w:tc>
          <w:tcPr>
            <w:tcW w:w="735" w:type="dxa"/>
            <w:gridSpan w:val="2"/>
            <w:tcBorders>
              <w:top w:val="single" w:color="auto" w:sz="4" w:space="0"/>
              <w:left w:val="nil"/>
              <w:bottom w:val="nil"/>
              <w:right w:val="single" w:color="auto" w:sz="4" w:space="0"/>
            </w:tcBorders>
            <w:noWrap w:val="0"/>
            <w:vAlign w:val="center"/>
          </w:tcPr>
          <w:p w14:paraId="759FF1C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10</w:t>
            </w:r>
            <w:r>
              <w:rPr>
                <w:rFonts w:hint="eastAsia" w:ascii="宋体" w:hAnsi="宋体"/>
                <w:color w:val="auto"/>
                <w:sz w:val="18"/>
                <w:szCs w:val="18"/>
                <w:highlight w:val="none"/>
              </w:rPr>
              <w:t>分</w:t>
            </w:r>
          </w:p>
        </w:tc>
        <w:tc>
          <w:tcPr>
            <w:tcW w:w="1483" w:type="dxa"/>
            <w:gridSpan w:val="2"/>
            <w:tcBorders>
              <w:top w:val="single" w:color="auto" w:sz="4" w:space="0"/>
              <w:left w:val="nil"/>
              <w:bottom w:val="nil"/>
              <w:right w:val="single" w:color="auto" w:sz="4" w:space="0"/>
            </w:tcBorders>
            <w:noWrap w:val="0"/>
            <w:vAlign w:val="center"/>
          </w:tcPr>
          <w:p w14:paraId="3FCA4584">
            <w:pPr>
              <w:spacing w:line="240" w:lineRule="exact"/>
              <w:jc w:val="center"/>
              <w:rPr>
                <w:rFonts w:ascii="宋体"/>
                <w:color w:val="auto"/>
                <w:sz w:val="18"/>
                <w:szCs w:val="18"/>
                <w:highlight w:val="none"/>
              </w:rPr>
            </w:pPr>
          </w:p>
        </w:tc>
      </w:tr>
      <w:tr w14:paraId="257AE2E6">
        <w:tblPrEx>
          <w:tblCellMar>
            <w:top w:w="0" w:type="dxa"/>
            <w:left w:w="108" w:type="dxa"/>
            <w:bottom w:w="0" w:type="dxa"/>
            <w:right w:w="108" w:type="dxa"/>
          </w:tblCellMar>
        </w:tblPrEx>
        <w:trPr>
          <w:cantSplit/>
          <w:trHeight w:val="540"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2CE86B69">
            <w:pPr>
              <w:widowControl/>
              <w:jc w:val="left"/>
              <w:rPr>
                <w:rFonts w:ascii="Calibri" w:hAnsi="Calibri"/>
                <w:color w:val="auto"/>
                <w:sz w:val="18"/>
                <w:szCs w:val="18"/>
                <w:highlight w:val="none"/>
              </w:rPr>
            </w:pPr>
          </w:p>
        </w:tc>
        <w:tc>
          <w:tcPr>
            <w:tcW w:w="630" w:type="dxa"/>
            <w:vMerge w:val="restart"/>
            <w:tcBorders>
              <w:top w:val="nil"/>
              <w:left w:val="nil"/>
              <w:bottom w:val="single" w:color="auto" w:sz="4" w:space="0"/>
              <w:right w:val="single" w:color="auto" w:sz="4" w:space="0"/>
            </w:tcBorders>
            <w:noWrap w:val="0"/>
            <w:vAlign w:val="center"/>
          </w:tcPr>
          <w:p w14:paraId="0764992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12</w:t>
            </w:r>
          </w:p>
        </w:tc>
        <w:tc>
          <w:tcPr>
            <w:tcW w:w="3132" w:type="dxa"/>
            <w:vMerge w:val="restart"/>
            <w:tcBorders>
              <w:top w:val="nil"/>
              <w:left w:val="nil"/>
              <w:bottom w:val="single" w:color="auto" w:sz="4" w:space="0"/>
              <w:right w:val="single" w:color="auto" w:sz="4" w:space="0"/>
            </w:tcBorders>
            <w:noWrap w:val="0"/>
            <w:vAlign w:val="center"/>
          </w:tcPr>
          <w:p w14:paraId="26CD7E40">
            <w:pPr>
              <w:spacing w:line="240" w:lineRule="exact"/>
              <w:rPr>
                <w:rFonts w:ascii="Calibri" w:hAnsi="Calibri"/>
                <w:color w:val="auto"/>
                <w:sz w:val="18"/>
                <w:szCs w:val="18"/>
                <w:highlight w:val="none"/>
              </w:rPr>
            </w:pPr>
            <w:r>
              <w:rPr>
                <w:rFonts w:hint="eastAsia" w:ascii="宋体" w:hAnsi="宋体"/>
                <w:color w:val="auto"/>
                <w:sz w:val="18"/>
                <w:szCs w:val="18"/>
                <w:highlight w:val="none"/>
              </w:rPr>
              <w:t>接到媒体曝光、上级相关检查等案件以及被有关部门督办等情况，经园容科核实无误，未按规定时限处理的</w:t>
            </w:r>
          </w:p>
        </w:tc>
        <w:tc>
          <w:tcPr>
            <w:tcW w:w="991" w:type="dxa"/>
            <w:vMerge w:val="restart"/>
            <w:tcBorders>
              <w:top w:val="nil"/>
              <w:left w:val="nil"/>
              <w:bottom w:val="single" w:color="auto" w:sz="4" w:space="0"/>
              <w:right w:val="single" w:color="auto" w:sz="4" w:space="0"/>
            </w:tcBorders>
            <w:noWrap w:val="0"/>
            <w:vAlign w:val="center"/>
          </w:tcPr>
          <w:p w14:paraId="120B086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每次</w:t>
            </w:r>
          </w:p>
        </w:tc>
        <w:tc>
          <w:tcPr>
            <w:tcW w:w="2660" w:type="dxa"/>
            <w:gridSpan w:val="7"/>
            <w:tcBorders>
              <w:top w:val="single" w:color="auto" w:sz="4" w:space="0"/>
              <w:left w:val="nil"/>
              <w:bottom w:val="single" w:color="auto" w:sz="4" w:space="0"/>
              <w:right w:val="single" w:color="auto" w:sz="4" w:space="0"/>
            </w:tcBorders>
            <w:noWrap w:val="0"/>
            <w:vAlign w:val="center"/>
          </w:tcPr>
          <w:p w14:paraId="2A9E929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0.2-1</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7C9DF6B3">
            <w:pPr>
              <w:spacing w:line="240" w:lineRule="exact"/>
              <w:jc w:val="center"/>
              <w:rPr>
                <w:rFonts w:ascii="宋体"/>
                <w:color w:val="auto"/>
                <w:sz w:val="18"/>
                <w:szCs w:val="18"/>
                <w:highlight w:val="none"/>
              </w:rPr>
            </w:pPr>
          </w:p>
        </w:tc>
      </w:tr>
      <w:tr w14:paraId="22729590">
        <w:tblPrEx>
          <w:tblCellMar>
            <w:top w:w="0" w:type="dxa"/>
            <w:left w:w="108" w:type="dxa"/>
            <w:bottom w:w="0" w:type="dxa"/>
            <w:right w:w="108" w:type="dxa"/>
          </w:tblCellMar>
        </w:tblPrEx>
        <w:trPr>
          <w:cantSplit/>
          <w:trHeight w:val="262" w:hRule="atLeast"/>
        </w:trPr>
        <w:tc>
          <w:tcPr>
            <w:tcW w:w="419" w:type="dxa"/>
            <w:vMerge w:val="continue"/>
            <w:tcBorders>
              <w:top w:val="nil"/>
              <w:left w:val="single" w:color="auto" w:sz="4" w:space="0"/>
              <w:bottom w:val="single" w:color="auto" w:sz="4" w:space="0"/>
              <w:right w:val="single" w:color="auto" w:sz="4" w:space="0"/>
            </w:tcBorders>
            <w:noWrap w:val="0"/>
            <w:vAlign w:val="center"/>
          </w:tcPr>
          <w:p w14:paraId="58F678F8">
            <w:pPr>
              <w:widowControl/>
              <w:jc w:val="left"/>
              <w:rPr>
                <w:rFonts w:ascii="Calibri" w:hAnsi="Calibri"/>
                <w:color w:val="auto"/>
                <w:sz w:val="18"/>
                <w:szCs w:val="18"/>
                <w:highlight w:val="none"/>
              </w:rPr>
            </w:pPr>
          </w:p>
        </w:tc>
        <w:tc>
          <w:tcPr>
            <w:tcW w:w="630" w:type="dxa"/>
            <w:vMerge w:val="continue"/>
            <w:tcBorders>
              <w:top w:val="nil"/>
              <w:left w:val="nil"/>
              <w:bottom w:val="single" w:color="auto" w:sz="4" w:space="0"/>
              <w:right w:val="single" w:color="auto" w:sz="4" w:space="0"/>
            </w:tcBorders>
            <w:noWrap w:val="0"/>
            <w:vAlign w:val="center"/>
          </w:tcPr>
          <w:p w14:paraId="516B66D2">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10813FEC">
            <w:pPr>
              <w:widowControl/>
              <w:jc w:val="left"/>
              <w:rPr>
                <w:rFonts w:ascii="Calibri" w:hAnsi="Calibri"/>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666CD87F">
            <w:pPr>
              <w:widowControl/>
              <w:jc w:val="left"/>
              <w:rPr>
                <w:rFonts w:ascii="Calibri" w:hAnsi="Calibri"/>
                <w:color w:val="auto"/>
                <w:sz w:val="18"/>
                <w:szCs w:val="18"/>
                <w:highlight w:val="none"/>
              </w:rPr>
            </w:pPr>
          </w:p>
        </w:tc>
        <w:tc>
          <w:tcPr>
            <w:tcW w:w="1610" w:type="dxa"/>
            <w:gridSpan w:val="4"/>
            <w:tcBorders>
              <w:top w:val="single" w:color="auto" w:sz="4" w:space="0"/>
              <w:left w:val="nil"/>
              <w:bottom w:val="single" w:color="auto" w:sz="4" w:space="0"/>
              <w:right w:val="single" w:color="auto" w:sz="4" w:space="0"/>
            </w:tcBorders>
            <w:noWrap w:val="0"/>
            <w:vAlign w:val="center"/>
          </w:tcPr>
          <w:p w14:paraId="52E942D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假结案</w:t>
            </w:r>
          </w:p>
        </w:tc>
        <w:tc>
          <w:tcPr>
            <w:tcW w:w="1050" w:type="dxa"/>
            <w:gridSpan w:val="3"/>
            <w:tcBorders>
              <w:top w:val="single" w:color="auto" w:sz="4" w:space="0"/>
              <w:left w:val="nil"/>
              <w:bottom w:val="single" w:color="auto" w:sz="4" w:space="0"/>
              <w:right w:val="single" w:color="auto" w:sz="4" w:space="0"/>
            </w:tcBorders>
            <w:noWrap w:val="0"/>
            <w:vAlign w:val="center"/>
          </w:tcPr>
          <w:p w14:paraId="27F694A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10</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2F35196F">
            <w:pPr>
              <w:spacing w:line="240" w:lineRule="exact"/>
              <w:jc w:val="center"/>
              <w:rPr>
                <w:rFonts w:ascii="宋体"/>
                <w:color w:val="auto"/>
                <w:sz w:val="18"/>
                <w:szCs w:val="18"/>
                <w:highlight w:val="none"/>
              </w:rPr>
            </w:pPr>
          </w:p>
        </w:tc>
      </w:tr>
      <w:tr w14:paraId="2739FDDC">
        <w:tblPrEx>
          <w:tblCellMar>
            <w:top w:w="0" w:type="dxa"/>
            <w:left w:w="108" w:type="dxa"/>
            <w:bottom w:w="0" w:type="dxa"/>
            <w:right w:w="108" w:type="dxa"/>
          </w:tblCellMar>
        </w:tblPrEx>
        <w:trPr>
          <w:cantSplit/>
          <w:trHeight w:val="579" w:hRule="atLeast"/>
        </w:trPr>
        <w:tc>
          <w:tcPr>
            <w:tcW w:w="419" w:type="dxa"/>
            <w:vMerge w:val="restart"/>
            <w:tcBorders>
              <w:top w:val="single" w:color="auto" w:sz="4" w:space="0"/>
              <w:left w:val="single" w:color="auto" w:sz="4" w:space="0"/>
              <w:bottom w:val="single" w:color="auto" w:sz="4" w:space="0"/>
              <w:right w:val="single" w:color="auto" w:sz="4" w:space="0"/>
            </w:tcBorders>
            <w:noWrap w:val="0"/>
            <w:vAlign w:val="center"/>
          </w:tcPr>
          <w:p w14:paraId="1A9DE654">
            <w:pPr>
              <w:spacing w:line="240" w:lineRule="exact"/>
              <w:jc w:val="center"/>
              <w:rPr>
                <w:rFonts w:hint="eastAsia" w:ascii="宋体" w:eastAsia="宋体"/>
                <w:color w:val="auto"/>
                <w:sz w:val="18"/>
                <w:szCs w:val="18"/>
                <w:highlight w:val="none"/>
                <w:lang w:eastAsia="zh-CN"/>
              </w:rPr>
            </w:pPr>
            <w:r>
              <w:rPr>
                <w:rFonts w:hint="eastAsia" w:ascii="宋体" w:hAnsi="宋体"/>
                <w:color w:val="auto"/>
                <w:sz w:val="18"/>
                <w:szCs w:val="18"/>
                <w:highlight w:val="none"/>
              </w:rPr>
              <w:t>四</w:t>
            </w:r>
            <w:r>
              <w:rPr>
                <w:rFonts w:hint="eastAsia" w:ascii="宋体" w:hAnsi="宋体"/>
                <w:color w:val="auto"/>
                <w:sz w:val="18"/>
                <w:szCs w:val="18"/>
                <w:highlight w:val="none"/>
                <w:lang w:eastAsia="zh-CN"/>
              </w:rPr>
              <w:t>、</w:t>
            </w:r>
          </w:p>
          <w:p w14:paraId="507FD07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养护管理</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38A6699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13</w:t>
            </w:r>
          </w:p>
        </w:tc>
        <w:tc>
          <w:tcPr>
            <w:tcW w:w="3132" w:type="dxa"/>
            <w:tcBorders>
              <w:top w:val="single" w:color="auto" w:sz="4" w:space="0"/>
              <w:left w:val="nil"/>
              <w:bottom w:val="single" w:color="auto" w:sz="4" w:space="0"/>
              <w:right w:val="single" w:color="auto" w:sz="4" w:space="0"/>
            </w:tcBorders>
            <w:noWrap w:val="0"/>
            <w:vAlign w:val="center"/>
          </w:tcPr>
          <w:p w14:paraId="30197650">
            <w:pPr>
              <w:spacing w:line="240" w:lineRule="exact"/>
              <w:rPr>
                <w:rFonts w:ascii="Calibri" w:hAnsi="Calibri"/>
                <w:color w:val="auto"/>
                <w:sz w:val="18"/>
                <w:szCs w:val="18"/>
                <w:highlight w:val="none"/>
              </w:rPr>
            </w:pPr>
            <w:r>
              <w:rPr>
                <w:rFonts w:hint="eastAsia" w:ascii="宋体" w:hAnsi="宋体"/>
                <w:color w:val="auto"/>
                <w:sz w:val="18"/>
                <w:szCs w:val="18"/>
                <w:highlight w:val="none"/>
              </w:rPr>
              <w:t>未按要求进行松土、做树盘、做边线的，甚至造成土壤板结的</w:t>
            </w:r>
          </w:p>
        </w:tc>
        <w:tc>
          <w:tcPr>
            <w:tcW w:w="991" w:type="dxa"/>
            <w:tcBorders>
              <w:top w:val="single" w:color="auto" w:sz="4" w:space="0"/>
              <w:left w:val="nil"/>
              <w:bottom w:val="single" w:color="auto" w:sz="4" w:space="0"/>
              <w:right w:val="single" w:color="auto" w:sz="4" w:space="0"/>
            </w:tcBorders>
            <w:noWrap w:val="0"/>
            <w:vAlign w:val="center"/>
          </w:tcPr>
          <w:p w14:paraId="5FC0E76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2660" w:type="dxa"/>
            <w:gridSpan w:val="7"/>
            <w:tcBorders>
              <w:top w:val="single" w:color="auto" w:sz="4" w:space="0"/>
              <w:left w:val="nil"/>
              <w:bottom w:val="single" w:color="auto" w:sz="4" w:space="0"/>
              <w:right w:val="single" w:color="auto" w:sz="4" w:space="0"/>
            </w:tcBorders>
            <w:noWrap w:val="0"/>
            <w:vAlign w:val="center"/>
          </w:tcPr>
          <w:p w14:paraId="793FE19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0.2-2</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169578CD">
            <w:pPr>
              <w:spacing w:line="240" w:lineRule="exact"/>
              <w:jc w:val="center"/>
              <w:rPr>
                <w:rFonts w:ascii="宋体"/>
                <w:color w:val="auto"/>
                <w:sz w:val="18"/>
                <w:szCs w:val="18"/>
                <w:highlight w:val="none"/>
              </w:rPr>
            </w:pPr>
          </w:p>
        </w:tc>
      </w:tr>
      <w:tr w14:paraId="5622C9AB">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64C56E09">
            <w:pPr>
              <w:widowControl/>
              <w:jc w:val="left"/>
              <w:rPr>
                <w:rFonts w:ascii="Calibri" w:hAnsi="Calibri"/>
                <w:color w:val="auto"/>
                <w:sz w:val="18"/>
                <w:szCs w:val="18"/>
                <w:highlight w:val="none"/>
              </w:rPr>
            </w:pP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14:paraId="53F5608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14</w:t>
            </w:r>
          </w:p>
        </w:tc>
        <w:tc>
          <w:tcPr>
            <w:tcW w:w="3132" w:type="dxa"/>
            <w:vMerge w:val="restart"/>
            <w:tcBorders>
              <w:top w:val="single" w:color="auto" w:sz="4" w:space="0"/>
              <w:left w:val="nil"/>
              <w:bottom w:val="single" w:color="auto" w:sz="4" w:space="0"/>
              <w:right w:val="single" w:color="auto" w:sz="4" w:space="0"/>
            </w:tcBorders>
            <w:noWrap w:val="0"/>
            <w:vAlign w:val="center"/>
          </w:tcPr>
          <w:p w14:paraId="3E621627">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未按要求除杂，杂草明显的。</w:t>
            </w:r>
          </w:p>
        </w:tc>
        <w:tc>
          <w:tcPr>
            <w:tcW w:w="991" w:type="dxa"/>
            <w:tcBorders>
              <w:top w:val="nil"/>
              <w:left w:val="nil"/>
              <w:bottom w:val="single" w:color="auto" w:sz="4" w:space="0"/>
              <w:right w:val="single" w:color="auto" w:sz="4" w:space="0"/>
            </w:tcBorders>
            <w:noWrap w:val="0"/>
            <w:vAlign w:val="center"/>
          </w:tcPr>
          <w:p w14:paraId="43778DAF">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每处100-300㎡以内</w:t>
            </w:r>
          </w:p>
        </w:tc>
        <w:tc>
          <w:tcPr>
            <w:tcW w:w="1416" w:type="dxa"/>
            <w:gridSpan w:val="3"/>
            <w:tcBorders>
              <w:top w:val="single" w:color="auto" w:sz="4" w:space="0"/>
              <w:left w:val="nil"/>
              <w:bottom w:val="single" w:color="auto" w:sz="4" w:space="0"/>
              <w:right w:val="single" w:color="auto" w:sz="4" w:space="0"/>
            </w:tcBorders>
            <w:noWrap w:val="0"/>
            <w:vAlign w:val="center"/>
          </w:tcPr>
          <w:p w14:paraId="3712E8E6">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一级</w:t>
            </w:r>
          </w:p>
        </w:tc>
        <w:tc>
          <w:tcPr>
            <w:tcW w:w="1260" w:type="dxa"/>
            <w:gridSpan w:val="5"/>
            <w:tcBorders>
              <w:top w:val="single" w:color="auto" w:sz="4" w:space="0"/>
              <w:left w:val="nil"/>
              <w:bottom w:val="single" w:color="auto" w:sz="4" w:space="0"/>
              <w:right w:val="single" w:color="auto" w:sz="4" w:space="0"/>
            </w:tcBorders>
            <w:noWrap w:val="0"/>
            <w:vAlign w:val="center"/>
          </w:tcPr>
          <w:p w14:paraId="37792F44">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扣0.5-1分</w:t>
            </w:r>
          </w:p>
        </w:tc>
        <w:tc>
          <w:tcPr>
            <w:tcW w:w="1467" w:type="dxa"/>
            <w:tcBorders>
              <w:top w:val="single" w:color="auto" w:sz="4" w:space="0"/>
              <w:left w:val="nil"/>
              <w:bottom w:val="single" w:color="auto" w:sz="4" w:space="0"/>
              <w:right w:val="single" w:color="auto" w:sz="4" w:space="0"/>
            </w:tcBorders>
            <w:noWrap w:val="0"/>
            <w:vAlign w:val="center"/>
          </w:tcPr>
          <w:p w14:paraId="4CD23505">
            <w:pPr>
              <w:spacing w:line="240" w:lineRule="exact"/>
              <w:jc w:val="left"/>
              <w:rPr>
                <w:rFonts w:ascii="宋体" w:hAnsi="宋体"/>
                <w:color w:val="auto"/>
                <w:sz w:val="18"/>
                <w:szCs w:val="18"/>
                <w:highlight w:val="none"/>
              </w:rPr>
            </w:pPr>
          </w:p>
        </w:tc>
      </w:tr>
      <w:tr w14:paraId="3CD085CA">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574F81DB">
            <w:pPr>
              <w:widowControl/>
              <w:jc w:val="left"/>
              <w:rPr>
                <w:rFonts w:ascii="Calibri" w:hAnsi="Calibri"/>
                <w:color w:val="auto"/>
                <w:sz w:val="18"/>
                <w:szCs w:val="18"/>
                <w:highlight w:val="none"/>
              </w:rPr>
            </w:pP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14:paraId="62BA5E08">
            <w:pPr>
              <w:widowControl/>
              <w:jc w:val="left"/>
              <w:rPr>
                <w:rFonts w:ascii="Calibri" w:hAnsi="Calibri"/>
                <w:color w:val="auto"/>
                <w:sz w:val="18"/>
                <w:szCs w:val="18"/>
                <w:highlight w:val="none"/>
              </w:rPr>
            </w:pPr>
          </w:p>
        </w:tc>
        <w:tc>
          <w:tcPr>
            <w:tcW w:w="3132" w:type="dxa"/>
            <w:vMerge w:val="continue"/>
            <w:tcBorders>
              <w:top w:val="single" w:color="auto" w:sz="4" w:space="0"/>
              <w:left w:val="nil"/>
              <w:bottom w:val="single" w:color="auto" w:sz="4" w:space="0"/>
              <w:right w:val="single" w:color="auto" w:sz="4" w:space="0"/>
            </w:tcBorders>
            <w:noWrap w:val="0"/>
            <w:vAlign w:val="center"/>
          </w:tcPr>
          <w:p w14:paraId="6ADACA1B">
            <w:pPr>
              <w:widowControl/>
              <w:jc w:val="left"/>
              <w:rPr>
                <w:rFonts w:ascii="宋体" w:hAnsi="宋体"/>
                <w:color w:val="auto"/>
                <w:sz w:val="18"/>
                <w:szCs w:val="18"/>
                <w:highlight w:val="none"/>
              </w:rPr>
            </w:pPr>
          </w:p>
        </w:tc>
        <w:tc>
          <w:tcPr>
            <w:tcW w:w="991" w:type="dxa"/>
            <w:tcBorders>
              <w:top w:val="nil"/>
              <w:left w:val="nil"/>
              <w:bottom w:val="single" w:color="auto" w:sz="4" w:space="0"/>
              <w:right w:val="single" w:color="auto" w:sz="4" w:space="0"/>
            </w:tcBorders>
            <w:noWrap w:val="0"/>
            <w:vAlign w:val="center"/>
          </w:tcPr>
          <w:p w14:paraId="7864A867">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每处300-1000㎡</w:t>
            </w:r>
          </w:p>
        </w:tc>
        <w:tc>
          <w:tcPr>
            <w:tcW w:w="1416" w:type="dxa"/>
            <w:gridSpan w:val="3"/>
            <w:tcBorders>
              <w:top w:val="single" w:color="auto" w:sz="4" w:space="0"/>
              <w:left w:val="nil"/>
              <w:bottom w:val="single" w:color="auto" w:sz="4" w:space="0"/>
              <w:right w:val="single" w:color="auto" w:sz="4" w:space="0"/>
            </w:tcBorders>
            <w:noWrap w:val="0"/>
            <w:vAlign w:val="center"/>
          </w:tcPr>
          <w:p w14:paraId="36480500">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一级</w:t>
            </w:r>
          </w:p>
        </w:tc>
        <w:tc>
          <w:tcPr>
            <w:tcW w:w="1260" w:type="dxa"/>
            <w:gridSpan w:val="5"/>
            <w:tcBorders>
              <w:top w:val="single" w:color="auto" w:sz="4" w:space="0"/>
              <w:left w:val="nil"/>
              <w:bottom w:val="single" w:color="auto" w:sz="4" w:space="0"/>
              <w:right w:val="single" w:color="auto" w:sz="4" w:space="0"/>
            </w:tcBorders>
            <w:noWrap w:val="0"/>
            <w:vAlign w:val="center"/>
          </w:tcPr>
          <w:p w14:paraId="4C2F703A">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扣1-1.5分</w:t>
            </w:r>
          </w:p>
        </w:tc>
        <w:tc>
          <w:tcPr>
            <w:tcW w:w="1467" w:type="dxa"/>
            <w:tcBorders>
              <w:top w:val="single" w:color="auto" w:sz="4" w:space="0"/>
              <w:left w:val="nil"/>
              <w:bottom w:val="single" w:color="auto" w:sz="4" w:space="0"/>
              <w:right w:val="single" w:color="auto" w:sz="4" w:space="0"/>
            </w:tcBorders>
            <w:noWrap w:val="0"/>
            <w:vAlign w:val="center"/>
          </w:tcPr>
          <w:p w14:paraId="7F285811">
            <w:pPr>
              <w:spacing w:line="240" w:lineRule="exact"/>
              <w:jc w:val="center"/>
              <w:rPr>
                <w:rFonts w:ascii="宋体" w:hAnsi="宋体"/>
                <w:color w:val="auto"/>
                <w:sz w:val="18"/>
                <w:szCs w:val="18"/>
                <w:highlight w:val="none"/>
              </w:rPr>
            </w:pPr>
          </w:p>
        </w:tc>
      </w:tr>
      <w:tr w14:paraId="37127790">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C934E1E">
            <w:pPr>
              <w:widowControl/>
              <w:jc w:val="left"/>
              <w:rPr>
                <w:rFonts w:ascii="Calibri" w:hAnsi="Calibri"/>
                <w:color w:val="auto"/>
                <w:sz w:val="18"/>
                <w:szCs w:val="18"/>
                <w:highlight w:val="none"/>
              </w:rPr>
            </w:pP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14:paraId="3FD1FCA8">
            <w:pPr>
              <w:widowControl/>
              <w:jc w:val="left"/>
              <w:rPr>
                <w:rFonts w:ascii="Calibri" w:hAnsi="Calibri"/>
                <w:color w:val="auto"/>
                <w:sz w:val="18"/>
                <w:szCs w:val="18"/>
                <w:highlight w:val="none"/>
              </w:rPr>
            </w:pPr>
          </w:p>
        </w:tc>
        <w:tc>
          <w:tcPr>
            <w:tcW w:w="3132" w:type="dxa"/>
            <w:vMerge w:val="continue"/>
            <w:tcBorders>
              <w:top w:val="single" w:color="auto" w:sz="4" w:space="0"/>
              <w:left w:val="nil"/>
              <w:bottom w:val="single" w:color="auto" w:sz="4" w:space="0"/>
              <w:right w:val="single" w:color="auto" w:sz="4" w:space="0"/>
            </w:tcBorders>
            <w:noWrap w:val="0"/>
            <w:vAlign w:val="center"/>
          </w:tcPr>
          <w:p w14:paraId="15DB1AB9">
            <w:pPr>
              <w:widowControl/>
              <w:jc w:val="left"/>
              <w:rPr>
                <w:rFonts w:ascii="宋体" w:hAnsi="宋体"/>
                <w:color w:val="auto"/>
                <w:sz w:val="18"/>
                <w:szCs w:val="18"/>
                <w:highlight w:val="none"/>
              </w:rPr>
            </w:pPr>
          </w:p>
        </w:tc>
        <w:tc>
          <w:tcPr>
            <w:tcW w:w="991" w:type="dxa"/>
            <w:tcBorders>
              <w:top w:val="nil"/>
              <w:left w:val="nil"/>
              <w:bottom w:val="single" w:color="auto" w:sz="4" w:space="0"/>
              <w:right w:val="single" w:color="auto" w:sz="4" w:space="0"/>
            </w:tcBorders>
            <w:noWrap w:val="0"/>
            <w:vAlign w:val="center"/>
          </w:tcPr>
          <w:p w14:paraId="4D193678">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每处1000㎡以上</w:t>
            </w:r>
          </w:p>
        </w:tc>
        <w:tc>
          <w:tcPr>
            <w:tcW w:w="1416" w:type="dxa"/>
            <w:gridSpan w:val="3"/>
            <w:tcBorders>
              <w:top w:val="single" w:color="auto" w:sz="4" w:space="0"/>
              <w:left w:val="nil"/>
              <w:bottom w:val="single" w:color="auto" w:sz="4" w:space="0"/>
              <w:right w:val="single" w:color="auto" w:sz="4" w:space="0"/>
            </w:tcBorders>
            <w:noWrap w:val="0"/>
            <w:vAlign w:val="center"/>
          </w:tcPr>
          <w:p w14:paraId="7EFC3EC9">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一级</w:t>
            </w:r>
          </w:p>
        </w:tc>
        <w:tc>
          <w:tcPr>
            <w:tcW w:w="1260" w:type="dxa"/>
            <w:gridSpan w:val="5"/>
            <w:tcBorders>
              <w:top w:val="single" w:color="auto" w:sz="4" w:space="0"/>
              <w:left w:val="nil"/>
              <w:bottom w:val="single" w:color="auto" w:sz="4" w:space="0"/>
              <w:right w:val="single" w:color="auto" w:sz="4" w:space="0"/>
            </w:tcBorders>
            <w:noWrap w:val="0"/>
            <w:vAlign w:val="center"/>
          </w:tcPr>
          <w:p w14:paraId="220E6156">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扣1-5分</w:t>
            </w:r>
          </w:p>
        </w:tc>
        <w:tc>
          <w:tcPr>
            <w:tcW w:w="1467" w:type="dxa"/>
            <w:tcBorders>
              <w:top w:val="single" w:color="auto" w:sz="4" w:space="0"/>
              <w:left w:val="nil"/>
              <w:bottom w:val="single" w:color="auto" w:sz="4" w:space="0"/>
              <w:right w:val="single" w:color="auto" w:sz="4" w:space="0"/>
            </w:tcBorders>
            <w:noWrap w:val="0"/>
            <w:vAlign w:val="center"/>
          </w:tcPr>
          <w:p w14:paraId="196B0981">
            <w:pPr>
              <w:spacing w:line="240" w:lineRule="exact"/>
              <w:jc w:val="center"/>
              <w:rPr>
                <w:rFonts w:ascii="宋体" w:hAnsi="宋体"/>
                <w:color w:val="auto"/>
                <w:sz w:val="18"/>
                <w:szCs w:val="18"/>
                <w:highlight w:val="none"/>
              </w:rPr>
            </w:pPr>
          </w:p>
        </w:tc>
      </w:tr>
      <w:tr w14:paraId="1FCCB9D5">
        <w:tblPrEx>
          <w:tblCellMar>
            <w:top w:w="0" w:type="dxa"/>
            <w:left w:w="108" w:type="dxa"/>
            <w:bottom w:w="0" w:type="dxa"/>
            <w:right w:w="108" w:type="dxa"/>
          </w:tblCellMar>
        </w:tblPrEx>
        <w:trPr>
          <w:cantSplit/>
          <w:trHeight w:val="262" w:hRule="atLeast"/>
        </w:trPr>
        <w:tc>
          <w:tcPr>
            <w:tcW w:w="419" w:type="dxa"/>
            <w:vMerge w:val="restart"/>
            <w:tcBorders>
              <w:top w:val="single" w:color="auto" w:sz="4" w:space="0"/>
              <w:left w:val="single" w:color="auto" w:sz="4" w:space="0"/>
              <w:bottom w:val="single" w:color="auto" w:sz="4" w:space="0"/>
              <w:right w:val="single" w:color="auto" w:sz="4" w:space="0"/>
            </w:tcBorders>
            <w:noWrap w:val="0"/>
            <w:vAlign w:val="center"/>
          </w:tcPr>
          <w:p w14:paraId="596EC6A9">
            <w:pPr>
              <w:spacing w:line="240" w:lineRule="exact"/>
              <w:jc w:val="center"/>
              <w:rPr>
                <w:rFonts w:hint="eastAsia" w:ascii="宋体" w:eastAsia="宋体"/>
                <w:color w:val="auto"/>
                <w:sz w:val="18"/>
                <w:szCs w:val="18"/>
                <w:highlight w:val="none"/>
                <w:lang w:eastAsia="zh-CN"/>
              </w:rPr>
            </w:pPr>
            <w:r>
              <w:rPr>
                <w:rFonts w:hint="eastAsia" w:ascii="宋体" w:hAnsi="宋体"/>
                <w:color w:val="auto"/>
                <w:sz w:val="18"/>
                <w:szCs w:val="18"/>
                <w:highlight w:val="none"/>
              </w:rPr>
              <w:t>四</w:t>
            </w:r>
            <w:r>
              <w:rPr>
                <w:rFonts w:hint="eastAsia" w:ascii="宋体" w:hAnsi="宋体"/>
                <w:color w:val="auto"/>
                <w:sz w:val="18"/>
                <w:szCs w:val="18"/>
                <w:highlight w:val="none"/>
                <w:lang w:eastAsia="zh-CN"/>
              </w:rPr>
              <w:t>、</w:t>
            </w:r>
          </w:p>
          <w:p w14:paraId="339F3CD8">
            <w:pPr>
              <w:spacing w:line="240" w:lineRule="exact"/>
              <w:jc w:val="center"/>
              <w:rPr>
                <w:rFonts w:ascii="宋体"/>
                <w:color w:val="auto"/>
                <w:sz w:val="18"/>
                <w:szCs w:val="18"/>
                <w:highlight w:val="none"/>
              </w:rPr>
            </w:pPr>
          </w:p>
          <w:p w14:paraId="40E7F20D">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养护管理</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4496C5F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15</w:t>
            </w:r>
          </w:p>
        </w:tc>
        <w:tc>
          <w:tcPr>
            <w:tcW w:w="3132" w:type="dxa"/>
            <w:tcBorders>
              <w:top w:val="single" w:color="auto" w:sz="4" w:space="0"/>
              <w:left w:val="nil"/>
              <w:bottom w:val="single" w:color="auto" w:sz="4" w:space="0"/>
              <w:right w:val="single" w:color="auto" w:sz="4" w:space="0"/>
            </w:tcBorders>
            <w:noWrap w:val="0"/>
            <w:vAlign w:val="center"/>
          </w:tcPr>
          <w:p w14:paraId="25022AB8">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植物未按要求适时修剪的，或因修剪不当而造成景观损失或安全隐患的（若出现恶劣后果的，按扣分标准上限翻倍扣罚）</w:t>
            </w:r>
          </w:p>
        </w:tc>
        <w:tc>
          <w:tcPr>
            <w:tcW w:w="991" w:type="dxa"/>
            <w:tcBorders>
              <w:top w:val="single" w:color="auto" w:sz="4" w:space="0"/>
              <w:left w:val="nil"/>
              <w:bottom w:val="single" w:color="auto" w:sz="4" w:space="0"/>
              <w:right w:val="single" w:color="auto" w:sz="4" w:space="0"/>
            </w:tcBorders>
            <w:noWrap w:val="0"/>
            <w:vAlign w:val="center"/>
          </w:tcPr>
          <w:p w14:paraId="1FF82BBF">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2660" w:type="dxa"/>
            <w:gridSpan w:val="7"/>
            <w:tcBorders>
              <w:top w:val="single" w:color="auto" w:sz="4" w:space="0"/>
              <w:left w:val="nil"/>
              <w:bottom w:val="single" w:color="auto" w:sz="4" w:space="0"/>
              <w:right w:val="single" w:color="auto" w:sz="4" w:space="0"/>
            </w:tcBorders>
            <w:noWrap w:val="0"/>
            <w:vAlign w:val="center"/>
          </w:tcPr>
          <w:p w14:paraId="7770898D">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扣0.2-2分</w:t>
            </w:r>
          </w:p>
        </w:tc>
        <w:tc>
          <w:tcPr>
            <w:tcW w:w="1483" w:type="dxa"/>
            <w:gridSpan w:val="2"/>
            <w:tcBorders>
              <w:top w:val="single" w:color="auto" w:sz="4" w:space="0"/>
              <w:left w:val="nil"/>
              <w:bottom w:val="single" w:color="auto" w:sz="4" w:space="0"/>
              <w:right w:val="single" w:color="auto" w:sz="4" w:space="0"/>
            </w:tcBorders>
            <w:noWrap w:val="0"/>
            <w:vAlign w:val="center"/>
          </w:tcPr>
          <w:p w14:paraId="35FCD513">
            <w:pPr>
              <w:spacing w:line="240" w:lineRule="exact"/>
              <w:jc w:val="left"/>
              <w:rPr>
                <w:rFonts w:ascii="宋体" w:hAnsi="宋体"/>
                <w:color w:val="auto"/>
                <w:sz w:val="18"/>
                <w:szCs w:val="18"/>
                <w:highlight w:val="none"/>
              </w:rPr>
            </w:pPr>
          </w:p>
        </w:tc>
      </w:tr>
      <w:tr w14:paraId="1F9FBFB8">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60EA725E">
            <w:pPr>
              <w:widowControl/>
              <w:jc w:val="left"/>
              <w:rPr>
                <w:rFonts w:ascii="Calibri" w:hAnsi="Calibri"/>
                <w:color w:val="auto"/>
                <w:sz w:val="18"/>
                <w:szCs w:val="18"/>
                <w:highlight w:val="none"/>
              </w:rPr>
            </w:pPr>
          </w:p>
        </w:tc>
        <w:tc>
          <w:tcPr>
            <w:tcW w:w="630" w:type="dxa"/>
            <w:vMerge w:val="restart"/>
            <w:tcBorders>
              <w:top w:val="nil"/>
              <w:left w:val="single" w:color="auto" w:sz="4" w:space="0"/>
              <w:bottom w:val="single" w:color="auto" w:sz="4" w:space="0"/>
              <w:right w:val="single" w:color="auto" w:sz="4" w:space="0"/>
            </w:tcBorders>
            <w:noWrap w:val="0"/>
            <w:vAlign w:val="center"/>
          </w:tcPr>
          <w:p w14:paraId="337327DA">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16</w:t>
            </w:r>
          </w:p>
        </w:tc>
        <w:tc>
          <w:tcPr>
            <w:tcW w:w="3132" w:type="dxa"/>
            <w:vMerge w:val="restart"/>
            <w:tcBorders>
              <w:top w:val="nil"/>
              <w:left w:val="nil"/>
              <w:bottom w:val="single" w:color="auto" w:sz="4" w:space="0"/>
              <w:right w:val="single" w:color="auto" w:sz="4" w:space="0"/>
            </w:tcBorders>
            <w:noWrap w:val="0"/>
            <w:vAlign w:val="center"/>
          </w:tcPr>
          <w:p w14:paraId="535489B8">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乔木未按规范和相关要求进行整形修剪病虫枝、</w:t>
            </w:r>
            <w:r>
              <w:rPr>
                <w:rFonts w:hint="eastAsia" w:ascii="宋体" w:hAnsi="宋体"/>
                <w:color w:val="auto"/>
                <w:sz w:val="18"/>
                <w:szCs w:val="18"/>
                <w:highlight w:val="none"/>
                <w:lang w:val="en-US" w:eastAsia="zh-CN"/>
              </w:rPr>
              <w:t>内</w:t>
            </w:r>
            <w:r>
              <w:rPr>
                <w:rFonts w:hint="eastAsia" w:ascii="宋体" w:hAnsi="宋体"/>
                <w:color w:val="auto"/>
                <w:sz w:val="18"/>
                <w:szCs w:val="18"/>
                <w:highlight w:val="none"/>
              </w:rPr>
              <w:t>膛枝、干枯枝等需要清除的枝条</w:t>
            </w:r>
          </w:p>
        </w:tc>
        <w:tc>
          <w:tcPr>
            <w:tcW w:w="991" w:type="dxa"/>
            <w:vMerge w:val="restart"/>
            <w:tcBorders>
              <w:top w:val="nil"/>
              <w:left w:val="nil"/>
              <w:bottom w:val="single" w:color="auto" w:sz="4" w:space="0"/>
              <w:right w:val="single" w:color="auto" w:sz="4" w:space="0"/>
            </w:tcBorders>
            <w:noWrap w:val="0"/>
            <w:vAlign w:val="center"/>
          </w:tcPr>
          <w:p w14:paraId="5769F03B">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1416" w:type="dxa"/>
            <w:gridSpan w:val="3"/>
            <w:tcBorders>
              <w:top w:val="single" w:color="auto" w:sz="4" w:space="0"/>
              <w:left w:val="nil"/>
              <w:bottom w:val="single" w:color="auto" w:sz="4" w:space="0"/>
              <w:right w:val="single" w:color="auto" w:sz="4" w:space="0"/>
            </w:tcBorders>
            <w:noWrap w:val="0"/>
            <w:vAlign w:val="center"/>
          </w:tcPr>
          <w:p w14:paraId="3ED14CD8">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10株以内</w:t>
            </w:r>
          </w:p>
        </w:tc>
        <w:tc>
          <w:tcPr>
            <w:tcW w:w="1260" w:type="dxa"/>
            <w:gridSpan w:val="5"/>
            <w:tcBorders>
              <w:top w:val="single" w:color="auto" w:sz="4" w:space="0"/>
              <w:left w:val="nil"/>
              <w:bottom w:val="single" w:color="auto" w:sz="4" w:space="0"/>
              <w:right w:val="single" w:color="auto" w:sz="4" w:space="0"/>
            </w:tcBorders>
            <w:noWrap w:val="0"/>
            <w:vAlign w:val="center"/>
          </w:tcPr>
          <w:p w14:paraId="3377CA45">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扣0.2-0.5分</w:t>
            </w:r>
          </w:p>
        </w:tc>
        <w:tc>
          <w:tcPr>
            <w:tcW w:w="1467" w:type="dxa"/>
            <w:tcBorders>
              <w:top w:val="single" w:color="auto" w:sz="4" w:space="0"/>
              <w:left w:val="nil"/>
              <w:bottom w:val="single" w:color="auto" w:sz="4" w:space="0"/>
              <w:right w:val="single" w:color="auto" w:sz="4" w:space="0"/>
            </w:tcBorders>
            <w:noWrap w:val="0"/>
            <w:vAlign w:val="center"/>
          </w:tcPr>
          <w:p w14:paraId="3D2CB0E4">
            <w:pPr>
              <w:spacing w:line="240" w:lineRule="exact"/>
              <w:jc w:val="center"/>
              <w:rPr>
                <w:rFonts w:ascii="宋体" w:hAnsi="宋体"/>
                <w:color w:val="auto"/>
                <w:sz w:val="18"/>
                <w:szCs w:val="18"/>
                <w:highlight w:val="none"/>
              </w:rPr>
            </w:pPr>
          </w:p>
        </w:tc>
      </w:tr>
      <w:tr w14:paraId="730EE1F6">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1C20DB4C">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77CF8D6A">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7F0C8106">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3A443EF0">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09F70380">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10-100株</w:t>
            </w:r>
          </w:p>
        </w:tc>
        <w:tc>
          <w:tcPr>
            <w:tcW w:w="1260" w:type="dxa"/>
            <w:gridSpan w:val="5"/>
            <w:tcBorders>
              <w:top w:val="single" w:color="auto" w:sz="4" w:space="0"/>
              <w:left w:val="nil"/>
              <w:bottom w:val="single" w:color="auto" w:sz="4" w:space="0"/>
              <w:right w:val="single" w:color="auto" w:sz="4" w:space="0"/>
            </w:tcBorders>
            <w:noWrap w:val="0"/>
            <w:vAlign w:val="center"/>
          </w:tcPr>
          <w:p w14:paraId="72AE9477">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扣0.5-1分</w:t>
            </w:r>
          </w:p>
        </w:tc>
        <w:tc>
          <w:tcPr>
            <w:tcW w:w="1467" w:type="dxa"/>
            <w:tcBorders>
              <w:top w:val="single" w:color="auto" w:sz="4" w:space="0"/>
              <w:left w:val="nil"/>
              <w:bottom w:val="single" w:color="auto" w:sz="4" w:space="0"/>
              <w:right w:val="single" w:color="auto" w:sz="4" w:space="0"/>
            </w:tcBorders>
            <w:noWrap w:val="0"/>
            <w:vAlign w:val="center"/>
          </w:tcPr>
          <w:p w14:paraId="2CC0B00A">
            <w:pPr>
              <w:spacing w:line="240" w:lineRule="exact"/>
              <w:jc w:val="left"/>
              <w:rPr>
                <w:rFonts w:ascii="宋体" w:hAnsi="宋体"/>
                <w:color w:val="auto"/>
                <w:sz w:val="18"/>
                <w:szCs w:val="18"/>
                <w:highlight w:val="none"/>
              </w:rPr>
            </w:pPr>
          </w:p>
        </w:tc>
      </w:tr>
      <w:tr w14:paraId="514904F6">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48669007">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03930BE0">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34BEBBEE">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5821B8A7">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036F3E6F">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100株以上</w:t>
            </w:r>
          </w:p>
        </w:tc>
        <w:tc>
          <w:tcPr>
            <w:tcW w:w="1260" w:type="dxa"/>
            <w:gridSpan w:val="5"/>
            <w:tcBorders>
              <w:top w:val="single" w:color="auto" w:sz="4" w:space="0"/>
              <w:left w:val="nil"/>
              <w:bottom w:val="single" w:color="auto" w:sz="4" w:space="0"/>
              <w:right w:val="single" w:color="auto" w:sz="4" w:space="0"/>
            </w:tcBorders>
            <w:noWrap w:val="0"/>
            <w:vAlign w:val="center"/>
          </w:tcPr>
          <w:p w14:paraId="31D36031">
            <w:pPr>
              <w:spacing w:line="240" w:lineRule="exact"/>
              <w:rPr>
                <w:rFonts w:ascii="宋体" w:hAnsi="宋体"/>
                <w:color w:val="auto"/>
                <w:sz w:val="18"/>
                <w:szCs w:val="18"/>
                <w:highlight w:val="none"/>
              </w:rPr>
            </w:pPr>
            <w:r>
              <w:rPr>
                <w:rFonts w:hint="eastAsia" w:ascii="宋体" w:hAnsi="宋体"/>
                <w:color w:val="auto"/>
                <w:sz w:val="18"/>
                <w:szCs w:val="18"/>
                <w:highlight w:val="none"/>
              </w:rPr>
              <w:t>扣1-2分</w:t>
            </w:r>
          </w:p>
        </w:tc>
        <w:tc>
          <w:tcPr>
            <w:tcW w:w="1467" w:type="dxa"/>
            <w:tcBorders>
              <w:top w:val="single" w:color="auto" w:sz="4" w:space="0"/>
              <w:left w:val="nil"/>
              <w:bottom w:val="single" w:color="auto" w:sz="4" w:space="0"/>
              <w:right w:val="single" w:color="auto" w:sz="4" w:space="0"/>
            </w:tcBorders>
            <w:noWrap w:val="0"/>
            <w:vAlign w:val="center"/>
          </w:tcPr>
          <w:p w14:paraId="30A02026">
            <w:pPr>
              <w:spacing w:line="240" w:lineRule="exact"/>
              <w:jc w:val="left"/>
              <w:rPr>
                <w:rFonts w:ascii="宋体" w:hAnsi="宋体"/>
                <w:color w:val="auto"/>
                <w:sz w:val="18"/>
                <w:szCs w:val="18"/>
                <w:highlight w:val="none"/>
              </w:rPr>
            </w:pPr>
          </w:p>
        </w:tc>
      </w:tr>
      <w:tr w14:paraId="651E273A">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5808B66">
            <w:pPr>
              <w:widowControl/>
              <w:jc w:val="left"/>
              <w:rPr>
                <w:rFonts w:ascii="Calibri" w:hAnsi="Calibri"/>
                <w:color w:val="auto"/>
                <w:sz w:val="18"/>
                <w:szCs w:val="18"/>
                <w:highlight w:val="none"/>
              </w:rPr>
            </w:pPr>
          </w:p>
        </w:tc>
        <w:tc>
          <w:tcPr>
            <w:tcW w:w="630" w:type="dxa"/>
            <w:vMerge w:val="restart"/>
            <w:tcBorders>
              <w:top w:val="nil"/>
              <w:left w:val="single" w:color="auto" w:sz="4" w:space="0"/>
              <w:bottom w:val="single" w:color="auto" w:sz="4" w:space="0"/>
              <w:right w:val="single" w:color="auto" w:sz="4" w:space="0"/>
            </w:tcBorders>
            <w:noWrap w:val="0"/>
            <w:vAlign w:val="center"/>
          </w:tcPr>
          <w:p w14:paraId="624F3BAB">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17</w:t>
            </w:r>
          </w:p>
        </w:tc>
        <w:tc>
          <w:tcPr>
            <w:tcW w:w="3132" w:type="dxa"/>
            <w:vMerge w:val="restart"/>
            <w:tcBorders>
              <w:top w:val="nil"/>
              <w:left w:val="nil"/>
              <w:bottom w:val="single" w:color="auto" w:sz="4" w:space="0"/>
              <w:right w:val="single" w:color="auto" w:sz="4" w:space="0"/>
            </w:tcBorders>
            <w:noWrap w:val="0"/>
            <w:vAlign w:val="center"/>
          </w:tcPr>
          <w:p w14:paraId="47C02A4A">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草坪根据生长情况进行打草，高度控制在合理高度；草坪色块交界处未按要求进行切边。</w:t>
            </w:r>
          </w:p>
        </w:tc>
        <w:tc>
          <w:tcPr>
            <w:tcW w:w="991" w:type="dxa"/>
            <w:vMerge w:val="restart"/>
            <w:tcBorders>
              <w:top w:val="nil"/>
              <w:left w:val="nil"/>
              <w:bottom w:val="single" w:color="auto" w:sz="4" w:space="0"/>
              <w:right w:val="single" w:color="auto" w:sz="4" w:space="0"/>
            </w:tcBorders>
            <w:noWrap w:val="0"/>
            <w:vAlign w:val="center"/>
          </w:tcPr>
          <w:p w14:paraId="7CE0B0A2">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1416" w:type="dxa"/>
            <w:gridSpan w:val="3"/>
            <w:tcBorders>
              <w:top w:val="single" w:color="auto" w:sz="4" w:space="0"/>
              <w:left w:val="nil"/>
              <w:bottom w:val="single" w:color="auto" w:sz="4" w:space="0"/>
              <w:right w:val="single" w:color="auto" w:sz="4" w:space="0"/>
            </w:tcBorders>
            <w:noWrap w:val="0"/>
            <w:vAlign w:val="center"/>
          </w:tcPr>
          <w:p w14:paraId="73141D99">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100㎡以内</w:t>
            </w:r>
          </w:p>
        </w:tc>
        <w:tc>
          <w:tcPr>
            <w:tcW w:w="1260" w:type="dxa"/>
            <w:gridSpan w:val="5"/>
            <w:tcBorders>
              <w:top w:val="single" w:color="auto" w:sz="4" w:space="0"/>
              <w:left w:val="nil"/>
              <w:bottom w:val="single" w:color="auto" w:sz="4" w:space="0"/>
              <w:right w:val="single" w:color="auto" w:sz="4" w:space="0"/>
            </w:tcBorders>
            <w:noWrap w:val="0"/>
            <w:vAlign w:val="center"/>
          </w:tcPr>
          <w:p w14:paraId="3E293131">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扣0.1-1分</w:t>
            </w:r>
          </w:p>
        </w:tc>
        <w:tc>
          <w:tcPr>
            <w:tcW w:w="1467" w:type="dxa"/>
            <w:tcBorders>
              <w:top w:val="single" w:color="auto" w:sz="4" w:space="0"/>
              <w:left w:val="nil"/>
              <w:bottom w:val="single" w:color="auto" w:sz="4" w:space="0"/>
              <w:right w:val="single" w:color="auto" w:sz="4" w:space="0"/>
            </w:tcBorders>
            <w:noWrap w:val="0"/>
            <w:vAlign w:val="center"/>
          </w:tcPr>
          <w:p w14:paraId="7889120B">
            <w:pPr>
              <w:spacing w:line="240" w:lineRule="exact"/>
              <w:jc w:val="center"/>
              <w:rPr>
                <w:rFonts w:ascii="宋体" w:hAnsi="宋体"/>
                <w:color w:val="auto"/>
                <w:sz w:val="18"/>
                <w:szCs w:val="18"/>
                <w:highlight w:val="none"/>
              </w:rPr>
            </w:pPr>
          </w:p>
        </w:tc>
      </w:tr>
      <w:tr w14:paraId="655D1A0B">
        <w:tblPrEx>
          <w:tblCellMar>
            <w:top w:w="0" w:type="dxa"/>
            <w:left w:w="108" w:type="dxa"/>
            <w:bottom w:w="0" w:type="dxa"/>
            <w:right w:w="108" w:type="dxa"/>
          </w:tblCellMar>
        </w:tblPrEx>
        <w:trPr>
          <w:cantSplit/>
          <w:trHeight w:val="350"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F5F0767">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1B381944">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2A09E53F">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6C8BE91E">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11A5B1A3">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100-1000㎡</w:t>
            </w:r>
          </w:p>
        </w:tc>
        <w:tc>
          <w:tcPr>
            <w:tcW w:w="1260" w:type="dxa"/>
            <w:gridSpan w:val="5"/>
            <w:tcBorders>
              <w:top w:val="single" w:color="auto" w:sz="4" w:space="0"/>
              <w:left w:val="nil"/>
              <w:bottom w:val="single" w:color="auto" w:sz="4" w:space="0"/>
              <w:right w:val="single" w:color="auto" w:sz="4" w:space="0"/>
            </w:tcBorders>
            <w:noWrap w:val="0"/>
            <w:vAlign w:val="center"/>
          </w:tcPr>
          <w:p w14:paraId="2FE0D92C">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扣0.2-2分</w:t>
            </w:r>
          </w:p>
        </w:tc>
        <w:tc>
          <w:tcPr>
            <w:tcW w:w="1467" w:type="dxa"/>
            <w:tcBorders>
              <w:top w:val="single" w:color="auto" w:sz="4" w:space="0"/>
              <w:left w:val="nil"/>
              <w:bottom w:val="single" w:color="auto" w:sz="4" w:space="0"/>
              <w:right w:val="single" w:color="auto" w:sz="4" w:space="0"/>
            </w:tcBorders>
            <w:noWrap w:val="0"/>
            <w:vAlign w:val="center"/>
          </w:tcPr>
          <w:p w14:paraId="642B32AE">
            <w:pPr>
              <w:spacing w:line="240" w:lineRule="exact"/>
              <w:jc w:val="left"/>
              <w:rPr>
                <w:rFonts w:ascii="宋体" w:hAnsi="宋体"/>
                <w:color w:val="auto"/>
                <w:sz w:val="18"/>
                <w:szCs w:val="18"/>
                <w:highlight w:val="none"/>
              </w:rPr>
            </w:pPr>
          </w:p>
        </w:tc>
      </w:tr>
      <w:tr w14:paraId="79BE82DC">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1AFBCBAC">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1D327AC3">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202C67FB">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4A34853C">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3FC46F9A">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1000㎡以上</w:t>
            </w:r>
          </w:p>
        </w:tc>
        <w:tc>
          <w:tcPr>
            <w:tcW w:w="1212" w:type="dxa"/>
            <w:gridSpan w:val="3"/>
            <w:tcBorders>
              <w:top w:val="single" w:color="auto" w:sz="4" w:space="0"/>
              <w:left w:val="nil"/>
              <w:bottom w:val="single" w:color="auto" w:sz="4" w:space="0"/>
              <w:right w:val="single" w:color="auto" w:sz="4" w:space="0"/>
            </w:tcBorders>
            <w:noWrap w:val="0"/>
            <w:vAlign w:val="center"/>
          </w:tcPr>
          <w:p w14:paraId="7FCCF029">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扣0.3-3分</w:t>
            </w:r>
          </w:p>
        </w:tc>
        <w:tc>
          <w:tcPr>
            <w:tcW w:w="1515" w:type="dxa"/>
            <w:gridSpan w:val="3"/>
            <w:tcBorders>
              <w:top w:val="single" w:color="auto" w:sz="4" w:space="0"/>
              <w:left w:val="nil"/>
              <w:bottom w:val="single" w:color="auto" w:sz="4" w:space="0"/>
              <w:right w:val="single" w:color="auto" w:sz="4" w:space="0"/>
            </w:tcBorders>
            <w:noWrap w:val="0"/>
            <w:vAlign w:val="center"/>
          </w:tcPr>
          <w:p w14:paraId="61452E71">
            <w:pPr>
              <w:spacing w:line="240" w:lineRule="exact"/>
              <w:jc w:val="center"/>
              <w:rPr>
                <w:rFonts w:ascii="宋体" w:hAnsi="宋体"/>
                <w:color w:val="auto"/>
                <w:sz w:val="18"/>
                <w:szCs w:val="18"/>
                <w:highlight w:val="none"/>
              </w:rPr>
            </w:pPr>
          </w:p>
        </w:tc>
      </w:tr>
      <w:tr w14:paraId="52ADAF79">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B0F5E61">
            <w:pPr>
              <w:widowControl/>
              <w:jc w:val="left"/>
              <w:rPr>
                <w:rFonts w:ascii="Calibri" w:hAnsi="Calibri"/>
                <w:color w:val="auto"/>
                <w:sz w:val="18"/>
                <w:szCs w:val="18"/>
                <w:highlight w:val="none"/>
              </w:rPr>
            </w:pPr>
          </w:p>
        </w:tc>
        <w:tc>
          <w:tcPr>
            <w:tcW w:w="630" w:type="dxa"/>
            <w:tcBorders>
              <w:top w:val="single" w:color="auto" w:sz="4" w:space="0"/>
              <w:left w:val="single" w:color="auto" w:sz="4" w:space="0"/>
              <w:bottom w:val="single" w:color="auto" w:sz="4" w:space="0"/>
              <w:right w:val="single" w:color="auto" w:sz="4" w:space="0"/>
            </w:tcBorders>
            <w:noWrap w:val="0"/>
            <w:vAlign w:val="center"/>
          </w:tcPr>
          <w:p w14:paraId="143EC98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18</w:t>
            </w:r>
          </w:p>
        </w:tc>
        <w:tc>
          <w:tcPr>
            <w:tcW w:w="3132" w:type="dxa"/>
            <w:tcBorders>
              <w:top w:val="single" w:color="auto" w:sz="4" w:space="0"/>
              <w:left w:val="nil"/>
              <w:bottom w:val="single" w:color="auto" w:sz="4" w:space="0"/>
              <w:right w:val="single" w:color="auto" w:sz="4" w:space="0"/>
            </w:tcBorders>
            <w:noWrap w:val="0"/>
            <w:vAlign w:val="center"/>
          </w:tcPr>
          <w:p w14:paraId="02D53475">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未按招标文件淋水要求次数进行淋水</w:t>
            </w:r>
          </w:p>
        </w:tc>
        <w:tc>
          <w:tcPr>
            <w:tcW w:w="991" w:type="dxa"/>
            <w:tcBorders>
              <w:top w:val="single" w:color="auto" w:sz="4" w:space="0"/>
              <w:left w:val="nil"/>
              <w:bottom w:val="single" w:color="auto" w:sz="4" w:space="0"/>
              <w:right w:val="single" w:color="auto" w:sz="4" w:space="0"/>
            </w:tcBorders>
            <w:noWrap w:val="0"/>
            <w:vAlign w:val="center"/>
          </w:tcPr>
          <w:p w14:paraId="5A928FE9">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每次</w:t>
            </w:r>
          </w:p>
        </w:tc>
        <w:tc>
          <w:tcPr>
            <w:tcW w:w="2676" w:type="dxa"/>
            <w:gridSpan w:val="8"/>
            <w:tcBorders>
              <w:top w:val="single" w:color="auto" w:sz="4" w:space="0"/>
              <w:left w:val="nil"/>
              <w:bottom w:val="single" w:color="auto" w:sz="4" w:space="0"/>
              <w:right w:val="single" w:color="auto" w:sz="4" w:space="0"/>
            </w:tcBorders>
            <w:noWrap w:val="0"/>
            <w:vAlign w:val="center"/>
          </w:tcPr>
          <w:p w14:paraId="6ACAF210">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扣0.2-0.5分</w:t>
            </w:r>
          </w:p>
        </w:tc>
        <w:tc>
          <w:tcPr>
            <w:tcW w:w="1467" w:type="dxa"/>
            <w:tcBorders>
              <w:top w:val="single" w:color="auto" w:sz="4" w:space="0"/>
              <w:left w:val="nil"/>
              <w:bottom w:val="single" w:color="auto" w:sz="4" w:space="0"/>
              <w:right w:val="single" w:color="auto" w:sz="4" w:space="0"/>
            </w:tcBorders>
            <w:noWrap w:val="0"/>
            <w:vAlign w:val="center"/>
          </w:tcPr>
          <w:p w14:paraId="04CB32B7">
            <w:pPr>
              <w:spacing w:line="240" w:lineRule="exact"/>
              <w:jc w:val="left"/>
              <w:rPr>
                <w:rFonts w:ascii="宋体" w:hAnsi="宋体"/>
                <w:color w:val="auto"/>
                <w:sz w:val="18"/>
                <w:szCs w:val="18"/>
                <w:highlight w:val="none"/>
              </w:rPr>
            </w:pPr>
          </w:p>
        </w:tc>
      </w:tr>
      <w:tr w14:paraId="42A032C4">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6D3B97B4">
            <w:pPr>
              <w:widowControl/>
              <w:jc w:val="left"/>
              <w:rPr>
                <w:rFonts w:ascii="Calibri" w:hAnsi="Calibri"/>
                <w:color w:val="auto"/>
                <w:sz w:val="18"/>
                <w:szCs w:val="18"/>
                <w:highlight w:val="none"/>
              </w:rPr>
            </w:pPr>
          </w:p>
        </w:tc>
        <w:tc>
          <w:tcPr>
            <w:tcW w:w="630" w:type="dxa"/>
            <w:vMerge w:val="restart"/>
            <w:tcBorders>
              <w:top w:val="nil"/>
              <w:left w:val="single" w:color="auto" w:sz="4" w:space="0"/>
              <w:bottom w:val="single" w:color="auto" w:sz="4" w:space="0"/>
              <w:right w:val="single" w:color="auto" w:sz="4" w:space="0"/>
            </w:tcBorders>
            <w:noWrap w:val="0"/>
            <w:vAlign w:val="center"/>
          </w:tcPr>
          <w:p w14:paraId="2712F20C">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19</w:t>
            </w:r>
          </w:p>
        </w:tc>
        <w:tc>
          <w:tcPr>
            <w:tcW w:w="3132" w:type="dxa"/>
            <w:vMerge w:val="restart"/>
            <w:tcBorders>
              <w:top w:val="nil"/>
              <w:left w:val="nil"/>
              <w:bottom w:val="single" w:color="auto" w:sz="4" w:space="0"/>
              <w:right w:val="single" w:color="auto" w:sz="4" w:space="0"/>
            </w:tcBorders>
            <w:noWrap w:val="0"/>
            <w:vAlign w:val="center"/>
          </w:tcPr>
          <w:p w14:paraId="3E07D9E7">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植物出现干旱缺水迹象明显</w:t>
            </w:r>
          </w:p>
          <w:p w14:paraId="092F3065">
            <w:pPr>
              <w:widowControl/>
              <w:spacing w:line="240" w:lineRule="exact"/>
              <w:jc w:val="left"/>
              <w:rPr>
                <w:rFonts w:ascii="宋体" w:hAnsi="宋体"/>
                <w:color w:val="auto"/>
                <w:sz w:val="18"/>
                <w:szCs w:val="18"/>
                <w:highlight w:val="none"/>
              </w:rPr>
            </w:pPr>
            <w:r>
              <w:rPr>
                <w:rFonts w:hint="eastAsia" w:ascii="宋体" w:hAnsi="宋体"/>
                <w:color w:val="auto"/>
                <w:sz w:val="18"/>
                <w:szCs w:val="18"/>
                <w:highlight w:val="none"/>
              </w:rPr>
              <w:t>（其中出现明显的萎蔫枯黄按扣分标准上限扣除；出现死亡的现象按扣分标准上限翻倍扣除）</w:t>
            </w:r>
          </w:p>
        </w:tc>
        <w:tc>
          <w:tcPr>
            <w:tcW w:w="991" w:type="dxa"/>
            <w:vMerge w:val="restart"/>
            <w:tcBorders>
              <w:top w:val="nil"/>
              <w:left w:val="nil"/>
              <w:bottom w:val="single" w:color="auto" w:sz="4" w:space="0"/>
              <w:right w:val="single" w:color="auto" w:sz="4" w:space="0"/>
            </w:tcBorders>
            <w:noWrap w:val="0"/>
            <w:vAlign w:val="center"/>
          </w:tcPr>
          <w:p w14:paraId="226900C7">
            <w:pPr>
              <w:widowControl/>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每宗案件</w:t>
            </w:r>
          </w:p>
        </w:tc>
        <w:tc>
          <w:tcPr>
            <w:tcW w:w="1416" w:type="dxa"/>
            <w:gridSpan w:val="3"/>
            <w:tcBorders>
              <w:top w:val="single" w:color="auto" w:sz="4" w:space="0"/>
              <w:left w:val="nil"/>
              <w:bottom w:val="single" w:color="auto" w:sz="4" w:space="0"/>
              <w:right w:val="single" w:color="auto" w:sz="4" w:space="0"/>
            </w:tcBorders>
            <w:noWrap w:val="0"/>
            <w:vAlign w:val="top"/>
          </w:tcPr>
          <w:p w14:paraId="4E44E3CD">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10株乔灌木以下或50㎡以内绿地</w:t>
            </w:r>
          </w:p>
        </w:tc>
        <w:tc>
          <w:tcPr>
            <w:tcW w:w="1260" w:type="dxa"/>
            <w:gridSpan w:val="5"/>
            <w:tcBorders>
              <w:top w:val="single" w:color="auto" w:sz="4" w:space="0"/>
              <w:left w:val="nil"/>
              <w:bottom w:val="single" w:color="auto" w:sz="4" w:space="0"/>
              <w:right w:val="single" w:color="auto" w:sz="4" w:space="0"/>
            </w:tcBorders>
            <w:noWrap w:val="0"/>
            <w:vAlign w:val="center"/>
          </w:tcPr>
          <w:p w14:paraId="14100D4B">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扣0.5-1.0分</w:t>
            </w:r>
          </w:p>
        </w:tc>
        <w:tc>
          <w:tcPr>
            <w:tcW w:w="1467" w:type="dxa"/>
            <w:tcBorders>
              <w:top w:val="single" w:color="auto" w:sz="4" w:space="0"/>
              <w:left w:val="nil"/>
              <w:bottom w:val="single" w:color="auto" w:sz="4" w:space="0"/>
              <w:right w:val="single" w:color="auto" w:sz="4" w:space="0"/>
            </w:tcBorders>
            <w:noWrap w:val="0"/>
            <w:vAlign w:val="center"/>
          </w:tcPr>
          <w:p w14:paraId="6756422E">
            <w:pPr>
              <w:spacing w:line="240" w:lineRule="exact"/>
              <w:jc w:val="left"/>
              <w:rPr>
                <w:rFonts w:ascii="宋体" w:hAnsi="宋体"/>
                <w:color w:val="auto"/>
                <w:sz w:val="18"/>
                <w:szCs w:val="18"/>
                <w:highlight w:val="none"/>
              </w:rPr>
            </w:pPr>
          </w:p>
        </w:tc>
      </w:tr>
      <w:tr w14:paraId="55F25312">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2429E829">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1509D81F">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4364C1DD">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14CB78AB">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top"/>
          </w:tcPr>
          <w:p w14:paraId="2C10E19F">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10-100株乔灌木或50-500㎡绿地</w:t>
            </w:r>
          </w:p>
        </w:tc>
        <w:tc>
          <w:tcPr>
            <w:tcW w:w="1260" w:type="dxa"/>
            <w:gridSpan w:val="5"/>
            <w:tcBorders>
              <w:top w:val="single" w:color="auto" w:sz="4" w:space="0"/>
              <w:left w:val="nil"/>
              <w:bottom w:val="single" w:color="auto" w:sz="4" w:space="0"/>
              <w:right w:val="single" w:color="auto" w:sz="4" w:space="0"/>
            </w:tcBorders>
            <w:noWrap w:val="0"/>
            <w:vAlign w:val="center"/>
          </w:tcPr>
          <w:p w14:paraId="3958D366">
            <w:pPr>
              <w:spacing w:line="240" w:lineRule="exact"/>
              <w:rPr>
                <w:rFonts w:ascii="宋体" w:hAnsi="宋体"/>
                <w:color w:val="auto"/>
                <w:sz w:val="18"/>
                <w:szCs w:val="18"/>
                <w:highlight w:val="none"/>
              </w:rPr>
            </w:pPr>
            <w:r>
              <w:rPr>
                <w:rFonts w:hint="eastAsia" w:ascii="宋体" w:hAnsi="宋体"/>
                <w:color w:val="auto"/>
                <w:sz w:val="18"/>
                <w:szCs w:val="18"/>
                <w:highlight w:val="none"/>
              </w:rPr>
              <w:t>扣1-2分</w:t>
            </w:r>
          </w:p>
        </w:tc>
        <w:tc>
          <w:tcPr>
            <w:tcW w:w="1467" w:type="dxa"/>
            <w:tcBorders>
              <w:top w:val="single" w:color="auto" w:sz="4" w:space="0"/>
              <w:left w:val="nil"/>
              <w:bottom w:val="single" w:color="auto" w:sz="4" w:space="0"/>
              <w:right w:val="single" w:color="auto" w:sz="4" w:space="0"/>
            </w:tcBorders>
            <w:noWrap w:val="0"/>
            <w:vAlign w:val="center"/>
          </w:tcPr>
          <w:p w14:paraId="48F8459D">
            <w:pPr>
              <w:widowControl/>
              <w:spacing w:line="240" w:lineRule="exact"/>
              <w:jc w:val="left"/>
              <w:rPr>
                <w:rFonts w:ascii="宋体" w:hAnsi="宋体"/>
                <w:color w:val="auto"/>
                <w:sz w:val="18"/>
                <w:szCs w:val="18"/>
                <w:highlight w:val="none"/>
              </w:rPr>
            </w:pPr>
          </w:p>
        </w:tc>
      </w:tr>
      <w:tr w14:paraId="55A3B431">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4CC88AC0">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365C0F58">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2F620E3B">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2881EBB2">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top"/>
          </w:tcPr>
          <w:p w14:paraId="18D321A2">
            <w:pPr>
              <w:spacing w:line="240" w:lineRule="exact"/>
              <w:rPr>
                <w:rFonts w:ascii="宋体" w:hAnsi="宋体"/>
                <w:color w:val="auto"/>
                <w:sz w:val="18"/>
                <w:szCs w:val="18"/>
                <w:highlight w:val="none"/>
              </w:rPr>
            </w:pPr>
            <w:r>
              <w:rPr>
                <w:rFonts w:hint="eastAsia" w:ascii="宋体" w:hAnsi="宋体"/>
                <w:color w:val="auto"/>
                <w:sz w:val="18"/>
                <w:szCs w:val="18"/>
                <w:highlight w:val="none"/>
              </w:rPr>
              <w:t>100株乔灌木以上或500㎡以上绿地</w:t>
            </w:r>
          </w:p>
        </w:tc>
        <w:tc>
          <w:tcPr>
            <w:tcW w:w="1260" w:type="dxa"/>
            <w:gridSpan w:val="5"/>
            <w:tcBorders>
              <w:top w:val="single" w:color="auto" w:sz="4" w:space="0"/>
              <w:left w:val="nil"/>
              <w:bottom w:val="single" w:color="auto" w:sz="4" w:space="0"/>
              <w:right w:val="single" w:color="auto" w:sz="4" w:space="0"/>
            </w:tcBorders>
            <w:noWrap w:val="0"/>
            <w:vAlign w:val="center"/>
          </w:tcPr>
          <w:p w14:paraId="742A7769">
            <w:pPr>
              <w:spacing w:line="240" w:lineRule="exact"/>
              <w:ind w:firstLine="180" w:firstLineChars="100"/>
              <w:rPr>
                <w:rFonts w:ascii="宋体" w:hAnsi="宋体"/>
                <w:color w:val="auto"/>
                <w:sz w:val="18"/>
                <w:szCs w:val="18"/>
                <w:highlight w:val="none"/>
              </w:rPr>
            </w:pPr>
            <w:r>
              <w:rPr>
                <w:rFonts w:hint="eastAsia" w:ascii="宋体" w:hAnsi="宋体"/>
                <w:color w:val="auto"/>
                <w:sz w:val="18"/>
                <w:szCs w:val="18"/>
                <w:highlight w:val="none"/>
              </w:rPr>
              <w:t>扣2-5分</w:t>
            </w:r>
          </w:p>
        </w:tc>
        <w:tc>
          <w:tcPr>
            <w:tcW w:w="1467" w:type="dxa"/>
            <w:tcBorders>
              <w:top w:val="single" w:color="auto" w:sz="4" w:space="0"/>
              <w:left w:val="nil"/>
              <w:bottom w:val="single" w:color="auto" w:sz="4" w:space="0"/>
              <w:right w:val="single" w:color="auto" w:sz="4" w:space="0"/>
            </w:tcBorders>
            <w:noWrap w:val="0"/>
            <w:vAlign w:val="center"/>
          </w:tcPr>
          <w:p w14:paraId="3D5D15B4">
            <w:pPr>
              <w:spacing w:line="240" w:lineRule="exact"/>
              <w:jc w:val="left"/>
              <w:rPr>
                <w:rFonts w:ascii="宋体" w:hAnsi="宋体"/>
                <w:color w:val="auto"/>
                <w:sz w:val="18"/>
                <w:szCs w:val="18"/>
                <w:highlight w:val="none"/>
              </w:rPr>
            </w:pPr>
          </w:p>
        </w:tc>
      </w:tr>
      <w:tr w14:paraId="779F9CCD">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05751570">
            <w:pPr>
              <w:widowControl/>
              <w:jc w:val="left"/>
              <w:rPr>
                <w:rFonts w:ascii="Calibri" w:hAnsi="Calibri"/>
                <w:color w:val="auto"/>
                <w:sz w:val="18"/>
                <w:szCs w:val="18"/>
                <w:highlight w:val="none"/>
              </w:rPr>
            </w:pPr>
          </w:p>
        </w:tc>
        <w:tc>
          <w:tcPr>
            <w:tcW w:w="630" w:type="dxa"/>
            <w:vMerge w:val="restart"/>
            <w:tcBorders>
              <w:top w:val="nil"/>
              <w:left w:val="single" w:color="auto" w:sz="4" w:space="0"/>
              <w:bottom w:val="single" w:color="auto" w:sz="4" w:space="0"/>
              <w:right w:val="single" w:color="auto" w:sz="4" w:space="0"/>
            </w:tcBorders>
            <w:noWrap w:val="0"/>
            <w:vAlign w:val="center"/>
          </w:tcPr>
          <w:p w14:paraId="477790A8">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20</w:t>
            </w:r>
          </w:p>
        </w:tc>
        <w:tc>
          <w:tcPr>
            <w:tcW w:w="3132" w:type="dxa"/>
            <w:vMerge w:val="restart"/>
            <w:tcBorders>
              <w:top w:val="nil"/>
              <w:left w:val="nil"/>
              <w:bottom w:val="single" w:color="auto" w:sz="4" w:space="0"/>
              <w:right w:val="single" w:color="auto" w:sz="4" w:space="0"/>
            </w:tcBorders>
            <w:noWrap w:val="0"/>
            <w:vAlign w:val="center"/>
          </w:tcPr>
          <w:p w14:paraId="61573E10">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植物明显的生长不良，有缺肥症状，未及时施肥的；或因施肥不当、浇灌工作不及时造成肥害现象的</w:t>
            </w:r>
          </w:p>
        </w:tc>
        <w:tc>
          <w:tcPr>
            <w:tcW w:w="991" w:type="dxa"/>
            <w:vMerge w:val="restart"/>
            <w:tcBorders>
              <w:top w:val="nil"/>
              <w:left w:val="nil"/>
              <w:bottom w:val="single" w:color="auto" w:sz="4" w:space="0"/>
              <w:right w:val="single" w:color="auto" w:sz="4" w:space="0"/>
            </w:tcBorders>
            <w:noWrap w:val="0"/>
            <w:vAlign w:val="center"/>
          </w:tcPr>
          <w:p w14:paraId="517A9887">
            <w:pPr>
              <w:spacing w:line="240" w:lineRule="exact"/>
              <w:rPr>
                <w:rFonts w:ascii="宋体" w:hAnsi="宋体"/>
                <w:color w:val="auto"/>
                <w:sz w:val="18"/>
                <w:szCs w:val="18"/>
                <w:highlight w:val="none"/>
              </w:rPr>
            </w:pPr>
            <w:r>
              <w:rPr>
                <w:rFonts w:hint="eastAsia" w:ascii="宋体" w:hAnsi="宋体"/>
                <w:color w:val="auto"/>
                <w:sz w:val="18"/>
                <w:szCs w:val="18"/>
                <w:highlight w:val="none"/>
              </w:rPr>
              <w:t>每宗案件</w:t>
            </w:r>
          </w:p>
        </w:tc>
        <w:tc>
          <w:tcPr>
            <w:tcW w:w="1416" w:type="dxa"/>
            <w:gridSpan w:val="3"/>
            <w:tcBorders>
              <w:top w:val="single" w:color="auto" w:sz="4" w:space="0"/>
              <w:left w:val="nil"/>
              <w:bottom w:val="single" w:color="auto" w:sz="4" w:space="0"/>
              <w:right w:val="single" w:color="auto" w:sz="4" w:space="0"/>
            </w:tcBorders>
            <w:noWrap w:val="0"/>
            <w:vAlign w:val="top"/>
          </w:tcPr>
          <w:p w14:paraId="1417ED6B">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10株乔木以下或50㎡以内绿地</w:t>
            </w:r>
          </w:p>
        </w:tc>
        <w:tc>
          <w:tcPr>
            <w:tcW w:w="1260" w:type="dxa"/>
            <w:gridSpan w:val="5"/>
            <w:tcBorders>
              <w:top w:val="single" w:color="auto" w:sz="4" w:space="0"/>
              <w:left w:val="nil"/>
              <w:bottom w:val="single" w:color="auto" w:sz="4" w:space="0"/>
              <w:right w:val="single" w:color="auto" w:sz="4" w:space="0"/>
            </w:tcBorders>
            <w:noWrap w:val="0"/>
            <w:vAlign w:val="center"/>
          </w:tcPr>
          <w:p w14:paraId="27AE3D60">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扣0.5-1.0分</w:t>
            </w:r>
          </w:p>
        </w:tc>
        <w:tc>
          <w:tcPr>
            <w:tcW w:w="1467" w:type="dxa"/>
            <w:tcBorders>
              <w:top w:val="single" w:color="auto" w:sz="4" w:space="0"/>
              <w:left w:val="nil"/>
              <w:bottom w:val="single" w:color="auto" w:sz="4" w:space="0"/>
              <w:right w:val="single" w:color="auto" w:sz="4" w:space="0"/>
            </w:tcBorders>
            <w:noWrap w:val="0"/>
            <w:vAlign w:val="center"/>
          </w:tcPr>
          <w:p w14:paraId="7DF6ED04">
            <w:pPr>
              <w:spacing w:line="240" w:lineRule="exact"/>
              <w:jc w:val="center"/>
              <w:rPr>
                <w:rFonts w:ascii="宋体" w:hAnsi="宋体"/>
                <w:color w:val="auto"/>
                <w:sz w:val="18"/>
                <w:szCs w:val="18"/>
                <w:highlight w:val="none"/>
              </w:rPr>
            </w:pPr>
          </w:p>
        </w:tc>
      </w:tr>
      <w:tr w14:paraId="74B38142">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4E749D40">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50761828">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03E9249B">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6637F97D">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top"/>
          </w:tcPr>
          <w:p w14:paraId="72351803">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10-100株乔木或50-500㎡绿地</w:t>
            </w:r>
          </w:p>
        </w:tc>
        <w:tc>
          <w:tcPr>
            <w:tcW w:w="1260" w:type="dxa"/>
            <w:gridSpan w:val="5"/>
            <w:tcBorders>
              <w:top w:val="single" w:color="auto" w:sz="4" w:space="0"/>
              <w:left w:val="nil"/>
              <w:bottom w:val="single" w:color="auto" w:sz="4" w:space="0"/>
              <w:right w:val="single" w:color="auto" w:sz="4" w:space="0"/>
            </w:tcBorders>
            <w:noWrap w:val="0"/>
            <w:vAlign w:val="center"/>
          </w:tcPr>
          <w:p w14:paraId="43ED14F8">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扣1-2分</w:t>
            </w:r>
          </w:p>
        </w:tc>
        <w:tc>
          <w:tcPr>
            <w:tcW w:w="1467" w:type="dxa"/>
            <w:tcBorders>
              <w:top w:val="single" w:color="auto" w:sz="4" w:space="0"/>
              <w:left w:val="nil"/>
              <w:bottom w:val="single" w:color="auto" w:sz="4" w:space="0"/>
              <w:right w:val="single" w:color="auto" w:sz="4" w:space="0"/>
            </w:tcBorders>
            <w:noWrap w:val="0"/>
            <w:vAlign w:val="center"/>
          </w:tcPr>
          <w:p w14:paraId="2DDF6182">
            <w:pPr>
              <w:spacing w:line="240" w:lineRule="exact"/>
              <w:jc w:val="left"/>
              <w:rPr>
                <w:rFonts w:ascii="宋体" w:hAnsi="宋体"/>
                <w:color w:val="auto"/>
                <w:sz w:val="18"/>
                <w:szCs w:val="18"/>
                <w:highlight w:val="none"/>
              </w:rPr>
            </w:pPr>
          </w:p>
        </w:tc>
      </w:tr>
      <w:tr w14:paraId="298299D4">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5C4AA15A">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3EE50282">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55E7CB09">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162822A5">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top"/>
          </w:tcPr>
          <w:p w14:paraId="01A359B9">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100株乔木以上或500㎡以上绿地</w:t>
            </w:r>
          </w:p>
        </w:tc>
        <w:tc>
          <w:tcPr>
            <w:tcW w:w="1244" w:type="dxa"/>
            <w:gridSpan w:val="4"/>
            <w:tcBorders>
              <w:top w:val="single" w:color="auto" w:sz="4" w:space="0"/>
              <w:left w:val="nil"/>
              <w:bottom w:val="single" w:color="auto" w:sz="4" w:space="0"/>
              <w:right w:val="single" w:color="auto" w:sz="4" w:space="0"/>
            </w:tcBorders>
            <w:noWrap w:val="0"/>
            <w:vAlign w:val="center"/>
          </w:tcPr>
          <w:p w14:paraId="1CC598A7">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扣2-5分</w:t>
            </w:r>
          </w:p>
        </w:tc>
        <w:tc>
          <w:tcPr>
            <w:tcW w:w="1483" w:type="dxa"/>
            <w:gridSpan w:val="2"/>
            <w:tcBorders>
              <w:top w:val="single" w:color="auto" w:sz="4" w:space="0"/>
              <w:left w:val="nil"/>
              <w:bottom w:val="single" w:color="auto" w:sz="4" w:space="0"/>
              <w:right w:val="single" w:color="auto" w:sz="4" w:space="0"/>
            </w:tcBorders>
            <w:noWrap w:val="0"/>
            <w:vAlign w:val="center"/>
          </w:tcPr>
          <w:p w14:paraId="05FECD1B">
            <w:pPr>
              <w:spacing w:line="240" w:lineRule="exact"/>
              <w:jc w:val="center"/>
              <w:rPr>
                <w:rFonts w:ascii="宋体" w:hAnsi="宋体"/>
                <w:color w:val="auto"/>
                <w:sz w:val="18"/>
                <w:szCs w:val="18"/>
                <w:highlight w:val="none"/>
              </w:rPr>
            </w:pPr>
          </w:p>
        </w:tc>
      </w:tr>
      <w:tr w14:paraId="222B2713">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BE44BD7">
            <w:pPr>
              <w:widowControl/>
              <w:jc w:val="left"/>
              <w:rPr>
                <w:rFonts w:ascii="Calibri" w:hAnsi="Calibri"/>
                <w:color w:val="auto"/>
                <w:sz w:val="18"/>
                <w:szCs w:val="18"/>
                <w:highlight w:val="none"/>
              </w:rPr>
            </w:pPr>
          </w:p>
        </w:tc>
        <w:tc>
          <w:tcPr>
            <w:tcW w:w="630" w:type="dxa"/>
            <w:tcBorders>
              <w:top w:val="single" w:color="auto" w:sz="4" w:space="0"/>
              <w:left w:val="single" w:color="auto" w:sz="4" w:space="0"/>
              <w:bottom w:val="single" w:color="auto" w:sz="4" w:space="0"/>
              <w:right w:val="single" w:color="auto" w:sz="4" w:space="0"/>
            </w:tcBorders>
            <w:noWrap w:val="0"/>
            <w:vAlign w:val="center"/>
          </w:tcPr>
          <w:p w14:paraId="5121FBF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21</w:t>
            </w:r>
          </w:p>
        </w:tc>
        <w:tc>
          <w:tcPr>
            <w:tcW w:w="3132" w:type="dxa"/>
            <w:tcBorders>
              <w:top w:val="single" w:color="auto" w:sz="4" w:space="0"/>
              <w:left w:val="nil"/>
              <w:bottom w:val="single" w:color="auto" w:sz="4" w:space="0"/>
              <w:right w:val="single" w:color="auto" w:sz="4" w:space="0"/>
            </w:tcBorders>
            <w:noWrap w:val="0"/>
            <w:vAlign w:val="center"/>
          </w:tcPr>
          <w:p w14:paraId="33EB25FD">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未能严格按照要求及指导施肥，施肥数量与施肥计划不符</w:t>
            </w:r>
          </w:p>
        </w:tc>
        <w:tc>
          <w:tcPr>
            <w:tcW w:w="991" w:type="dxa"/>
            <w:tcBorders>
              <w:top w:val="single" w:color="auto" w:sz="4" w:space="0"/>
              <w:left w:val="nil"/>
              <w:bottom w:val="single" w:color="auto" w:sz="4" w:space="0"/>
              <w:right w:val="single" w:color="auto" w:sz="4" w:space="0"/>
            </w:tcBorders>
            <w:noWrap w:val="0"/>
            <w:vAlign w:val="center"/>
          </w:tcPr>
          <w:p w14:paraId="4A7BBCE7">
            <w:pPr>
              <w:spacing w:line="240" w:lineRule="exact"/>
              <w:ind w:firstLine="180" w:firstLineChars="100"/>
              <w:jc w:val="left"/>
              <w:rPr>
                <w:rFonts w:ascii="宋体" w:hAnsi="宋体"/>
                <w:color w:val="auto"/>
                <w:sz w:val="18"/>
                <w:szCs w:val="18"/>
                <w:highlight w:val="none"/>
              </w:rPr>
            </w:pPr>
            <w:r>
              <w:rPr>
                <w:rFonts w:hint="eastAsia" w:ascii="宋体" w:hAnsi="宋体"/>
                <w:color w:val="auto"/>
                <w:sz w:val="18"/>
                <w:szCs w:val="18"/>
                <w:highlight w:val="none"/>
              </w:rPr>
              <w:t>每次</w:t>
            </w:r>
          </w:p>
        </w:tc>
        <w:tc>
          <w:tcPr>
            <w:tcW w:w="2628" w:type="dxa"/>
            <w:gridSpan w:val="6"/>
            <w:tcBorders>
              <w:top w:val="single" w:color="auto" w:sz="4" w:space="0"/>
              <w:left w:val="nil"/>
              <w:bottom w:val="single" w:color="auto" w:sz="4" w:space="0"/>
              <w:right w:val="single" w:color="auto" w:sz="4" w:space="0"/>
            </w:tcBorders>
            <w:noWrap w:val="0"/>
            <w:vAlign w:val="center"/>
          </w:tcPr>
          <w:p w14:paraId="0C075697">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扣0.5-2分</w:t>
            </w:r>
          </w:p>
        </w:tc>
        <w:tc>
          <w:tcPr>
            <w:tcW w:w="1515" w:type="dxa"/>
            <w:gridSpan w:val="3"/>
            <w:tcBorders>
              <w:top w:val="single" w:color="auto" w:sz="4" w:space="0"/>
              <w:left w:val="nil"/>
              <w:bottom w:val="single" w:color="auto" w:sz="4" w:space="0"/>
              <w:right w:val="single" w:color="auto" w:sz="4" w:space="0"/>
            </w:tcBorders>
            <w:noWrap w:val="0"/>
            <w:vAlign w:val="center"/>
          </w:tcPr>
          <w:p w14:paraId="1ECD01A6">
            <w:pPr>
              <w:spacing w:line="240" w:lineRule="exact"/>
              <w:jc w:val="left"/>
              <w:rPr>
                <w:rFonts w:ascii="宋体" w:hAnsi="宋体"/>
                <w:color w:val="auto"/>
                <w:sz w:val="18"/>
                <w:szCs w:val="18"/>
                <w:highlight w:val="none"/>
              </w:rPr>
            </w:pPr>
          </w:p>
        </w:tc>
      </w:tr>
      <w:tr w14:paraId="1EF4D596">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2F2CE5ED">
            <w:pPr>
              <w:widowControl/>
              <w:jc w:val="left"/>
              <w:rPr>
                <w:rFonts w:ascii="Calibri" w:hAnsi="Calibri"/>
                <w:color w:val="auto"/>
                <w:sz w:val="18"/>
                <w:szCs w:val="18"/>
                <w:highlight w:val="none"/>
              </w:rPr>
            </w:pPr>
          </w:p>
        </w:tc>
        <w:tc>
          <w:tcPr>
            <w:tcW w:w="630" w:type="dxa"/>
            <w:tcBorders>
              <w:top w:val="nil"/>
              <w:left w:val="single" w:color="auto" w:sz="4" w:space="0"/>
              <w:bottom w:val="single" w:color="auto" w:sz="4" w:space="0"/>
              <w:right w:val="single" w:color="auto" w:sz="4" w:space="0"/>
            </w:tcBorders>
            <w:noWrap w:val="0"/>
            <w:vAlign w:val="center"/>
          </w:tcPr>
          <w:p w14:paraId="735C858E">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22</w:t>
            </w:r>
          </w:p>
        </w:tc>
        <w:tc>
          <w:tcPr>
            <w:tcW w:w="3132" w:type="dxa"/>
            <w:tcBorders>
              <w:top w:val="nil"/>
              <w:left w:val="nil"/>
              <w:bottom w:val="single" w:color="auto" w:sz="4" w:space="0"/>
              <w:right w:val="single" w:color="auto" w:sz="4" w:space="0"/>
            </w:tcBorders>
            <w:noWrap w:val="0"/>
            <w:vAlign w:val="center"/>
          </w:tcPr>
          <w:p w14:paraId="237EC72F">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绿化垃圾未及时清运的、未按规范处理，区域内焚烧树叶杂物等</w:t>
            </w:r>
          </w:p>
        </w:tc>
        <w:tc>
          <w:tcPr>
            <w:tcW w:w="991" w:type="dxa"/>
            <w:tcBorders>
              <w:top w:val="nil"/>
              <w:left w:val="nil"/>
              <w:bottom w:val="single" w:color="auto" w:sz="4" w:space="0"/>
              <w:right w:val="single" w:color="auto" w:sz="4" w:space="0"/>
            </w:tcBorders>
            <w:noWrap w:val="0"/>
            <w:vAlign w:val="center"/>
          </w:tcPr>
          <w:p w14:paraId="02FC9484">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每堆</w:t>
            </w:r>
          </w:p>
        </w:tc>
        <w:tc>
          <w:tcPr>
            <w:tcW w:w="1416" w:type="dxa"/>
            <w:gridSpan w:val="3"/>
            <w:tcBorders>
              <w:top w:val="single" w:color="auto" w:sz="4" w:space="0"/>
              <w:left w:val="nil"/>
              <w:bottom w:val="single" w:color="auto" w:sz="4" w:space="0"/>
              <w:right w:val="single" w:color="auto" w:sz="4" w:space="0"/>
            </w:tcBorders>
            <w:noWrap w:val="0"/>
            <w:vAlign w:val="center"/>
          </w:tcPr>
          <w:p w14:paraId="7B7BFDC5">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一级</w:t>
            </w:r>
          </w:p>
        </w:tc>
        <w:tc>
          <w:tcPr>
            <w:tcW w:w="1212" w:type="dxa"/>
            <w:gridSpan w:val="3"/>
            <w:tcBorders>
              <w:top w:val="single" w:color="auto" w:sz="4" w:space="0"/>
              <w:left w:val="nil"/>
              <w:bottom w:val="single" w:color="auto" w:sz="4" w:space="0"/>
              <w:right w:val="single" w:color="auto" w:sz="4" w:space="0"/>
            </w:tcBorders>
            <w:noWrap w:val="0"/>
            <w:vAlign w:val="center"/>
          </w:tcPr>
          <w:p w14:paraId="2FCE5D74">
            <w:pPr>
              <w:spacing w:line="240" w:lineRule="exact"/>
              <w:ind w:firstLine="180" w:firstLineChars="100"/>
              <w:rPr>
                <w:rFonts w:ascii="宋体" w:hAnsi="宋体"/>
                <w:color w:val="auto"/>
                <w:sz w:val="18"/>
                <w:szCs w:val="18"/>
                <w:highlight w:val="none"/>
              </w:rPr>
            </w:pPr>
            <w:r>
              <w:rPr>
                <w:rFonts w:hint="eastAsia" w:ascii="宋体" w:hAnsi="宋体"/>
                <w:color w:val="auto"/>
                <w:sz w:val="18"/>
                <w:szCs w:val="18"/>
                <w:highlight w:val="none"/>
              </w:rPr>
              <w:t>扣0.1分</w:t>
            </w:r>
          </w:p>
        </w:tc>
        <w:tc>
          <w:tcPr>
            <w:tcW w:w="1515" w:type="dxa"/>
            <w:gridSpan w:val="3"/>
            <w:tcBorders>
              <w:top w:val="single" w:color="auto" w:sz="4" w:space="0"/>
              <w:left w:val="nil"/>
              <w:bottom w:val="single" w:color="auto" w:sz="4" w:space="0"/>
              <w:right w:val="single" w:color="auto" w:sz="4" w:space="0"/>
            </w:tcBorders>
            <w:noWrap w:val="0"/>
            <w:vAlign w:val="center"/>
          </w:tcPr>
          <w:p w14:paraId="48ABDA04">
            <w:pPr>
              <w:spacing w:line="240" w:lineRule="exact"/>
              <w:jc w:val="center"/>
              <w:rPr>
                <w:rFonts w:ascii="宋体" w:hAnsi="宋体"/>
                <w:color w:val="auto"/>
                <w:sz w:val="18"/>
                <w:szCs w:val="18"/>
                <w:highlight w:val="none"/>
              </w:rPr>
            </w:pPr>
          </w:p>
        </w:tc>
      </w:tr>
      <w:tr w14:paraId="72DC6443">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56A54CBE">
            <w:pPr>
              <w:widowControl/>
              <w:jc w:val="left"/>
              <w:rPr>
                <w:rFonts w:ascii="Calibri" w:hAnsi="Calibri"/>
                <w:color w:val="auto"/>
                <w:sz w:val="18"/>
                <w:szCs w:val="18"/>
                <w:highlight w:val="none"/>
              </w:rPr>
            </w:pPr>
          </w:p>
        </w:tc>
        <w:tc>
          <w:tcPr>
            <w:tcW w:w="630" w:type="dxa"/>
            <w:tcBorders>
              <w:top w:val="nil"/>
              <w:left w:val="single" w:color="auto" w:sz="4" w:space="0"/>
              <w:bottom w:val="single" w:color="auto" w:sz="4" w:space="0"/>
              <w:right w:val="single" w:color="auto" w:sz="4" w:space="0"/>
            </w:tcBorders>
            <w:noWrap w:val="0"/>
            <w:vAlign w:val="center"/>
          </w:tcPr>
          <w:p w14:paraId="3C2AAB17">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23</w:t>
            </w:r>
          </w:p>
        </w:tc>
        <w:tc>
          <w:tcPr>
            <w:tcW w:w="3132" w:type="dxa"/>
            <w:tcBorders>
              <w:top w:val="nil"/>
              <w:left w:val="nil"/>
              <w:bottom w:val="single" w:color="auto" w:sz="4" w:space="0"/>
              <w:right w:val="single" w:color="auto" w:sz="4" w:space="0"/>
            </w:tcBorders>
            <w:noWrap w:val="0"/>
            <w:vAlign w:val="center"/>
          </w:tcPr>
          <w:p w14:paraId="57700F4A">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绿地内工具使用或存放点管理不规范，影响景观的</w:t>
            </w:r>
          </w:p>
        </w:tc>
        <w:tc>
          <w:tcPr>
            <w:tcW w:w="991" w:type="dxa"/>
            <w:tcBorders>
              <w:top w:val="nil"/>
              <w:left w:val="nil"/>
              <w:bottom w:val="single" w:color="auto" w:sz="4" w:space="0"/>
              <w:right w:val="single" w:color="auto" w:sz="4" w:space="0"/>
            </w:tcBorders>
            <w:noWrap w:val="0"/>
            <w:vAlign w:val="center"/>
          </w:tcPr>
          <w:p w14:paraId="3D9F117E">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1416" w:type="dxa"/>
            <w:gridSpan w:val="3"/>
            <w:tcBorders>
              <w:top w:val="single" w:color="auto" w:sz="4" w:space="0"/>
              <w:left w:val="nil"/>
              <w:bottom w:val="single" w:color="auto" w:sz="4" w:space="0"/>
              <w:right w:val="single" w:color="auto" w:sz="4" w:space="0"/>
            </w:tcBorders>
            <w:noWrap w:val="0"/>
            <w:vAlign w:val="center"/>
          </w:tcPr>
          <w:p w14:paraId="0E91C0B9">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一级</w:t>
            </w:r>
          </w:p>
        </w:tc>
        <w:tc>
          <w:tcPr>
            <w:tcW w:w="1212" w:type="dxa"/>
            <w:gridSpan w:val="3"/>
            <w:tcBorders>
              <w:top w:val="single" w:color="auto" w:sz="4" w:space="0"/>
              <w:left w:val="nil"/>
              <w:bottom w:val="single" w:color="auto" w:sz="4" w:space="0"/>
              <w:right w:val="single" w:color="auto" w:sz="4" w:space="0"/>
            </w:tcBorders>
            <w:noWrap w:val="0"/>
            <w:vAlign w:val="center"/>
          </w:tcPr>
          <w:p w14:paraId="1603901F">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扣0.1分</w:t>
            </w:r>
          </w:p>
        </w:tc>
        <w:tc>
          <w:tcPr>
            <w:tcW w:w="1515" w:type="dxa"/>
            <w:gridSpan w:val="3"/>
            <w:tcBorders>
              <w:top w:val="single" w:color="auto" w:sz="4" w:space="0"/>
              <w:left w:val="nil"/>
              <w:bottom w:val="single" w:color="auto" w:sz="4" w:space="0"/>
              <w:right w:val="single" w:color="auto" w:sz="4" w:space="0"/>
            </w:tcBorders>
            <w:noWrap w:val="0"/>
            <w:vAlign w:val="center"/>
          </w:tcPr>
          <w:p w14:paraId="74834D8E">
            <w:pPr>
              <w:spacing w:line="240" w:lineRule="exact"/>
              <w:jc w:val="left"/>
              <w:rPr>
                <w:rFonts w:ascii="宋体" w:hAnsi="宋体"/>
                <w:color w:val="auto"/>
                <w:sz w:val="18"/>
                <w:szCs w:val="18"/>
                <w:highlight w:val="none"/>
              </w:rPr>
            </w:pPr>
          </w:p>
        </w:tc>
      </w:tr>
      <w:tr w14:paraId="3AFB81E2">
        <w:tblPrEx>
          <w:tblCellMar>
            <w:top w:w="0" w:type="dxa"/>
            <w:left w:w="108" w:type="dxa"/>
            <w:bottom w:w="0" w:type="dxa"/>
            <w:right w:w="108" w:type="dxa"/>
          </w:tblCellMar>
        </w:tblPrEx>
        <w:trPr>
          <w:cantSplit/>
          <w:trHeight w:val="436"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2C8E3B32">
            <w:pPr>
              <w:widowControl/>
              <w:jc w:val="left"/>
              <w:rPr>
                <w:rFonts w:ascii="Calibri" w:hAnsi="Calibri"/>
                <w:color w:val="auto"/>
                <w:sz w:val="18"/>
                <w:szCs w:val="18"/>
                <w:highlight w:val="none"/>
              </w:rPr>
            </w:pPr>
          </w:p>
        </w:tc>
        <w:tc>
          <w:tcPr>
            <w:tcW w:w="630" w:type="dxa"/>
            <w:tcBorders>
              <w:top w:val="single" w:color="auto" w:sz="4" w:space="0"/>
              <w:left w:val="single" w:color="auto" w:sz="4" w:space="0"/>
              <w:bottom w:val="single" w:color="auto" w:sz="4" w:space="0"/>
              <w:right w:val="single" w:color="auto" w:sz="4" w:space="0"/>
            </w:tcBorders>
            <w:noWrap w:val="0"/>
            <w:vAlign w:val="top"/>
          </w:tcPr>
          <w:p w14:paraId="31CD4A9E">
            <w:pPr>
              <w:spacing w:line="240" w:lineRule="exact"/>
              <w:ind w:left="180" w:hanging="180" w:hangingChars="100"/>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24</w:t>
            </w:r>
          </w:p>
        </w:tc>
        <w:tc>
          <w:tcPr>
            <w:tcW w:w="3132" w:type="dxa"/>
            <w:tcBorders>
              <w:top w:val="single" w:color="auto" w:sz="4" w:space="0"/>
              <w:left w:val="nil"/>
              <w:bottom w:val="single" w:color="auto" w:sz="4" w:space="0"/>
              <w:right w:val="single" w:color="auto" w:sz="4" w:space="0"/>
            </w:tcBorders>
            <w:noWrap w:val="0"/>
            <w:vAlign w:val="center"/>
          </w:tcPr>
          <w:p w14:paraId="074EF97A">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绿地积水，未按要求及时处理的</w:t>
            </w:r>
          </w:p>
        </w:tc>
        <w:tc>
          <w:tcPr>
            <w:tcW w:w="991" w:type="dxa"/>
            <w:tcBorders>
              <w:top w:val="single" w:color="auto" w:sz="4" w:space="0"/>
              <w:left w:val="nil"/>
              <w:bottom w:val="single" w:color="auto" w:sz="4" w:space="0"/>
              <w:right w:val="single" w:color="auto" w:sz="4" w:space="0"/>
            </w:tcBorders>
            <w:noWrap w:val="0"/>
            <w:vAlign w:val="center"/>
          </w:tcPr>
          <w:p w14:paraId="76561824">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2660" w:type="dxa"/>
            <w:gridSpan w:val="7"/>
            <w:tcBorders>
              <w:top w:val="single" w:color="auto" w:sz="4" w:space="0"/>
              <w:left w:val="nil"/>
              <w:bottom w:val="single" w:color="auto" w:sz="4" w:space="0"/>
              <w:right w:val="single" w:color="auto" w:sz="4" w:space="0"/>
            </w:tcBorders>
            <w:noWrap w:val="0"/>
            <w:vAlign w:val="center"/>
          </w:tcPr>
          <w:p w14:paraId="673BF4CB">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扣0.5-2分</w:t>
            </w:r>
          </w:p>
        </w:tc>
        <w:tc>
          <w:tcPr>
            <w:tcW w:w="1483" w:type="dxa"/>
            <w:gridSpan w:val="2"/>
            <w:tcBorders>
              <w:top w:val="single" w:color="auto" w:sz="4" w:space="0"/>
              <w:left w:val="nil"/>
              <w:bottom w:val="single" w:color="auto" w:sz="4" w:space="0"/>
              <w:right w:val="single" w:color="auto" w:sz="4" w:space="0"/>
            </w:tcBorders>
            <w:noWrap w:val="0"/>
            <w:vAlign w:val="center"/>
          </w:tcPr>
          <w:p w14:paraId="420EFEC2">
            <w:pPr>
              <w:spacing w:line="240" w:lineRule="exact"/>
              <w:jc w:val="left"/>
              <w:rPr>
                <w:rFonts w:ascii="宋体" w:hAnsi="宋体"/>
                <w:color w:val="auto"/>
                <w:sz w:val="18"/>
                <w:szCs w:val="18"/>
                <w:highlight w:val="none"/>
              </w:rPr>
            </w:pPr>
          </w:p>
        </w:tc>
      </w:tr>
      <w:tr w14:paraId="18A8BF01">
        <w:tblPrEx>
          <w:tblCellMar>
            <w:top w:w="0" w:type="dxa"/>
            <w:left w:w="108" w:type="dxa"/>
            <w:bottom w:w="0" w:type="dxa"/>
            <w:right w:w="108" w:type="dxa"/>
          </w:tblCellMar>
        </w:tblPrEx>
        <w:trPr>
          <w:cantSplit/>
          <w:trHeight w:val="434"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2EF3E44D">
            <w:pPr>
              <w:widowControl/>
              <w:jc w:val="left"/>
              <w:rPr>
                <w:rFonts w:ascii="Calibri" w:hAnsi="Calibri"/>
                <w:color w:val="auto"/>
                <w:sz w:val="18"/>
                <w:szCs w:val="18"/>
                <w:highlight w:val="none"/>
              </w:rPr>
            </w:pPr>
          </w:p>
        </w:tc>
        <w:tc>
          <w:tcPr>
            <w:tcW w:w="630" w:type="dxa"/>
            <w:tcBorders>
              <w:top w:val="single" w:color="auto" w:sz="4" w:space="0"/>
              <w:left w:val="single" w:color="auto" w:sz="4" w:space="0"/>
              <w:bottom w:val="single" w:color="auto" w:sz="4" w:space="0"/>
              <w:right w:val="single" w:color="auto" w:sz="4" w:space="0"/>
            </w:tcBorders>
            <w:noWrap w:val="0"/>
            <w:vAlign w:val="top"/>
          </w:tcPr>
          <w:p w14:paraId="6C4BE06E">
            <w:pPr>
              <w:spacing w:line="240" w:lineRule="exact"/>
              <w:ind w:left="180" w:hanging="180" w:hangingChars="100"/>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25</w:t>
            </w:r>
          </w:p>
        </w:tc>
        <w:tc>
          <w:tcPr>
            <w:tcW w:w="3132" w:type="dxa"/>
            <w:tcBorders>
              <w:top w:val="single" w:color="auto" w:sz="4" w:space="0"/>
              <w:left w:val="nil"/>
              <w:bottom w:val="single" w:color="auto" w:sz="4" w:space="0"/>
              <w:right w:val="single" w:color="auto" w:sz="4" w:space="0"/>
            </w:tcBorders>
            <w:noWrap w:val="0"/>
            <w:vAlign w:val="center"/>
          </w:tcPr>
          <w:p w14:paraId="2B059399">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植物枯黄叶、钉挂物，未按要求及时处理的</w:t>
            </w:r>
          </w:p>
        </w:tc>
        <w:tc>
          <w:tcPr>
            <w:tcW w:w="991" w:type="dxa"/>
            <w:tcBorders>
              <w:top w:val="single" w:color="auto" w:sz="4" w:space="0"/>
              <w:left w:val="nil"/>
              <w:bottom w:val="single" w:color="auto" w:sz="4" w:space="0"/>
              <w:right w:val="single" w:color="auto" w:sz="4" w:space="0"/>
            </w:tcBorders>
            <w:noWrap w:val="0"/>
            <w:vAlign w:val="center"/>
          </w:tcPr>
          <w:p w14:paraId="00E84EF2">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2660" w:type="dxa"/>
            <w:gridSpan w:val="7"/>
            <w:tcBorders>
              <w:top w:val="single" w:color="auto" w:sz="4" w:space="0"/>
              <w:left w:val="nil"/>
              <w:bottom w:val="single" w:color="auto" w:sz="4" w:space="0"/>
              <w:right w:val="single" w:color="auto" w:sz="4" w:space="0"/>
            </w:tcBorders>
            <w:noWrap w:val="0"/>
            <w:vAlign w:val="center"/>
          </w:tcPr>
          <w:p w14:paraId="2E8870AB">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扣0.01-2分</w:t>
            </w:r>
          </w:p>
        </w:tc>
        <w:tc>
          <w:tcPr>
            <w:tcW w:w="1483" w:type="dxa"/>
            <w:gridSpan w:val="2"/>
            <w:tcBorders>
              <w:top w:val="single" w:color="auto" w:sz="4" w:space="0"/>
              <w:left w:val="nil"/>
              <w:bottom w:val="single" w:color="auto" w:sz="4" w:space="0"/>
              <w:right w:val="single" w:color="auto" w:sz="4" w:space="0"/>
            </w:tcBorders>
            <w:noWrap w:val="0"/>
            <w:vAlign w:val="center"/>
          </w:tcPr>
          <w:p w14:paraId="1A996FD9">
            <w:pPr>
              <w:spacing w:line="240" w:lineRule="exact"/>
              <w:jc w:val="left"/>
              <w:rPr>
                <w:rFonts w:ascii="宋体" w:hAnsi="宋体"/>
                <w:color w:val="auto"/>
                <w:sz w:val="18"/>
                <w:szCs w:val="18"/>
                <w:highlight w:val="none"/>
              </w:rPr>
            </w:pPr>
          </w:p>
        </w:tc>
      </w:tr>
      <w:tr w14:paraId="5F0EBDC9">
        <w:tblPrEx>
          <w:tblCellMar>
            <w:top w:w="0" w:type="dxa"/>
            <w:left w:w="108" w:type="dxa"/>
            <w:bottom w:w="0" w:type="dxa"/>
            <w:right w:w="108" w:type="dxa"/>
          </w:tblCellMar>
        </w:tblPrEx>
        <w:trPr>
          <w:cantSplit/>
          <w:trHeight w:val="329"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77C40EB0">
            <w:pPr>
              <w:widowControl/>
              <w:jc w:val="left"/>
              <w:rPr>
                <w:rFonts w:ascii="Calibri" w:hAnsi="Calibri"/>
                <w:color w:val="auto"/>
                <w:sz w:val="18"/>
                <w:szCs w:val="18"/>
                <w:highlight w:val="none"/>
              </w:rPr>
            </w:pP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14:paraId="2B198D89">
            <w:pPr>
              <w:spacing w:line="240" w:lineRule="exact"/>
              <w:ind w:left="180" w:hanging="180" w:hangingChars="100"/>
              <w:jc w:val="center"/>
              <w:rPr>
                <w:rFonts w:ascii="宋体" w:hAnsi="宋体"/>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26</w:t>
            </w:r>
          </w:p>
        </w:tc>
        <w:tc>
          <w:tcPr>
            <w:tcW w:w="3132" w:type="dxa"/>
            <w:vMerge w:val="restart"/>
            <w:tcBorders>
              <w:top w:val="single" w:color="auto" w:sz="4" w:space="0"/>
              <w:left w:val="nil"/>
              <w:bottom w:val="single" w:color="auto" w:sz="4" w:space="0"/>
              <w:right w:val="single" w:color="auto" w:sz="4" w:space="0"/>
            </w:tcBorders>
            <w:noWrap w:val="0"/>
            <w:vAlign w:val="center"/>
          </w:tcPr>
          <w:p w14:paraId="7812966D">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园林植物受病虫害及有害生物侵害明显，打药不及时，不彻底或造成药害的，或违反农药管理规定的</w:t>
            </w:r>
          </w:p>
        </w:tc>
        <w:tc>
          <w:tcPr>
            <w:tcW w:w="991" w:type="dxa"/>
            <w:vMerge w:val="restart"/>
            <w:tcBorders>
              <w:top w:val="single" w:color="auto" w:sz="4" w:space="0"/>
              <w:left w:val="nil"/>
              <w:bottom w:val="single" w:color="auto" w:sz="4" w:space="0"/>
              <w:right w:val="single" w:color="auto" w:sz="4" w:space="0"/>
            </w:tcBorders>
            <w:noWrap w:val="0"/>
            <w:vAlign w:val="center"/>
          </w:tcPr>
          <w:p w14:paraId="13405D1F">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1416" w:type="dxa"/>
            <w:gridSpan w:val="3"/>
            <w:tcBorders>
              <w:top w:val="single" w:color="auto" w:sz="4" w:space="0"/>
              <w:left w:val="nil"/>
              <w:bottom w:val="single" w:color="auto" w:sz="4" w:space="0"/>
              <w:right w:val="single" w:color="auto" w:sz="4" w:space="0"/>
            </w:tcBorders>
            <w:noWrap w:val="0"/>
            <w:vAlign w:val="center"/>
          </w:tcPr>
          <w:p w14:paraId="15940724">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100㎡以内</w:t>
            </w:r>
          </w:p>
        </w:tc>
        <w:tc>
          <w:tcPr>
            <w:tcW w:w="1212" w:type="dxa"/>
            <w:gridSpan w:val="3"/>
            <w:tcBorders>
              <w:top w:val="single" w:color="auto" w:sz="4" w:space="0"/>
              <w:left w:val="nil"/>
              <w:bottom w:val="single" w:color="auto" w:sz="4" w:space="0"/>
              <w:right w:val="single" w:color="auto" w:sz="4" w:space="0"/>
            </w:tcBorders>
            <w:noWrap w:val="0"/>
            <w:vAlign w:val="center"/>
          </w:tcPr>
          <w:p w14:paraId="7F503757">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扣0.1-1分</w:t>
            </w:r>
          </w:p>
        </w:tc>
        <w:tc>
          <w:tcPr>
            <w:tcW w:w="1515" w:type="dxa"/>
            <w:gridSpan w:val="3"/>
            <w:tcBorders>
              <w:top w:val="single" w:color="auto" w:sz="4" w:space="0"/>
              <w:left w:val="nil"/>
              <w:bottom w:val="single" w:color="auto" w:sz="4" w:space="0"/>
              <w:right w:val="single" w:color="auto" w:sz="4" w:space="0"/>
            </w:tcBorders>
            <w:noWrap w:val="0"/>
            <w:vAlign w:val="center"/>
          </w:tcPr>
          <w:p w14:paraId="16503CB4">
            <w:pPr>
              <w:spacing w:line="240" w:lineRule="exact"/>
              <w:jc w:val="left"/>
              <w:rPr>
                <w:rFonts w:ascii="宋体" w:hAnsi="宋体"/>
                <w:color w:val="auto"/>
                <w:sz w:val="18"/>
                <w:szCs w:val="18"/>
                <w:highlight w:val="none"/>
              </w:rPr>
            </w:pPr>
          </w:p>
        </w:tc>
      </w:tr>
      <w:tr w14:paraId="31B6D931">
        <w:tblPrEx>
          <w:tblCellMar>
            <w:top w:w="0" w:type="dxa"/>
            <w:left w:w="108" w:type="dxa"/>
            <w:bottom w:w="0" w:type="dxa"/>
            <w:right w:w="108" w:type="dxa"/>
          </w:tblCellMar>
        </w:tblPrEx>
        <w:trPr>
          <w:cantSplit/>
          <w:trHeight w:val="278"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1C468721">
            <w:pPr>
              <w:widowControl/>
              <w:jc w:val="left"/>
              <w:rPr>
                <w:rFonts w:ascii="Calibri" w:hAnsi="Calibri"/>
                <w:color w:val="auto"/>
                <w:sz w:val="18"/>
                <w:szCs w:val="18"/>
                <w:highlight w:val="none"/>
              </w:rPr>
            </w:pP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14:paraId="21086DA2">
            <w:pPr>
              <w:widowControl/>
              <w:jc w:val="left"/>
              <w:rPr>
                <w:rFonts w:ascii="宋体" w:hAnsi="宋体"/>
                <w:color w:val="auto"/>
                <w:sz w:val="18"/>
                <w:szCs w:val="18"/>
                <w:highlight w:val="none"/>
              </w:rPr>
            </w:pPr>
          </w:p>
        </w:tc>
        <w:tc>
          <w:tcPr>
            <w:tcW w:w="3132" w:type="dxa"/>
            <w:vMerge w:val="continue"/>
            <w:tcBorders>
              <w:top w:val="single" w:color="auto" w:sz="4" w:space="0"/>
              <w:left w:val="nil"/>
              <w:bottom w:val="single" w:color="auto" w:sz="4" w:space="0"/>
              <w:right w:val="single" w:color="auto" w:sz="4" w:space="0"/>
            </w:tcBorders>
            <w:noWrap w:val="0"/>
            <w:vAlign w:val="center"/>
          </w:tcPr>
          <w:p w14:paraId="0EC1F83F">
            <w:pPr>
              <w:widowControl/>
              <w:jc w:val="left"/>
              <w:rPr>
                <w:rFonts w:ascii="宋体" w:hAnsi="宋体"/>
                <w:color w:val="auto"/>
                <w:sz w:val="18"/>
                <w:szCs w:val="18"/>
                <w:highlight w:val="none"/>
              </w:rPr>
            </w:pPr>
          </w:p>
        </w:tc>
        <w:tc>
          <w:tcPr>
            <w:tcW w:w="991" w:type="dxa"/>
            <w:vMerge w:val="continue"/>
            <w:tcBorders>
              <w:top w:val="single" w:color="auto" w:sz="4" w:space="0"/>
              <w:left w:val="nil"/>
              <w:bottom w:val="single" w:color="auto" w:sz="4" w:space="0"/>
              <w:right w:val="single" w:color="auto" w:sz="4" w:space="0"/>
            </w:tcBorders>
            <w:noWrap w:val="0"/>
            <w:vAlign w:val="center"/>
          </w:tcPr>
          <w:p w14:paraId="374AA0BF">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415907CC">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100-1000㎡</w:t>
            </w:r>
          </w:p>
        </w:tc>
        <w:tc>
          <w:tcPr>
            <w:tcW w:w="1212" w:type="dxa"/>
            <w:gridSpan w:val="3"/>
            <w:tcBorders>
              <w:top w:val="single" w:color="auto" w:sz="4" w:space="0"/>
              <w:left w:val="nil"/>
              <w:bottom w:val="single" w:color="auto" w:sz="4" w:space="0"/>
              <w:right w:val="single" w:color="auto" w:sz="4" w:space="0"/>
            </w:tcBorders>
            <w:noWrap w:val="0"/>
            <w:vAlign w:val="center"/>
          </w:tcPr>
          <w:p w14:paraId="2D7E7486">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扣0.2-2分</w:t>
            </w:r>
          </w:p>
        </w:tc>
        <w:tc>
          <w:tcPr>
            <w:tcW w:w="1515" w:type="dxa"/>
            <w:gridSpan w:val="3"/>
            <w:tcBorders>
              <w:top w:val="single" w:color="auto" w:sz="4" w:space="0"/>
              <w:left w:val="nil"/>
              <w:bottom w:val="single" w:color="auto" w:sz="4" w:space="0"/>
              <w:right w:val="single" w:color="auto" w:sz="4" w:space="0"/>
            </w:tcBorders>
            <w:noWrap w:val="0"/>
            <w:vAlign w:val="center"/>
          </w:tcPr>
          <w:p w14:paraId="22EEC9E5">
            <w:pPr>
              <w:spacing w:line="240" w:lineRule="exact"/>
              <w:jc w:val="left"/>
              <w:rPr>
                <w:rFonts w:ascii="宋体" w:hAnsi="宋体"/>
                <w:color w:val="auto"/>
                <w:sz w:val="18"/>
                <w:szCs w:val="18"/>
                <w:highlight w:val="none"/>
              </w:rPr>
            </w:pPr>
          </w:p>
        </w:tc>
      </w:tr>
      <w:tr w14:paraId="30C7F8B9">
        <w:tblPrEx>
          <w:tblCellMar>
            <w:top w:w="0" w:type="dxa"/>
            <w:left w:w="108" w:type="dxa"/>
            <w:bottom w:w="0" w:type="dxa"/>
            <w:right w:w="108" w:type="dxa"/>
          </w:tblCellMar>
        </w:tblPrEx>
        <w:trPr>
          <w:cantSplit/>
          <w:trHeight w:val="267"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254CE717">
            <w:pPr>
              <w:widowControl/>
              <w:jc w:val="left"/>
              <w:rPr>
                <w:rFonts w:ascii="Calibri" w:hAnsi="Calibri"/>
                <w:color w:val="auto"/>
                <w:sz w:val="18"/>
                <w:szCs w:val="18"/>
                <w:highlight w:val="none"/>
              </w:rPr>
            </w:pP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14:paraId="3FF69860">
            <w:pPr>
              <w:widowControl/>
              <w:jc w:val="left"/>
              <w:rPr>
                <w:rFonts w:ascii="宋体" w:hAnsi="宋体"/>
                <w:color w:val="auto"/>
                <w:sz w:val="18"/>
                <w:szCs w:val="18"/>
                <w:highlight w:val="none"/>
              </w:rPr>
            </w:pPr>
          </w:p>
        </w:tc>
        <w:tc>
          <w:tcPr>
            <w:tcW w:w="3132" w:type="dxa"/>
            <w:vMerge w:val="continue"/>
            <w:tcBorders>
              <w:top w:val="single" w:color="auto" w:sz="4" w:space="0"/>
              <w:left w:val="nil"/>
              <w:bottom w:val="single" w:color="auto" w:sz="4" w:space="0"/>
              <w:right w:val="single" w:color="auto" w:sz="4" w:space="0"/>
            </w:tcBorders>
            <w:noWrap w:val="0"/>
            <w:vAlign w:val="center"/>
          </w:tcPr>
          <w:p w14:paraId="776A334B">
            <w:pPr>
              <w:widowControl/>
              <w:jc w:val="left"/>
              <w:rPr>
                <w:rFonts w:ascii="宋体" w:hAnsi="宋体"/>
                <w:color w:val="auto"/>
                <w:sz w:val="18"/>
                <w:szCs w:val="18"/>
                <w:highlight w:val="none"/>
              </w:rPr>
            </w:pPr>
          </w:p>
        </w:tc>
        <w:tc>
          <w:tcPr>
            <w:tcW w:w="991" w:type="dxa"/>
            <w:vMerge w:val="continue"/>
            <w:tcBorders>
              <w:top w:val="single" w:color="auto" w:sz="4" w:space="0"/>
              <w:left w:val="nil"/>
              <w:bottom w:val="single" w:color="auto" w:sz="4" w:space="0"/>
              <w:right w:val="single" w:color="auto" w:sz="4" w:space="0"/>
            </w:tcBorders>
            <w:noWrap w:val="0"/>
            <w:vAlign w:val="center"/>
          </w:tcPr>
          <w:p w14:paraId="3BF64597">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1FEE5A9C">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1000㎡以上</w:t>
            </w:r>
          </w:p>
        </w:tc>
        <w:tc>
          <w:tcPr>
            <w:tcW w:w="1212" w:type="dxa"/>
            <w:gridSpan w:val="3"/>
            <w:tcBorders>
              <w:top w:val="single" w:color="auto" w:sz="4" w:space="0"/>
              <w:left w:val="nil"/>
              <w:bottom w:val="single" w:color="auto" w:sz="4" w:space="0"/>
              <w:right w:val="single" w:color="auto" w:sz="4" w:space="0"/>
            </w:tcBorders>
            <w:noWrap w:val="0"/>
            <w:vAlign w:val="center"/>
          </w:tcPr>
          <w:p w14:paraId="455EE146">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扣0.5-5分</w:t>
            </w:r>
          </w:p>
        </w:tc>
        <w:tc>
          <w:tcPr>
            <w:tcW w:w="1515" w:type="dxa"/>
            <w:gridSpan w:val="3"/>
            <w:tcBorders>
              <w:top w:val="single" w:color="auto" w:sz="4" w:space="0"/>
              <w:left w:val="nil"/>
              <w:bottom w:val="single" w:color="auto" w:sz="4" w:space="0"/>
              <w:right w:val="single" w:color="auto" w:sz="4" w:space="0"/>
            </w:tcBorders>
            <w:noWrap w:val="0"/>
            <w:vAlign w:val="center"/>
          </w:tcPr>
          <w:p w14:paraId="52372810">
            <w:pPr>
              <w:spacing w:line="240" w:lineRule="exact"/>
              <w:jc w:val="left"/>
              <w:rPr>
                <w:rFonts w:ascii="宋体" w:hAnsi="宋体"/>
                <w:color w:val="auto"/>
                <w:sz w:val="18"/>
                <w:szCs w:val="18"/>
                <w:highlight w:val="none"/>
              </w:rPr>
            </w:pPr>
          </w:p>
        </w:tc>
      </w:tr>
      <w:tr w14:paraId="213649D4">
        <w:tblPrEx>
          <w:tblCellMar>
            <w:top w:w="0" w:type="dxa"/>
            <w:left w:w="108" w:type="dxa"/>
            <w:bottom w:w="0" w:type="dxa"/>
            <w:right w:w="108" w:type="dxa"/>
          </w:tblCellMar>
        </w:tblPrEx>
        <w:trPr>
          <w:cantSplit/>
          <w:trHeight w:val="414"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2229052">
            <w:pPr>
              <w:widowControl/>
              <w:jc w:val="left"/>
              <w:rPr>
                <w:rFonts w:ascii="Calibri" w:hAnsi="Calibri"/>
                <w:color w:val="auto"/>
                <w:sz w:val="18"/>
                <w:szCs w:val="18"/>
                <w:highlight w:val="none"/>
              </w:rPr>
            </w:pP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14:paraId="4EA60115">
            <w:pPr>
              <w:widowControl/>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27</w:t>
            </w:r>
          </w:p>
        </w:tc>
        <w:tc>
          <w:tcPr>
            <w:tcW w:w="3132" w:type="dxa"/>
            <w:vMerge w:val="restart"/>
            <w:tcBorders>
              <w:top w:val="single" w:color="auto" w:sz="4" w:space="0"/>
              <w:left w:val="nil"/>
              <w:bottom w:val="single" w:color="auto" w:sz="4" w:space="0"/>
              <w:right w:val="single" w:color="auto" w:sz="4" w:space="0"/>
            </w:tcBorders>
            <w:noWrap w:val="0"/>
            <w:vAlign w:val="center"/>
          </w:tcPr>
          <w:p w14:paraId="7C643A58">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茶花花蕾不及时疏蕾、不及时打掉残花或摘果</w:t>
            </w:r>
          </w:p>
        </w:tc>
        <w:tc>
          <w:tcPr>
            <w:tcW w:w="991" w:type="dxa"/>
            <w:vMerge w:val="restart"/>
            <w:tcBorders>
              <w:top w:val="single" w:color="auto" w:sz="4" w:space="0"/>
              <w:left w:val="nil"/>
              <w:bottom w:val="single" w:color="auto" w:sz="4" w:space="0"/>
              <w:right w:val="single" w:color="auto" w:sz="4" w:space="0"/>
            </w:tcBorders>
            <w:noWrap w:val="0"/>
            <w:vAlign w:val="center"/>
          </w:tcPr>
          <w:p w14:paraId="2A6C157F">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每宗案件</w:t>
            </w:r>
          </w:p>
        </w:tc>
        <w:tc>
          <w:tcPr>
            <w:tcW w:w="1416" w:type="dxa"/>
            <w:gridSpan w:val="3"/>
            <w:tcBorders>
              <w:top w:val="single" w:color="auto" w:sz="4" w:space="0"/>
              <w:left w:val="nil"/>
              <w:bottom w:val="single" w:color="auto" w:sz="4" w:space="0"/>
              <w:right w:val="single" w:color="auto" w:sz="4" w:space="0"/>
            </w:tcBorders>
            <w:noWrap w:val="0"/>
            <w:vAlign w:val="center"/>
          </w:tcPr>
          <w:p w14:paraId="51586025">
            <w:pPr>
              <w:spacing w:line="240" w:lineRule="exact"/>
              <w:jc w:val="center"/>
              <w:rPr>
                <w:color w:val="auto"/>
                <w:sz w:val="18"/>
                <w:szCs w:val="18"/>
                <w:highlight w:val="none"/>
              </w:rPr>
            </w:pPr>
            <w:r>
              <w:rPr>
                <w:color w:val="auto"/>
                <w:sz w:val="18"/>
                <w:szCs w:val="18"/>
                <w:highlight w:val="none"/>
              </w:rPr>
              <w:t>10</w:t>
            </w:r>
            <w:r>
              <w:rPr>
                <w:rFonts w:hint="eastAsia" w:ascii="宋体" w:hAnsi="宋体"/>
                <w:color w:val="auto"/>
                <w:sz w:val="18"/>
                <w:szCs w:val="18"/>
                <w:highlight w:val="none"/>
              </w:rPr>
              <w:t>株茶花以下</w:t>
            </w:r>
          </w:p>
        </w:tc>
        <w:tc>
          <w:tcPr>
            <w:tcW w:w="1212" w:type="dxa"/>
            <w:gridSpan w:val="3"/>
            <w:tcBorders>
              <w:top w:val="single" w:color="auto" w:sz="4" w:space="0"/>
              <w:left w:val="nil"/>
              <w:bottom w:val="single" w:color="auto" w:sz="4" w:space="0"/>
              <w:right w:val="single" w:color="auto" w:sz="4" w:space="0"/>
            </w:tcBorders>
            <w:noWrap w:val="0"/>
            <w:vAlign w:val="center"/>
          </w:tcPr>
          <w:p w14:paraId="0291FD58">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0.5-1.0</w:t>
            </w:r>
            <w:r>
              <w:rPr>
                <w:rFonts w:hint="eastAsia" w:ascii="宋体" w:hAnsi="宋体"/>
                <w:color w:val="auto"/>
                <w:sz w:val="18"/>
                <w:szCs w:val="18"/>
                <w:highlight w:val="none"/>
              </w:rPr>
              <w:t>分</w:t>
            </w:r>
          </w:p>
        </w:tc>
        <w:tc>
          <w:tcPr>
            <w:tcW w:w="1515" w:type="dxa"/>
            <w:gridSpan w:val="3"/>
            <w:tcBorders>
              <w:top w:val="single" w:color="auto" w:sz="4" w:space="0"/>
              <w:left w:val="nil"/>
              <w:bottom w:val="single" w:color="auto" w:sz="4" w:space="0"/>
              <w:right w:val="single" w:color="auto" w:sz="4" w:space="0"/>
            </w:tcBorders>
            <w:noWrap w:val="0"/>
            <w:vAlign w:val="center"/>
          </w:tcPr>
          <w:p w14:paraId="51D8ED5E">
            <w:pPr>
              <w:spacing w:line="240" w:lineRule="exact"/>
              <w:jc w:val="left"/>
              <w:rPr>
                <w:rFonts w:ascii="宋体" w:hAnsi="宋体"/>
                <w:color w:val="auto"/>
                <w:sz w:val="18"/>
                <w:szCs w:val="18"/>
                <w:highlight w:val="none"/>
              </w:rPr>
            </w:pPr>
          </w:p>
        </w:tc>
      </w:tr>
      <w:tr w14:paraId="6E9747F2">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1FCDF6D6">
            <w:pPr>
              <w:widowControl/>
              <w:jc w:val="left"/>
              <w:rPr>
                <w:rFonts w:ascii="Calibri" w:hAnsi="Calibri"/>
                <w:color w:val="auto"/>
                <w:sz w:val="18"/>
                <w:szCs w:val="18"/>
                <w:highlight w:val="none"/>
              </w:rPr>
            </w:pP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14:paraId="7B7F7FE1">
            <w:pPr>
              <w:widowControl/>
              <w:jc w:val="left"/>
              <w:rPr>
                <w:rFonts w:ascii="Calibri" w:hAnsi="Calibri"/>
                <w:color w:val="auto"/>
                <w:sz w:val="18"/>
                <w:szCs w:val="18"/>
                <w:highlight w:val="none"/>
              </w:rPr>
            </w:pPr>
          </w:p>
        </w:tc>
        <w:tc>
          <w:tcPr>
            <w:tcW w:w="3132" w:type="dxa"/>
            <w:vMerge w:val="continue"/>
            <w:tcBorders>
              <w:top w:val="single" w:color="auto" w:sz="4" w:space="0"/>
              <w:left w:val="nil"/>
              <w:bottom w:val="single" w:color="auto" w:sz="4" w:space="0"/>
              <w:right w:val="single" w:color="auto" w:sz="4" w:space="0"/>
            </w:tcBorders>
            <w:noWrap w:val="0"/>
            <w:vAlign w:val="center"/>
          </w:tcPr>
          <w:p w14:paraId="198ECAD2">
            <w:pPr>
              <w:widowControl/>
              <w:jc w:val="left"/>
              <w:rPr>
                <w:rFonts w:ascii="宋体" w:hAnsi="宋体"/>
                <w:color w:val="auto"/>
                <w:sz w:val="18"/>
                <w:szCs w:val="18"/>
                <w:highlight w:val="none"/>
              </w:rPr>
            </w:pPr>
          </w:p>
        </w:tc>
        <w:tc>
          <w:tcPr>
            <w:tcW w:w="991" w:type="dxa"/>
            <w:vMerge w:val="continue"/>
            <w:tcBorders>
              <w:top w:val="single" w:color="auto" w:sz="4" w:space="0"/>
              <w:left w:val="nil"/>
              <w:bottom w:val="single" w:color="auto" w:sz="4" w:space="0"/>
              <w:right w:val="single" w:color="auto" w:sz="4" w:space="0"/>
            </w:tcBorders>
            <w:noWrap w:val="0"/>
            <w:vAlign w:val="center"/>
          </w:tcPr>
          <w:p w14:paraId="58A821AF">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top"/>
          </w:tcPr>
          <w:p w14:paraId="138DBFDF">
            <w:pPr>
              <w:spacing w:line="240" w:lineRule="exact"/>
              <w:rPr>
                <w:color w:val="auto"/>
                <w:sz w:val="18"/>
                <w:szCs w:val="18"/>
                <w:highlight w:val="none"/>
              </w:rPr>
            </w:pPr>
            <w:r>
              <w:rPr>
                <w:color w:val="auto"/>
                <w:sz w:val="18"/>
                <w:szCs w:val="18"/>
                <w:highlight w:val="none"/>
              </w:rPr>
              <w:t>10-100</w:t>
            </w:r>
            <w:r>
              <w:rPr>
                <w:rFonts w:hint="eastAsia"/>
                <w:color w:val="auto"/>
                <w:sz w:val="18"/>
                <w:szCs w:val="18"/>
                <w:highlight w:val="none"/>
              </w:rPr>
              <w:t>株</w:t>
            </w:r>
            <w:r>
              <w:rPr>
                <w:rFonts w:hint="eastAsia" w:ascii="宋体" w:hAnsi="宋体"/>
                <w:color w:val="auto"/>
                <w:sz w:val="18"/>
                <w:szCs w:val="18"/>
                <w:highlight w:val="none"/>
              </w:rPr>
              <w:t>茶花</w:t>
            </w:r>
          </w:p>
        </w:tc>
        <w:tc>
          <w:tcPr>
            <w:tcW w:w="1212" w:type="dxa"/>
            <w:gridSpan w:val="3"/>
            <w:tcBorders>
              <w:top w:val="single" w:color="auto" w:sz="4" w:space="0"/>
              <w:left w:val="nil"/>
              <w:bottom w:val="single" w:color="auto" w:sz="4" w:space="0"/>
              <w:right w:val="single" w:color="auto" w:sz="4" w:space="0"/>
            </w:tcBorders>
            <w:noWrap w:val="0"/>
            <w:vAlign w:val="center"/>
          </w:tcPr>
          <w:p w14:paraId="544F2375">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w:t>
            </w:r>
            <w:r>
              <w:rPr>
                <w:color w:val="auto"/>
                <w:sz w:val="18"/>
                <w:szCs w:val="18"/>
                <w:highlight w:val="none"/>
              </w:rPr>
              <w:t>1-2</w:t>
            </w:r>
            <w:r>
              <w:rPr>
                <w:rFonts w:hint="eastAsia" w:ascii="宋体" w:hAnsi="宋体"/>
                <w:color w:val="auto"/>
                <w:sz w:val="18"/>
                <w:szCs w:val="18"/>
                <w:highlight w:val="none"/>
              </w:rPr>
              <w:t>分</w:t>
            </w:r>
          </w:p>
        </w:tc>
        <w:tc>
          <w:tcPr>
            <w:tcW w:w="1515" w:type="dxa"/>
            <w:gridSpan w:val="3"/>
            <w:tcBorders>
              <w:top w:val="single" w:color="auto" w:sz="4" w:space="0"/>
              <w:left w:val="nil"/>
              <w:bottom w:val="nil"/>
              <w:right w:val="single" w:color="auto" w:sz="4" w:space="0"/>
            </w:tcBorders>
            <w:noWrap w:val="0"/>
            <w:vAlign w:val="top"/>
          </w:tcPr>
          <w:p w14:paraId="03FB50AB">
            <w:pPr>
              <w:spacing w:line="240" w:lineRule="exact"/>
              <w:jc w:val="left"/>
              <w:rPr>
                <w:rFonts w:ascii="宋体" w:hAnsi="宋体"/>
                <w:color w:val="auto"/>
                <w:sz w:val="18"/>
                <w:szCs w:val="18"/>
                <w:highlight w:val="none"/>
              </w:rPr>
            </w:pPr>
          </w:p>
        </w:tc>
      </w:tr>
      <w:tr w14:paraId="38470177">
        <w:tblPrEx>
          <w:tblCellMar>
            <w:top w:w="0" w:type="dxa"/>
            <w:left w:w="108" w:type="dxa"/>
            <w:bottom w:w="0" w:type="dxa"/>
            <w:right w:w="108" w:type="dxa"/>
          </w:tblCellMar>
        </w:tblPrEx>
        <w:trPr>
          <w:cantSplit/>
          <w:trHeight w:val="262"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CCA4647">
            <w:pPr>
              <w:widowControl/>
              <w:jc w:val="left"/>
              <w:rPr>
                <w:rFonts w:ascii="Calibri" w:hAnsi="Calibri"/>
                <w:color w:val="auto"/>
                <w:sz w:val="18"/>
                <w:szCs w:val="18"/>
                <w:highlight w:val="none"/>
              </w:rPr>
            </w:pPr>
          </w:p>
        </w:tc>
        <w:tc>
          <w:tcPr>
            <w:tcW w:w="630" w:type="dxa"/>
            <w:vMerge w:val="restart"/>
            <w:tcBorders>
              <w:top w:val="nil"/>
              <w:left w:val="single" w:color="auto" w:sz="4" w:space="0"/>
              <w:bottom w:val="single" w:color="auto" w:sz="4" w:space="0"/>
              <w:right w:val="single" w:color="auto" w:sz="4" w:space="0"/>
            </w:tcBorders>
            <w:noWrap w:val="0"/>
            <w:vAlign w:val="center"/>
          </w:tcPr>
          <w:p w14:paraId="12803AB8">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28</w:t>
            </w:r>
          </w:p>
        </w:tc>
        <w:tc>
          <w:tcPr>
            <w:tcW w:w="3132" w:type="dxa"/>
            <w:vMerge w:val="restart"/>
            <w:tcBorders>
              <w:top w:val="nil"/>
              <w:left w:val="nil"/>
              <w:bottom w:val="single" w:color="auto" w:sz="4" w:space="0"/>
              <w:right w:val="single" w:color="auto" w:sz="4" w:space="0"/>
            </w:tcBorders>
            <w:noWrap w:val="0"/>
            <w:vAlign w:val="center"/>
          </w:tcPr>
          <w:p w14:paraId="68340418">
            <w:pPr>
              <w:spacing w:line="240" w:lineRule="exact"/>
              <w:rPr>
                <w:rFonts w:ascii="宋体" w:hAnsi="宋体"/>
                <w:color w:val="auto"/>
                <w:sz w:val="18"/>
                <w:szCs w:val="18"/>
                <w:highlight w:val="none"/>
              </w:rPr>
            </w:pPr>
            <w:r>
              <w:rPr>
                <w:rFonts w:hint="eastAsia" w:ascii="宋体" w:hAnsi="宋体"/>
                <w:color w:val="auto"/>
                <w:sz w:val="18"/>
                <w:szCs w:val="18"/>
                <w:highlight w:val="none"/>
              </w:rPr>
              <w:t>茶花土壤板结，不及时改良或PH不适合茶花生长</w:t>
            </w:r>
          </w:p>
        </w:tc>
        <w:tc>
          <w:tcPr>
            <w:tcW w:w="991" w:type="dxa"/>
            <w:vMerge w:val="restart"/>
            <w:tcBorders>
              <w:top w:val="nil"/>
              <w:left w:val="nil"/>
              <w:bottom w:val="single" w:color="auto" w:sz="4" w:space="0"/>
              <w:right w:val="single" w:color="auto" w:sz="4" w:space="0"/>
            </w:tcBorders>
            <w:noWrap w:val="0"/>
            <w:vAlign w:val="center"/>
          </w:tcPr>
          <w:p w14:paraId="596B58D5">
            <w:pPr>
              <w:spacing w:line="240" w:lineRule="exact"/>
              <w:rPr>
                <w:rFonts w:ascii="宋体" w:hAnsi="宋体"/>
                <w:color w:val="auto"/>
                <w:sz w:val="18"/>
                <w:szCs w:val="18"/>
                <w:highlight w:val="none"/>
              </w:rPr>
            </w:pPr>
            <w:r>
              <w:rPr>
                <w:rFonts w:hint="eastAsia" w:ascii="宋体" w:hAnsi="宋体"/>
                <w:color w:val="auto"/>
                <w:sz w:val="18"/>
                <w:szCs w:val="18"/>
                <w:highlight w:val="none"/>
              </w:rPr>
              <w:t>每宗案件</w:t>
            </w:r>
          </w:p>
        </w:tc>
        <w:tc>
          <w:tcPr>
            <w:tcW w:w="1416" w:type="dxa"/>
            <w:gridSpan w:val="3"/>
            <w:tcBorders>
              <w:top w:val="single" w:color="auto" w:sz="4" w:space="0"/>
              <w:left w:val="nil"/>
              <w:bottom w:val="single" w:color="auto" w:sz="4" w:space="0"/>
              <w:right w:val="single" w:color="auto" w:sz="4" w:space="0"/>
            </w:tcBorders>
            <w:noWrap w:val="0"/>
            <w:vAlign w:val="top"/>
          </w:tcPr>
          <w:p w14:paraId="078B1AAD">
            <w:pPr>
              <w:spacing w:line="240" w:lineRule="exact"/>
              <w:rPr>
                <w:color w:val="auto"/>
                <w:sz w:val="18"/>
                <w:szCs w:val="18"/>
                <w:highlight w:val="none"/>
              </w:rPr>
            </w:pPr>
            <w:r>
              <w:rPr>
                <w:color w:val="auto"/>
                <w:sz w:val="18"/>
                <w:szCs w:val="18"/>
                <w:highlight w:val="none"/>
              </w:rPr>
              <w:t>10</w:t>
            </w:r>
            <w:r>
              <w:rPr>
                <w:rFonts w:hint="eastAsia" w:ascii="宋体" w:hAnsi="宋体"/>
                <w:color w:val="auto"/>
                <w:sz w:val="18"/>
                <w:szCs w:val="18"/>
                <w:highlight w:val="none"/>
              </w:rPr>
              <w:t>株茶花以下</w:t>
            </w:r>
          </w:p>
        </w:tc>
        <w:tc>
          <w:tcPr>
            <w:tcW w:w="1244" w:type="dxa"/>
            <w:gridSpan w:val="4"/>
            <w:tcBorders>
              <w:top w:val="single" w:color="auto" w:sz="4" w:space="0"/>
              <w:left w:val="nil"/>
              <w:bottom w:val="single" w:color="auto" w:sz="4" w:space="0"/>
              <w:right w:val="single" w:color="auto" w:sz="4" w:space="0"/>
            </w:tcBorders>
            <w:noWrap w:val="0"/>
            <w:vAlign w:val="center"/>
          </w:tcPr>
          <w:p w14:paraId="068A6233">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0.5-1.0</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5433AA31">
            <w:pPr>
              <w:spacing w:line="240" w:lineRule="exact"/>
              <w:rPr>
                <w:rFonts w:ascii="宋体" w:hAnsi="宋体"/>
                <w:color w:val="auto"/>
                <w:sz w:val="18"/>
                <w:szCs w:val="18"/>
                <w:highlight w:val="none"/>
              </w:rPr>
            </w:pPr>
          </w:p>
        </w:tc>
      </w:tr>
      <w:tr w14:paraId="2482D1BB">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7648D08E">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12FFA72D">
            <w:pPr>
              <w:widowControl/>
              <w:jc w:val="left"/>
              <w:rPr>
                <w:rFonts w:ascii="宋体" w:hAnsi="宋体"/>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08454128">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2BC83BC2">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top"/>
          </w:tcPr>
          <w:p w14:paraId="7EF6F2E1">
            <w:pPr>
              <w:spacing w:line="240" w:lineRule="exact"/>
              <w:rPr>
                <w:color w:val="auto"/>
                <w:sz w:val="18"/>
                <w:szCs w:val="18"/>
                <w:highlight w:val="none"/>
              </w:rPr>
            </w:pPr>
            <w:r>
              <w:rPr>
                <w:color w:val="auto"/>
                <w:sz w:val="18"/>
                <w:szCs w:val="18"/>
                <w:highlight w:val="none"/>
              </w:rPr>
              <w:t>10-100</w:t>
            </w:r>
            <w:r>
              <w:rPr>
                <w:rFonts w:hint="eastAsia"/>
                <w:color w:val="auto"/>
                <w:sz w:val="18"/>
                <w:szCs w:val="18"/>
                <w:highlight w:val="none"/>
              </w:rPr>
              <w:t>株</w:t>
            </w:r>
            <w:r>
              <w:rPr>
                <w:rFonts w:hint="eastAsia" w:ascii="宋体" w:hAnsi="宋体"/>
                <w:color w:val="auto"/>
                <w:sz w:val="18"/>
                <w:szCs w:val="18"/>
                <w:highlight w:val="none"/>
              </w:rPr>
              <w:t>茶花</w:t>
            </w:r>
          </w:p>
        </w:tc>
        <w:tc>
          <w:tcPr>
            <w:tcW w:w="1212" w:type="dxa"/>
            <w:gridSpan w:val="3"/>
            <w:tcBorders>
              <w:top w:val="single" w:color="auto" w:sz="4" w:space="0"/>
              <w:left w:val="nil"/>
              <w:bottom w:val="single" w:color="auto" w:sz="4" w:space="0"/>
              <w:right w:val="single" w:color="auto" w:sz="4" w:space="0"/>
            </w:tcBorders>
            <w:noWrap w:val="0"/>
            <w:vAlign w:val="center"/>
          </w:tcPr>
          <w:p w14:paraId="5CFC0B7A">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w:t>
            </w:r>
            <w:r>
              <w:rPr>
                <w:color w:val="auto"/>
                <w:sz w:val="18"/>
                <w:szCs w:val="18"/>
                <w:highlight w:val="none"/>
              </w:rPr>
              <w:t>1-2</w:t>
            </w:r>
            <w:r>
              <w:rPr>
                <w:rFonts w:hint="eastAsia" w:ascii="宋体" w:hAnsi="宋体"/>
                <w:color w:val="auto"/>
                <w:sz w:val="18"/>
                <w:szCs w:val="18"/>
                <w:highlight w:val="none"/>
              </w:rPr>
              <w:t>分</w:t>
            </w:r>
          </w:p>
        </w:tc>
        <w:tc>
          <w:tcPr>
            <w:tcW w:w="1515" w:type="dxa"/>
            <w:gridSpan w:val="3"/>
            <w:tcBorders>
              <w:top w:val="single" w:color="auto" w:sz="4" w:space="0"/>
              <w:left w:val="nil"/>
              <w:bottom w:val="single" w:color="auto" w:sz="4" w:space="0"/>
              <w:right w:val="single" w:color="auto" w:sz="4" w:space="0"/>
            </w:tcBorders>
            <w:noWrap w:val="0"/>
            <w:vAlign w:val="center"/>
          </w:tcPr>
          <w:p w14:paraId="509CB013">
            <w:pPr>
              <w:spacing w:line="240" w:lineRule="exact"/>
              <w:ind w:left="180" w:hanging="180" w:hangingChars="100"/>
              <w:rPr>
                <w:rFonts w:ascii="宋体" w:hAnsi="宋体"/>
                <w:color w:val="auto"/>
                <w:sz w:val="18"/>
                <w:szCs w:val="18"/>
                <w:highlight w:val="none"/>
              </w:rPr>
            </w:pPr>
          </w:p>
        </w:tc>
      </w:tr>
      <w:tr w14:paraId="2E51EC2E">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424BF3C2">
            <w:pPr>
              <w:widowControl/>
              <w:jc w:val="left"/>
              <w:rPr>
                <w:rFonts w:ascii="Calibri" w:hAnsi="Calibri"/>
                <w:color w:val="auto"/>
                <w:sz w:val="18"/>
                <w:szCs w:val="18"/>
                <w:highlight w:val="none"/>
              </w:rPr>
            </w:pPr>
          </w:p>
        </w:tc>
        <w:tc>
          <w:tcPr>
            <w:tcW w:w="630" w:type="dxa"/>
            <w:vMerge w:val="restart"/>
            <w:tcBorders>
              <w:top w:val="nil"/>
              <w:left w:val="single" w:color="auto" w:sz="4" w:space="0"/>
              <w:bottom w:val="single" w:color="auto" w:sz="4" w:space="0"/>
              <w:right w:val="single" w:color="auto" w:sz="4" w:space="0"/>
            </w:tcBorders>
            <w:noWrap w:val="0"/>
            <w:vAlign w:val="center"/>
          </w:tcPr>
          <w:p w14:paraId="53624FC9">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29</w:t>
            </w:r>
          </w:p>
        </w:tc>
        <w:tc>
          <w:tcPr>
            <w:tcW w:w="3132" w:type="dxa"/>
            <w:vMerge w:val="restart"/>
            <w:tcBorders>
              <w:top w:val="nil"/>
              <w:left w:val="nil"/>
              <w:bottom w:val="single" w:color="auto" w:sz="4" w:space="0"/>
              <w:right w:val="single" w:color="auto" w:sz="4" w:space="0"/>
            </w:tcBorders>
            <w:noWrap w:val="0"/>
            <w:vAlign w:val="center"/>
          </w:tcPr>
          <w:p w14:paraId="05822788">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防寒防冻工作不及时，或方法不正确，造成植物受到冷害或冻害的</w:t>
            </w:r>
          </w:p>
        </w:tc>
        <w:tc>
          <w:tcPr>
            <w:tcW w:w="991" w:type="dxa"/>
            <w:vMerge w:val="restart"/>
            <w:tcBorders>
              <w:top w:val="nil"/>
              <w:left w:val="nil"/>
              <w:bottom w:val="single" w:color="auto" w:sz="4" w:space="0"/>
              <w:right w:val="single" w:color="auto" w:sz="4" w:space="0"/>
            </w:tcBorders>
            <w:noWrap w:val="0"/>
            <w:vAlign w:val="center"/>
          </w:tcPr>
          <w:p w14:paraId="38887F20">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每处</w:t>
            </w:r>
          </w:p>
        </w:tc>
        <w:tc>
          <w:tcPr>
            <w:tcW w:w="1416" w:type="dxa"/>
            <w:gridSpan w:val="3"/>
            <w:tcBorders>
              <w:top w:val="single" w:color="auto" w:sz="4" w:space="0"/>
              <w:left w:val="nil"/>
              <w:bottom w:val="single" w:color="auto" w:sz="4" w:space="0"/>
              <w:right w:val="single" w:color="auto" w:sz="4" w:space="0"/>
            </w:tcBorders>
            <w:noWrap w:val="0"/>
            <w:vAlign w:val="center"/>
          </w:tcPr>
          <w:p w14:paraId="3F23D536">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100㎡以内</w:t>
            </w:r>
          </w:p>
        </w:tc>
        <w:tc>
          <w:tcPr>
            <w:tcW w:w="1212" w:type="dxa"/>
            <w:gridSpan w:val="3"/>
            <w:tcBorders>
              <w:top w:val="single" w:color="auto" w:sz="4" w:space="0"/>
              <w:left w:val="nil"/>
              <w:bottom w:val="single" w:color="auto" w:sz="4" w:space="0"/>
              <w:right w:val="single" w:color="auto" w:sz="4" w:space="0"/>
            </w:tcBorders>
            <w:noWrap w:val="0"/>
            <w:vAlign w:val="center"/>
          </w:tcPr>
          <w:p w14:paraId="53CDEEAF">
            <w:pPr>
              <w:spacing w:line="240" w:lineRule="exact"/>
              <w:rPr>
                <w:rFonts w:ascii="宋体" w:hAnsi="宋体"/>
                <w:color w:val="auto"/>
                <w:sz w:val="18"/>
                <w:szCs w:val="18"/>
                <w:highlight w:val="none"/>
              </w:rPr>
            </w:pPr>
            <w:r>
              <w:rPr>
                <w:rFonts w:hint="eastAsia" w:ascii="宋体" w:hAnsi="宋体"/>
                <w:color w:val="auto"/>
                <w:sz w:val="18"/>
                <w:szCs w:val="18"/>
                <w:highlight w:val="none"/>
              </w:rPr>
              <w:t>扣0.1-1分</w:t>
            </w:r>
          </w:p>
        </w:tc>
        <w:tc>
          <w:tcPr>
            <w:tcW w:w="1515" w:type="dxa"/>
            <w:gridSpan w:val="3"/>
            <w:tcBorders>
              <w:top w:val="single" w:color="auto" w:sz="4" w:space="0"/>
              <w:left w:val="nil"/>
              <w:bottom w:val="single" w:color="auto" w:sz="4" w:space="0"/>
              <w:right w:val="single" w:color="auto" w:sz="4" w:space="0"/>
            </w:tcBorders>
            <w:noWrap w:val="0"/>
            <w:vAlign w:val="top"/>
          </w:tcPr>
          <w:p w14:paraId="25EBF814">
            <w:pPr>
              <w:spacing w:line="240" w:lineRule="exact"/>
              <w:jc w:val="center"/>
              <w:rPr>
                <w:rFonts w:ascii="宋体" w:hAnsi="宋体"/>
                <w:color w:val="auto"/>
                <w:sz w:val="18"/>
                <w:szCs w:val="18"/>
                <w:highlight w:val="none"/>
              </w:rPr>
            </w:pPr>
          </w:p>
        </w:tc>
      </w:tr>
      <w:tr w14:paraId="32B75428">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74C788C7">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1C1033E4">
            <w:pPr>
              <w:widowControl/>
              <w:jc w:val="left"/>
              <w:rPr>
                <w:rFonts w:ascii="宋体" w:hAnsi="宋体"/>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7E9D0019">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6FED03CD">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1BDC5DE7">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100-1000㎡</w:t>
            </w:r>
          </w:p>
        </w:tc>
        <w:tc>
          <w:tcPr>
            <w:tcW w:w="1212" w:type="dxa"/>
            <w:gridSpan w:val="3"/>
            <w:tcBorders>
              <w:top w:val="single" w:color="auto" w:sz="4" w:space="0"/>
              <w:left w:val="nil"/>
              <w:bottom w:val="single" w:color="auto" w:sz="4" w:space="0"/>
              <w:right w:val="single" w:color="auto" w:sz="4" w:space="0"/>
            </w:tcBorders>
            <w:noWrap w:val="0"/>
            <w:vAlign w:val="center"/>
          </w:tcPr>
          <w:p w14:paraId="644102DD">
            <w:pPr>
              <w:spacing w:line="240" w:lineRule="exact"/>
              <w:rPr>
                <w:rFonts w:ascii="宋体" w:hAnsi="宋体"/>
                <w:color w:val="auto"/>
                <w:sz w:val="18"/>
                <w:szCs w:val="18"/>
                <w:highlight w:val="none"/>
              </w:rPr>
            </w:pPr>
            <w:r>
              <w:rPr>
                <w:rFonts w:hint="eastAsia" w:ascii="宋体" w:hAnsi="宋体"/>
                <w:color w:val="auto"/>
                <w:sz w:val="18"/>
                <w:szCs w:val="18"/>
                <w:highlight w:val="none"/>
              </w:rPr>
              <w:t>扣0.2-2分</w:t>
            </w:r>
          </w:p>
        </w:tc>
        <w:tc>
          <w:tcPr>
            <w:tcW w:w="1515" w:type="dxa"/>
            <w:gridSpan w:val="3"/>
            <w:tcBorders>
              <w:top w:val="single" w:color="auto" w:sz="4" w:space="0"/>
              <w:left w:val="nil"/>
              <w:bottom w:val="single" w:color="auto" w:sz="4" w:space="0"/>
              <w:right w:val="single" w:color="auto" w:sz="4" w:space="0"/>
            </w:tcBorders>
            <w:noWrap w:val="0"/>
            <w:vAlign w:val="top"/>
          </w:tcPr>
          <w:p w14:paraId="408379C5">
            <w:pPr>
              <w:spacing w:line="240" w:lineRule="exact"/>
              <w:jc w:val="left"/>
              <w:rPr>
                <w:rFonts w:ascii="宋体" w:hAnsi="宋体"/>
                <w:color w:val="auto"/>
                <w:sz w:val="18"/>
                <w:szCs w:val="18"/>
                <w:highlight w:val="none"/>
              </w:rPr>
            </w:pPr>
          </w:p>
        </w:tc>
      </w:tr>
      <w:tr w14:paraId="11A76033">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2389416">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0B77AAB3">
            <w:pPr>
              <w:widowControl/>
              <w:jc w:val="left"/>
              <w:rPr>
                <w:rFonts w:ascii="宋体" w:hAnsi="宋体"/>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1915CBCC">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28D085B9">
            <w:pPr>
              <w:widowControl/>
              <w:jc w:val="left"/>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1AF1D727">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1000㎡以上</w:t>
            </w:r>
          </w:p>
        </w:tc>
        <w:tc>
          <w:tcPr>
            <w:tcW w:w="1212" w:type="dxa"/>
            <w:gridSpan w:val="3"/>
            <w:tcBorders>
              <w:top w:val="single" w:color="auto" w:sz="4" w:space="0"/>
              <w:left w:val="nil"/>
              <w:bottom w:val="single" w:color="auto" w:sz="4" w:space="0"/>
              <w:right w:val="single" w:color="auto" w:sz="4" w:space="0"/>
            </w:tcBorders>
            <w:noWrap w:val="0"/>
            <w:vAlign w:val="center"/>
          </w:tcPr>
          <w:p w14:paraId="31A583B2">
            <w:pPr>
              <w:spacing w:line="240" w:lineRule="exact"/>
              <w:rPr>
                <w:rFonts w:ascii="宋体" w:hAnsi="宋体"/>
                <w:color w:val="auto"/>
                <w:sz w:val="18"/>
                <w:szCs w:val="18"/>
                <w:highlight w:val="none"/>
              </w:rPr>
            </w:pPr>
            <w:r>
              <w:rPr>
                <w:rFonts w:hint="eastAsia" w:ascii="宋体" w:hAnsi="宋体"/>
                <w:color w:val="auto"/>
                <w:sz w:val="18"/>
                <w:szCs w:val="18"/>
                <w:highlight w:val="none"/>
              </w:rPr>
              <w:t>扣0.3-3分</w:t>
            </w:r>
          </w:p>
        </w:tc>
        <w:tc>
          <w:tcPr>
            <w:tcW w:w="1515" w:type="dxa"/>
            <w:gridSpan w:val="3"/>
            <w:tcBorders>
              <w:top w:val="single" w:color="auto" w:sz="4" w:space="0"/>
              <w:left w:val="nil"/>
              <w:bottom w:val="single" w:color="auto" w:sz="4" w:space="0"/>
              <w:right w:val="single" w:color="auto" w:sz="4" w:space="0"/>
            </w:tcBorders>
            <w:noWrap w:val="0"/>
            <w:vAlign w:val="center"/>
          </w:tcPr>
          <w:p w14:paraId="4D6436D6">
            <w:pPr>
              <w:spacing w:line="240" w:lineRule="exact"/>
              <w:jc w:val="left"/>
              <w:rPr>
                <w:rFonts w:ascii="宋体" w:hAnsi="宋体"/>
                <w:color w:val="auto"/>
                <w:sz w:val="18"/>
                <w:szCs w:val="18"/>
                <w:highlight w:val="none"/>
              </w:rPr>
            </w:pPr>
          </w:p>
        </w:tc>
      </w:tr>
      <w:tr w14:paraId="6A34AC3A">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097497A5">
            <w:pPr>
              <w:widowControl/>
              <w:jc w:val="left"/>
              <w:rPr>
                <w:rFonts w:ascii="Calibri" w:hAnsi="Calibri"/>
                <w:color w:val="auto"/>
                <w:sz w:val="18"/>
                <w:szCs w:val="18"/>
                <w:highlight w:val="none"/>
              </w:rPr>
            </w:pPr>
          </w:p>
        </w:tc>
        <w:tc>
          <w:tcPr>
            <w:tcW w:w="630" w:type="dxa"/>
            <w:vMerge w:val="restart"/>
            <w:tcBorders>
              <w:top w:val="nil"/>
              <w:left w:val="single" w:color="auto" w:sz="4" w:space="0"/>
              <w:bottom w:val="single" w:color="auto" w:sz="4" w:space="0"/>
              <w:right w:val="single" w:color="auto" w:sz="4" w:space="0"/>
            </w:tcBorders>
            <w:noWrap w:val="0"/>
            <w:vAlign w:val="center"/>
          </w:tcPr>
          <w:p w14:paraId="03DC61D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30</w:t>
            </w:r>
          </w:p>
        </w:tc>
        <w:tc>
          <w:tcPr>
            <w:tcW w:w="3132" w:type="dxa"/>
            <w:vMerge w:val="restart"/>
            <w:tcBorders>
              <w:top w:val="nil"/>
              <w:left w:val="nil"/>
              <w:bottom w:val="single" w:color="auto" w:sz="4" w:space="0"/>
              <w:right w:val="single" w:color="auto" w:sz="4" w:space="0"/>
            </w:tcBorders>
            <w:noWrap w:val="0"/>
            <w:vAlign w:val="center"/>
          </w:tcPr>
          <w:p w14:paraId="457108BC">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倒树或断枝未及时处理、歪斜树木未及时扶正和加固的按扣分标准最高上限扣除</w:t>
            </w:r>
          </w:p>
        </w:tc>
        <w:tc>
          <w:tcPr>
            <w:tcW w:w="991" w:type="dxa"/>
            <w:vMerge w:val="restart"/>
            <w:tcBorders>
              <w:top w:val="nil"/>
              <w:left w:val="nil"/>
              <w:bottom w:val="single" w:color="auto" w:sz="4" w:space="0"/>
              <w:right w:val="single" w:color="auto" w:sz="4" w:space="0"/>
            </w:tcBorders>
            <w:noWrap w:val="0"/>
            <w:vAlign w:val="center"/>
          </w:tcPr>
          <w:p w14:paraId="0E2041F2">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每株</w:t>
            </w:r>
          </w:p>
        </w:tc>
        <w:tc>
          <w:tcPr>
            <w:tcW w:w="1416" w:type="dxa"/>
            <w:gridSpan w:val="3"/>
            <w:tcBorders>
              <w:top w:val="single" w:color="auto" w:sz="4" w:space="0"/>
              <w:left w:val="nil"/>
              <w:bottom w:val="single" w:color="auto" w:sz="4" w:space="0"/>
              <w:right w:val="single" w:color="auto" w:sz="4" w:space="0"/>
            </w:tcBorders>
            <w:noWrap w:val="0"/>
            <w:vAlign w:val="center"/>
          </w:tcPr>
          <w:p w14:paraId="64A4AC85">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断枝</w:t>
            </w:r>
          </w:p>
        </w:tc>
        <w:tc>
          <w:tcPr>
            <w:tcW w:w="1212" w:type="dxa"/>
            <w:gridSpan w:val="3"/>
            <w:tcBorders>
              <w:top w:val="single" w:color="auto" w:sz="4" w:space="0"/>
              <w:left w:val="nil"/>
              <w:bottom w:val="single" w:color="auto" w:sz="4" w:space="0"/>
              <w:right w:val="single" w:color="auto" w:sz="4" w:space="0"/>
            </w:tcBorders>
            <w:noWrap w:val="0"/>
            <w:vAlign w:val="center"/>
          </w:tcPr>
          <w:p w14:paraId="13276A7A">
            <w:pPr>
              <w:spacing w:line="240" w:lineRule="exact"/>
              <w:rPr>
                <w:rFonts w:ascii="宋体" w:hAnsi="宋体"/>
                <w:color w:val="auto"/>
                <w:sz w:val="18"/>
                <w:szCs w:val="18"/>
                <w:highlight w:val="none"/>
              </w:rPr>
            </w:pPr>
            <w:r>
              <w:rPr>
                <w:rFonts w:hint="eastAsia" w:ascii="宋体" w:hAnsi="宋体"/>
                <w:color w:val="auto"/>
                <w:sz w:val="18"/>
                <w:szCs w:val="18"/>
                <w:highlight w:val="none"/>
              </w:rPr>
              <w:t>扣0.1-0.5分</w:t>
            </w:r>
          </w:p>
        </w:tc>
        <w:tc>
          <w:tcPr>
            <w:tcW w:w="1515" w:type="dxa"/>
            <w:gridSpan w:val="3"/>
            <w:tcBorders>
              <w:top w:val="single" w:color="auto" w:sz="4" w:space="0"/>
              <w:left w:val="nil"/>
              <w:bottom w:val="single" w:color="auto" w:sz="4" w:space="0"/>
              <w:right w:val="single" w:color="auto" w:sz="4" w:space="0"/>
            </w:tcBorders>
            <w:noWrap w:val="0"/>
            <w:vAlign w:val="top"/>
          </w:tcPr>
          <w:p w14:paraId="152336F5">
            <w:pPr>
              <w:spacing w:line="240" w:lineRule="exact"/>
              <w:jc w:val="left"/>
              <w:rPr>
                <w:rFonts w:ascii="宋体" w:hAnsi="宋体"/>
                <w:color w:val="auto"/>
                <w:sz w:val="18"/>
                <w:szCs w:val="18"/>
                <w:highlight w:val="none"/>
              </w:rPr>
            </w:pPr>
          </w:p>
        </w:tc>
      </w:tr>
      <w:tr w14:paraId="667D55E0">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418486BA">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3C23E951">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047AE606">
            <w:pPr>
              <w:widowControl/>
              <w:jc w:val="left"/>
              <w:rPr>
                <w:rFonts w:ascii="宋体" w:hAnsi="宋体"/>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20BB86E2">
            <w:pPr>
              <w:widowControl/>
              <w:jc w:val="center"/>
              <w:rPr>
                <w:rFonts w:ascii="宋体" w:hAnsi="宋体"/>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22025BF6">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倒树</w:t>
            </w:r>
          </w:p>
        </w:tc>
        <w:tc>
          <w:tcPr>
            <w:tcW w:w="1212" w:type="dxa"/>
            <w:gridSpan w:val="3"/>
            <w:tcBorders>
              <w:top w:val="single" w:color="auto" w:sz="4" w:space="0"/>
              <w:left w:val="nil"/>
              <w:bottom w:val="single" w:color="auto" w:sz="4" w:space="0"/>
              <w:right w:val="single" w:color="auto" w:sz="4" w:space="0"/>
            </w:tcBorders>
            <w:noWrap w:val="0"/>
            <w:vAlign w:val="center"/>
          </w:tcPr>
          <w:p w14:paraId="0235DC66">
            <w:pPr>
              <w:spacing w:line="240" w:lineRule="exact"/>
              <w:rPr>
                <w:rFonts w:ascii="宋体" w:hAnsi="宋体"/>
                <w:color w:val="auto"/>
                <w:sz w:val="18"/>
                <w:szCs w:val="18"/>
                <w:highlight w:val="none"/>
              </w:rPr>
            </w:pPr>
            <w:r>
              <w:rPr>
                <w:rFonts w:hint="eastAsia" w:ascii="宋体" w:hAnsi="宋体"/>
                <w:color w:val="auto"/>
                <w:sz w:val="18"/>
                <w:szCs w:val="18"/>
                <w:highlight w:val="none"/>
              </w:rPr>
              <w:t>扣0.5-2分</w:t>
            </w:r>
          </w:p>
        </w:tc>
        <w:tc>
          <w:tcPr>
            <w:tcW w:w="1515" w:type="dxa"/>
            <w:gridSpan w:val="3"/>
            <w:tcBorders>
              <w:top w:val="single" w:color="auto" w:sz="4" w:space="0"/>
              <w:left w:val="nil"/>
              <w:bottom w:val="single" w:color="auto" w:sz="4" w:space="0"/>
              <w:right w:val="single" w:color="auto" w:sz="4" w:space="0"/>
            </w:tcBorders>
            <w:noWrap w:val="0"/>
            <w:vAlign w:val="top"/>
          </w:tcPr>
          <w:p w14:paraId="6C40771E">
            <w:pPr>
              <w:spacing w:line="240" w:lineRule="exact"/>
              <w:jc w:val="center"/>
              <w:rPr>
                <w:rFonts w:ascii="宋体" w:hAnsi="宋体"/>
                <w:color w:val="auto"/>
                <w:sz w:val="18"/>
                <w:szCs w:val="18"/>
                <w:highlight w:val="none"/>
              </w:rPr>
            </w:pPr>
          </w:p>
        </w:tc>
      </w:tr>
      <w:tr w14:paraId="0B56B1D8">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1F8FD535">
            <w:pPr>
              <w:widowControl/>
              <w:jc w:val="left"/>
              <w:rPr>
                <w:rFonts w:ascii="Calibri" w:hAnsi="Calibri"/>
                <w:color w:val="auto"/>
                <w:sz w:val="18"/>
                <w:szCs w:val="18"/>
                <w:highlight w:val="none"/>
              </w:rPr>
            </w:pPr>
          </w:p>
        </w:tc>
        <w:tc>
          <w:tcPr>
            <w:tcW w:w="630" w:type="dxa"/>
            <w:tcBorders>
              <w:top w:val="single" w:color="auto" w:sz="4" w:space="0"/>
              <w:left w:val="single" w:color="auto" w:sz="4" w:space="0"/>
              <w:bottom w:val="single" w:color="auto" w:sz="4" w:space="0"/>
              <w:right w:val="single" w:color="auto" w:sz="4" w:space="0"/>
            </w:tcBorders>
            <w:noWrap w:val="0"/>
            <w:vAlign w:val="center"/>
          </w:tcPr>
          <w:p w14:paraId="1896520D">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31</w:t>
            </w:r>
          </w:p>
        </w:tc>
        <w:tc>
          <w:tcPr>
            <w:tcW w:w="3132" w:type="dxa"/>
            <w:tcBorders>
              <w:top w:val="single" w:color="auto" w:sz="4" w:space="0"/>
              <w:left w:val="nil"/>
              <w:bottom w:val="single" w:color="auto" w:sz="4" w:space="0"/>
              <w:right w:val="single" w:color="auto" w:sz="4" w:space="0"/>
            </w:tcBorders>
            <w:noWrap w:val="0"/>
            <w:vAlign w:val="center"/>
          </w:tcPr>
          <w:p w14:paraId="56663B82">
            <w:pPr>
              <w:spacing w:line="240" w:lineRule="exact"/>
              <w:jc w:val="left"/>
              <w:rPr>
                <w:rFonts w:ascii="宋体" w:hAnsi="宋体"/>
                <w:color w:val="auto"/>
                <w:sz w:val="18"/>
                <w:szCs w:val="18"/>
                <w:highlight w:val="none"/>
              </w:rPr>
            </w:pPr>
            <w:r>
              <w:rPr>
                <w:rFonts w:hint="eastAsia" w:ascii="宋体" w:hAnsi="宋体"/>
                <w:color w:val="auto"/>
                <w:sz w:val="18"/>
                <w:szCs w:val="18"/>
                <w:highlight w:val="none"/>
              </w:rPr>
              <w:t>未定期巡查危树或未按要求及时处理危树</w:t>
            </w:r>
          </w:p>
        </w:tc>
        <w:tc>
          <w:tcPr>
            <w:tcW w:w="991" w:type="dxa"/>
            <w:tcBorders>
              <w:top w:val="single" w:color="auto" w:sz="4" w:space="0"/>
              <w:left w:val="nil"/>
              <w:bottom w:val="single" w:color="auto" w:sz="4" w:space="0"/>
              <w:right w:val="single" w:color="auto" w:sz="4" w:space="0"/>
            </w:tcBorders>
            <w:noWrap w:val="0"/>
            <w:vAlign w:val="center"/>
          </w:tcPr>
          <w:p w14:paraId="3ED793CE">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每株</w:t>
            </w:r>
          </w:p>
        </w:tc>
        <w:tc>
          <w:tcPr>
            <w:tcW w:w="2660" w:type="dxa"/>
            <w:gridSpan w:val="7"/>
            <w:tcBorders>
              <w:top w:val="single" w:color="auto" w:sz="4" w:space="0"/>
              <w:left w:val="nil"/>
              <w:bottom w:val="single" w:color="auto" w:sz="4" w:space="0"/>
              <w:right w:val="single" w:color="auto" w:sz="4" w:space="0"/>
            </w:tcBorders>
            <w:noWrap w:val="0"/>
            <w:vAlign w:val="center"/>
          </w:tcPr>
          <w:p w14:paraId="109AE31C">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6A4F8262">
            <w:pPr>
              <w:spacing w:line="240" w:lineRule="exact"/>
              <w:jc w:val="center"/>
              <w:rPr>
                <w:rFonts w:ascii="宋体" w:hAnsi="宋体"/>
                <w:color w:val="auto"/>
                <w:sz w:val="18"/>
                <w:szCs w:val="18"/>
                <w:highlight w:val="none"/>
              </w:rPr>
            </w:pPr>
          </w:p>
        </w:tc>
      </w:tr>
      <w:tr w14:paraId="77CF0E6E">
        <w:tblPrEx>
          <w:tblCellMar>
            <w:top w:w="0" w:type="dxa"/>
            <w:left w:w="108" w:type="dxa"/>
            <w:bottom w:w="0" w:type="dxa"/>
            <w:right w:w="108" w:type="dxa"/>
          </w:tblCellMar>
        </w:tblPrEx>
        <w:trPr>
          <w:cantSplit/>
        </w:trPr>
        <w:tc>
          <w:tcPr>
            <w:tcW w:w="419" w:type="dxa"/>
            <w:vMerge w:val="restart"/>
            <w:tcBorders>
              <w:top w:val="single" w:color="auto" w:sz="4" w:space="0"/>
              <w:left w:val="single" w:color="auto" w:sz="4" w:space="0"/>
              <w:bottom w:val="single" w:color="auto" w:sz="4" w:space="0"/>
              <w:right w:val="single" w:color="auto" w:sz="4" w:space="0"/>
            </w:tcBorders>
            <w:noWrap w:val="0"/>
            <w:vAlign w:val="center"/>
          </w:tcPr>
          <w:p w14:paraId="1A18616C">
            <w:pPr>
              <w:spacing w:line="240" w:lineRule="exact"/>
              <w:jc w:val="center"/>
              <w:rPr>
                <w:rFonts w:hint="eastAsia" w:ascii="宋体" w:eastAsia="宋体"/>
                <w:color w:val="auto"/>
                <w:sz w:val="18"/>
                <w:szCs w:val="18"/>
                <w:highlight w:val="none"/>
                <w:lang w:eastAsia="zh-CN"/>
              </w:rPr>
            </w:pPr>
            <w:r>
              <w:rPr>
                <w:rFonts w:hint="eastAsia" w:ascii="宋体" w:hAnsi="宋体"/>
                <w:color w:val="auto"/>
                <w:sz w:val="18"/>
                <w:szCs w:val="18"/>
                <w:highlight w:val="none"/>
              </w:rPr>
              <w:t>四</w:t>
            </w:r>
            <w:r>
              <w:rPr>
                <w:rFonts w:hint="eastAsia" w:ascii="宋体" w:hAnsi="宋体"/>
                <w:color w:val="auto"/>
                <w:sz w:val="18"/>
                <w:szCs w:val="18"/>
                <w:highlight w:val="none"/>
                <w:lang w:eastAsia="zh-CN"/>
              </w:rPr>
              <w:t>、</w:t>
            </w:r>
          </w:p>
          <w:p w14:paraId="4EF9FECA">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养护管理</w:t>
            </w:r>
          </w:p>
        </w:tc>
        <w:tc>
          <w:tcPr>
            <w:tcW w:w="630" w:type="dxa"/>
            <w:tcBorders>
              <w:top w:val="single" w:color="auto" w:sz="4" w:space="0"/>
              <w:left w:val="single" w:color="auto" w:sz="4" w:space="0"/>
              <w:bottom w:val="single" w:color="auto" w:sz="4" w:space="0"/>
              <w:right w:val="single" w:color="auto" w:sz="4" w:space="0"/>
            </w:tcBorders>
            <w:noWrap w:val="0"/>
            <w:vAlign w:val="center"/>
          </w:tcPr>
          <w:p w14:paraId="004FF45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32</w:t>
            </w:r>
          </w:p>
        </w:tc>
        <w:tc>
          <w:tcPr>
            <w:tcW w:w="3132" w:type="dxa"/>
            <w:tcBorders>
              <w:top w:val="single" w:color="auto" w:sz="4" w:space="0"/>
              <w:left w:val="nil"/>
              <w:bottom w:val="single" w:color="auto" w:sz="4" w:space="0"/>
              <w:right w:val="single" w:color="auto" w:sz="4" w:space="0"/>
            </w:tcBorders>
            <w:noWrap w:val="0"/>
            <w:vAlign w:val="center"/>
          </w:tcPr>
          <w:p w14:paraId="0866C401">
            <w:pPr>
              <w:spacing w:line="240" w:lineRule="exact"/>
              <w:rPr>
                <w:rFonts w:ascii="Calibri" w:hAnsi="Calibri"/>
                <w:color w:val="auto"/>
                <w:sz w:val="18"/>
                <w:szCs w:val="18"/>
                <w:highlight w:val="none"/>
              </w:rPr>
            </w:pPr>
            <w:r>
              <w:rPr>
                <w:rFonts w:hint="eastAsia" w:ascii="宋体" w:hAnsi="宋体"/>
                <w:color w:val="auto"/>
                <w:sz w:val="18"/>
                <w:szCs w:val="18"/>
                <w:highlight w:val="none"/>
              </w:rPr>
              <w:t>乔灌木缺株、死树和树桩未处理</w:t>
            </w:r>
          </w:p>
        </w:tc>
        <w:tc>
          <w:tcPr>
            <w:tcW w:w="991" w:type="dxa"/>
            <w:tcBorders>
              <w:top w:val="single" w:color="auto" w:sz="4" w:space="0"/>
              <w:left w:val="nil"/>
              <w:bottom w:val="single" w:color="auto" w:sz="4" w:space="0"/>
              <w:right w:val="single" w:color="auto" w:sz="4" w:space="0"/>
            </w:tcBorders>
            <w:noWrap w:val="0"/>
            <w:vAlign w:val="center"/>
          </w:tcPr>
          <w:p w14:paraId="2A625AF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每株</w:t>
            </w:r>
          </w:p>
        </w:tc>
        <w:tc>
          <w:tcPr>
            <w:tcW w:w="2660" w:type="dxa"/>
            <w:gridSpan w:val="7"/>
            <w:tcBorders>
              <w:top w:val="single" w:color="auto" w:sz="4" w:space="0"/>
              <w:left w:val="nil"/>
              <w:bottom w:val="single" w:color="auto" w:sz="4" w:space="0"/>
              <w:right w:val="single" w:color="auto" w:sz="4" w:space="0"/>
            </w:tcBorders>
            <w:noWrap w:val="0"/>
            <w:vAlign w:val="center"/>
          </w:tcPr>
          <w:p w14:paraId="6EA6799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0.2-3</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50670DA0">
            <w:pPr>
              <w:spacing w:line="240" w:lineRule="exact"/>
              <w:jc w:val="center"/>
              <w:rPr>
                <w:rFonts w:ascii="宋体" w:hAnsi="宋体"/>
                <w:color w:val="auto"/>
                <w:sz w:val="18"/>
                <w:szCs w:val="18"/>
                <w:highlight w:val="none"/>
              </w:rPr>
            </w:pPr>
          </w:p>
        </w:tc>
      </w:tr>
      <w:tr w14:paraId="25E16FF8">
        <w:tblPrEx>
          <w:tblCellMar>
            <w:top w:w="0" w:type="dxa"/>
            <w:left w:w="108" w:type="dxa"/>
            <w:bottom w:w="0" w:type="dxa"/>
            <w:right w:w="108" w:type="dxa"/>
          </w:tblCellMar>
        </w:tblPrEx>
        <w:trPr>
          <w:cantSpli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525E3F94">
            <w:pPr>
              <w:widowControl/>
              <w:jc w:val="left"/>
              <w:rPr>
                <w:rFonts w:ascii="Calibri" w:hAnsi="Calibri"/>
                <w:color w:val="auto"/>
                <w:sz w:val="18"/>
                <w:szCs w:val="18"/>
                <w:highlight w:val="none"/>
              </w:rPr>
            </w:pPr>
          </w:p>
        </w:tc>
        <w:tc>
          <w:tcPr>
            <w:tcW w:w="630" w:type="dxa"/>
            <w:vMerge w:val="restart"/>
            <w:tcBorders>
              <w:top w:val="single" w:color="auto" w:sz="4" w:space="0"/>
              <w:left w:val="single" w:color="auto" w:sz="4" w:space="0"/>
              <w:bottom w:val="single" w:color="auto" w:sz="4" w:space="0"/>
              <w:right w:val="single" w:color="auto" w:sz="4" w:space="0"/>
            </w:tcBorders>
            <w:noWrap w:val="0"/>
            <w:vAlign w:val="center"/>
          </w:tcPr>
          <w:p w14:paraId="5759697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33</w:t>
            </w:r>
          </w:p>
        </w:tc>
        <w:tc>
          <w:tcPr>
            <w:tcW w:w="3132" w:type="dxa"/>
            <w:vMerge w:val="restart"/>
            <w:tcBorders>
              <w:top w:val="single" w:color="auto" w:sz="4" w:space="0"/>
              <w:left w:val="nil"/>
              <w:bottom w:val="single" w:color="auto" w:sz="4" w:space="0"/>
              <w:right w:val="single" w:color="auto" w:sz="4" w:space="0"/>
            </w:tcBorders>
            <w:noWrap w:val="0"/>
            <w:vAlign w:val="center"/>
          </w:tcPr>
          <w:p w14:paraId="381715CC">
            <w:pPr>
              <w:spacing w:line="240" w:lineRule="exact"/>
              <w:rPr>
                <w:rFonts w:ascii="Calibri" w:hAnsi="Calibri"/>
                <w:color w:val="auto"/>
                <w:sz w:val="18"/>
                <w:szCs w:val="18"/>
                <w:highlight w:val="none"/>
              </w:rPr>
            </w:pPr>
            <w:r>
              <w:rPr>
                <w:rFonts w:hint="eastAsia" w:ascii="宋体" w:hAnsi="宋体"/>
                <w:color w:val="auto"/>
                <w:sz w:val="18"/>
                <w:szCs w:val="18"/>
                <w:highlight w:val="none"/>
              </w:rPr>
              <w:t>植物缺损，造成黄土裸露现象</w:t>
            </w:r>
          </w:p>
        </w:tc>
        <w:tc>
          <w:tcPr>
            <w:tcW w:w="991" w:type="dxa"/>
            <w:vMerge w:val="restart"/>
            <w:tcBorders>
              <w:top w:val="single" w:color="auto" w:sz="4" w:space="0"/>
              <w:left w:val="nil"/>
              <w:bottom w:val="single" w:color="auto" w:sz="4" w:space="0"/>
              <w:right w:val="single" w:color="auto" w:sz="4" w:space="0"/>
            </w:tcBorders>
            <w:noWrap w:val="0"/>
            <w:vAlign w:val="center"/>
          </w:tcPr>
          <w:p w14:paraId="3086CB48">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每处</w:t>
            </w:r>
          </w:p>
        </w:tc>
        <w:tc>
          <w:tcPr>
            <w:tcW w:w="1329" w:type="dxa"/>
            <w:gridSpan w:val="2"/>
            <w:tcBorders>
              <w:top w:val="single" w:color="auto" w:sz="4" w:space="0"/>
              <w:left w:val="nil"/>
              <w:bottom w:val="single" w:color="auto" w:sz="4" w:space="0"/>
              <w:right w:val="single" w:color="auto" w:sz="4" w:space="0"/>
            </w:tcBorders>
            <w:noWrap w:val="0"/>
            <w:vAlign w:val="center"/>
          </w:tcPr>
          <w:p w14:paraId="793B57BF">
            <w:pPr>
              <w:spacing w:line="240" w:lineRule="exact"/>
              <w:jc w:val="center"/>
              <w:rPr>
                <w:rFonts w:ascii="Calibri" w:hAnsi="Calibri"/>
                <w:color w:val="auto"/>
                <w:sz w:val="18"/>
                <w:szCs w:val="18"/>
                <w:highlight w:val="none"/>
              </w:rPr>
            </w:pPr>
            <w:r>
              <w:rPr>
                <w:color w:val="auto"/>
                <w:sz w:val="18"/>
                <w:szCs w:val="18"/>
                <w:highlight w:val="none"/>
              </w:rPr>
              <w:t>1-3</w:t>
            </w:r>
            <w:r>
              <w:rPr>
                <w:rFonts w:hint="eastAsia" w:ascii="宋体" w:hAnsi="宋体"/>
                <w:color w:val="auto"/>
                <w:sz w:val="18"/>
                <w:szCs w:val="18"/>
                <w:highlight w:val="none"/>
              </w:rPr>
              <w:t>㎡</w:t>
            </w:r>
          </w:p>
        </w:tc>
        <w:tc>
          <w:tcPr>
            <w:tcW w:w="1331" w:type="dxa"/>
            <w:gridSpan w:val="5"/>
            <w:tcBorders>
              <w:top w:val="single" w:color="auto" w:sz="4" w:space="0"/>
              <w:left w:val="nil"/>
              <w:bottom w:val="single" w:color="auto" w:sz="4" w:space="0"/>
              <w:right w:val="single" w:color="auto" w:sz="4" w:space="0"/>
            </w:tcBorders>
            <w:noWrap w:val="0"/>
            <w:vAlign w:val="center"/>
          </w:tcPr>
          <w:p w14:paraId="4A969FC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1699D6C7">
            <w:pPr>
              <w:spacing w:line="240" w:lineRule="exact"/>
              <w:jc w:val="center"/>
              <w:rPr>
                <w:rFonts w:ascii="宋体" w:hAnsi="宋体"/>
                <w:color w:val="auto"/>
                <w:sz w:val="18"/>
                <w:szCs w:val="18"/>
                <w:highlight w:val="none"/>
              </w:rPr>
            </w:pPr>
          </w:p>
        </w:tc>
      </w:tr>
      <w:tr w14:paraId="14172584">
        <w:tblPrEx>
          <w:tblCellMar>
            <w:top w:w="0" w:type="dxa"/>
            <w:left w:w="108" w:type="dxa"/>
            <w:bottom w:w="0" w:type="dxa"/>
            <w:right w:w="108" w:type="dxa"/>
          </w:tblCellMar>
        </w:tblPrEx>
        <w:trPr>
          <w:cantSplit/>
          <w:trHeight w:val="306"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8F22631">
            <w:pPr>
              <w:widowControl/>
              <w:jc w:val="left"/>
              <w:rPr>
                <w:rFonts w:ascii="Calibri" w:hAnsi="Calibri"/>
                <w:color w:val="auto"/>
                <w:sz w:val="18"/>
                <w:szCs w:val="18"/>
                <w:highlight w:val="none"/>
              </w:rPr>
            </w:pPr>
          </w:p>
        </w:tc>
        <w:tc>
          <w:tcPr>
            <w:tcW w:w="630" w:type="dxa"/>
            <w:vMerge w:val="continue"/>
            <w:tcBorders>
              <w:top w:val="single" w:color="auto" w:sz="4" w:space="0"/>
              <w:left w:val="single" w:color="auto" w:sz="4" w:space="0"/>
              <w:bottom w:val="single" w:color="auto" w:sz="4" w:space="0"/>
              <w:right w:val="single" w:color="auto" w:sz="4" w:space="0"/>
            </w:tcBorders>
            <w:noWrap w:val="0"/>
            <w:vAlign w:val="center"/>
          </w:tcPr>
          <w:p w14:paraId="373831BC">
            <w:pPr>
              <w:widowControl/>
              <w:jc w:val="left"/>
              <w:rPr>
                <w:rFonts w:ascii="Calibri" w:hAnsi="Calibri"/>
                <w:color w:val="auto"/>
                <w:sz w:val="18"/>
                <w:szCs w:val="18"/>
                <w:highlight w:val="none"/>
              </w:rPr>
            </w:pPr>
          </w:p>
        </w:tc>
        <w:tc>
          <w:tcPr>
            <w:tcW w:w="3132" w:type="dxa"/>
            <w:vMerge w:val="continue"/>
            <w:tcBorders>
              <w:top w:val="single" w:color="auto" w:sz="4" w:space="0"/>
              <w:left w:val="nil"/>
              <w:bottom w:val="single" w:color="auto" w:sz="4" w:space="0"/>
              <w:right w:val="single" w:color="auto" w:sz="4" w:space="0"/>
            </w:tcBorders>
            <w:noWrap w:val="0"/>
            <w:vAlign w:val="center"/>
          </w:tcPr>
          <w:p w14:paraId="61B850FE">
            <w:pPr>
              <w:widowControl/>
              <w:jc w:val="left"/>
              <w:rPr>
                <w:rFonts w:ascii="Calibri" w:hAnsi="Calibri"/>
                <w:color w:val="auto"/>
                <w:sz w:val="18"/>
                <w:szCs w:val="18"/>
                <w:highlight w:val="none"/>
              </w:rPr>
            </w:pPr>
          </w:p>
        </w:tc>
        <w:tc>
          <w:tcPr>
            <w:tcW w:w="991" w:type="dxa"/>
            <w:vMerge w:val="continue"/>
            <w:tcBorders>
              <w:top w:val="single" w:color="auto" w:sz="4" w:space="0"/>
              <w:left w:val="nil"/>
              <w:bottom w:val="single" w:color="auto" w:sz="4" w:space="0"/>
              <w:right w:val="single" w:color="auto" w:sz="4" w:space="0"/>
            </w:tcBorders>
            <w:noWrap w:val="0"/>
            <w:vAlign w:val="center"/>
          </w:tcPr>
          <w:p w14:paraId="7A9A13F1">
            <w:pPr>
              <w:widowControl/>
              <w:jc w:val="left"/>
              <w:rPr>
                <w:rFonts w:ascii="宋体" w:hAnsi="宋体"/>
                <w:color w:val="auto"/>
                <w:sz w:val="18"/>
                <w:szCs w:val="18"/>
                <w:highlight w:val="none"/>
              </w:rPr>
            </w:pPr>
          </w:p>
        </w:tc>
        <w:tc>
          <w:tcPr>
            <w:tcW w:w="1329" w:type="dxa"/>
            <w:gridSpan w:val="2"/>
            <w:tcBorders>
              <w:top w:val="single" w:color="auto" w:sz="4" w:space="0"/>
              <w:left w:val="nil"/>
              <w:bottom w:val="single" w:color="auto" w:sz="4" w:space="0"/>
              <w:right w:val="single" w:color="auto" w:sz="4" w:space="0"/>
            </w:tcBorders>
            <w:noWrap w:val="0"/>
            <w:vAlign w:val="center"/>
          </w:tcPr>
          <w:p w14:paraId="54FEFF14">
            <w:pPr>
              <w:spacing w:line="240" w:lineRule="exact"/>
              <w:jc w:val="center"/>
              <w:rPr>
                <w:rFonts w:ascii="Calibri" w:hAnsi="Calibri"/>
                <w:color w:val="auto"/>
                <w:sz w:val="18"/>
                <w:szCs w:val="18"/>
                <w:highlight w:val="none"/>
              </w:rPr>
            </w:pPr>
            <w:r>
              <w:rPr>
                <w:color w:val="auto"/>
                <w:sz w:val="18"/>
                <w:szCs w:val="18"/>
                <w:highlight w:val="none"/>
              </w:rPr>
              <w:t>3</w:t>
            </w:r>
            <w:r>
              <w:rPr>
                <w:rFonts w:hint="eastAsia" w:ascii="宋体" w:hAnsi="宋体"/>
                <w:color w:val="auto"/>
                <w:sz w:val="18"/>
                <w:szCs w:val="18"/>
                <w:highlight w:val="none"/>
              </w:rPr>
              <w:t>㎡以上</w:t>
            </w:r>
          </w:p>
        </w:tc>
        <w:tc>
          <w:tcPr>
            <w:tcW w:w="1331" w:type="dxa"/>
            <w:gridSpan w:val="5"/>
            <w:tcBorders>
              <w:top w:val="single" w:color="auto" w:sz="4" w:space="0"/>
              <w:left w:val="nil"/>
              <w:bottom w:val="single" w:color="auto" w:sz="4" w:space="0"/>
              <w:right w:val="single" w:color="auto" w:sz="4" w:space="0"/>
            </w:tcBorders>
            <w:noWrap w:val="0"/>
            <w:vAlign w:val="center"/>
          </w:tcPr>
          <w:p w14:paraId="3FB288B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center"/>
          </w:tcPr>
          <w:p w14:paraId="6B12CDB2">
            <w:pPr>
              <w:spacing w:line="240" w:lineRule="exact"/>
              <w:jc w:val="center"/>
              <w:rPr>
                <w:rFonts w:ascii="宋体" w:hAnsi="宋体"/>
                <w:color w:val="auto"/>
                <w:sz w:val="18"/>
                <w:szCs w:val="18"/>
                <w:highlight w:val="none"/>
              </w:rPr>
            </w:pPr>
          </w:p>
        </w:tc>
      </w:tr>
      <w:tr w14:paraId="7995EF98">
        <w:tblPrEx>
          <w:tblCellMar>
            <w:top w:w="0" w:type="dxa"/>
            <w:left w:w="108" w:type="dxa"/>
            <w:bottom w:w="0" w:type="dxa"/>
            <w:right w:w="108" w:type="dxa"/>
          </w:tblCellMar>
        </w:tblPrEx>
        <w:trPr>
          <w:cantSplit/>
          <w:trHeight w:val="290"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05955F60">
            <w:pPr>
              <w:widowControl/>
              <w:jc w:val="left"/>
              <w:rPr>
                <w:rFonts w:ascii="Calibri" w:hAnsi="Calibri"/>
                <w:color w:val="auto"/>
                <w:sz w:val="18"/>
                <w:szCs w:val="18"/>
                <w:highlight w:val="none"/>
              </w:rPr>
            </w:pPr>
          </w:p>
        </w:tc>
        <w:tc>
          <w:tcPr>
            <w:tcW w:w="630" w:type="dxa"/>
            <w:tcBorders>
              <w:top w:val="nil"/>
              <w:left w:val="single" w:color="auto" w:sz="4" w:space="0"/>
              <w:bottom w:val="single" w:color="auto" w:sz="4" w:space="0"/>
              <w:right w:val="single" w:color="auto" w:sz="4" w:space="0"/>
            </w:tcBorders>
            <w:noWrap w:val="0"/>
            <w:vAlign w:val="center"/>
          </w:tcPr>
          <w:p w14:paraId="233C7C2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34</w:t>
            </w:r>
          </w:p>
        </w:tc>
        <w:tc>
          <w:tcPr>
            <w:tcW w:w="3132" w:type="dxa"/>
            <w:tcBorders>
              <w:top w:val="nil"/>
              <w:left w:val="nil"/>
              <w:bottom w:val="single" w:color="auto" w:sz="4" w:space="0"/>
              <w:right w:val="single" w:color="auto" w:sz="4" w:space="0"/>
            </w:tcBorders>
            <w:noWrap w:val="0"/>
            <w:vAlign w:val="center"/>
          </w:tcPr>
          <w:p w14:paraId="60A63978">
            <w:pPr>
              <w:spacing w:line="240" w:lineRule="exact"/>
              <w:rPr>
                <w:rFonts w:ascii="Calibri" w:hAnsi="Calibri"/>
                <w:color w:val="auto"/>
                <w:sz w:val="18"/>
                <w:szCs w:val="18"/>
                <w:highlight w:val="none"/>
              </w:rPr>
            </w:pPr>
            <w:r>
              <w:rPr>
                <w:rFonts w:hint="eastAsia" w:ascii="宋体" w:hAnsi="宋体"/>
                <w:color w:val="auto"/>
                <w:sz w:val="18"/>
                <w:szCs w:val="18"/>
                <w:highlight w:val="none"/>
              </w:rPr>
              <w:t>补植苗木规格、数量、种植规范等不符合要求的</w:t>
            </w:r>
          </w:p>
        </w:tc>
        <w:tc>
          <w:tcPr>
            <w:tcW w:w="991" w:type="dxa"/>
            <w:tcBorders>
              <w:top w:val="nil"/>
              <w:left w:val="nil"/>
              <w:bottom w:val="single" w:color="auto" w:sz="4" w:space="0"/>
              <w:right w:val="single" w:color="auto" w:sz="4" w:space="0"/>
            </w:tcBorders>
            <w:noWrap w:val="0"/>
            <w:vAlign w:val="center"/>
          </w:tcPr>
          <w:p w14:paraId="12C91C2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每株或每</w:t>
            </w:r>
            <w:r>
              <w:rPr>
                <w:color w:val="auto"/>
                <w:sz w:val="18"/>
                <w:szCs w:val="18"/>
                <w:highlight w:val="none"/>
              </w:rPr>
              <w:t>10</w:t>
            </w:r>
            <w:r>
              <w:rPr>
                <w:rFonts w:hint="eastAsia" w:ascii="宋体" w:hAnsi="宋体"/>
                <w:color w:val="auto"/>
                <w:sz w:val="18"/>
                <w:szCs w:val="18"/>
                <w:highlight w:val="none"/>
              </w:rPr>
              <w:t>㎡</w:t>
            </w:r>
          </w:p>
        </w:tc>
        <w:tc>
          <w:tcPr>
            <w:tcW w:w="1275" w:type="dxa"/>
            <w:tcBorders>
              <w:top w:val="single" w:color="auto" w:sz="4" w:space="0"/>
              <w:left w:val="nil"/>
              <w:bottom w:val="single" w:color="auto" w:sz="4" w:space="0"/>
              <w:right w:val="single" w:color="auto" w:sz="4" w:space="0"/>
            </w:tcBorders>
            <w:noWrap w:val="0"/>
            <w:vAlign w:val="center"/>
          </w:tcPr>
          <w:p w14:paraId="217B828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1401" w:type="dxa"/>
            <w:gridSpan w:val="7"/>
            <w:tcBorders>
              <w:top w:val="single" w:color="auto" w:sz="4" w:space="0"/>
              <w:left w:val="nil"/>
              <w:bottom w:val="single" w:color="auto" w:sz="4" w:space="0"/>
              <w:right w:val="single" w:color="auto" w:sz="4" w:space="0"/>
            </w:tcBorders>
            <w:noWrap w:val="0"/>
            <w:vAlign w:val="center"/>
          </w:tcPr>
          <w:p w14:paraId="2E10A5D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467" w:type="dxa"/>
            <w:tcBorders>
              <w:top w:val="single" w:color="auto" w:sz="4" w:space="0"/>
              <w:left w:val="nil"/>
              <w:bottom w:val="single" w:color="auto" w:sz="4" w:space="0"/>
              <w:right w:val="single" w:color="auto" w:sz="4" w:space="0"/>
            </w:tcBorders>
            <w:noWrap w:val="0"/>
            <w:vAlign w:val="center"/>
          </w:tcPr>
          <w:p w14:paraId="6F96124E">
            <w:pPr>
              <w:spacing w:line="240" w:lineRule="exact"/>
              <w:jc w:val="center"/>
              <w:rPr>
                <w:rFonts w:ascii="宋体" w:hAnsi="宋体"/>
                <w:color w:val="auto"/>
                <w:sz w:val="18"/>
                <w:szCs w:val="18"/>
                <w:highlight w:val="none"/>
              </w:rPr>
            </w:pPr>
          </w:p>
        </w:tc>
      </w:tr>
      <w:tr w14:paraId="68EB4376">
        <w:tblPrEx>
          <w:tblCellMar>
            <w:top w:w="0" w:type="dxa"/>
            <w:left w:w="108" w:type="dxa"/>
            <w:bottom w:w="0" w:type="dxa"/>
            <w:right w:w="108" w:type="dxa"/>
          </w:tblCellMar>
        </w:tblPrEx>
        <w:trPr>
          <w:cantSplit/>
          <w:trHeight w:val="290" w:hRule="atLeast"/>
        </w:trPr>
        <w:tc>
          <w:tcPr>
            <w:tcW w:w="419" w:type="dxa"/>
            <w:vMerge w:val="restart"/>
            <w:tcBorders>
              <w:top w:val="single" w:color="auto" w:sz="4" w:space="0"/>
              <w:left w:val="single" w:color="auto" w:sz="4" w:space="0"/>
              <w:bottom w:val="single" w:color="auto" w:sz="4" w:space="0"/>
              <w:right w:val="single" w:color="auto" w:sz="4" w:space="0"/>
            </w:tcBorders>
            <w:noWrap w:val="0"/>
            <w:vAlign w:val="top"/>
          </w:tcPr>
          <w:p w14:paraId="5D32425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五、设施维护（含绿地内绿道设施）</w:t>
            </w:r>
          </w:p>
        </w:tc>
        <w:tc>
          <w:tcPr>
            <w:tcW w:w="630" w:type="dxa"/>
            <w:tcBorders>
              <w:top w:val="nil"/>
              <w:left w:val="single" w:color="auto" w:sz="4" w:space="0"/>
              <w:bottom w:val="single" w:color="auto" w:sz="4" w:space="0"/>
              <w:right w:val="single" w:color="auto" w:sz="4" w:space="0"/>
            </w:tcBorders>
            <w:noWrap w:val="0"/>
            <w:vAlign w:val="center"/>
          </w:tcPr>
          <w:p w14:paraId="1F83BB3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35</w:t>
            </w:r>
          </w:p>
        </w:tc>
        <w:tc>
          <w:tcPr>
            <w:tcW w:w="3132" w:type="dxa"/>
            <w:tcBorders>
              <w:top w:val="nil"/>
              <w:left w:val="nil"/>
              <w:bottom w:val="single" w:color="auto" w:sz="4" w:space="0"/>
              <w:right w:val="single" w:color="auto" w:sz="4" w:space="0"/>
            </w:tcBorders>
            <w:noWrap w:val="0"/>
            <w:vAlign w:val="center"/>
          </w:tcPr>
          <w:p w14:paraId="5BF51120">
            <w:pPr>
              <w:spacing w:line="240" w:lineRule="exact"/>
              <w:rPr>
                <w:rFonts w:ascii="Calibri" w:hAnsi="Calibri"/>
                <w:color w:val="auto"/>
                <w:sz w:val="18"/>
                <w:szCs w:val="18"/>
                <w:highlight w:val="none"/>
              </w:rPr>
            </w:pPr>
            <w:r>
              <w:rPr>
                <w:rFonts w:hint="eastAsia" w:ascii="宋体" w:hAnsi="宋体"/>
                <w:color w:val="auto"/>
                <w:sz w:val="18"/>
                <w:szCs w:val="18"/>
                <w:highlight w:val="none"/>
              </w:rPr>
              <w:t>园林设施、园林小品以及各项绿化配套设施损坏后未及时汇报的</w:t>
            </w:r>
          </w:p>
        </w:tc>
        <w:tc>
          <w:tcPr>
            <w:tcW w:w="991" w:type="dxa"/>
            <w:tcBorders>
              <w:top w:val="nil"/>
              <w:left w:val="nil"/>
              <w:bottom w:val="single" w:color="auto" w:sz="4" w:space="0"/>
              <w:right w:val="single" w:color="auto" w:sz="4" w:space="0"/>
            </w:tcBorders>
            <w:noWrap w:val="0"/>
            <w:vAlign w:val="center"/>
          </w:tcPr>
          <w:p w14:paraId="0B15DF7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1275" w:type="dxa"/>
            <w:tcBorders>
              <w:top w:val="single" w:color="auto" w:sz="4" w:space="0"/>
              <w:left w:val="nil"/>
              <w:bottom w:val="single" w:color="auto" w:sz="4" w:space="0"/>
              <w:right w:val="single" w:color="auto" w:sz="4" w:space="0"/>
            </w:tcBorders>
            <w:noWrap w:val="0"/>
            <w:vAlign w:val="center"/>
          </w:tcPr>
          <w:p w14:paraId="093343C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1401" w:type="dxa"/>
            <w:gridSpan w:val="7"/>
            <w:tcBorders>
              <w:top w:val="single" w:color="auto" w:sz="4" w:space="0"/>
              <w:left w:val="nil"/>
              <w:bottom w:val="single" w:color="auto" w:sz="4" w:space="0"/>
              <w:right w:val="single" w:color="auto" w:sz="4" w:space="0"/>
            </w:tcBorders>
            <w:noWrap w:val="0"/>
            <w:vAlign w:val="center"/>
          </w:tcPr>
          <w:p w14:paraId="6D7B8DF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w:t>
            </w:r>
            <w:r>
              <w:rPr>
                <w:rFonts w:hint="eastAsia" w:ascii="宋体" w:hAnsi="宋体"/>
                <w:color w:val="auto"/>
                <w:sz w:val="18"/>
                <w:szCs w:val="18"/>
                <w:highlight w:val="none"/>
              </w:rPr>
              <w:t>分</w:t>
            </w:r>
          </w:p>
        </w:tc>
        <w:tc>
          <w:tcPr>
            <w:tcW w:w="1467" w:type="dxa"/>
            <w:tcBorders>
              <w:top w:val="single" w:color="auto" w:sz="4" w:space="0"/>
              <w:left w:val="nil"/>
              <w:bottom w:val="single" w:color="auto" w:sz="4" w:space="0"/>
              <w:right w:val="single" w:color="auto" w:sz="4" w:space="0"/>
            </w:tcBorders>
            <w:noWrap w:val="0"/>
            <w:vAlign w:val="center"/>
          </w:tcPr>
          <w:p w14:paraId="779A12AF">
            <w:pPr>
              <w:spacing w:line="240" w:lineRule="exact"/>
              <w:jc w:val="center"/>
              <w:rPr>
                <w:rFonts w:ascii="宋体" w:hAnsi="宋体"/>
                <w:color w:val="auto"/>
                <w:sz w:val="18"/>
                <w:szCs w:val="18"/>
                <w:highlight w:val="none"/>
              </w:rPr>
            </w:pPr>
          </w:p>
        </w:tc>
      </w:tr>
      <w:tr w14:paraId="5AAEA2BE">
        <w:tblPrEx>
          <w:tblCellMar>
            <w:top w:w="0" w:type="dxa"/>
            <w:left w:w="108" w:type="dxa"/>
            <w:bottom w:w="0" w:type="dxa"/>
            <w:right w:w="108" w:type="dxa"/>
          </w:tblCellMar>
        </w:tblPrEx>
        <w:trPr>
          <w:cantSplit/>
          <w:trHeight w:val="290"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5853D214">
            <w:pPr>
              <w:widowControl/>
              <w:jc w:val="left"/>
              <w:rPr>
                <w:rFonts w:ascii="Calibri" w:hAnsi="Calibri"/>
                <w:color w:val="auto"/>
                <w:sz w:val="18"/>
                <w:szCs w:val="18"/>
                <w:highlight w:val="none"/>
              </w:rPr>
            </w:pPr>
          </w:p>
        </w:tc>
        <w:tc>
          <w:tcPr>
            <w:tcW w:w="630" w:type="dxa"/>
            <w:tcBorders>
              <w:top w:val="nil"/>
              <w:left w:val="single" w:color="auto" w:sz="4" w:space="0"/>
              <w:bottom w:val="single" w:color="auto" w:sz="4" w:space="0"/>
              <w:right w:val="single" w:color="auto" w:sz="4" w:space="0"/>
            </w:tcBorders>
            <w:noWrap w:val="0"/>
            <w:vAlign w:val="center"/>
          </w:tcPr>
          <w:p w14:paraId="3DF66D0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36</w:t>
            </w:r>
          </w:p>
        </w:tc>
        <w:tc>
          <w:tcPr>
            <w:tcW w:w="3132" w:type="dxa"/>
            <w:tcBorders>
              <w:top w:val="nil"/>
              <w:left w:val="nil"/>
              <w:bottom w:val="single" w:color="auto" w:sz="4" w:space="0"/>
              <w:right w:val="single" w:color="auto" w:sz="4" w:space="0"/>
            </w:tcBorders>
            <w:noWrap w:val="0"/>
            <w:vAlign w:val="center"/>
          </w:tcPr>
          <w:p w14:paraId="2ED88BBE">
            <w:pPr>
              <w:spacing w:line="240" w:lineRule="exact"/>
              <w:rPr>
                <w:rFonts w:ascii="Calibri" w:hAnsi="Calibri"/>
                <w:color w:val="auto"/>
                <w:sz w:val="18"/>
                <w:szCs w:val="18"/>
                <w:highlight w:val="none"/>
              </w:rPr>
            </w:pPr>
            <w:r>
              <w:rPr>
                <w:rFonts w:hint="eastAsia" w:ascii="宋体" w:hAnsi="宋体"/>
                <w:color w:val="auto"/>
                <w:sz w:val="18"/>
                <w:szCs w:val="18"/>
                <w:highlight w:val="none"/>
              </w:rPr>
              <w:t>水电等设施管理不善造成浪费、损坏未及时修复或造成不良影响的</w:t>
            </w:r>
          </w:p>
        </w:tc>
        <w:tc>
          <w:tcPr>
            <w:tcW w:w="991" w:type="dxa"/>
            <w:tcBorders>
              <w:top w:val="nil"/>
              <w:left w:val="nil"/>
              <w:bottom w:val="single" w:color="auto" w:sz="4" w:space="0"/>
              <w:right w:val="single" w:color="auto" w:sz="4" w:space="0"/>
            </w:tcBorders>
            <w:noWrap w:val="0"/>
            <w:vAlign w:val="center"/>
          </w:tcPr>
          <w:p w14:paraId="6F57B8B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2676" w:type="dxa"/>
            <w:gridSpan w:val="8"/>
            <w:tcBorders>
              <w:top w:val="single" w:color="auto" w:sz="4" w:space="0"/>
              <w:left w:val="nil"/>
              <w:bottom w:val="single" w:color="auto" w:sz="4" w:space="0"/>
              <w:right w:val="single" w:color="auto" w:sz="4" w:space="0"/>
            </w:tcBorders>
            <w:noWrap w:val="0"/>
            <w:vAlign w:val="center"/>
          </w:tcPr>
          <w:p w14:paraId="1C01C670">
            <w:pPr>
              <w:spacing w:line="240" w:lineRule="exact"/>
              <w:jc w:val="center"/>
              <w:rPr>
                <w:rFonts w:ascii="宋体" w:hAnsi="宋体"/>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0.1-0.2</w:t>
            </w:r>
            <w:r>
              <w:rPr>
                <w:rFonts w:hint="eastAsia" w:ascii="宋体" w:hAnsi="宋体"/>
                <w:color w:val="auto"/>
                <w:sz w:val="18"/>
                <w:szCs w:val="18"/>
                <w:highlight w:val="none"/>
              </w:rPr>
              <w:t>分</w:t>
            </w:r>
          </w:p>
        </w:tc>
        <w:tc>
          <w:tcPr>
            <w:tcW w:w="1467" w:type="dxa"/>
            <w:tcBorders>
              <w:top w:val="single" w:color="auto" w:sz="4" w:space="0"/>
              <w:left w:val="nil"/>
              <w:bottom w:val="single" w:color="auto" w:sz="4" w:space="0"/>
              <w:right w:val="single" w:color="auto" w:sz="4" w:space="0"/>
            </w:tcBorders>
            <w:noWrap w:val="0"/>
            <w:vAlign w:val="center"/>
          </w:tcPr>
          <w:p w14:paraId="393899C3">
            <w:pPr>
              <w:spacing w:line="240" w:lineRule="exact"/>
              <w:jc w:val="center"/>
              <w:rPr>
                <w:rFonts w:ascii="宋体" w:hAnsi="宋体"/>
                <w:color w:val="auto"/>
                <w:sz w:val="18"/>
                <w:szCs w:val="18"/>
                <w:highlight w:val="none"/>
              </w:rPr>
            </w:pPr>
          </w:p>
        </w:tc>
      </w:tr>
      <w:tr w14:paraId="51306BC1">
        <w:tblPrEx>
          <w:tblCellMar>
            <w:top w:w="0" w:type="dxa"/>
            <w:left w:w="108" w:type="dxa"/>
            <w:bottom w:w="0" w:type="dxa"/>
            <w:right w:w="108" w:type="dxa"/>
          </w:tblCellMar>
        </w:tblPrEx>
        <w:trPr>
          <w:cantSplit/>
          <w:trHeight w:val="290" w:hRule="atLeast"/>
        </w:trPr>
        <w:tc>
          <w:tcPr>
            <w:tcW w:w="419" w:type="dxa"/>
            <w:vMerge w:val="restart"/>
            <w:tcBorders>
              <w:top w:val="single" w:color="auto" w:sz="4" w:space="0"/>
              <w:left w:val="single" w:color="auto" w:sz="4" w:space="0"/>
              <w:bottom w:val="single" w:color="auto" w:sz="4" w:space="0"/>
              <w:right w:val="single" w:color="auto" w:sz="4" w:space="0"/>
            </w:tcBorders>
            <w:noWrap w:val="0"/>
            <w:vAlign w:val="center"/>
          </w:tcPr>
          <w:p w14:paraId="27D36A2F">
            <w:pPr>
              <w:spacing w:line="240" w:lineRule="exact"/>
              <w:jc w:val="center"/>
              <w:rPr>
                <w:rFonts w:hint="eastAsia" w:ascii="宋体" w:eastAsia="宋体"/>
                <w:color w:val="auto"/>
                <w:sz w:val="18"/>
                <w:szCs w:val="18"/>
                <w:highlight w:val="none"/>
                <w:lang w:eastAsia="zh-CN"/>
              </w:rPr>
            </w:pPr>
            <w:r>
              <w:rPr>
                <w:rFonts w:hint="eastAsia" w:ascii="宋体" w:hAnsi="宋体"/>
                <w:color w:val="auto"/>
                <w:sz w:val="18"/>
                <w:szCs w:val="18"/>
                <w:highlight w:val="none"/>
              </w:rPr>
              <w:t>六</w:t>
            </w:r>
            <w:r>
              <w:rPr>
                <w:rFonts w:hint="eastAsia" w:ascii="宋体" w:hAnsi="宋体"/>
                <w:color w:val="auto"/>
                <w:sz w:val="18"/>
                <w:szCs w:val="18"/>
                <w:highlight w:val="none"/>
                <w:lang w:eastAsia="zh-CN"/>
              </w:rPr>
              <w:t>、</w:t>
            </w:r>
          </w:p>
          <w:p w14:paraId="447C33F9">
            <w:pPr>
              <w:widowControl/>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专项工作考核</w:t>
            </w:r>
          </w:p>
        </w:tc>
        <w:tc>
          <w:tcPr>
            <w:tcW w:w="630" w:type="dxa"/>
            <w:vMerge w:val="restart"/>
            <w:tcBorders>
              <w:top w:val="nil"/>
              <w:left w:val="single" w:color="auto" w:sz="4" w:space="0"/>
              <w:bottom w:val="single" w:color="auto" w:sz="4" w:space="0"/>
              <w:right w:val="single" w:color="auto" w:sz="4" w:space="0"/>
            </w:tcBorders>
            <w:noWrap w:val="0"/>
            <w:vAlign w:val="center"/>
          </w:tcPr>
          <w:p w14:paraId="1119802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37</w:t>
            </w:r>
          </w:p>
        </w:tc>
        <w:tc>
          <w:tcPr>
            <w:tcW w:w="3132" w:type="dxa"/>
            <w:vMerge w:val="restart"/>
            <w:tcBorders>
              <w:top w:val="nil"/>
              <w:left w:val="nil"/>
              <w:bottom w:val="single" w:color="auto" w:sz="4" w:space="0"/>
              <w:right w:val="single" w:color="auto" w:sz="4" w:space="0"/>
            </w:tcBorders>
            <w:noWrap w:val="0"/>
            <w:vAlign w:val="center"/>
          </w:tcPr>
          <w:p w14:paraId="4AB194B2">
            <w:pPr>
              <w:spacing w:line="240" w:lineRule="exact"/>
              <w:rPr>
                <w:rFonts w:ascii="Calibri" w:hAnsi="Calibri"/>
                <w:color w:val="auto"/>
                <w:sz w:val="18"/>
                <w:szCs w:val="18"/>
                <w:highlight w:val="none"/>
              </w:rPr>
            </w:pPr>
            <w:r>
              <w:rPr>
                <w:rFonts w:hint="eastAsia" w:ascii="宋体" w:hAnsi="宋体"/>
                <w:color w:val="auto"/>
                <w:sz w:val="18"/>
                <w:szCs w:val="18"/>
                <w:highlight w:val="none"/>
              </w:rPr>
              <w:t>媒体曝光、未按公园下达的各种专项、临时性的养护任务的</w:t>
            </w:r>
          </w:p>
        </w:tc>
        <w:tc>
          <w:tcPr>
            <w:tcW w:w="991" w:type="dxa"/>
            <w:vMerge w:val="restart"/>
            <w:tcBorders>
              <w:top w:val="nil"/>
              <w:left w:val="nil"/>
              <w:bottom w:val="single" w:color="auto" w:sz="4" w:space="0"/>
              <w:right w:val="single" w:color="auto" w:sz="4" w:space="0"/>
            </w:tcBorders>
            <w:noWrap w:val="0"/>
            <w:vAlign w:val="center"/>
          </w:tcPr>
          <w:p w14:paraId="06587AB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1416" w:type="dxa"/>
            <w:gridSpan w:val="3"/>
            <w:tcBorders>
              <w:top w:val="single" w:color="auto" w:sz="4" w:space="0"/>
              <w:left w:val="nil"/>
              <w:bottom w:val="single" w:color="auto" w:sz="4" w:space="0"/>
              <w:right w:val="single" w:color="auto" w:sz="4" w:space="0"/>
            </w:tcBorders>
            <w:noWrap w:val="0"/>
            <w:vAlign w:val="center"/>
          </w:tcPr>
          <w:p w14:paraId="618DB86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情节较轻，影响较少</w:t>
            </w:r>
          </w:p>
        </w:tc>
        <w:tc>
          <w:tcPr>
            <w:tcW w:w="1260" w:type="dxa"/>
            <w:gridSpan w:val="5"/>
            <w:tcBorders>
              <w:top w:val="single" w:color="auto" w:sz="4" w:space="0"/>
              <w:left w:val="nil"/>
              <w:bottom w:val="single" w:color="auto" w:sz="4" w:space="0"/>
              <w:right w:val="single" w:color="auto" w:sz="4" w:space="0"/>
            </w:tcBorders>
            <w:noWrap w:val="0"/>
            <w:vAlign w:val="center"/>
          </w:tcPr>
          <w:p w14:paraId="63FAEA5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467" w:type="dxa"/>
            <w:tcBorders>
              <w:top w:val="single" w:color="auto" w:sz="4" w:space="0"/>
              <w:left w:val="nil"/>
              <w:bottom w:val="single" w:color="auto" w:sz="4" w:space="0"/>
              <w:right w:val="single" w:color="auto" w:sz="4" w:space="0"/>
            </w:tcBorders>
            <w:noWrap w:val="0"/>
            <w:vAlign w:val="center"/>
          </w:tcPr>
          <w:p w14:paraId="525E5608">
            <w:pPr>
              <w:spacing w:line="240" w:lineRule="exact"/>
              <w:jc w:val="center"/>
              <w:rPr>
                <w:rFonts w:ascii="宋体" w:hAnsi="宋体"/>
                <w:color w:val="auto"/>
                <w:sz w:val="18"/>
                <w:szCs w:val="18"/>
                <w:highlight w:val="none"/>
              </w:rPr>
            </w:pPr>
          </w:p>
        </w:tc>
      </w:tr>
      <w:tr w14:paraId="03E3C59D">
        <w:tblPrEx>
          <w:tblCellMar>
            <w:top w:w="0" w:type="dxa"/>
            <w:left w:w="108" w:type="dxa"/>
            <w:bottom w:w="0" w:type="dxa"/>
            <w:right w:w="108" w:type="dxa"/>
          </w:tblCellMar>
        </w:tblPrEx>
        <w:trPr>
          <w:cantSplit/>
          <w:trHeight w:val="290"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26E06E53">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4D105184">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2E9D37A3">
            <w:pPr>
              <w:widowControl/>
              <w:jc w:val="left"/>
              <w:rPr>
                <w:rFonts w:ascii="Calibri" w:hAnsi="Calibri"/>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5F206A29">
            <w:pPr>
              <w:widowControl/>
              <w:jc w:val="left"/>
              <w:rPr>
                <w:rFonts w:ascii="Calibri" w:hAnsi="Calibri"/>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34C7D73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情节较重，影响较大</w:t>
            </w:r>
          </w:p>
        </w:tc>
        <w:tc>
          <w:tcPr>
            <w:tcW w:w="1260" w:type="dxa"/>
            <w:gridSpan w:val="5"/>
            <w:tcBorders>
              <w:top w:val="single" w:color="auto" w:sz="4" w:space="0"/>
              <w:left w:val="nil"/>
              <w:bottom w:val="single" w:color="auto" w:sz="4" w:space="0"/>
              <w:right w:val="single" w:color="auto" w:sz="4" w:space="0"/>
            </w:tcBorders>
            <w:noWrap w:val="0"/>
            <w:vAlign w:val="center"/>
          </w:tcPr>
          <w:p w14:paraId="68626A9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2-6</w:t>
            </w:r>
            <w:r>
              <w:rPr>
                <w:rFonts w:hint="eastAsia" w:ascii="宋体" w:hAnsi="宋体"/>
                <w:color w:val="auto"/>
                <w:sz w:val="18"/>
                <w:szCs w:val="18"/>
                <w:highlight w:val="none"/>
              </w:rPr>
              <w:t>分</w:t>
            </w:r>
          </w:p>
        </w:tc>
        <w:tc>
          <w:tcPr>
            <w:tcW w:w="1467" w:type="dxa"/>
            <w:tcBorders>
              <w:top w:val="single" w:color="auto" w:sz="4" w:space="0"/>
              <w:left w:val="nil"/>
              <w:bottom w:val="single" w:color="auto" w:sz="4" w:space="0"/>
              <w:right w:val="single" w:color="auto" w:sz="4" w:space="0"/>
            </w:tcBorders>
            <w:noWrap w:val="0"/>
            <w:vAlign w:val="center"/>
          </w:tcPr>
          <w:p w14:paraId="5B889437">
            <w:pPr>
              <w:spacing w:line="240" w:lineRule="exact"/>
              <w:jc w:val="center"/>
              <w:rPr>
                <w:rFonts w:ascii="宋体" w:hAnsi="宋体"/>
                <w:color w:val="auto"/>
                <w:sz w:val="18"/>
                <w:szCs w:val="18"/>
                <w:highlight w:val="none"/>
              </w:rPr>
            </w:pPr>
          </w:p>
        </w:tc>
      </w:tr>
      <w:tr w14:paraId="5030835F">
        <w:tblPrEx>
          <w:tblCellMar>
            <w:top w:w="0" w:type="dxa"/>
            <w:left w:w="108" w:type="dxa"/>
            <w:bottom w:w="0" w:type="dxa"/>
            <w:right w:w="108" w:type="dxa"/>
          </w:tblCellMar>
        </w:tblPrEx>
        <w:trPr>
          <w:cantSplit/>
          <w:trHeight w:val="290"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17CC36EE">
            <w:pPr>
              <w:widowControl/>
              <w:jc w:val="left"/>
              <w:rPr>
                <w:rFonts w:ascii="Calibri" w:hAnsi="Calibri"/>
                <w:color w:val="auto"/>
                <w:sz w:val="18"/>
                <w:szCs w:val="18"/>
                <w:highlight w:val="none"/>
              </w:rPr>
            </w:pPr>
          </w:p>
        </w:tc>
        <w:tc>
          <w:tcPr>
            <w:tcW w:w="630" w:type="dxa"/>
            <w:vMerge w:val="continue"/>
            <w:tcBorders>
              <w:top w:val="nil"/>
              <w:left w:val="single" w:color="auto" w:sz="4" w:space="0"/>
              <w:bottom w:val="single" w:color="auto" w:sz="4" w:space="0"/>
              <w:right w:val="single" w:color="auto" w:sz="4" w:space="0"/>
            </w:tcBorders>
            <w:noWrap w:val="0"/>
            <w:vAlign w:val="center"/>
          </w:tcPr>
          <w:p w14:paraId="04EB3592">
            <w:pPr>
              <w:widowControl/>
              <w:jc w:val="left"/>
              <w:rPr>
                <w:rFonts w:ascii="Calibri" w:hAnsi="Calibri"/>
                <w:color w:val="auto"/>
                <w:sz w:val="18"/>
                <w:szCs w:val="18"/>
                <w:highlight w:val="none"/>
              </w:rPr>
            </w:pPr>
          </w:p>
        </w:tc>
        <w:tc>
          <w:tcPr>
            <w:tcW w:w="3132" w:type="dxa"/>
            <w:vMerge w:val="continue"/>
            <w:tcBorders>
              <w:top w:val="nil"/>
              <w:left w:val="nil"/>
              <w:bottom w:val="single" w:color="auto" w:sz="4" w:space="0"/>
              <w:right w:val="single" w:color="auto" w:sz="4" w:space="0"/>
            </w:tcBorders>
            <w:noWrap w:val="0"/>
            <w:vAlign w:val="center"/>
          </w:tcPr>
          <w:p w14:paraId="3D69C33B">
            <w:pPr>
              <w:widowControl/>
              <w:jc w:val="left"/>
              <w:rPr>
                <w:rFonts w:ascii="Calibri" w:hAnsi="Calibri"/>
                <w:color w:val="auto"/>
                <w:sz w:val="18"/>
                <w:szCs w:val="18"/>
                <w:highlight w:val="none"/>
              </w:rPr>
            </w:pPr>
          </w:p>
        </w:tc>
        <w:tc>
          <w:tcPr>
            <w:tcW w:w="991" w:type="dxa"/>
            <w:vMerge w:val="continue"/>
            <w:tcBorders>
              <w:top w:val="nil"/>
              <w:left w:val="nil"/>
              <w:bottom w:val="single" w:color="auto" w:sz="4" w:space="0"/>
              <w:right w:val="single" w:color="auto" w:sz="4" w:space="0"/>
            </w:tcBorders>
            <w:noWrap w:val="0"/>
            <w:vAlign w:val="center"/>
          </w:tcPr>
          <w:p w14:paraId="5DD16DA6">
            <w:pPr>
              <w:widowControl/>
              <w:jc w:val="left"/>
              <w:rPr>
                <w:rFonts w:ascii="Calibri" w:hAnsi="Calibri"/>
                <w:color w:val="auto"/>
                <w:sz w:val="18"/>
                <w:szCs w:val="18"/>
                <w:highlight w:val="none"/>
              </w:rPr>
            </w:pPr>
          </w:p>
        </w:tc>
        <w:tc>
          <w:tcPr>
            <w:tcW w:w="1416" w:type="dxa"/>
            <w:gridSpan w:val="3"/>
            <w:tcBorders>
              <w:top w:val="single" w:color="auto" w:sz="4" w:space="0"/>
              <w:left w:val="nil"/>
              <w:bottom w:val="single" w:color="auto" w:sz="4" w:space="0"/>
              <w:right w:val="single" w:color="auto" w:sz="4" w:space="0"/>
            </w:tcBorders>
            <w:noWrap w:val="0"/>
            <w:vAlign w:val="center"/>
          </w:tcPr>
          <w:p w14:paraId="495FD58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特别恶劣</w:t>
            </w:r>
          </w:p>
        </w:tc>
        <w:tc>
          <w:tcPr>
            <w:tcW w:w="1260" w:type="dxa"/>
            <w:gridSpan w:val="5"/>
            <w:tcBorders>
              <w:top w:val="single" w:color="auto" w:sz="4" w:space="0"/>
              <w:left w:val="nil"/>
              <w:bottom w:val="single" w:color="auto" w:sz="4" w:space="0"/>
              <w:right w:val="single" w:color="auto" w:sz="4" w:space="0"/>
            </w:tcBorders>
            <w:noWrap w:val="0"/>
            <w:vAlign w:val="center"/>
          </w:tcPr>
          <w:p w14:paraId="7324753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10-20</w:t>
            </w:r>
            <w:r>
              <w:rPr>
                <w:rFonts w:hint="eastAsia" w:ascii="宋体" w:hAnsi="宋体"/>
                <w:color w:val="auto"/>
                <w:sz w:val="18"/>
                <w:szCs w:val="18"/>
                <w:highlight w:val="none"/>
              </w:rPr>
              <w:t>分</w:t>
            </w:r>
          </w:p>
        </w:tc>
        <w:tc>
          <w:tcPr>
            <w:tcW w:w="1467" w:type="dxa"/>
            <w:tcBorders>
              <w:top w:val="single" w:color="auto" w:sz="4" w:space="0"/>
              <w:left w:val="nil"/>
              <w:bottom w:val="single" w:color="auto" w:sz="4" w:space="0"/>
              <w:right w:val="single" w:color="auto" w:sz="4" w:space="0"/>
            </w:tcBorders>
            <w:noWrap w:val="0"/>
            <w:vAlign w:val="center"/>
          </w:tcPr>
          <w:p w14:paraId="354D0D90">
            <w:pPr>
              <w:spacing w:line="240" w:lineRule="exact"/>
              <w:jc w:val="center"/>
              <w:rPr>
                <w:rFonts w:ascii="宋体" w:hAnsi="宋体"/>
                <w:color w:val="auto"/>
                <w:sz w:val="18"/>
                <w:szCs w:val="18"/>
                <w:highlight w:val="none"/>
              </w:rPr>
            </w:pPr>
          </w:p>
        </w:tc>
      </w:tr>
      <w:tr w14:paraId="0E09E8FC">
        <w:tblPrEx>
          <w:tblCellMar>
            <w:top w:w="0" w:type="dxa"/>
            <w:left w:w="108" w:type="dxa"/>
            <w:bottom w:w="0" w:type="dxa"/>
            <w:right w:w="108" w:type="dxa"/>
          </w:tblCellMar>
        </w:tblPrEx>
        <w:trPr>
          <w:cantSplit/>
          <w:trHeight w:val="457" w:hRule="atLeast"/>
        </w:trPr>
        <w:tc>
          <w:tcPr>
            <w:tcW w:w="419" w:type="dxa"/>
            <w:vMerge w:val="restart"/>
            <w:tcBorders>
              <w:top w:val="single" w:color="auto" w:sz="4" w:space="0"/>
              <w:left w:val="single" w:color="auto" w:sz="4" w:space="0"/>
              <w:bottom w:val="single" w:color="auto" w:sz="4" w:space="0"/>
              <w:right w:val="single" w:color="auto" w:sz="4" w:space="0"/>
            </w:tcBorders>
            <w:noWrap w:val="0"/>
            <w:vAlign w:val="top"/>
          </w:tcPr>
          <w:p w14:paraId="0BCFFFD2">
            <w:pPr>
              <w:spacing w:line="240" w:lineRule="exact"/>
              <w:jc w:val="center"/>
              <w:rPr>
                <w:rFonts w:hint="eastAsia" w:ascii="宋体" w:eastAsia="宋体"/>
                <w:color w:val="auto"/>
                <w:sz w:val="18"/>
                <w:szCs w:val="18"/>
                <w:highlight w:val="none"/>
                <w:lang w:eastAsia="zh-CN"/>
              </w:rPr>
            </w:pPr>
            <w:r>
              <w:rPr>
                <w:rFonts w:hint="eastAsia" w:ascii="宋体" w:hAnsi="宋体"/>
                <w:color w:val="auto"/>
                <w:sz w:val="18"/>
                <w:szCs w:val="18"/>
                <w:highlight w:val="none"/>
              </w:rPr>
              <w:t>七</w:t>
            </w:r>
            <w:r>
              <w:rPr>
                <w:rFonts w:hint="eastAsia" w:ascii="宋体" w:hAnsi="宋体"/>
                <w:color w:val="auto"/>
                <w:sz w:val="18"/>
                <w:szCs w:val="18"/>
                <w:highlight w:val="none"/>
                <w:lang w:eastAsia="zh-CN"/>
              </w:rPr>
              <w:t>、</w:t>
            </w:r>
          </w:p>
          <w:p w14:paraId="52C8EAE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内业管理</w:t>
            </w:r>
          </w:p>
        </w:tc>
        <w:tc>
          <w:tcPr>
            <w:tcW w:w="630" w:type="dxa"/>
            <w:tcBorders>
              <w:top w:val="single" w:color="auto" w:sz="4" w:space="0"/>
              <w:left w:val="nil"/>
              <w:bottom w:val="single" w:color="auto" w:sz="4" w:space="0"/>
              <w:right w:val="single" w:color="auto" w:sz="4" w:space="0"/>
            </w:tcBorders>
            <w:noWrap w:val="0"/>
            <w:vAlign w:val="center"/>
          </w:tcPr>
          <w:p w14:paraId="46A58AC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38</w:t>
            </w:r>
          </w:p>
        </w:tc>
        <w:tc>
          <w:tcPr>
            <w:tcW w:w="3132" w:type="dxa"/>
            <w:tcBorders>
              <w:top w:val="single" w:color="auto" w:sz="4" w:space="0"/>
              <w:left w:val="nil"/>
              <w:bottom w:val="single" w:color="auto" w:sz="4" w:space="0"/>
              <w:right w:val="single" w:color="auto" w:sz="4" w:space="0"/>
            </w:tcBorders>
            <w:noWrap w:val="0"/>
            <w:vAlign w:val="center"/>
          </w:tcPr>
          <w:p w14:paraId="01A206DC">
            <w:pPr>
              <w:spacing w:line="240" w:lineRule="exact"/>
              <w:rPr>
                <w:rFonts w:ascii="Calibri" w:hAnsi="Calibri"/>
                <w:color w:val="auto"/>
                <w:sz w:val="18"/>
                <w:szCs w:val="18"/>
                <w:highlight w:val="none"/>
              </w:rPr>
            </w:pPr>
            <w:r>
              <w:rPr>
                <w:rFonts w:hint="eastAsia" w:ascii="宋体" w:hAnsi="宋体"/>
                <w:color w:val="auto"/>
                <w:sz w:val="18"/>
                <w:szCs w:val="18"/>
                <w:highlight w:val="none"/>
              </w:rPr>
              <w:t>公园相关部门要求的相关资料需按时上报</w:t>
            </w:r>
          </w:p>
        </w:tc>
        <w:tc>
          <w:tcPr>
            <w:tcW w:w="991" w:type="dxa"/>
            <w:tcBorders>
              <w:top w:val="single" w:color="auto" w:sz="4" w:space="0"/>
              <w:left w:val="nil"/>
              <w:bottom w:val="single" w:color="auto" w:sz="4" w:space="0"/>
              <w:right w:val="single" w:color="auto" w:sz="4" w:space="0"/>
            </w:tcBorders>
            <w:noWrap w:val="0"/>
            <w:vAlign w:val="center"/>
          </w:tcPr>
          <w:p w14:paraId="12C48B05">
            <w:pPr>
              <w:spacing w:line="240" w:lineRule="exact"/>
              <w:rPr>
                <w:rFonts w:ascii="Calibri" w:hAnsi="Calibri"/>
                <w:color w:val="auto"/>
                <w:sz w:val="18"/>
                <w:szCs w:val="18"/>
                <w:highlight w:val="none"/>
              </w:rPr>
            </w:pPr>
            <w:r>
              <w:rPr>
                <w:rFonts w:hint="eastAsia" w:ascii="宋体" w:hAnsi="宋体"/>
                <w:color w:val="auto"/>
                <w:sz w:val="18"/>
                <w:szCs w:val="18"/>
                <w:highlight w:val="none"/>
              </w:rPr>
              <w:t>每迟一天</w:t>
            </w:r>
          </w:p>
        </w:tc>
        <w:tc>
          <w:tcPr>
            <w:tcW w:w="2660" w:type="dxa"/>
            <w:gridSpan w:val="7"/>
            <w:tcBorders>
              <w:top w:val="single" w:color="auto" w:sz="4" w:space="0"/>
              <w:left w:val="nil"/>
              <w:bottom w:val="single" w:color="auto" w:sz="4" w:space="0"/>
              <w:right w:val="single" w:color="auto" w:sz="4" w:space="0"/>
            </w:tcBorders>
            <w:noWrap w:val="0"/>
            <w:vAlign w:val="center"/>
          </w:tcPr>
          <w:p w14:paraId="29D6445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0.1-0.5</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top"/>
          </w:tcPr>
          <w:p w14:paraId="1D2B2893">
            <w:pPr>
              <w:spacing w:line="240" w:lineRule="exact"/>
              <w:rPr>
                <w:rFonts w:ascii="宋体"/>
                <w:color w:val="auto"/>
                <w:sz w:val="18"/>
                <w:szCs w:val="18"/>
                <w:highlight w:val="none"/>
              </w:rPr>
            </w:pPr>
          </w:p>
        </w:tc>
      </w:tr>
      <w:tr w14:paraId="7581C70B">
        <w:tblPrEx>
          <w:tblCellMar>
            <w:top w:w="0" w:type="dxa"/>
            <w:left w:w="108" w:type="dxa"/>
            <w:bottom w:w="0" w:type="dxa"/>
            <w:right w:w="108" w:type="dxa"/>
          </w:tblCellMar>
        </w:tblPrEx>
        <w:trPr>
          <w:cantSplit/>
          <w:trHeight w:val="530" w:hRule="atLeast"/>
        </w:trPr>
        <w:tc>
          <w:tcPr>
            <w:tcW w:w="419" w:type="dxa"/>
            <w:vMerge w:val="continue"/>
            <w:tcBorders>
              <w:top w:val="single" w:color="auto" w:sz="4" w:space="0"/>
              <w:left w:val="single" w:color="auto" w:sz="4" w:space="0"/>
              <w:bottom w:val="single" w:color="auto" w:sz="4" w:space="0"/>
              <w:right w:val="single" w:color="auto" w:sz="4" w:space="0"/>
            </w:tcBorders>
            <w:noWrap w:val="0"/>
            <w:vAlign w:val="center"/>
          </w:tcPr>
          <w:p w14:paraId="3EB0A7A3">
            <w:pPr>
              <w:widowControl/>
              <w:jc w:val="left"/>
              <w:rPr>
                <w:rFonts w:ascii="Calibri" w:hAnsi="Calibri"/>
                <w:color w:val="auto"/>
                <w:sz w:val="18"/>
                <w:szCs w:val="18"/>
                <w:highlight w:val="none"/>
              </w:rPr>
            </w:pPr>
          </w:p>
        </w:tc>
        <w:tc>
          <w:tcPr>
            <w:tcW w:w="630" w:type="dxa"/>
            <w:tcBorders>
              <w:top w:val="single" w:color="auto" w:sz="4" w:space="0"/>
              <w:left w:val="nil"/>
              <w:bottom w:val="single" w:color="auto" w:sz="4" w:space="0"/>
              <w:right w:val="single" w:color="auto" w:sz="4" w:space="0"/>
            </w:tcBorders>
            <w:noWrap w:val="0"/>
            <w:vAlign w:val="center"/>
          </w:tcPr>
          <w:p w14:paraId="52A2124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39</w:t>
            </w:r>
          </w:p>
        </w:tc>
        <w:tc>
          <w:tcPr>
            <w:tcW w:w="3132" w:type="dxa"/>
            <w:tcBorders>
              <w:top w:val="single" w:color="auto" w:sz="4" w:space="0"/>
              <w:left w:val="nil"/>
              <w:bottom w:val="single" w:color="auto" w:sz="4" w:space="0"/>
              <w:right w:val="single" w:color="auto" w:sz="4" w:space="0"/>
            </w:tcBorders>
            <w:noWrap w:val="0"/>
            <w:vAlign w:val="center"/>
          </w:tcPr>
          <w:p w14:paraId="00521153">
            <w:pPr>
              <w:spacing w:line="240" w:lineRule="exact"/>
              <w:rPr>
                <w:rFonts w:ascii="Calibri" w:hAnsi="Calibri"/>
                <w:color w:val="auto"/>
                <w:sz w:val="18"/>
                <w:szCs w:val="18"/>
                <w:highlight w:val="none"/>
              </w:rPr>
            </w:pPr>
            <w:r>
              <w:rPr>
                <w:rFonts w:hint="eastAsia" w:ascii="宋体" w:hAnsi="宋体"/>
                <w:color w:val="auto"/>
                <w:sz w:val="18"/>
                <w:szCs w:val="18"/>
                <w:highlight w:val="none"/>
              </w:rPr>
              <w:t>相关资料数据准确，内容完整且符合实际，没有错误或缺项</w:t>
            </w:r>
          </w:p>
        </w:tc>
        <w:tc>
          <w:tcPr>
            <w:tcW w:w="991" w:type="dxa"/>
            <w:tcBorders>
              <w:top w:val="single" w:color="auto" w:sz="4" w:space="0"/>
              <w:left w:val="nil"/>
              <w:bottom w:val="single" w:color="auto" w:sz="4" w:space="0"/>
              <w:right w:val="single" w:color="auto" w:sz="4" w:space="0"/>
            </w:tcBorders>
            <w:noWrap w:val="0"/>
            <w:vAlign w:val="center"/>
          </w:tcPr>
          <w:p w14:paraId="005C829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2660" w:type="dxa"/>
            <w:gridSpan w:val="7"/>
            <w:tcBorders>
              <w:top w:val="single" w:color="auto" w:sz="4" w:space="0"/>
              <w:left w:val="nil"/>
              <w:bottom w:val="single" w:color="auto" w:sz="4" w:space="0"/>
              <w:right w:val="single" w:color="auto" w:sz="4" w:space="0"/>
            </w:tcBorders>
            <w:noWrap w:val="0"/>
            <w:vAlign w:val="center"/>
          </w:tcPr>
          <w:p w14:paraId="66C75D9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0.01-0.2</w:t>
            </w:r>
            <w:r>
              <w:rPr>
                <w:rFonts w:hint="eastAsia" w:ascii="宋体" w:hAnsi="宋体"/>
                <w:color w:val="auto"/>
                <w:sz w:val="18"/>
                <w:szCs w:val="18"/>
                <w:highlight w:val="none"/>
              </w:rPr>
              <w:t>分</w:t>
            </w:r>
          </w:p>
        </w:tc>
        <w:tc>
          <w:tcPr>
            <w:tcW w:w="1483" w:type="dxa"/>
            <w:gridSpan w:val="2"/>
            <w:tcBorders>
              <w:top w:val="single" w:color="auto" w:sz="4" w:space="0"/>
              <w:left w:val="nil"/>
              <w:bottom w:val="single" w:color="auto" w:sz="4" w:space="0"/>
              <w:right w:val="single" w:color="auto" w:sz="4" w:space="0"/>
            </w:tcBorders>
            <w:noWrap w:val="0"/>
            <w:vAlign w:val="top"/>
          </w:tcPr>
          <w:p w14:paraId="1DBD967E">
            <w:pPr>
              <w:spacing w:line="240" w:lineRule="exact"/>
              <w:rPr>
                <w:rFonts w:ascii="宋体"/>
                <w:color w:val="auto"/>
                <w:sz w:val="18"/>
                <w:szCs w:val="18"/>
                <w:highlight w:val="none"/>
              </w:rPr>
            </w:pPr>
          </w:p>
        </w:tc>
      </w:tr>
      <w:tr w14:paraId="03EE0566">
        <w:tblPrEx>
          <w:tblCellMar>
            <w:top w:w="0" w:type="dxa"/>
            <w:left w:w="108" w:type="dxa"/>
            <w:bottom w:w="0" w:type="dxa"/>
            <w:right w:w="108" w:type="dxa"/>
          </w:tblCellMar>
        </w:tblPrEx>
        <w:trPr>
          <w:cantSplit/>
          <w:trHeight w:val="458" w:hRule="atLeast"/>
        </w:trPr>
        <w:tc>
          <w:tcPr>
            <w:tcW w:w="419" w:type="dxa"/>
            <w:tcBorders>
              <w:top w:val="single" w:color="auto" w:sz="4" w:space="0"/>
              <w:left w:val="single" w:color="auto" w:sz="4" w:space="0"/>
              <w:bottom w:val="single" w:color="auto" w:sz="4" w:space="0"/>
              <w:right w:val="single" w:color="auto" w:sz="4" w:space="0"/>
            </w:tcBorders>
            <w:noWrap w:val="0"/>
            <w:vAlign w:val="top"/>
          </w:tcPr>
          <w:p w14:paraId="21A0E0DF">
            <w:pPr>
              <w:spacing w:line="240" w:lineRule="exact"/>
              <w:rPr>
                <w:rFonts w:ascii="Calibri" w:hAnsi="Calibri"/>
                <w:color w:val="auto"/>
                <w:sz w:val="18"/>
                <w:szCs w:val="18"/>
                <w:highlight w:val="none"/>
              </w:rPr>
            </w:pPr>
            <w:r>
              <w:rPr>
                <w:rFonts w:hint="eastAsia" w:ascii="宋体" w:hAnsi="宋体"/>
                <w:color w:val="auto"/>
                <w:sz w:val="18"/>
                <w:szCs w:val="18"/>
                <w:highlight w:val="none"/>
              </w:rPr>
              <w:t>八</w:t>
            </w:r>
            <w:r>
              <w:rPr>
                <w:rFonts w:hint="eastAsia" w:ascii="宋体" w:hAnsi="宋体"/>
                <w:color w:val="auto"/>
                <w:sz w:val="18"/>
                <w:szCs w:val="18"/>
                <w:highlight w:val="none"/>
                <w:lang w:eastAsia="zh-CN"/>
              </w:rPr>
              <w:t>、</w:t>
            </w:r>
            <w:r>
              <w:rPr>
                <w:rFonts w:hint="eastAsia" w:ascii="宋体" w:hAnsi="宋体"/>
                <w:color w:val="auto"/>
                <w:sz w:val="18"/>
                <w:szCs w:val="18"/>
                <w:highlight w:val="none"/>
              </w:rPr>
              <w:t>其他</w:t>
            </w:r>
          </w:p>
        </w:tc>
        <w:tc>
          <w:tcPr>
            <w:tcW w:w="630" w:type="dxa"/>
            <w:tcBorders>
              <w:top w:val="single" w:color="auto" w:sz="4" w:space="0"/>
              <w:left w:val="nil"/>
              <w:bottom w:val="single" w:color="auto" w:sz="4" w:space="0"/>
              <w:right w:val="single" w:color="auto" w:sz="4" w:space="0"/>
            </w:tcBorders>
            <w:noWrap w:val="0"/>
            <w:vAlign w:val="center"/>
          </w:tcPr>
          <w:p w14:paraId="1E1EB51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40</w:t>
            </w:r>
          </w:p>
        </w:tc>
        <w:tc>
          <w:tcPr>
            <w:tcW w:w="3132" w:type="dxa"/>
            <w:tcBorders>
              <w:top w:val="single" w:color="auto" w:sz="4" w:space="0"/>
              <w:left w:val="nil"/>
              <w:bottom w:val="single" w:color="auto" w:sz="4" w:space="0"/>
              <w:right w:val="single" w:color="auto" w:sz="4" w:space="0"/>
            </w:tcBorders>
            <w:noWrap w:val="0"/>
            <w:vAlign w:val="center"/>
          </w:tcPr>
          <w:p w14:paraId="5A2236C1">
            <w:pPr>
              <w:spacing w:line="240" w:lineRule="exact"/>
              <w:rPr>
                <w:rFonts w:ascii="Calibri" w:hAnsi="Calibri"/>
                <w:color w:val="auto"/>
                <w:sz w:val="18"/>
                <w:szCs w:val="18"/>
                <w:highlight w:val="none"/>
              </w:rPr>
            </w:pPr>
            <w:r>
              <w:rPr>
                <w:rFonts w:hint="eastAsia" w:ascii="宋体" w:hAnsi="宋体"/>
                <w:color w:val="auto"/>
                <w:sz w:val="18"/>
                <w:szCs w:val="18"/>
                <w:highlight w:val="none"/>
              </w:rPr>
              <w:t>其他未列举但涉及到安全或对园林景观有不良影响的</w:t>
            </w:r>
          </w:p>
        </w:tc>
        <w:tc>
          <w:tcPr>
            <w:tcW w:w="991" w:type="dxa"/>
            <w:tcBorders>
              <w:top w:val="single" w:color="auto" w:sz="4" w:space="0"/>
              <w:left w:val="nil"/>
              <w:bottom w:val="single" w:color="auto" w:sz="4" w:space="0"/>
              <w:right w:val="single" w:color="auto" w:sz="4" w:space="0"/>
            </w:tcBorders>
            <w:noWrap w:val="0"/>
            <w:vAlign w:val="center"/>
          </w:tcPr>
          <w:p w14:paraId="6A710E11">
            <w:pPr>
              <w:spacing w:line="240" w:lineRule="exact"/>
              <w:rPr>
                <w:rFonts w:ascii="Calibri" w:hAnsi="Calibri"/>
                <w:color w:val="auto"/>
                <w:sz w:val="18"/>
                <w:szCs w:val="18"/>
                <w:highlight w:val="none"/>
              </w:rPr>
            </w:pPr>
          </w:p>
        </w:tc>
        <w:tc>
          <w:tcPr>
            <w:tcW w:w="2660" w:type="dxa"/>
            <w:gridSpan w:val="7"/>
            <w:tcBorders>
              <w:top w:val="single" w:color="auto" w:sz="4" w:space="0"/>
              <w:left w:val="nil"/>
              <w:bottom w:val="single" w:color="auto" w:sz="4" w:space="0"/>
              <w:right w:val="single" w:color="auto" w:sz="4" w:space="0"/>
            </w:tcBorders>
            <w:noWrap w:val="0"/>
            <w:vAlign w:val="center"/>
          </w:tcPr>
          <w:p w14:paraId="2C71459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由园容管理科视具体内容及扣分标准现场认定</w:t>
            </w:r>
          </w:p>
        </w:tc>
        <w:tc>
          <w:tcPr>
            <w:tcW w:w="1483" w:type="dxa"/>
            <w:gridSpan w:val="2"/>
            <w:tcBorders>
              <w:top w:val="single" w:color="auto" w:sz="4" w:space="0"/>
              <w:left w:val="nil"/>
              <w:bottom w:val="single" w:color="auto" w:sz="4" w:space="0"/>
              <w:right w:val="single" w:color="auto" w:sz="4" w:space="0"/>
            </w:tcBorders>
            <w:noWrap w:val="0"/>
            <w:vAlign w:val="top"/>
          </w:tcPr>
          <w:p w14:paraId="29434515">
            <w:pPr>
              <w:spacing w:line="240" w:lineRule="exact"/>
              <w:rPr>
                <w:rFonts w:ascii="宋体"/>
                <w:color w:val="auto"/>
                <w:sz w:val="18"/>
                <w:szCs w:val="18"/>
                <w:highlight w:val="none"/>
              </w:rPr>
            </w:pPr>
          </w:p>
        </w:tc>
      </w:tr>
    </w:tbl>
    <w:p w14:paraId="457DE4DE">
      <w:pPr>
        <w:rPr>
          <w:rFonts w:ascii="Calibri" w:hAnsi="Calibri"/>
          <w:color w:val="auto"/>
          <w:highlight w:val="none"/>
        </w:rPr>
      </w:pPr>
    </w:p>
    <w:p w14:paraId="3197C2DB">
      <w:pPr>
        <w:ind w:left="945" w:hanging="945" w:hangingChars="450"/>
        <w:rPr>
          <w:rFonts w:ascii="宋体" w:hAnsi="宋体"/>
          <w:color w:val="auto"/>
          <w:highlight w:val="none"/>
        </w:rPr>
      </w:pPr>
      <w:r>
        <w:rPr>
          <w:rFonts w:hint="eastAsia" w:ascii="宋体" w:hAnsi="宋体"/>
          <w:color w:val="auto"/>
          <w:highlight w:val="none"/>
        </w:rPr>
        <w:t>说明：1.月度检查各项扣分不设上限。</w:t>
      </w:r>
    </w:p>
    <w:p w14:paraId="6BBE637A">
      <w:pPr>
        <w:ind w:left="945" w:leftChars="300" w:hanging="315" w:hangingChars="150"/>
        <w:outlineLvl w:val="9"/>
        <w:rPr>
          <w:rFonts w:ascii="宋体" w:hAnsi="宋体"/>
          <w:color w:val="auto"/>
          <w:highlight w:val="none"/>
        </w:rPr>
      </w:pPr>
      <w:bookmarkStart w:id="28" w:name="_Toc185611590"/>
      <w:bookmarkStart w:id="29" w:name="_Toc186728988"/>
      <w:bookmarkStart w:id="30" w:name="_Toc185611658"/>
      <w:r>
        <w:rPr>
          <w:color w:val="auto"/>
          <w:highlight w:val="none"/>
        </w:rPr>
        <w:t xml:space="preserve">2. </w:t>
      </w:r>
      <w:r>
        <w:rPr>
          <w:rFonts w:hint="eastAsia" w:ascii="宋体" w:hAnsi="宋体"/>
          <w:color w:val="auto"/>
          <w:highlight w:val="none"/>
        </w:rPr>
        <w:t>检查人员对发现问题予以扣分，对扣分项中标供应商应在限期内整改，整改期限后仍出现问题的，可再次扣罚，并可加倍扣罚。</w:t>
      </w:r>
      <w:bookmarkEnd w:id="28"/>
      <w:bookmarkEnd w:id="29"/>
      <w:bookmarkEnd w:id="30"/>
    </w:p>
    <w:p w14:paraId="298F03D8">
      <w:pPr>
        <w:ind w:left="945" w:leftChars="300" w:hanging="315" w:hangingChars="150"/>
        <w:rPr>
          <w:color w:val="auto"/>
          <w:highlight w:val="none"/>
        </w:rPr>
      </w:pPr>
    </w:p>
    <w:p w14:paraId="0BCDF6BA">
      <w:pPr>
        <w:ind w:firstLine="630" w:firstLineChars="300"/>
        <w:rPr>
          <w:rFonts w:ascii="黑体" w:hAnsi="黑体" w:eastAsia="黑体" w:cs="宋体"/>
          <w:bCs/>
          <w:color w:val="auto"/>
          <w:sz w:val="30"/>
          <w:szCs w:val="30"/>
          <w:highlight w:val="none"/>
        </w:rPr>
      </w:pPr>
      <w:r>
        <w:rPr>
          <w:color w:val="auto"/>
          <w:highlight w:val="none"/>
        </w:rPr>
        <w:t xml:space="preserve">      </w:t>
      </w:r>
    </w:p>
    <w:p w14:paraId="235B4867">
      <w:pPr>
        <w:rPr>
          <w:rFonts w:hint="eastAsia" w:ascii="宋体" w:hAnsi="宋体" w:eastAsia="宋体" w:cs="宋体"/>
          <w:b/>
          <w:bCs w:val="0"/>
          <w:color w:val="auto"/>
          <w:sz w:val="24"/>
          <w:szCs w:val="24"/>
          <w:highlight w:val="none"/>
          <w:lang w:val="en-US" w:eastAsia="zh-CN"/>
        </w:rPr>
      </w:pPr>
      <w:r>
        <w:rPr>
          <w:rFonts w:hint="eastAsia" w:ascii="黑体" w:hAnsi="黑体" w:eastAsia="黑体" w:cs="宋体"/>
          <w:bCs/>
          <w:color w:val="auto"/>
          <w:sz w:val="30"/>
          <w:szCs w:val="30"/>
          <w:highlight w:val="none"/>
        </w:rPr>
        <w:br w:type="page"/>
      </w:r>
      <w:r>
        <w:rPr>
          <w:rFonts w:hint="eastAsia" w:ascii="宋体" w:hAnsi="宋体" w:eastAsia="宋体" w:cs="宋体"/>
          <w:b/>
          <w:bCs w:val="0"/>
          <w:color w:val="auto"/>
          <w:sz w:val="24"/>
          <w:szCs w:val="24"/>
          <w:highlight w:val="none"/>
          <w:lang w:val="en-US" w:eastAsia="zh-CN"/>
        </w:rPr>
        <w:t>附件3-2-6</w:t>
      </w:r>
    </w:p>
    <w:p w14:paraId="33A63859">
      <w:pPr>
        <w:jc w:val="center"/>
        <w:rPr>
          <w:rFonts w:ascii="宋体"/>
          <w:b/>
          <w:bCs/>
          <w:color w:val="auto"/>
          <w:sz w:val="32"/>
          <w:szCs w:val="32"/>
          <w:highlight w:val="none"/>
        </w:rPr>
      </w:pPr>
      <w:r>
        <w:rPr>
          <w:rFonts w:hint="eastAsia" w:ascii="宋体" w:hAnsi="宋体"/>
          <w:b/>
          <w:bCs/>
          <w:color w:val="auto"/>
          <w:sz w:val="32"/>
          <w:szCs w:val="32"/>
          <w:highlight w:val="none"/>
        </w:rPr>
        <w:t>南宁市金花茶公园绿化养护日常检查记录表</w:t>
      </w:r>
    </w:p>
    <w:p w14:paraId="0AF7C7D0">
      <w:pPr>
        <w:ind w:left="-3" w:leftChars="-257" w:hanging="537" w:hangingChars="192"/>
        <w:rPr>
          <w:rFonts w:ascii="宋体"/>
          <w:color w:val="auto"/>
          <w:sz w:val="28"/>
          <w:szCs w:val="28"/>
          <w:highlight w:val="none"/>
        </w:rPr>
      </w:pPr>
      <w:r>
        <w:rPr>
          <w:rFonts w:hint="eastAsia" w:ascii="宋体" w:hAnsi="宋体"/>
          <w:color w:val="auto"/>
          <w:sz w:val="28"/>
          <w:szCs w:val="28"/>
          <w:highlight w:val="none"/>
        </w:rPr>
        <w:t xml:space="preserve">                                             年    月   日                  </w:t>
      </w:r>
    </w:p>
    <w:tbl>
      <w:tblPr>
        <w:tblStyle w:val="22"/>
        <w:tblW w:w="9238" w:type="dxa"/>
        <w:tblInd w:w="-55" w:type="dxa"/>
        <w:tblLayout w:type="fixed"/>
        <w:tblCellMar>
          <w:top w:w="0" w:type="dxa"/>
          <w:left w:w="108" w:type="dxa"/>
          <w:bottom w:w="0" w:type="dxa"/>
          <w:right w:w="108" w:type="dxa"/>
        </w:tblCellMar>
      </w:tblPr>
      <w:tblGrid>
        <w:gridCol w:w="872"/>
        <w:gridCol w:w="2837"/>
        <w:gridCol w:w="851"/>
        <w:gridCol w:w="1275"/>
        <w:gridCol w:w="1134"/>
        <w:gridCol w:w="2269"/>
      </w:tblGrid>
      <w:tr w14:paraId="75995297">
        <w:tblPrEx>
          <w:tblCellMar>
            <w:top w:w="0" w:type="dxa"/>
            <w:left w:w="108" w:type="dxa"/>
            <w:bottom w:w="0" w:type="dxa"/>
            <w:right w:w="108" w:type="dxa"/>
          </w:tblCellMar>
        </w:tblPrEx>
        <w:tc>
          <w:tcPr>
            <w:tcW w:w="872" w:type="dxa"/>
            <w:tcBorders>
              <w:top w:val="single" w:color="auto" w:sz="4" w:space="0"/>
              <w:left w:val="single" w:color="auto" w:sz="4" w:space="0"/>
              <w:bottom w:val="single" w:color="auto" w:sz="4" w:space="0"/>
              <w:right w:val="single" w:color="auto" w:sz="4" w:space="0"/>
            </w:tcBorders>
            <w:noWrap w:val="0"/>
            <w:vAlign w:val="top"/>
          </w:tcPr>
          <w:p w14:paraId="376E8EE6">
            <w:pPr>
              <w:jc w:val="center"/>
              <w:rPr>
                <w:rFonts w:ascii="宋体"/>
                <w:color w:val="auto"/>
                <w:highlight w:val="none"/>
              </w:rPr>
            </w:pPr>
            <w:r>
              <w:rPr>
                <w:rFonts w:hint="eastAsia" w:ascii="宋体" w:hAnsi="宋体"/>
                <w:color w:val="auto"/>
                <w:highlight w:val="none"/>
              </w:rPr>
              <w:t>日期</w:t>
            </w:r>
          </w:p>
        </w:tc>
        <w:tc>
          <w:tcPr>
            <w:tcW w:w="2837" w:type="dxa"/>
            <w:tcBorders>
              <w:top w:val="single" w:color="auto" w:sz="4" w:space="0"/>
              <w:left w:val="nil"/>
              <w:bottom w:val="single" w:color="auto" w:sz="4" w:space="0"/>
              <w:right w:val="single" w:color="auto" w:sz="4" w:space="0"/>
            </w:tcBorders>
            <w:noWrap w:val="0"/>
            <w:vAlign w:val="top"/>
          </w:tcPr>
          <w:p w14:paraId="2A26BD34">
            <w:pPr>
              <w:jc w:val="center"/>
              <w:rPr>
                <w:rFonts w:ascii="宋体"/>
                <w:color w:val="auto"/>
                <w:highlight w:val="none"/>
              </w:rPr>
            </w:pPr>
            <w:r>
              <w:rPr>
                <w:rFonts w:hint="eastAsia" w:ascii="宋体" w:hAnsi="宋体"/>
                <w:color w:val="auto"/>
                <w:highlight w:val="none"/>
              </w:rPr>
              <w:t>存在问题及发生地点</w:t>
            </w:r>
          </w:p>
        </w:tc>
        <w:tc>
          <w:tcPr>
            <w:tcW w:w="851" w:type="dxa"/>
            <w:tcBorders>
              <w:top w:val="single" w:color="auto" w:sz="4" w:space="0"/>
              <w:left w:val="nil"/>
              <w:bottom w:val="single" w:color="auto" w:sz="4" w:space="0"/>
              <w:right w:val="single" w:color="auto" w:sz="4" w:space="0"/>
            </w:tcBorders>
            <w:noWrap w:val="0"/>
            <w:vAlign w:val="top"/>
          </w:tcPr>
          <w:p w14:paraId="26A2714F">
            <w:pPr>
              <w:jc w:val="center"/>
              <w:rPr>
                <w:rFonts w:ascii="宋体"/>
                <w:color w:val="auto"/>
                <w:highlight w:val="none"/>
              </w:rPr>
            </w:pPr>
            <w:r>
              <w:rPr>
                <w:rFonts w:hint="eastAsia" w:ascii="宋体" w:hAnsi="宋体"/>
                <w:color w:val="auto"/>
                <w:highlight w:val="none"/>
              </w:rPr>
              <w:t>扣分</w:t>
            </w:r>
          </w:p>
        </w:tc>
        <w:tc>
          <w:tcPr>
            <w:tcW w:w="1275" w:type="dxa"/>
            <w:tcBorders>
              <w:top w:val="single" w:color="auto" w:sz="4" w:space="0"/>
              <w:left w:val="nil"/>
              <w:bottom w:val="single" w:color="auto" w:sz="4" w:space="0"/>
              <w:right w:val="single" w:color="auto" w:sz="4" w:space="0"/>
            </w:tcBorders>
            <w:noWrap w:val="0"/>
            <w:vAlign w:val="top"/>
          </w:tcPr>
          <w:p w14:paraId="32E9DC6C">
            <w:pPr>
              <w:jc w:val="center"/>
              <w:rPr>
                <w:rFonts w:ascii="宋体"/>
                <w:color w:val="auto"/>
                <w:highlight w:val="none"/>
              </w:rPr>
            </w:pPr>
            <w:r>
              <w:rPr>
                <w:rFonts w:hint="eastAsia" w:ascii="宋体" w:hAnsi="宋体"/>
                <w:color w:val="auto"/>
                <w:highlight w:val="none"/>
              </w:rPr>
              <w:t>公园检查人员签名</w:t>
            </w:r>
          </w:p>
        </w:tc>
        <w:tc>
          <w:tcPr>
            <w:tcW w:w="1134" w:type="dxa"/>
            <w:tcBorders>
              <w:top w:val="single" w:color="auto" w:sz="4" w:space="0"/>
              <w:left w:val="nil"/>
              <w:bottom w:val="single" w:color="auto" w:sz="4" w:space="0"/>
              <w:right w:val="single" w:color="auto" w:sz="4" w:space="0"/>
            </w:tcBorders>
            <w:noWrap w:val="0"/>
            <w:vAlign w:val="top"/>
          </w:tcPr>
          <w:p w14:paraId="3BB39E6F">
            <w:pPr>
              <w:jc w:val="center"/>
              <w:rPr>
                <w:rFonts w:ascii="宋体"/>
                <w:color w:val="auto"/>
                <w:highlight w:val="none"/>
              </w:rPr>
            </w:pPr>
            <w:r>
              <w:rPr>
                <w:rFonts w:hint="eastAsia" w:ascii="宋体" w:hAnsi="宋体"/>
                <w:color w:val="auto"/>
                <w:highlight w:val="none"/>
              </w:rPr>
              <w:t>乙方管理人员签名</w:t>
            </w:r>
          </w:p>
        </w:tc>
        <w:tc>
          <w:tcPr>
            <w:tcW w:w="2269" w:type="dxa"/>
            <w:tcBorders>
              <w:top w:val="single" w:color="auto" w:sz="4" w:space="0"/>
              <w:left w:val="nil"/>
              <w:bottom w:val="single" w:color="auto" w:sz="4" w:space="0"/>
              <w:right w:val="single" w:color="auto" w:sz="4" w:space="0"/>
            </w:tcBorders>
            <w:noWrap w:val="0"/>
            <w:vAlign w:val="top"/>
          </w:tcPr>
          <w:p w14:paraId="1285705F">
            <w:pPr>
              <w:jc w:val="center"/>
              <w:rPr>
                <w:rFonts w:ascii="宋体"/>
                <w:color w:val="auto"/>
                <w:highlight w:val="none"/>
              </w:rPr>
            </w:pPr>
            <w:r>
              <w:rPr>
                <w:rFonts w:hint="eastAsia" w:ascii="宋体" w:hAnsi="宋体"/>
                <w:color w:val="auto"/>
                <w:highlight w:val="none"/>
              </w:rPr>
              <w:t>整改完成情况及时间</w:t>
            </w:r>
          </w:p>
        </w:tc>
      </w:tr>
      <w:tr w14:paraId="562952F4">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4545ED0E">
            <w:pPr>
              <w:jc w:val="center"/>
              <w:rPr>
                <w:rFonts w:ascii="宋体"/>
                <w:color w:val="auto"/>
                <w:highlight w:val="none"/>
              </w:rPr>
            </w:pPr>
            <w:r>
              <w:rPr>
                <w:rFonts w:hint="eastAsia" w:ascii="宋体" w:hAnsi="宋体"/>
                <w:color w:val="auto"/>
                <w:highlight w:val="none"/>
              </w:rPr>
              <w:t>1</w:t>
            </w:r>
          </w:p>
        </w:tc>
        <w:tc>
          <w:tcPr>
            <w:tcW w:w="2837" w:type="dxa"/>
            <w:tcBorders>
              <w:top w:val="single" w:color="auto" w:sz="4" w:space="0"/>
              <w:left w:val="nil"/>
              <w:bottom w:val="single" w:color="auto" w:sz="4" w:space="0"/>
              <w:right w:val="single" w:color="auto" w:sz="4" w:space="0"/>
            </w:tcBorders>
            <w:noWrap w:val="0"/>
            <w:vAlign w:val="top"/>
          </w:tcPr>
          <w:p w14:paraId="18E1E1AE">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7F626F7F">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2F89150F">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0FDB1E9E">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593F1AE2">
            <w:pPr>
              <w:rPr>
                <w:rFonts w:ascii="宋体"/>
                <w:color w:val="auto"/>
                <w:highlight w:val="none"/>
              </w:rPr>
            </w:pPr>
          </w:p>
        </w:tc>
      </w:tr>
      <w:tr w14:paraId="2A27399D">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7AA89EA6">
            <w:pPr>
              <w:jc w:val="center"/>
              <w:rPr>
                <w:rFonts w:ascii="宋体"/>
                <w:color w:val="auto"/>
                <w:highlight w:val="none"/>
              </w:rPr>
            </w:pPr>
            <w:r>
              <w:rPr>
                <w:rFonts w:hint="eastAsia" w:ascii="宋体" w:hAnsi="宋体"/>
                <w:color w:val="auto"/>
                <w:highlight w:val="none"/>
              </w:rPr>
              <w:t>2</w:t>
            </w:r>
          </w:p>
        </w:tc>
        <w:tc>
          <w:tcPr>
            <w:tcW w:w="2837" w:type="dxa"/>
            <w:tcBorders>
              <w:top w:val="single" w:color="auto" w:sz="4" w:space="0"/>
              <w:left w:val="nil"/>
              <w:bottom w:val="single" w:color="auto" w:sz="4" w:space="0"/>
              <w:right w:val="single" w:color="auto" w:sz="4" w:space="0"/>
            </w:tcBorders>
            <w:noWrap w:val="0"/>
            <w:vAlign w:val="top"/>
          </w:tcPr>
          <w:p w14:paraId="7FD3567C">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23E40E22">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270F4011">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3A8254BB">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2CC19BCA">
            <w:pPr>
              <w:rPr>
                <w:rFonts w:ascii="宋体"/>
                <w:color w:val="auto"/>
                <w:highlight w:val="none"/>
              </w:rPr>
            </w:pPr>
          </w:p>
        </w:tc>
      </w:tr>
      <w:tr w14:paraId="1C700865">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3706FFE5">
            <w:pPr>
              <w:jc w:val="center"/>
              <w:rPr>
                <w:rFonts w:ascii="宋体"/>
                <w:color w:val="auto"/>
                <w:highlight w:val="none"/>
              </w:rPr>
            </w:pPr>
            <w:r>
              <w:rPr>
                <w:rFonts w:hint="eastAsia" w:ascii="宋体" w:hAnsi="宋体"/>
                <w:color w:val="auto"/>
                <w:highlight w:val="none"/>
              </w:rPr>
              <w:t>3</w:t>
            </w:r>
          </w:p>
        </w:tc>
        <w:tc>
          <w:tcPr>
            <w:tcW w:w="2837" w:type="dxa"/>
            <w:tcBorders>
              <w:top w:val="single" w:color="auto" w:sz="4" w:space="0"/>
              <w:left w:val="nil"/>
              <w:bottom w:val="single" w:color="auto" w:sz="4" w:space="0"/>
              <w:right w:val="single" w:color="auto" w:sz="4" w:space="0"/>
            </w:tcBorders>
            <w:noWrap w:val="0"/>
            <w:vAlign w:val="top"/>
          </w:tcPr>
          <w:p w14:paraId="45874C8D">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2DCC29B3">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3A2E2E65">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4E2C6DF6">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56BCA220">
            <w:pPr>
              <w:rPr>
                <w:rFonts w:ascii="宋体"/>
                <w:color w:val="auto"/>
                <w:highlight w:val="none"/>
              </w:rPr>
            </w:pPr>
          </w:p>
        </w:tc>
      </w:tr>
      <w:tr w14:paraId="3ACAC442">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2B0D3D6F">
            <w:pPr>
              <w:jc w:val="center"/>
              <w:rPr>
                <w:rFonts w:ascii="宋体"/>
                <w:color w:val="auto"/>
                <w:highlight w:val="none"/>
              </w:rPr>
            </w:pPr>
            <w:r>
              <w:rPr>
                <w:rFonts w:hint="eastAsia" w:ascii="宋体" w:hAnsi="宋体"/>
                <w:color w:val="auto"/>
                <w:highlight w:val="none"/>
              </w:rPr>
              <w:t>4</w:t>
            </w:r>
          </w:p>
        </w:tc>
        <w:tc>
          <w:tcPr>
            <w:tcW w:w="2837" w:type="dxa"/>
            <w:tcBorders>
              <w:top w:val="single" w:color="auto" w:sz="4" w:space="0"/>
              <w:left w:val="nil"/>
              <w:bottom w:val="single" w:color="auto" w:sz="4" w:space="0"/>
              <w:right w:val="single" w:color="auto" w:sz="4" w:space="0"/>
            </w:tcBorders>
            <w:noWrap w:val="0"/>
            <w:vAlign w:val="top"/>
          </w:tcPr>
          <w:p w14:paraId="4211C941">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25A634B0">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5064F262">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40113881">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29767DC0">
            <w:pPr>
              <w:rPr>
                <w:rFonts w:ascii="宋体"/>
                <w:color w:val="auto"/>
                <w:highlight w:val="none"/>
              </w:rPr>
            </w:pPr>
          </w:p>
        </w:tc>
      </w:tr>
      <w:tr w14:paraId="1D691079">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315AD4CE">
            <w:pPr>
              <w:jc w:val="center"/>
              <w:rPr>
                <w:rFonts w:ascii="宋体"/>
                <w:color w:val="auto"/>
                <w:highlight w:val="none"/>
              </w:rPr>
            </w:pPr>
            <w:r>
              <w:rPr>
                <w:rFonts w:hint="eastAsia" w:ascii="宋体" w:hAnsi="宋体"/>
                <w:color w:val="auto"/>
                <w:highlight w:val="none"/>
              </w:rPr>
              <w:t>5</w:t>
            </w:r>
          </w:p>
        </w:tc>
        <w:tc>
          <w:tcPr>
            <w:tcW w:w="2837" w:type="dxa"/>
            <w:tcBorders>
              <w:top w:val="single" w:color="auto" w:sz="4" w:space="0"/>
              <w:left w:val="nil"/>
              <w:bottom w:val="single" w:color="auto" w:sz="4" w:space="0"/>
              <w:right w:val="single" w:color="auto" w:sz="4" w:space="0"/>
            </w:tcBorders>
            <w:noWrap w:val="0"/>
            <w:vAlign w:val="top"/>
          </w:tcPr>
          <w:p w14:paraId="06CC79EF">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74B595D0">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192D22A5">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50D3B515">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30C19414">
            <w:pPr>
              <w:rPr>
                <w:rFonts w:ascii="宋体"/>
                <w:color w:val="auto"/>
                <w:highlight w:val="none"/>
              </w:rPr>
            </w:pPr>
          </w:p>
        </w:tc>
      </w:tr>
      <w:tr w14:paraId="0C3682FB">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790AAF36">
            <w:pPr>
              <w:jc w:val="center"/>
              <w:rPr>
                <w:rFonts w:ascii="宋体"/>
                <w:color w:val="auto"/>
                <w:highlight w:val="none"/>
              </w:rPr>
            </w:pPr>
            <w:r>
              <w:rPr>
                <w:rFonts w:hint="eastAsia" w:ascii="宋体" w:hAnsi="宋体"/>
                <w:color w:val="auto"/>
                <w:highlight w:val="none"/>
              </w:rPr>
              <w:t>6</w:t>
            </w:r>
          </w:p>
        </w:tc>
        <w:tc>
          <w:tcPr>
            <w:tcW w:w="2837" w:type="dxa"/>
            <w:tcBorders>
              <w:top w:val="single" w:color="auto" w:sz="4" w:space="0"/>
              <w:left w:val="nil"/>
              <w:bottom w:val="single" w:color="auto" w:sz="4" w:space="0"/>
              <w:right w:val="single" w:color="auto" w:sz="4" w:space="0"/>
            </w:tcBorders>
            <w:noWrap w:val="0"/>
            <w:vAlign w:val="top"/>
          </w:tcPr>
          <w:p w14:paraId="6BCAD913">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59FFD27C">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63DB8FC5">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24D09E2C">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0AB82B4D">
            <w:pPr>
              <w:rPr>
                <w:rFonts w:ascii="宋体"/>
                <w:color w:val="auto"/>
                <w:highlight w:val="none"/>
              </w:rPr>
            </w:pPr>
          </w:p>
        </w:tc>
      </w:tr>
      <w:tr w14:paraId="788A0790">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09D97367">
            <w:pPr>
              <w:jc w:val="center"/>
              <w:rPr>
                <w:rFonts w:ascii="宋体" w:hAnsi="宋体"/>
                <w:color w:val="auto"/>
                <w:highlight w:val="none"/>
              </w:rPr>
            </w:pPr>
            <w:r>
              <w:rPr>
                <w:rFonts w:hint="eastAsia" w:ascii="宋体" w:hAnsi="宋体"/>
                <w:color w:val="auto"/>
                <w:highlight w:val="none"/>
              </w:rPr>
              <w:t>7</w:t>
            </w:r>
          </w:p>
        </w:tc>
        <w:tc>
          <w:tcPr>
            <w:tcW w:w="2837" w:type="dxa"/>
            <w:tcBorders>
              <w:top w:val="single" w:color="auto" w:sz="4" w:space="0"/>
              <w:left w:val="nil"/>
              <w:bottom w:val="single" w:color="auto" w:sz="4" w:space="0"/>
              <w:right w:val="single" w:color="auto" w:sz="4" w:space="0"/>
            </w:tcBorders>
            <w:noWrap w:val="0"/>
            <w:vAlign w:val="top"/>
          </w:tcPr>
          <w:p w14:paraId="2F992720">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7AC7854C">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7553B12C">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5B66A61F">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4B91C40B">
            <w:pPr>
              <w:rPr>
                <w:rFonts w:ascii="宋体"/>
                <w:color w:val="auto"/>
                <w:highlight w:val="none"/>
              </w:rPr>
            </w:pPr>
          </w:p>
        </w:tc>
      </w:tr>
      <w:tr w14:paraId="08D18C5E">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6E3B9276">
            <w:pPr>
              <w:jc w:val="center"/>
              <w:rPr>
                <w:rFonts w:ascii="宋体" w:hAnsi="宋体"/>
                <w:color w:val="auto"/>
                <w:highlight w:val="none"/>
              </w:rPr>
            </w:pPr>
            <w:r>
              <w:rPr>
                <w:rFonts w:hint="eastAsia" w:ascii="宋体" w:hAnsi="宋体"/>
                <w:color w:val="auto"/>
                <w:highlight w:val="none"/>
              </w:rPr>
              <w:t>8</w:t>
            </w:r>
          </w:p>
        </w:tc>
        <w:tc>
          <w:tcPr>
            <w:tcW w:w="2837" w:type="dxa"/>
            <w:tcBorders>
              <w:top w:val="single" w:color="auto" w:sz="4" w:space="0"/>
              <w:left w:val="nil"/>
              <w:bottom w:val="single" w:color="auto" w:sz="4" w:space="0"/>
              <w:right w:val="single" w:color="auto" w:sz="4" w:space="0"/>
            </w:tcBorders>
            <w:noWrap w:val="0"/>
            <w:vAlign w:val="top"/>
          </w:tcPr>
          <w:p w14:paraId="55036199">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1D2AE5FA">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2533ADC5">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247C112D">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431E9575">
            <w:pPr>
              <w:rPr>
                <w:rFonts w:ascii="宋体"/>
                <w:color w:val="auto"/>
                <w:highlight w:val="none"/>
              </w:rPr>
            </w:pPr>
          </w:p>
        </w:tc>
      </w:tr>
      <w:tr w14:paraId="130DA1F9">
        <w:tblPrEx>
          <w:tblCellMar>
            <w:top w:w="0" w:type="dxa"/>
            <w:left w:w="108" w:type="dxa"/>
            <w:bottom w:w="0" w:type="dxa"/>
            <w:right w:w="108" w:type="dxa"/>
          </w:tblCellMar>
        </w:tblPrEx>
        <w:trPr>
          <w:trHeight w:val="1140"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4FDF696C">
            <w:pPr>
              <w:jc w:val="center"/>
              <w:rPr>
                <w:rFonts w:ascii="宋体" w:hAnsi="宋体"/>
                <w:color w:val="auto"/>
                <w:highlight w:val="none"/>
              </w:rPr>
            </w:pPr>
            <w:r>
              <w:rPr>
                <w:rFonts w:hint="eastAsia" w:ascii="宋体" w:hAnsi="宋体"/>
                <w:color w:val="auto"/>
                <w:highlight w:val="none"/>
              </w:rPr>
              <w:t>9</w:t>
            </w:r>
          </w:p>
        </w:tc>
        <w:tc>
          <w:tcPr>
            <w:tcW w:w="2837" w:type="dxa"/>
            <w:tcBorders>
              <w:top w:val="single" w:color="auto" w:sz="4" w:space="0"/>
              <w:left w:val="nil"/>
              <w:bottom w:val="single" w:color="auto" w:sz="4" w:space="0"/>
              <w:right w:val="single" w:color="auto" w:sz="4" w:space="0"/>
            </w:tcBorders>
            <w:noWrap w:val="0"/>
            <w:vAlign w:val="top"/>
          </w:tcPr>
          <w:p w14:paraId="292D623D">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3EB741ED">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67186F4C">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32A61F40">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25838CFE">
            <w:pPr>
              <w:rPr>
                <w:rFonts w:ascii="宋体"/>
                <w:color w:val="auto"/>
                <w:highlight w:val="none"/>
              </w:rPr>
            </w:pPr>
          </w:p>
        </w:tc>
      </w:tr>
      <w:tr w14:paraId="495BB840">
        <w:tblPrEx>
          <w:tblCellMar>
            <w:top w:w="0" w:type="dxa"/>
            <w:left w:w="108" w:type="dxa"/>
            <w:bottom w:w="0" w:type="dxa"/>
            <w:right w:w="108" w:type="dxa"/>
          </w:tblCellMar>
        </w:tblPrEx>
        <w:trPr>
          <w:trHeight w:val="841" w:hRule="atLeast"/>
        </w:trPr>
        <w:tc>
          <w:tcPr>
            <w:tcW w:w="872" w:type="dxa"/>
            <w:tcBorders>
              <w:top w:val="single" w:color="auto" w:sz="4" w:space="0"/>
              <w:left w:val="single" w:color="auto" w:sz="4" w:space="0"/>
              <w:bottom w:val="single" w:color="auto" w:sz="4" w:space="0"/>
              <w:right w:val="single" w:color="auto" w:sz="4" w:space="0"/>
            </w:tcBorders>
            <w:noWrap w:val="0"/>
            <w:vAlign w:val="center"/>
          </w:tcPr>
          <w:p w14:paraId="515E5997">
            <w:pPr>
              <w:jc w:val="center"/>
              <w:rPr>
                <w:rFonts w:ascii="宋体"/>
                <w:color w:val="auto"/>
                <w:highlight w:val="none"/>
              </w:rPr>
            </w:pPr>
            <w:r>
              <w:rPr>
                <w:rFonts w:hint="eastAsia" w:ascii="宋体" w:hAnsi="宋体"/>
                <w:color w:val="auto"/>
                <w:highlight w:val="none"/>
              </w:rPr>
              <w:t>10</w:t>
            </w:r>
          </w:p>
        </w:tc>
        <w:tc>
          <w:tcPr>
            <w:tcW w:w="2837" w:type="dxa"/>
            <w:tcBorders>
              <w:top w:val="single" w:color="auto" w:sz="4" w:space="0"/>
              <w:left w:val="nil"/>
              <w:bottom w:val="single" w:color="auto" w:sz="4" w:space="0"/>
              <w:right w:val="single" w:color="auto" w:sz="4" w:space="0"/>
            </w:tcBorders>
            <w:noWrap w:val="0"/>
            <w:vAlign w:val="top"/>
          </w:tcPr>
          <w:p w14:paraId="6DE3264C">
            <w:pPr>
              <w:rPr>
                <w:rFonts w:ascii="宋体"/>
                <w:color w:val="auto"/>
                <w:highlight w:val="none"/>
              </w:rPr>
            </w:pPr>
          </w:p>
        </w:tc>
        <w:tc>
          <w:tcPr>
            <w:tcW w:w="851" w:type="dxa"/>
            <w:tcBorders>
              <w:top w:val="single" w:color="auto" w:sz="4" w:space="0"/>
              <w:left w:val="nil"/>
              <w:bottom w:val="single" w:color="auto" w:sz="4" w:space="0"/>
              <w:right w:val="single" w:color="auto" w:sz="4" w:space="0"/>
            </w:tcBorders>
            <w:noWrap w:val="0"/>
            <w:vAlign w:val="top"/>
          </w:tcPr>
          <w:p w14:paraId="07B706BD">
            <w:pPr>
              <w:rPr>
                <w:rFonts w:ascii="宋体"/>
                <w:color w:val="auto"/>
                <w:highlight w:val="none"/>
              </w:rPr>
            </w:pPr>
          </w:p>
        </w:tc>
        <w:tc>
          <w:tcPr>
            <w:tcW w:w="1275" w:type="dxa"/>
            <w:tcBorders>
              <w:top w:val="single" w:color="auto" w:sz="4" w:space="0"/>
              <w:left w:val="nil"/>
              <w:bottom w:val="single" w:color="auto" w:sz="4" w:space="0"/>
              <w:right w:val="single" w:color="auto" w:sz="4" w:space="0"/>
            </w:tcBorders>
            <w:noWrap w:val="0"/>
            <w:vAlign w:val="top"/>
          </w:tcPr>
          <w:p w14:paraId="55898B0D">
            <w:pPr>
              <w:rPr>
                <w:rFonts w:ascii="宋体"/>
                <w:color w:val="auto"/>
                <w:highlight w:val="none"/>
              </w:rPr>
            </w:pPr>
          </w:p>
        </w:tc>
        <w:tc>
          <w:tcPr>
            <w:tcW w:w="1134" w:type="dxa"/>
            <w:tcBorders>
              <w:top w:val="single" w:color="auto" w:sz="4" w:space="0"/>
              <w:left w:val="nil"/>
              <w:bottom w:val="single" w:color="auto" w:sz="4" w:space="0"/>
              <w:right w:val="single" w:color="auto" w:sz="4" w:space="0"/>
            </w:tcBorders>
            <w:noWrap w:val="0"/>
            <w:vAlign w:val="top"/>
          </w:tcPr>
          <w:p w14:paraId="01D65647">
            <w:pPr>
              <w:rPr>
                <w:rFonts w:ascii="宋体"/>
                <w:color w:val="auto"/>
                <w:highlight w:val="none"/>
              </w:rPr>
            </w:pPr>
          </w:p>
        </w:tc>
        <w:tc>
          <w:tcPr>
            <w:tcW w:w="2269" w:type="dxa"/>
            <w:tcBorders>
              <w:top w:val="single" w:color="auto" w:sz="4" w:space="0"/>
              <w:left w:val="nil"/>
              <w:bottom w:val="single" w:color="auto" w:sz="4" w:space="0"/>
              <w:right w:val="single" w:color="auto" w:sz="4" w:space="0"/>
            </w:tcBorders>
            <w:noWrap w:val="0"/>
            <w:vAlign w:val="top"/>
          </w:tcPr>
          <w:p w14:paraId="2BF8C164">
            <w:pPr>
              <w:rPr>
                <w:rFonts w:ascii="宋体"/>
                <w:color w:val="auto"/>
                <w:highlight w:val="none"/>
              </w:rPr>
            </w:pPr>
          </w:p>
        </w:tc>
      </w:tr>
    </w:tbl>
    <w:p w14:paraId="48F8E24C">
      <w:pPr>
        <w:spacing w:line="360" w:lineRule="auto"/>
        <w:rPr>
          <w:rFonts w:ascii="黑体" w:hAnsi="黑体" w:eastAsia="黑体" w:cs="宋体"/>
          <w:bCs/>
          <w:color w:val="auto"/>
          <w:sz w:val="30"/>
          <w:szCs w:val="30"/>
          <w:highlight w:val="none"/>
        </w:rPr>
      </w:pPr>
    </w:p>
    <w:p w14:paraId="5356EEB2">
      <w:pPr>
        <w:rPr>
          <w:rFonts w:hint="eastAsia" w:ascii="宋体" w:hAnsi="宋体" w:eastAsia="宋体" w:cs="宋体"/>
          <w:b/>
          <w:bCs w:val="0"/>
          <w:color w:val="auto"/>
          <w:sz w:val="24"/>
          <w:szCs w:val="24"/>
          <w:highlight w:val="none"/>
          <w:lang w:val="en-US" w:eastAsia="zh-CN"/>
        </w:rPr>
        <w:sectPr>
          <w:pgSz w:w="11906" w:h="16838"/>
          <w:pgMar w:top="1440" w:right="1304" w:bottom="1440" w:left="1134" w:header="851" w:footer="992" w:gutter="0"/>
          <w:pgBorders>
            <w:top w:val="none" w:sz="0" w:space="0"/>
            <w:left w:val="none" w:sz="0" w:space="0"/>
            <w:bottom w:val="none" w:sz="0" w:space="0"/>
            <w:right w:val="none" w:sz="0" w:space="0"/>
          </w:pgBorders>
          <w:cols w:space="720" w:num="1"/>
          <w:docGrid w:type="lines" w:linePitch="312" w:charSpace="0"/>
        </w:sectPr>
      </w:pPr>
    </w:p>
    <w:p w14:paraId="15DFF87E">
      <w:p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附件3-2-7</w:t>
      </w:r>
    </w:p>
    <w:p w14:paraId="272659A5">
      <w:pPr>
        <w:spacing w:line="400" w:lineRule="exact"/>
        <w:jc w:val="center"/>
        <w:rPr>
          <w:rFonts w:ascii="宋体" w:hAnsi="宋体"/>
          <w:b/>
          <w:bCs/>
          <w:color w:val="auto"/>
          <w:sz w:val="32"/>
          <w:szCs w:val="32"/>
          <w:highlight w:val="none"/>
        </w:rPr>
      </w:pPr>
      <w:r>
        <w:rPr>
          <w:rFonts w:hint="eastAsia" w:ascii="宋体" w:hAnsi="宋体"/>
          <w:b/>
          <w:bCs/>
          <w:color w:val="auto"/>
          <w:sz w:val="32"/>
          <w:szCs w:val="32"/>
          <w:highlight w:val="none"/>
        </w:rPr>
        <w:t>南宁市金花茶公园绿化养护月度考核通报表</w:t>
      </w:r>
    </w:p>
    <w:p w14:paraId="238A7448">
      <w:pPr>
        <w:rPr>
          <w:rFonts w:ascii="宋体" w:hAnsi="宋体"/>
          <w:bCs/>
          <w:color w:val="auto"/>
          <w:szCs w:val="21"/>
          <w:highlight w:val="none"/>
        </w:rPr>
      </w:pPr>
      <w:r>
        <w:rPr>
          <w:rFonts w:hint="eastAsia" w:ascii="宋体" w:hAnsi="宋体"/>
          <w:bCs/>
          <w:color w:val="auto"/>
          <w:szCs w:val="21"/>
          <w:highlight w:val="none"/>
        </w:rPr>
        <w:t>考核月份：    年   月                        填写日期 ：    年   月   日</w:t>
      </w:r>
    </w:p>
    <w:tbl>
      <w:tblPr>
        <w:tblStyle w:val="22"/>
        <w:tblW w:w="9675" w:type="dxa"/>
        <w:tblInd w:w="100" w:type="dxa"/>
        <w:tblLayout w:type="fixed"/>
        <w:tblCellMar>
          <w:top w:w="0" w:type="dxa"/>
          <w:left w:w="108" w:type="dxa"/>
          <w:bottom w:w="0" w:type="dxa"/>
          <w:right w:w="108" w:type="dxa"/>
        </w:tblCellMar>
      </w:tblPr>
      <w:tblGrid>
        <w:gridCol w:w="661"/>
        <w:gridCol w:w="1281"/>
        <w:gridCol w:w="1281"/>
        <w:gridCol w:w="1061"/>
        <w:gridCol w:w="554"/>
        <w:gridCol w:w="506"/>
        <w:gridCol w:w="906"/>
        <w:gridCol w:w="3425"/>
      </w:tblGrid>
      <w:tr w14:paraId="2CEBFF7B">
        <w:tblPrEx>
          <w:tblCellMar>
            <w:top w:w="0" w:type="dxa"/>
            <w:left w:w="108" w:type="dxa"/>
            <w:bottom w:w="0" w:type="dxa"/>
            <w:right w:w="108" w:type="dxa"/>
          </w:tblCellMar>
        </w:tblPrEx>
        <w:trPr>
          <w:trHeight w:val="576" w:hRule="atLeast"/>
        </w:trPr>
        <w:tc>
          <w:tcPr>
            <w:tcW w:w="661" w:type="dxa"/>
            <w:tcBorders>
              <w:top w:val="single" w:color="auto" w:sz="4" w:space="0"/>
              <w:left w:val="single" w:color="auto" w:sz="4" w:space="0"/>
              <w:bottom w:val="nil"/>
              <w:right w:val="single" w:color="auto" w:sz="4" w:space="0"/>
            </w:tcBorders>
            <w:noWrap w:val="0"/>
            <w:vAlign w:val="center"/>
          </w:tcPr>
          <w:p w14:paraId="35464CE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类别</w:t>
            </w:r>
          </w:p>
        </w:tc>
        <w:tc>
          <w:tcPr>
            <w:tcW w:w="2562" w:type="dxa"/>
            <w:gridSpan w:val="2"/>
            <w:tcBorders>
              <w:top w:val="single" w:color="auto" w:sz="4" w:space="0"/>
              <w:left w:val="nil"/>
              <w:bottom w:val="single" w:color="auto" w:sz="4" w:space="0"/>
              <w:right w:val="single" w:color="auto" w:sz="4" w:space="0"/>
            </w:tcBorders>
            <w:noWrap w:val="0"/>
            <w:vAlign w:val="center"/>
          </w:tcPr>
          <w:p w14:paraId="05EB72F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项目</w:t>
            </w:r>
          </w:p>
        </w:tc>
        <w:tc>
          <w:tcPr>
            <w:tcW w:w="1061" w:type="dxa"/>
            <w:tcBorders>
              <w:top w:val="single" w:color="auto" w:sz="4" w:space="0"/>
              <w:left w:val="nil"/>
              <w:bottom w:val="single" w:color="auto" w:sz="4" w:space="0"/>
              <w:right w:val="single" w:color="auto" w:sz="4" w:space="0"/>
            </w:tcBorders>
            <w:noWrap w:val="0"/>
            <w:vAlign w:val="center"/>
          </w:tcPr>
          <w:p w14:paraId="6F9A5EB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扣分（分）</w:t>
            </w:r>
          </w:p>
        </w:tc>
        <w:tc>
          <w:tcPr>
            <w:tcW w:w="1060" w:type="dxa"/>
            <w:gridSpan w:val="2"/>
            <w:tcBorders>
              <w:top w:val="single" w:color="auto" w:sz="4" w:space="0"/>
              <w:left w:val="nil"/>
              <w:bottom w:val="single" w:color="auto" w:sz="4" w:space="0"/>
              <w:right w:val="single" w:color="auto" w:sz="4" w:space="0"/>
            </w:tcBorders>
            <w:noWrap w:val="0"/>
            <w:vAlign w:val="top"/>
          </w:tcPr>
          <w:p w14:paraId="31379832">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未整改扣款（元）</w:t>
            </w:r>
          </w:p>
        </w:tc>
        <w:tc>
          <w:tcPr>
            <w:tcW w:w="4331" w:type="dxa"/>
            <w:gridSpan w:val="2"/>
            <w:tcBorders>
              <w:top w:val="single" w:color="auto" w:sz="4" w:space="0"/>
              <w:left w:val="nil"/>
              <w:bottom w:val="single" w:color="auto" w:sz="4" w:space="0"/>
              <w:right w:val="single" w:color="auto" w:sz="4" w:space="0"/>
            </w:tcBorders>
            <w:noWrap w:val="0"/>
            <w:vAlign w:val="top"/>
          </w:tcPr>
          <w:p w14:paraId="4B24908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2A898AF6">
        <w:tblPrEx>
          <w:tblCellMar>
            <w:top w:w="0" w:type="dxa"/>
            <w:left w:w="108" w:type="dxa"/>
            <w:bottom w:w="0" w:type="dxa"/>
            <w:right w:w="108" w:type="dxa"/>
          </w:tblCellMar>
        </w:tblPrEx>
        <w:trPr>
          <w:trHeight w:val="312" w:hRule="atLeast"/>
        </w:trPr>
        <w:tc>
          <w:tcPr>
            <w:tcW w:w="661" w:type="dxa"/>
            <w:vMerge w:val="restart"/>
            <w:tcBorders>
              <w:top w:val="single" w:color="auto" w:sz="4" w:space="0"/>
              <w:left w:val="single" w:color="auto" w:sz="4" w:space="0"/>
              <w:right w:val="single" w:color="auto" w:sz="4" w:space="0"/>
            </w:tcBorders>
            <w:noWrap w:val="0"/>
            <w:vAlign w:val="center"/>
          </w:tcPr>
          <w:p w14:paraId="7B472EEF">
            <w:pPr>
              <w:widowControl/>
              <w:jc w:val="left"/>
              <w:rPr>
                <w:rFonts w:hint="eastAsia" w:ascii="宋体" w:hAnsi="宋体" w:cs="宋体"/>
                <w:color w:val="auto"/>
                <w:kern w:val="0"/>
                <w:sz w:val="24"/>
                <w:highlight w:val="none"/>
              </w:rPr>
            </w:pPr>
            <w:r>
              <w:rPr>
                <w:rFonts w:hint="eastAsia" w:ascii="宋体" w:hAnsi="宋体" w:cs="宋体"/>
                <w:color w:val="auto"/>
                <w:kern w:val="0"/>
                <w:sz w:val="24"/>
                <w:highlight w:val="none"/>
              </w:rPr>
              <w:t>　</w:t>
            </w:r>
          </w:p>
          <w:p w14:paraId="2F571539">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p w14:paraId="0A92AFB9">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eastAsia="zh-CN"/>
              </w:rPr>
              <w:t>、</w:t>
            </w:r>
          </w:p>
          <w:p w14:paraId="2C0B990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月度</w:t>
            </w:r>
          </w:p>
          <w:p w14:paraId="04210BF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检查</w:t>
            </w:r>
          </w:p>
          <w:p w14:paraId="6EEF86C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p w14:paraId="7A72D8E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1EF65AB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投入和管理</w:t>
            </w:r>
          </w:p>
        </w:tc>
        <w:tc>
          <w:tcPr>
            <w:tcW w:w="1061" w:type="dxa"/>
            <w:tcBorders>
              <w:top w:val="nil"/>
              <w:left w:val="single" w:color="auto" w:sz="4" w:space="0"/>
              <w:bottom w:val="single" w:color="auto" w:sz="4" w:space="0"/>
              <w:right w:val="single" w:color="auto" w:sz="4" w:space="0"/>
            </w:tcBorders>
            <w:noWrap w:val="0"/>
            <w:vAlign w:val="top"/>
          </w:tcPr>
          <w:p w14:paraId="216848C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4456FD4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0E94FE2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DC2B22D">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center"/>
          </w:tcPr>
          <w:p w14:paraId="6A9C10A5">
            <w:pPr>
              <w:widowControl/>
              <w:jc w:val="left"/>
              <w:rPr>
                <w:rFonts w:ascii="宋体" w:hAnsi="宋体" w:cs="宋体"/>
                <w:color w:val="auto"/>
                <w:kern w:val="0"/>
                <w:sz w:val="24"/>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3B7AFD9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绿化管理</w:t>
            </w:r>
          </w:p>
        </w:tc>
        <w:tc>
          <w:tcPr>
            <w:tcW w:w="1061" w:type="dxa"/>
            <w:tcBorders>
              <w:top w:val="nil"/>
              <w:left w:val="single" w:color="auto" w:sz="4" w:space="0"/>
              <w:bottom w:val="single" w:color="auto" w:sz="4" w:space="0"/>
              <w:right w:val="single" w:color="auto" w:sz="4" w:space="0"/>
            </w:tcBorders>
            <w:noWrap w:val="0"/>
            <w:vAlign w:val="top"/>
          </w:tcPr>
          <w:p w14:paraId="36CAFB6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6867891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39535AF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F943A44">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1CD3B078">
            <w:pPr>
              <w:widowControl/>
              <w:jc w:val="center"/>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7C5DBFF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养护管理</w:t>
            </w:r>
          </w:p>
        </w:tc>
        <w:tc>
          <w:tcPr>
            <w:tcW w:w="1061" w:type="dxa"/>
            <w:tcBorders>
              <w:top w:val="nil"/>
              <w:left w:val="single" w:color="auto" w:sz="4" w:space="0"/>
              <w:bottom w:val="single" w:color="auto" w:sz="4" w:space="0"/>
              <w:right w:val="single" w:color="auto" w:sz="4" w:space="0"/>
            </w:tcBorders>
            <w:noWrap w:val="0"/>
            <w:vAlign w:val="top"/>
          </w:tcPr>
          <w:p w14:paraId="379469A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2D5CD71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2616655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61BC70A">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0329E67A">
            <w:pPr>
              <w:widowControl/>
              <w:jc w:val="left"/>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7F4B5B1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设施维护</w:t>
            </w:r>
          </w:p>
        </w:tc>
        <w:tc>
          <w:tcPr>
            <w:tcW w:w="1061" w:type="dxa"/>
            <w:tcBorders>
              <w:top w:val="nil"/>
              <w:left w:val="single" w:color="auto" w:sz="4" w:space="0"/>
              <w:bottom w:val="single" w:color="auto" w:sz="4" w:space="0"/>
              <w:right w:val="single" w:color="auto" w:sz="4" w:space="0"/>
            </w:tcBorders>
            <w:noWrap w:val="0"/>
            <w:vAlign w:val="top"/>
          </w:tcPr>
          <w:p w14:paraId="7DCCE54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3A9408F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5C0D86A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FB3238B">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5142C1C7">
            <w:pPr>
              <w:widowControl/>
              <w:jc w:val="left"/>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0A24792B">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专项工作</w:t>
            </w:r>
          </w:p>
        </w:tc>
        <w:tc>
          <w:tcPr>
            <w:tcW w:w="1061" w:type="dxa"/>
            <w:tcBorders>
              <w:top w:val="nil"/>
              <w:left w:val="single" w:color="auto" w:sz="4" w:space="0"/>
              <w:bottom w:val="single" w:color="auto" w:sz="4" w:space="0"/>
              <w:right w:val="single" w:color="auto" w:sz="4" w:space="0"/>
            </w:tcBorders>
            <w:noWrap w:val="0"/>
            <w:vAlign w:val="top"/>
          </w:tcPr>
          <w:p w14:paraId="59DC027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26D36F5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6B0BE7D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C3D0829">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349241BA">
            <w:pPr>
              <w:widowControl/>
              <w:jc w:val="left"/>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5A43BF7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内业管理</w:t>
            </w:r>
          </w:p>
        </w:tc>
        <w:tc>
          <w:tcPr>
            <w:tcW w:w="1061" w:type="dxa"/>
            <w:tcBorders>
              <w:top w:val="nil"/>
              <w:left w:val="single" w:color="auto" w:sz="4" w:space="0"/>
              <w:bottom w:val="single" w:color="auto" w:sz="4" w:space="0"/>
              <w:right w:val="single" w:color="auto" w:sz="4" w:space="0"/>
            </w:tcBorders>
            <w:noWrap w:val="0"/>
            <w:vAlign w:val="top"/>
          </w:tcPr>
          <w:p w14:paraId="7C9DE1D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553262B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062FBDB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213B95C">
        <w:tblPrEx>
          <w:tblCellMar>
            <w:top w:w="0" w:type="dxa"/>
            <w:left w:w="108" w:type="dxa"/>
            <w:bottom w:w="0" w:type="dxa"/>
            <w:right w:w="108" w:type="dxa"/>
          </w:tblCellMar>
        </w:tblPrEx>
        <w:trPr>
          <w:trHeight w:val="312" w:hRule="atLeast"/>
        </w:trPr>
        <w:tc>
          <w:tcPr>
            <w:tcW w:w="661" w:type="dxa"/>
            <w:vMerge w:val="continue"/>
            <w:tcBorders>
              <w:left w:val="single" w:color="auto" w:sz="4" w:space="0"/>
              <w:bottom w:val="single" w:color="auto" w:sz="4" w:space="0"/>
              <w:right w:val="single" w:color="auto" w:sz="4" w:space="0"/>
            </w:tcBorders>
            <w:noWrap w:val="0"/>
            <w:vAlign w:val="top"/>
          </w:tcPr>
          <w:p w14:paraId="5C04CE81">
            <w:pPr>
              <w:widowControl/>
              <w:jc w:val="left"/>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541B8ED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其它</w:t>
            </w:r>
          </w:p>
        </w:tc>
        <w:tc>
          <w:tcPr>
            <w:tcW w:w="1061" w:type="dxa"/>
            <w:tcBorders>
              <w:top w:val="nil"/>
              <w:left w:val="single" w:color="auto" w:sz="4" w:space="0"/>
              <w:bottom w:val="single" w:color="auto" w:sz="4" w:space="0"/>
              <w:right w:val="single" w:color="auto" w:sz="4" w:space="0"/>
            </w:tcBorders>
            <w:noWrap w:val="0"/>
            <w:vAlign w:val="top"/>
          </w:tcPr>
          <w:p w14:paraId="3A939B9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3616856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751CFA5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EA10581">
        <w:tblPrEx>
          <w:tblCellMar>
            <w:top w:w="0" w:type="dxa"/>
            <w:left w:w="108" w:type="dxa"/>
            <w:bottom w:w="0" w:type="dxa"/>
            <w:right w:w="108" w:type="dxa"/>
          </w:tblCellMar>
        </w:tblPrEx>
        <w:trPr>
          <w:trHeight w:val="312" w:hRule="atLeast"/>
        </w:trPr>
        <w:tc>
          <w:tcPr>
            <w:tcW w:w="661" w:type="dxa"/>
            <w:vMerge w:val="restart"/>
            <w:tcBorders>
              <w:top w:val="nil"/>
              <w:left w:val="single" w:color="auto" w:sz="4" w:space="0"/>
              <w:right w:val="single" w:color="auto" w:sz="4" w:space="0"/>
            </w:tcBorders>
            <w:noWrap w:val="0"/>
            <w:vAlign w:val="top"/>
          </w:tcPr>
          <w:p w14:paraId="566B80B1">
            <w:pPr>
              <w:widowControl/>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日常</w:t>
            </w:r>
          </w:p>
          <w:p w14:paraId="55C0338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检查 </w:t>
            </w: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5E62E90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公园巡查</w:t>
            </w:r>
          </w:p>
        </w:tc>
        <w:tc>
          <w:tcPr>
            <w:tcW w:w="1061" w:type="dxa"/>
            <w:tcBorders>
              <w:top w:val="nil"/>
              <w:left w:val="single" w:color="auto" w:sz="4" w:space="0"/>
              <w:bottom w:val="single" w:color="auto" w:sz="4" w:space="0"/>
              <w:right w:val="single" w:color="auto" w:sz="4" w:space="0"/>
            </w:tcBorders>
            <w:noWrap w:val="0"/>
            <w:vAlign w:val="top"/>
          </w:tcPr>
          <w:p w14:paraId="4EBF266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7CE3432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4D06D55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633CFD5">
        <w:tblPrEx>
          <w:tblCellMar>
            <w:top w:w="0" w:type="dxa"/>
            <w:left w:w="108" w:type="dxa"/>
            <w:bottom w:w="0" w:type="dxa"/>
            <w:right w:w="108" w:type="dxa"/>
          </w:tblCellMar>
        </w:tblPrEx>
        <w:trPr>
          <w:trHeight w:val="312" w:hRule="atLeast"/>
        </w:trPr>
        <w:tc>
          <w:tcPr>
            <w:tcW w:w="661" w:type="dxa"/>
            <w:vMerge w:val="continue"/>
            <w:tcBorders>
              <w:left w:val="single" w:color="auto" w:sz="4" w:space="0"/>
              <w:bottom w:val="nil"/>
              <w:right w:val="single" w:color="auto" w:sz="4" w:space="0"/>
            </w:tcBorders>
            <w:noWrap w:val="0"/>
            <w:vAlign w:val="top"/>
          </w:tcPr>
          <w:p w14:paraId="667BC758">
            <w:pPr>
              <w:widowControl/>
              <w:jc w:val="left"/>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743EF95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中标供应商自查</w:t>
            </w:r>
          </w:p>
        </w:tc>
        <w:tc>
          <w:tcPr>
            <w:tcW w:w="1061" w:type="dxa"/>
            <w:tcBorders>
              <w:top w:val="nil"/>
              <w:left w:val="single" w:color="auto" w:sz="4" w:space="0"/>
              <w:bottom w:val="single" w:color="auto" w:sz="4" w:space="0"/>
              <w:right w:val="single" w:color="auto" w:sz="4" w:space="0"/>
            </w:tcBorders>
            <w:noWrap w:val="0"/>
            <w:vAlign w:val="top"/>
          </w:tcPr>
          <w:p w14:paraId="58E81C1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6EFB1AE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11CBA70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5F42930">
        <w:tblPrEx>
          <w:tblCellMar>
            <w:top w:w="0" w:type="dxa"/>
            <w:left w:w="108" w:type="dxa"/>
            <w:bottom w:w="0" w:type="dxa"/>
            <w:right w:w="108" w:type="dxa"/>
          </w:tblCellMar>
        </w:tblPrEx>
        <w:trPr>
          <w:trHeight w:val="312" w:hRule="atLeast"/>
        </w:trPr>
        <w:tc>
          <w:tcPr>
            <w:tcW w:w="661" w:type="dxa"/>
            <w:vMerge w:val="restart"/>
            <w:tcBorders>
              <w:top w:val="single" w:color="auto" w:sz="4" w:space="0"/>
              <w:left w:val="single" w:color="auto" w:sz="4" w:space="0"/>
              <w:right w:val="single" w:color="auto" w:sz="4" w:space="0"/>
            </w:tcBorders>
            <w:noWrap w:val="0"/>
            <w:vAlign w:val="top"/>
          </w:tcPr>
          <w:p w14:paraId="0DA06C3A">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w:t>
            </w:r>
          </w:p>
          <w:p w14:paraId="30EF269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p w14:paraId="3A8114A4">
            <w:pPr>
              <w:widowControl/>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3</w:t>
            </w:r>
            <w:r>
              <w:rPr>
                <w:rFonts w:hint="eastAsia" w:ascii="宋体" w:hAnsi="宋体" w:cs="宋体"/>
                <w:color w:val="auto"/>
                <w:kern w:val="0"/>
                <w:szCs w:val="21"/>
                <w:highlight w:val="none"/>
                <w:lang w:eastAsia="zh-CN"/>
              </w:rPr>
              <w:t>、</w:t>
            </w:r>
          </w:p>
          <w:p w14:paraId="5AD874F1">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w:t>
            </w:r>
          </w:p>
          <w:p w14:paraId="0B41E3BA">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项</w:t>
            </w:r>
          </w:p>
          <w:p w14:paraId="3B6340C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考</w:t>
            </w:r>
          </w:p>
          <w:p w14:paraId="77099F78">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评</w:t>
            </w:r>
          </w:p>
          <w:p w14:paraId="1AC6CA2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1129022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施肥</w:t>
            </w:r>
          </w:p>
        </w:tc>
        <w:tc>
          <w:tcPr>
            <w:tcW w:w="1061" w:type="dxa"/>
            <w:tcBorders>
              <w:top w:val="nil"/>
              <w:left w:val="single" w:color="auto" w:sz="4" w:space="0"/>
              <w:bottom w:val="single" w:color="auto" w:sz="4" w:space="0"/>
              <w:right w:val="single" w:color="auto" w:sz="4" w:space="0"/>
            </w:tcBorders>
            <w:noWrap w:val="0"/>
            <w:vAlign w:val="top"/>
          </w:tcPr>
          <w:p w14:paraId="1C300B8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2CFCEEA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2CD5564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02B2E3F">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22C87F77">
            <w:pPr>
              <w:widowControl/>
              <w:jc w:val="left"/>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2AF841AF">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淋水抗旱</w:t>
            </w:r>
          </w:p>
        </w:tc>
        <w:tc>
          <w:tcPr>
            <w:tcW w:w="1061" w:type="dxa"/>
            <w:tcBorders>
              <w:top w:val="nil"/>
              <w:left w:val="single" w:color="auto" w:sz="4" w:space="0"/>
              <w:bottom w:val="single" w:color="auto" w:sz="4" w:space="0"/>
              <w:right w:val="single" w:color="auto" w:sz="4" w:space="0"/>
            </w:tcBorders>
            <w:noWrap w:val="0"/>
            <w:vAlign w:val="top"/>
          </w:tcPr>
          <w:p w14:paraId="1454C34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53DB838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011F23D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9C03DB8">
        <w:tblPrEx>
          <w:tblCellMar>
            <w:top w:w="0" w:type="dxa"/>
            <w:left w:w="108" w:type="dxa"/>
            <w:bottom w:w="0" w:type="dxa"/>
            <w:right w:w="108" w:type="dxa"/>
          </w:tblCellMar>
        </w:tblPrEx>
        <w:trPr>
          <w:trHeight w:val="300" w:hRule="atLeast"/>
        </w:trPr>
        <w:tc>
          <w:tcPr>
            <w:tcW w:w="661" w:type="dxa"/>
            <w:vMerge w:val="continue"/>
            <w:tcBorders>
              <w:left w:val="single" w:color="auto" w:sz="4" w:space="0"/>
              <w:right w:val="single" w:color="auto" w:sz="4" w:space="0"/>
            </w:tcBorders>
            <w:noWrap w:val="0"/>
            <w:vAlign w:val="top"/>
          </w:tcPr>
          <w:p w14:paraId="6F8A226A">
            <w:pPr>
              <w:widowControl/>
              <w:jc w:val="center"/>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410D374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专项病虫害防治</w:t>
            </w:r>
          </w:p>
        </w:tc>
        <w:tc>
          <w:tcPr>
            <w:tcW w:w="1061" w:type="dxa"/>
            <w:tcBorders>
              <w:top w:val="nil"/>
              <w:left w:val="single" w:color="auto" w:sz="4" w:space="0"/>
              <w:bottom w:val="single" w:color="auto" w:sz="4" w:space="0"/>
              <w:right w:val="single" w:color="auto" w:sz="4" w:space="0"/>
            </w:tcBorders>
            <w:noWrap w:val="0"/>
            <w:vAlign w:val="top"/>
          </w:tcPr>
          <w:p w14:paraId="5DD4A69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41926B2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7D9296D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8B05A25">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43885090">
            <w:pPr>
              <w:widowControl/>
              <w:jc w:val="center"/>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3926C9E4">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灾害应对</w:t>
            </w:r>
          </w:p>
        </w:tc>
        <w:tc>
          <w:tcPr>
            <w:tcW w:w="1061" w:type="dxa"/>
            <w:tcBorders>
              <w:top w:val="nil"/>
              <w:left w:val="single" w:color="auto" w:sz="4" w:space="0"/>
              <w:bottom w:val="single" w:color="auto" w:sz="4" w:space="0"/>
              <w:right w:val="single" w:color="auto" w:sz="4" w:space="0"/>
            </w:tcBorders>
            <w:noWrap w:val="0"/>
            <w:vAlign w:val="top"/>
          </w:tcPr>
          <w:p w14:paraId="0C60EEF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3DB0CFC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3C1BBF5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F2C6F1F">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37161051">
            <w:pPr>
              <w:widowControl/>
              <w:jc w:val="center"/>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0B0F6A3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活动专项各类迎检</w:t>
            </w:r>
          </w:p>
        </w:tc>
        <w:tc>
          <w:tcPr>
            <w:tcW w:w="1061" w:type="dxa"/>
            <w:tcBorders>
              <w:top w:val="nil"/>
              <w:left w:val="single" w:color="auto" w:sz="4" w:space="0"/>
              <w:bottom w:val="single" w:color="auto" w:sz="4" w:space="0"/>
              <w:right w:val="single" w:color="auto" w:sz="4" w:space="0"/>
            </w:tcBorders>
            <w:noWrap w:val="0"/>
            <w:vAlign w:val="top"/>
          </w:tcPr>
          <w:p w14:paraId="7699C38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3D458D3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159167E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58F9C77">
        <w:tblPrEx>
          <w:tblCellMar>
            <w:top w:w="0" w:type="dxa"/>
            <w:left w:w="108" w:type="dxa"/>
            <w:bottom w:w="0" w:type="dxa"/>
            <w:right w:w="108" w:type="dxa"/>
          </w:tblCellMar>
        </w:tblPrEx>
        <w:trPr>
          <w:trHeight w:val="312" w:hRule="atLeast"/>
        </w:trPr>
        <w:tc>
          <w:tcPr>
            <w:tcW w:w="661" w:type="dxa"/>
            <w:vMerge w:val="continue"/>
            <w:tcBorders>
              <w:left w:val="single" w:color="auto" w:sz="4" w:space="0"/>
              <w:right w:val="single" w:color="auto" w:sz="4" w:space="0"/>
            </w:tcBorders>
            <w:noWrap w:val="0"/>
            <w:vAlign w:val="top"/>
          </w:tcPr>
          <w:p w14:paraId="18A34714">
            <w:pPr>
              <w:widowControl/>
              <w:jc w:val="center"/>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52FECC6F">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曝光及投诉</w:t>
            </w:r>
          </w:p>
        </w:tc>
        <w:tc>
          <w:tcPr>
            <w:tcW w:w="1061" w:type="dxa"/>
            <w:tcBorders>
              <w:top w:val="nil"/>
              <w:left w:val="single" w:color="auto" w:sz="4" w:space="0"/>
              <w:bottom w:val="single" w:color="auto" w:sz="4" w:space="0"/>
              <w:right w:val="single" w:color="auto" w:sz="4" w:space="0"/>
            </w:tcBorders>
            <w:noWrap w:val="0"/>
            <w:vAlign w:val="top"/>
          </w:tcPr>
          <w:p w14:paraId="244B91D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7993522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70850E5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A58B81B">
        <w:tblPrEx>
          <w:tblCellMar>
            <w:top w:w="0" w:type="dxa"/>
            <w:left w:w="108" w:type="dxa"/>
            <w:bottom w:w="0" w:type="dxa"/>
            <w:right w:w="108" w:type="dxa"/>
          </w:tblCellMar>
        </w:tblPrEx>
        <w:trPr>
          <w:trHeight w:val="312" w:hRule="atLeast"/>
        </w:trPr>
        <w:tc>
          <w:tcPr>
            <w:tcW w:w="661" w:type="dxa"/>
            <w:vMerge w:val="continue"/>
            <w:tcBorders>
              <w:left w:val="single" w:color="auto" w:sz="4" w:space="0"/>
              <w:bottom w:val="nil"/>
              <w:right w:val="single" w:color="auto" w:sz="4" w:space="0"/>
            </w:tcBorders>
            <w:noWrap w:val="0"/>
            <w:vAlign w:val="top"/>
          </w:tcPr>
          <w:p w14:paraId="61D7A5F9">
            <w:pPr>
              <w:widowControl/>
              <w:jc w:val="left"/>
              <w:rPr>
                <w:rFonts w:ascii="宋体" w:hAnsi="宋体" w:cs="宋体"/>
                <w:color w:val="auto"/>
                <w:kern w:val="0"/>
                <w:szCs w:val="21"/>
                <w:highlight w:val="none"/>
              </w:rPr>
            </w:pPr>
          </w:p>
        </w:tc>
        <w:tc>
          <w:tcPr>
            <w:tcW w:w="2562" w:type="dxa"/>
            <w:gridSpan w:val="2"/>
            <w:tcBorders>
              <w:top w:val="single" w:color="auto" w:sz="4" w:space="0"/>
              <w:left w:val="single" w:color="auto" w:sz="4" w:space="0"/>
              <w:bottom w:val="single" w:color="auto" w:sz="4" w:space="0"/>
              <w:right w:val="single" w:color="auto" w:sz="4" w:space="0"/>
            </w:tcBorders>
            <w:noWrap w:val="0"/>
            <w:vAlign w:val="center"/>
          </w:tcPr>
          <w:p w14:paraId="68BF185E">
            <w:pPr>
              <w:widowControl/>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其他</w:t>
            </w:r>
          </w:p>
        </w:tc>
        <w:tc>
          <w:tcPr>
            <w:tcW w:w="1061" w:type="dxa"/>
            <w:tcBorders>
              <w:top w:val="nil"/>
              <w:left w:val="single" w:color="auto" w:sz="4" w:space="0"/>
              <w:bottom w:val="single" w:color="auto" w:sz="4" w:space="0"/>
              <w:right w:val="single" w:color="auto" w:sz="4" w:space="0"/>
            </w:tcBorders>
            <w:noWrap w:val="0"/>
            <w:vAlign w:val="top"/>
          </w:tcPr>
          <w:p w14:paraId="1D21DE1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gridSpan w:val="2"/>
            <w:tcBorders>
              <w:top w:val="nil"/>
              <w:left w:val="nil"/>
              <w:bottom w:val="single" w:color="auto" w:sz="4" w:space="0"/>
              <w:right w:val="single" w:color="auto" w:sz="4" w:space="0"/>
            </w:tcBorders>
            <w:noWrap w:val="0"/>
            <w:vAlign w:val="top"/>
          </w:tcPr>
          <w:p w14:paraId="0FCE3E5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31" w:type="dxa"/>
            <w:gridSpan w:val="2"/>
            <w:tcBorders>
              <w:top w:val="nil"/>
              <w:left w:val="nil"/>
              <w:bottom w:val="single" w:color="auto" w:sz="4" w:space="0"/>
              <w:right w:val="single" w:color="auto" w:sz="4" w:space="0"/>
            </w:tcBorders>
            <w:noWrap w:val="0"/>
            <w:vAlign w:val="top"/>
          </w:tcPr>
          <w:p w14:paraId="3F85F7E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68D11A65">
        <w:tblPrEx>
          <w:tblCellMar>
            <w:top w:w="0" w:type="dxa"/>
            <w:left w:w="108" w:type="dxa"/>
            <w:bottom w:w="0" w:type="dxa"/>
            <w:right w:w="108" w:type="dxa"/>
          </w:tblCellMar>
        </w:tblPrEx>
        <w:trPr>
          <w:trHeight w:val="431" w:hRule="atLeast"/>
        </w:trPr>
        <w:tc>
          <w:tcPr>
            <w:tcW w:w="6250" w:type="dxa"/>
            <w:gridSpan w:val="7"/>
            <w:tcBorders>
              <w:top w:val="single" w:color="auto" w:sz="4" w:space="0"/>
              <w:left w:val="single" w:color="auto" w:sz="4" w:space="0"/>
              <w:bottom w:val="single" w:color="auto" w:sz="4" w:space="0"/>
              <w:right w:val="single" w:color="000000" w:sz="4" w:space="0"/>
            </w:tcBorders>
            <w:noWrap w:val="0"/>
            <w:vAlign w:val="top"/>
          </w:tcPr>
          <w:p w14:paraId="555293D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月度考核综合得分</w:t>
            </w:r>
            <w:r>
              <w:rPr>
                <w:rFonts w:hint="eastAsia" w:ascii="宋体" w:hAnsi="宋体"/>
                <w:color w:val="auto"/>
                <w:highlight w:val="none"/>
              </w:rPr>
              <w:t>＝100－月度检查扣分分值×70%</w:t>
            </w:r>
            <w:r>
              <w:rPr>
                <w:rFonts w:hint="eastAsia" w:ascii="宋体"/>
                <w:color w:val="auto"/>
                <w:highlight w:val="none"/>
              </w:rPr>
              <w:t>－</w:t>
            </w:r>
            <w:r>
              <w:rPr>
                <w:rFonts w:hint="eastAsia" w:ascii="宋体" w:hAnsi="宋体"/>
                <w:color w:val="auto"/>
                <w:highlight w:val="none"/>
              </w:rPr>
              <w:t>日常检查扣分分值（含未整改扣分值）×30%-专项考评</w:t>
            </w:r>
            <w:r>
              <w:rPr>
                <w:rFonts w:hint="eastAsia" w:ascii="宋体"/>
                <w:color w:val="auto"/>
                <w:highlight w:val="none"/>
              </w:rPr>
              <w:t>扣分分值</w:t>
            </w:r>
          </w:p>
        </w:tc>
        <w:tc>
          <w:tcPr>
            <w:tcW w:w="3425" w:type="dxa"/>
            <w:tcBorders>
              <w:top w:val="single" w:color="auto" w:sz="4" w:space="0"/>
              <w:left w:val="nil"/>
              <w:bottom w:val="single" w:color="auto" w:sz="4" w:space="0"/>
              <w:right w:val="single" w:color="000000" w:sz="4" w:space="0"/>
            </w:tcBorders>
            <w:noWrap w:val="0"/>
            <w:vAlign w:val="top"/>
          </w:tcPr>
          <w:p w14:paraId="5A4FF458">
            <w:pPr>
              <w:widowControl/>
              <w:jc w:val="left"/>
              <w:rPr>
                <w:rFonts w:ascii="宋体" w:hAnsi="宋体" w:cs="宋体"/>
                <w:color w:val="auto"/>
                <w:kern w:val="0"/>
                <w:szCs w:val="21"/>
                <w:highlight w:val="none"/>
              </w:rPr>
            </w:pPr>
          </w:p>
        </w:tc>
      </w:tr>
      <w:tr w14:paraId="60B7E40A">
        <w:tblPrEx>
          <w:tblCellMar>
            <w:top w:w="0" w:type="dxa"/>
            <w:left w:w="108" w:type="dxa"/>
            <w:bottom w:w="0" w:type="dxa"/>
            <w:right w:w="108" w:type="dxa"/>
          </w:tblCellMar>
        </w:tblPrEx>
        <w:trPr>
          <w:trHeight w:val="479" w:hRule="atLeast"/>
        </w:trPr>
        <w:tc>
          <w:tcPr>
            <w:tcW w:w="1942" w:type="dxa"/>
            <w:gridSpan w:val="2"/>
            <w:tcBorders>
              <w:top w:val="single" w:color="auto" w:sz="4" w:space="0"/>
              <w:left w:val="single" w:color="auto" w:sz="4" w:space="0"/>
              <w:bottom w:val="single" w:color="auto" w:sz="4" w:space="0"/>
              <w:right w:val="single" w:color="000000" w:sz="4" w:space="0"/>
            </w:tcBorders>
            <w:noWrap w:val="0"/>
            <w:vAlign w:val="top"/>
          </w:tcPr>
          <w:p w14:paraId="13C58FD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考核等次</w:t>
            </w:r>
          </w:p>
        </w:tc>
        <w:tc>
          <w:tcPr>
            <w:tcW w:w="7733" w:type="dxa"/>
            <w:gridSpan w:val="6"/>
            <w:tcBorders>
              <w:top w:val="single" w:color="auto" w:sz="4" w:space="0"/>
              <w:left w:val="nil"/>
              <w:bottom w:val="single" w:color="auto" w:sz="4" w:space="0"/>
              <w:right w:val="single" w:color="000000" w:sz="4" w:space="0"/>
            </w:tcBorders>
            <w:noWrap w:val="0"/>
            <w:vAlign w:val="top"/>
          </w:tcPr>
          <w:p w14:paraId="3A065BA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6EF0F54">
        <w:tblPrEx>
          <w:tblCellMar>
            <w:top w:w="0" w:type="dxa"/>
            <w:left w:w="108" w:type="dxa"/>
            <w:bottom w:w="0" w:type="dxa"/>
            <w:right w:w="108" w:type="dxa"/>
          </w:tblCellMar>
        </w:tblPrEx>
        <w:trPr>
          <w:trHeight w:val="425" w:hRule="atLeast"/>
        </w:trPr>
        <w:tc>
          <w:tcPr>
            <w:tcW w:w="1942" w:type="dxa"/>
            <w:gridSpan w:val="2"/>
            <w:tcBorders>
              <w:top w:val="single" w:color="auto" w:sz="4" w:space="0"/>
              <w:left w:val="single" w:color="auto" w:sz="4" w:space="0"/>
              <w:bottom w:val="single" w:color="auto" w:sz="4" w:space="0"/>
              <w:right w:val="single" w:color="000000" w:sz="4" w:space="0"/>
            </w:tcBorders>
            <w:noWrap w:val="0"/>
            <w:vAlign w:val="top"/>
          </w:tcPr>
          <w:p w14:paraId="41DBCCC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月度服务费</w:t>
            </w:r>
          </w:p>
        </w:tc>
        <w:tc>
          <w:tcPr>
            <w:tcW w:w="7733" w:type="dxa"/>
            <w:gridSpan w:val="6"/>
            <w:tcBorders>
              <w:top w:val="single" w:color="auto" w:sz="4" w:space="0"/>
              <w:left w:val="nil"/>
              <w:bottom w:val="single" w:color="auto" w:sz="4" w:space="0"/>
              <w:right w:val="single" w:color="000000" w:sz="4" w:space="0"/>
            </w:tcBorders>
            <w:noWrap w:val="0"/>
            <w:vAlign w:val="top"/>
          </w:tcPr>
          <w:p w14:paraId="6793B08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（元）</w:t>
            </w:r>
          </w:p>
        </w:tc>
      </w:tr>
      <w:tr w14:paraId="2470B134">
        <w:tblPrEx>
          <w:tblCellMar>
            <w:top w:w="0" w:type="dxa"/>
            <w:left w:w="108" w:type="dxa"/>
            <w:bottom w:w="0" w:type="dxa"/>
            <w:right w:w="108" w:type="dxa"/>
          </w:tblCellMar>
        </w:tblPrEx>
        <w:trPr>
          <w:trHeight w:val="1551" w:hRule="atLeast"/>
        </w:trPr>
        <w:tc>
          <w:tcPr>
            <w:tcW w:w="661" w:type="dxa"/>
            <w:tcBorders>
              <w:top w:val="nil"/>
              <w:left w:val="single" w:color="auto" w:sz="4" w:space="0"/>
              <w:bottom w:val="single" w:color="auto" w:sz="4" w:space="0"/>
              <w:right w:val="single" w:color="auto" w:sz="4" w:space="0"/>
            </w:tcBorders>
            <w:noWrap w:val="0"/>
            <w:vAlign w:val="center"/>
          </w:tcPr>
          <w:p w14:paraId="2D5FA0F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整改要求</w:t>
            </w:r>
          </w:p>
        </w:tc>
        <w:tc>
          <w:tcPr>
            <w:tcW w:w="9014" w:type="dxa"/>
            <w:gridSpan w:val="7"/>
            <w:tcBorders>
              <w:top w:val="single" w:color="auto" w:sz="4" w:space="0"/>
              <w:left w:val="nil"/>
              <w:bottom w:val="single" w:color="auto" w:sz="4" w:space="0"/>
              <w:right w:val="single" w:color="000000" w:sz="4" w:space="0"/>
            </w:tcBorders>
            <w:noWrap w:val="0"/>
            <w:vAlign w:val="center"/>
          </w:tcPr>
          <w:p w14:paraId="2189967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973729A">
        <w:tblPrEx>
          <w:tblCellMar>
            <w:top w:w="0" w:type="dxa"/>
            <w:left w:w="108" w:type="dxa"/>
            <w:bottom w:w="0" w:type="dxa"/>
            <w:right w:w="108" w:type="dxa"/>
          </w:tblCellMar>
        </w:tblPrEx>
        <w:trPr>
          <w:trHeight w:val="2557" w:hRule="atLeast"/>
        </w:trPr>
        <w:tc>
          <w:tcPr>
            <w:tcW w:w="4838" w:type="dxa"/>
            <w:gridSpan w:val="5"/>
            <w:tcBorders>
              <w:top w:val="single" w:color="auto" w:sz="4" w:space="0"/>
              <w:left w:val="single" w:color="auto" w:sz="4" w:space="0"/>
              <w:bottom w:val="single" w:color="auto" w:sz="4" w:space="0"/>
              <w:right w:val="single" w:color="auto" w:sz="4" w:space="0"/>
            </w:tcBorders>
            <w:noWrap w:val="0"/>
            <w:vAlign w:val="top"/>
          </w:tcPr>
          <w:p w14:paraId="07BAACB6">
            <w:pPr>
              <w:rPr>
                <w:rFonts w:ascii="宋体" w:hAnsi="宋体"/>
                <w:bCs/>
                <w:color w:val="auto"/>
                <w:szCs w:val="21"/>
                <w:highlight w:val="none"/>
              </w:rPr>
            </w:pPr>
            <w:r>
              <w:rPr>
                <w:rFonts w:hint="eastAsia" w:ascii="宋体" w:hAnsi="宋体"/>
                <w:color w:val="auto"/>
                <w:kern w:val="0"/>
                <w:szCs w:val="21"/>
                <w:highlight w:val="none"/>
              </w:rPr>
              <w:t xml:space="preserve">南宁市金花茶公园（盖章）：                        </w:t>
            </w:r>
          </w:p>
          <w:p w14:paraId="65484260">
            <w:pPr>
              <w:rPr>
                <w:rFonts w:ascii="宋体" w:hAnsi="宋体"/>
                <w:color w:val="auto"/>
                <w:kern w:val="0"/>
                <w:szCs w:val="21"/>
                <w:highlight w:val="none"/>
              </w:rPr>
            </w:pPr>
          </w:p>
          <w:p w14:paraId="029DE5E8">
            <w:pPr>
              <w:rPr>
                <w:rFonts w:ascii="宋体" w:hAnsi="宋体"/>
                <w:color w:val="auto"/>
                <w:kern w:val="0"/>
                <w:szCs w:val="21"/>
                <w:highlight w:val="none"/>
              </w:rPr>
            </w:pPr>
          </w:p>
          <w:p w14:paraId="13C07E87">
            <w:pPr>
              <w:rPr>
                <w:rFonts w:ascii="宋体" w:hAnsi="宋体"/>
                <w:color w:val="auto"/>
                <w:kern w:val="0"/>
                <w:szCs w:val="21"/>
                <w:highlight w:val="none"/>
              </w:rPr>
            </w:pPr>
            <w:r>
              <w:rPr>
                <w:rFonts w:hint="eastAsia" w:ascii="宋体" w:hAnsi="宋体"/>
                <w:color w:val="auto"/>
                <w:kern w:val="0"/>
                <w:szCs w:val="21"/>
                <w:highlight w:val="none"/>
              </w:rPr>
              <w:t>考核小组人员：</w:t>
            </w:r>
          </w:p>
          <w:p w14:paraId="248C2388">
            <w:pPr>
              <w:rPr>
                <w:rFonts w:ascii="宋体" w:hAnsi="宋体"/>
                <w:color w:val="auto"/>
                <w:kern w:val="0"/>
                <w:szCs w:val="21"/>
                <w:highlight w:val="none"/>
              </w:rPr>
            </w:pPr>
          </w:p>
          <w:p w14:paraId="355F8326">
            <w:pPr>
              <w:rPr>
                <w:rFonts w:ascii="宋体" w:hAnsi="宋体"/>
                <w:color w:val="auto"/>
                <w:kern w:val="0"/>
                <w:szCs w:val="21"/>
                <w:highlight w:val="none"/>
              </w:rPr>
            </w:pPr>
          </w:p>
          <w:p w14:paraId="53A0A5EB">
            <w:pPr>
              <w:rPr>
                <w:rFonts w:ascii="宋体" w:hAnsi="宋体"/>
                <w:color w:val="auto"/>
                <w:kern w:val="0"/>
                <w:szCs w:val="21"/>
                <w:highlight w:val="none"/>
              </w:rPr>
            </w:pPr>
            <w:r>
              <w:rPr>
                <w:rFonts w:hint="eastAsia" w:ascii="宋体" w:hAnsi="宋体"/>
                <w:color w:val="auto"/>
                <w:kern w:val="0"/>
                <w:szCs w:val="21"/>
                <w:highlight w:val="none"/>
              </w:rPr>
              <w:t>科室负责人：</w:t>
            </w:r>
          </w:p>
        </w:tc>
        <w:tc>
          <w:tcPr>
            <w:tcW w:w="4837" w:type="dxa"/>
            <w:gridSpan w:val="3"/>
            <w:tcBorders>
              <w:top w:val="single" w:color="auto" w:sz="4" w:space="0"/>
              <w:left w:val="single" w:color="auto" w:sz="4" w:space="0"/>
              <w:bottom w:val="single" w:color="auto" w:sz="4" w:space="0"/>
              <w:right w:val="single" w:color="auto" w:sz="4" w:space="0"/>
            </w:tcBorders>
            <w:noWrap w:val="0"/>
            <w:vAlign w:val="top"/>
          </w:tcPr>
          <w:p w14:paraId="4E70D8D7">
            <w:pPr>
              <w:rPr>
                <w:rFonts w:ascii="宋体" w:hAnsi="宋体"/>
                <w:color w:val="auto"/>
                <w:kern w:val="0"/>
                <w:szCs w:val="21"/>
                <w:highlight w:val="none"/>
              </w:rPr>
            </w:pPr>
            <w:r>
              <w:rPr>
                <w:rFonts w:hint="eastAsia" w:ascii="宋体" w:hAnsi="宋体"/>
                <w:color w:val="auto"/>
                <w:kern w:val="0"/>
                <w:szCs w:val="21"/>
                <w:highlight w:val="none"/>
              </w:rPr>
              <w:t>服务供应公司名称（盖章）：</w:t>
            </w:r>
          </w:p>
          <w:p w14:paraId="50950EA1">
            <w:pPr>
              <w:rPr>
                <w:rFonts w:ascii="宋体" w:hAnsi="宋体"/>
                <w:color w:val="auto"/>
                <w:kern w:val="0"/>
                <w:szCs w:val="21"/>
                <w:highlight w:val="none"/>
              </w:rPr>
            </w:pPr>
          </w:p>
          <w:p w14:paraId="1293FAAF">
            <w:pPr>
              <w:rPr>
                <w:rFonts w:ascii="宋体" w:hAnsi="宋体"/>
                <w:color w:val="auto"/>
                <w:kern w:val="0"/>
                <w:szCs w:val="21"/>
                <w:highlight w:val="none"/>
              </w:rPr>
            </w:pPr>
          </w:p>
          <w:p w14:paraId="0C485E0C">
            <w:pPr>
              <w:rPr>
                <w:rFonts w:ascii="宋体" w:hAnsi="宋体"/>
                <w:color w:val="auto"/>
                <w:kern w:val="0"/>
                <w:szCs w:val="21"/>
                <w:highlight w:val="none"/>
              </w:rPr>
            </w:pPr>
            <w:r>
              <w:rPr>
                <w:rFonts w:hint="eastAsia" w:ascii="宋体" w:hAnsi="宋体"/>
                <w:color w:val="auto"/>
                <w:kern w:val="0"/>
                <w:szCs w:val="21"/>
                <w:highlight w:val="none"/>
              </w:rPr>
              <w:t>考核小组人员：</w:t>
            </w:r>
          </w:p>
          <w:p w14:paraId="3E9B0569">
            <w:pPr>
              <w:rPr>
                <w:rFonts w:ascii="宋体" w:hAnsi="宋体"/>
                <w:color w:val="auto"/>
                <w:kern w:val="0"/>
                <w:szCs w:val="21"/>
                <w:highlight w:val="none"/>
              </w:rPr>
            </w:pPr>
          </w:p>
          <w:p w14:paraId="27AA857C">
            <w:pPr>
              <w:rPr>
                <w:rFonts w:ascii="宋体" w:hAnsi="宋体"/>
                <w:color w:val="auto"/>
                <w:kern w:val="0"/>
                <w:szCs w:val="21"/>
                <w:highlight w:val="none"/>
              </w:rPr>
            </w:pPr>
          </w:p>
          <w:p w14:paraId="27DCF16B">
            <w:pPr>
              <w:rPr>
                <w:rFonts w:ascii="宋体" w:hAnsi="宋体"/>
                <w:color w:val="auto"/>
                <w:kern w:val="0"/>
                <w:szCs w:val="21"/>
                <w:highlight w:val="none"/>
              </w:rPr>
            </w:pPr>
            <w:r>
              <w:rPr>
                <w:rFonts w:hint="eastAsia" w:ascii="宋体" w:hAnsi="宋体"/>
                <w:color w:val="auto"/>
                <w:kern w:val="0"/>
                <w:szCs w:val="21"/>
                <w:highlight w:val="none"/>
              </w:rPr>
              <w:t>项目负责人：</w:t>
            </w:r>
          </w:p>
        </w:tc>
      </w:tr>
    </w:tbl>
    <w:p w14:paraId="4B73179A">
      <w:pPr>
        <w:rPr>
          <w:rFonts w:hint="eastAsia" w:ascii="宋体" w:hAnsi="宋体" w:eastAsia="宋体" w:cs="宋体"/>
          <w:b/>
          <w:bCs w:val="0"/>
          <w:color w:val="auto"/>
          <w:sz w:val="24"/>
          <w:szCs w:val="24"/>
          <w:highlight w:val="none"/>
          <w:lang w:val="en-US" w:eastAsia="zh-CN"/>
        </w:rPr>
      </w:pPr>
    </w:p>
    <w:p w14:paraId="70ED2479">
      <w:pPr>
        <w:rPr>
          <w:rFonts w:hint="eastAsia" w:ascii="宋体" w:hAnsi="宋体" w:eastAsia="宋体" w:cs="宋体"/>
          <w:b/>
          <w:bCs w:val="0"/>
          <w:color w:val="auto"/>
          <w:sz w:val="24"/>
          <w:szCs w:val="24"/>
          <w:highlight w:val="none"/>
          <w:lang w:val="en-US" w:eastAsia="zh-CN"/>
        </w:rPr>
        <w:sectPr>
          <w:pgSz w:w="11906" w:h="16838"/>
          <w:pgMar w:top="1440" w:right="1304" w:bottom="1440" w:left="1134" w:header="851" w:footer="992" w:gutter="0"/>
          <w:pgBorders>
            <w:top w:val="none" w:sz="0" w:space="0"/>
            <w:left w:val="none" w:sz="0" w:space="0"/>
            <w:bottom w:val="none" w:sz="0" w:space="0"/>
            <w:right w:val="none" w:sz="0" w:space="0"/>
          </w:pgBorders>
          <w:cols w:space="720" w:num="1"/>
          <w:docGrid w:type="lines" w:linePitch="312" w:charSpace="0"/>
        </w:sectPr>
      </w:pPr>
    </w:p>
    <w:p w14:paraId="2D134A55">
      <w:pPr>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附件3-2-8</w:t>
      </w:r>
    </w:p>
    <w:p w14:paraId="631A0133">
      <w:pPr>
        <w:jc w:val="center"/>
        <w:rPr>
          <w:rFonts w:ascii="宋体"/>
          <w:b/>
          <w:bCs/>
          <w:color w:val="auto"/>
          <w:sz w:val="32"/>
          <w:szCs w:val="32"/>
          <w:highlight w:val="none"/>
        </w:rPr>
      </w:pPr>
      <w:r>
        <w:rPr>
          <w:rFonts w:hint="eastAsia" w:ascii="宋体" w:hAnsi="宋体"/>
          <w:b/>
          <w:bCs/>
          <w:color w:val="auto"/>
          <w:sz w:val="32"/>
          <w:szCs w:val="32"/>
          <w:highlight w:val="none"/>
        </w:rPr>
        <w:t>南宁市金花茶公园绿化作业安全管理办法</w:t>
      </w:r>
    </w:p>
    <w:p w14:paraId="5DCB0261">
      <w:pPr>
        <w:spacing w:line="520" w:lineRule="exact"/>
        <w:ind w:firstLine="301"/>
        <w:outlineLvl w:val="9"/>
        <w:rPr>
          <w:rFonts w:ascii="宋体" w:hAnsi="宋体"/>
          <w:b/>
          <w:bCs/>
          <w:color w:val="auto"/>
          <w:spacing w:val="-4"/>
          <w:szCs w:val="21"/>
          <w:highlight w:val="none"/>
        </w:rPr>
      </w:pPr>
      <w:bookmarkStart w:id="31" w:name="_Toc437873725"/>
      <w:bookmarkEnd w:id="31"/>
      <w:bookmarkStart w:id="32" w:name="_Toc185611591"/>
      <w:bookmarkStart w:id="33" w:name="_Toc186728989"/>
      <w:bookmarkStart w:id="34" w:name="_Toc185611659"/>
      <w:r>
        <w:rPr>
          <w:rFonts w:hint="eastAsia" w:ascii="宋体" w:hAnsi="宋体"/>
          <w:b/>
          <w:bCs/>
          <w:color w:val="auto"/>
          <w:spacing w:val="-4"/>
          <w:szCs w:val="21"/>
          <w:highlight w:val="none"/>
        </w:rPr>
        <w:t>一、总则</w:t>
      </w:r>
      <w:bookmarkEnd w:id="32"/>
      <w:bookmarkEnd w:id="33"/>
      <w:bookmarkEnd w:id="34"/>
    </w:p>
    <w:p w14:paraId="7F85E7F4">
      <w:pPr>
        <w:spacing w:line="520" w:lineRule="exact"/>
        <w:ind w:firstLine="401" w:firstLineChars="199"/>
        <w:rPr>
          <w:rFonts w:ascii="宋体" w:hAnsi="宋体"/>
          <w:color w:val="auto"/>
          <w:spacing w:val="-4"/>
          <w:szCs w:val="21"/>
          <w:highlight w:val="none"/>
        </w:rPr>
      </w:pPr>
      <w:r>
        <w:rPr>
          <w:rFonts w:hint="eastAsia" w:ascii="宋体" w:hAnsi="宋体"/>
          <w:color w:val="auto"/>
          <w:spacing w:val="-4"/>
          <w:szCs w:val="21"/>
          <w:highlight w:val="none"/>
        </w:rPr>
        <w:t>中标供应商必须对生产作业一线人员进行生产作业的安全教育和培训，保证作业人员具备必要的安全生产作业知识，熟悉有关的安全生产作业规章制度和安全操作规程，掌握本岗位的安全操作技能，经安全教育和培训并考试合格后方可上岗。</w:t>
      </w:r>
    </w:p>
    <w:p w14:paraId="3C1D5130">
      <w:pPr>
        <w:spacing w:line="520" w:lineRule="exact"/>
        <w:ind w:firstLine="301"/>
        <w:outlineLvl w:val="9"/>
        <w:rPr>
          <w:rFonts w:ascii="宋体" w:hAnsi="宋体"/>
          <w:b/>
          <w:bCs/>
          <w:color w:val="auto"/>
          <w:spacing w:val="-4"/>
          <w:szCs w:val="21"/>
          <w:highlight w:val="none"/>
        </w:rPr>
      </w:pPr>
      <w:bookmarkStart w:id="35" w:name="_Toc437873726"/>
      <w:bookmarkEnd w:id="35"/>
      <w:bookmarkStart w:id="36" w:name="_Toc186728990"/>
      <w:bookmarkStart w:id="37" w:name="_Toc185611592"/>
      <w:bookmarkStart w:id="38" w:name="_Toc185611660"/>
      <w:r>
        <w:rPr>
          <w:rFonts w:hint="eastAsia" w:ascii="宋体" w:hAnsi="宋体"/>
          <w:b/>
          <w:bCs/>
          <w:color w:val="auto"/>
          <w:spacing w:val="-4"/>
          <w:szCs w:val="21"/>
          <w:highlight w:val="none"/>
        </w:rPr>
        <w:t>二、绿化作业人员作业规范 （含植保、整形）</w:t>
      </w:r>
      <w:bookmarkEnd w:id="36"/>
      <w:bookmarkEnd w:id="37"/>
      <w:bookmarkEnd w:id="38"/>
    </w:p>
    <w:p w14:paraId="0AEF9DCC">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（一）养护人员在进行养护工作时必须穿统一的工作服。</w:t>
      </w:r>
    </w:p>
    <w:p w14:paraId="426FE26A">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（二）使用打草机及绿篱修剪机、油锯等机械时，首先必须检查好器械的性能，使用前对草地及色块进行检查，清理石块、铁线等杂物，戴好防护眼镜、安全帽等防护用具，并做好警示标志。</w:t>
      </w:r>
    </w:p>
    <w:p w14:paraId="67D8BA44">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（三）使用粉碎机时，首先必须检查好器械的性能，戴好防护眼镜、安全帽、手套等防护用具，严格按照规范要求操作。</w:t>
      </w:r>
    </w:p>
    <w:p w14:paraId="3AD87B48">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（四）植保工作，触及农药时，必须戴好胶手套、口罩、眼镜等防护品。</w:t>
      </w:r>
    </w:p>
    <w:p w14:paraId="3C446F7A">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（五）高大乔木整形、修剪工作时，必须戴好安全帽，在高枝车上或上树后系好安全绳。</w:t>
      </w:r>
    </w:p>
    <w:p w14:paraId="18E32C9F">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（六）水车淋水工、植保工在车上作业时必须穿安全防护服，戴安全帽。如工作需要登上水箱，必须系好安全绳。</w:t>
      </w:r>
    </w:p>
    <w:p w14:paraId="3A665B2B">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（七）使用锄、铲、斧等工具前要先检查其是否牢固，操作时要注意周围，避免对面和交叉作业。</w:t>
      </w:r>
    </w:p>
    <w:p w14:paraId="5E00DE22">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（八） 反光安全锥、警示牌的放置</w:t>
      </w:r>
    </w:p>
    <w:p w14:paraId="6DD4197C">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1.工作范围应放置反光安全锥或警示带包围。警示牌应放置在安全锥前方20米处，并确保稳固。</w:t>
      </w:r>
    </w:p>
    <w:p w14:paraId="77A72D4F">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2.在园路上作业时，应在醒目处放置“绿化作业，小心绕行”的警示牌。</w:t>
      </w:r>
    </w:p>
    <w:p w14:paraId="0ACFD23E">
      <w:pPr>
        <w:spacing w:line="520" w:lineRule="exact"/>
        <w:ind w:firstLine="301"/>
        <w:outlineLvl w:val="9"/>
        <w:rPr>
          <w:rFonts w:ascii="宋体" w:hAnsi="宋体"/>
          <w:b/>
          <w:bCs/>
          <w:color w:val="auto"/>
          <w:spacing w:val="-4"/>
          <w:szCs w:val="21"/>
          <w:highlight w:val="none"/>
        </w:rPr>
      </w:pPr>
      <w:bookmarkStart w:id="39" w:name="_Toc185611593"/>
      <w:bookmarkStart w:id="40" w:name="_Toc185611661"/>
      <w:bookmarkStart w:id="41" w:name="_Toc186728991"/>
      <w:r>
        <w:rPr>
          <w:rFonts w:hint="eastAsia" w:ascii="宋体" w:hAnsi="宋体"/>
          <w:b/>
          <w:bCs/>
          <w:color w:val="auto"/>
          <w:spacing w:val="-4"/>
          <w:szCs w:val="21"/>
          <w:highlight w:val="none"/>
        </w:rPr>
        <w:t>三、农药的保存、出库、配比及喷用作业规范</w:t>
      </w:r>
      <w:bookmarkEnd w:id="39"/>
      <w:bookmarkEnd w:id="40"/>
      <w:bookmarkEnd w:id="41"/>
    </w:p>
    <w:p w14:paraId="0442C6DE">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（一）农药保存过程中，要在仓库贴好明显的警示标志，使用或搬运过程中，要轻拿轻放，泄</w:t>
      </w:r>
      <w:r>
        <w:rPr>
          <w:rFonts w:hint="eastAsia" w:ascii="宋体" w:hAnsi="宋体"/>
          <w:color w:val="auto"/>
          <w:spacing w:val="-4"/>
          <w:szCs w:val="21"/>
          <w:highlight w:val="none"/>
          <w:lang w:val="en-US" w:eastAsia="zh-CN"/>
        </w:rPr>
        <w:t>漏</w:t>
      </w:r>
      <w:r>
        <w:rPr>
          <w:rFonts w:hint="eastAsia" w:ascii="宋体" w:hAnsi="宋体"/>
          <w:color w:val="auto"/>
          <w:spacing w:val="-4"/>
          <w:szCs w:val="21"/>
          <w:highlight w:val="none"/>
        </w:rPr>
        <w:t>的药物应及时清理。</w:t>
      </w:r>
    </w:p>
    <w:p w14:paraId="6A576697">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（二）完善出库登记制度，用完后的空药瓶应丢放在指定地点，剩余药品及时放回仓库。</w:t>
      </w:r>
    </w:p>
    <w:p w14:paraId="1905334A">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（三）配药时应严格按说明书进行配比，用药量准确，不发生药害。</w:t>
      </w:r>
    </w:p>
    <w:p w14:paraId="2691972F">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（四）喷施农药过程中，要注意观察风向和周围环境，尽量避开行人、居民、车辆、各类物品，确定安全后方能进行。</w:t>
      </w:r>
    </w:p>
    <w:p w14:paraId="4150737D">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（五）在农药车作业时，应配备三个人，一人先就有可能喷到农药的范围内说服游客及时撤离，一人操控喷头，一人观察操控过程的安全问题及喷雾是否到位。</w:t>
      </w:r>
    </w:p>
    <w:p w14:paraId="54FBD95B">
      <w:pPr>
        <w:spacing w:line="520" w:lineRule="exact"/>
        <w:ind w:firstLine="301"/>
        <w:outlineLvl w:val="9"/>
        <w:rPr>
          <w:rFonts w:ascii="宋体" w:hAnsi="宋体"/>
          <w:b/>
          <w:bCs/>
          <w:color w:val="auto"/>
          <w:spacing w:val="-4"/>
          <w:szCs w:val="21"/>
          <w:highlight w:val="none"/>
        </w:rPr>
      </w:pPr>
      <w:bookmarkStart w:id="42" w:name="_Toc186728992"/>
      <w:bookmarkStart w:id="43" w:name="_Toc185611594"/>
      <w:bookmarkStart w:id="44" w:name="_Toc185611662"/>
      <w:r>
        <w:rPr>
          <w:rFonts w:hint="eastAsia" w:ascii="宋体" w:hAnsi="宋体"/>
          <w:b/>
          <w:bCs/>
          <w:color w:val="auto"/>
          <w:spacing w:val="-4"/>
          <w:szCs w:val="21"/>
          <w:highlight w:val="none"/>
        </w:rPr>
        <w:t>四、车辆使用基本规定</w:t>
      </w:r>
      <w:bookmarkEnd w:id="42"/>
      <w:bookmarkEnd w:id="43"/>
      <w:bookmarkEnd w:id="44"/>
    </w:p>
    <w:p w14:paraId="6166FAC7">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（一）严厉禁止酒后驾车、无证驾驶等违规行为。司机驾驶车辆时应集中精力并慢行。</w:t>
      </w:r>
    </w:p>
    <w:p w14:paraId="288A1BC1">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（二）汽车发动前要绕车检查车辆一周，检查好车况。</w:t>
      </w:r>
    </w:p>
    <w:p w14:paraId="2AC9A54B">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（三）水车、喷药车等在作业时，应响警示音乐。</w:t>
      </w:r>
    </w:p>
    <w:p w14:paraId="0191ED44">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四）使用高空作业车、吊车时，必须在施工范围内设置警示标志，起吊重物要有必要的防护措施。吊车使用过程中，要确保吊车的正常负荷，提升吊物时，应确保提绳角度均匀。吊车起吊时绳缆要牢固；统一指挥，信号明确；吊臂下严禁站人。</w:t>
      </w:r>
    </w:p>
    <w:p w14:paraId="6A86760F">
      <w:pPr>
        <w:spacing w:line="520" w:lineRule="exact"/>
        <w:ind w:firstLine="301"/>
        <w:rPr>
          <w:rFonts w:ascii="宋体" w:hAnsi="宋体"/>
          <w:b/>
          <w:bCs/>
          <w:color w:val="auto"/>
          <w:spacing w:val="-4"/>
          <w:szCs w:val="21"/>
          <w:highlight w:val="none"/>
        </w:rPr>
      </w:pPr>
      <w:r>
        <w:rPr>
          <w:rFonts w:hint="eastAsia" w:ascii="宋体" w:hAnsi="宋体"/>
          <w:b/>
          <w:bCs/>
          <w:color w:val="auto"/>
          <w:spacing w:val="-4"/>
          <w:szCs w:val="21"/>
          <w:highlight w:val="none"/>
        </w:rPr>
        <w:t>五、高大乔木整形、修剪及在供电线路修枝作业规范</w:t>
      </w:r>
    </w:p>
    <w:p w14:paraId="400B3543">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（一）操作时必须听从专人指挥。</w:t>
      </w:r>
    </w:p>
    <w:p w14:paraId="3B9C539F">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（二）上树、打枝前必须做好险情鉴定后方能进行操作。要有专人维护现场，设安全锥或警示带围合，阻止游客进入。</w:t>
      </w:r>
    </w:p>
    <w:p w14:paraId="0D8A46F1">
      <w:pPr>
        <w:spacing w:line="520" w:lineRule="exact"/>
        <w:ind w:firstLine="301"/>
        <w:rPr>
          <w:rFonts w:ascii="宋体" w:hAnsi="宋体"/>
          <w:color w:val="auto"/>
          <w:spacing w:val="-4"/>
          <w:szCs w:val="21"/>
          <w:highlight w:val="none"/>
        </w:rPr>
      </w:pPr>
      <w:r>
        <w:rPr>
          <w:rFonts w:hint="eastAsia" w:ascii="宋体" w:hAnsi="宋体"/>
          <w:color w:val="auto"/>
          <w:spacing w:val="-4"/>
          <w:szCs w:val="21"/>
          <w:highlight w:val="none"/>
        </w:rPr>
        <w:t>（三）操作时思想集中，不许打闹谈笑，上树前不许饮酒；上大树的梯子必须牢固、立稳，单面梯将上部横档与树身捆住，人字梯中腰</w:t>
      </w:r>
      <w:r>
        <w:rPr>
          <w:rFonts w:hint="eastAsia" w:ascii="宋体" w:hAnsi="宋体"/>
          <w:color w:val="auto"/>
          <w:spacing w:val="-4"/>
          <w:szCs w:val="21"/>
          <w:highlight w:val="none"/>
          <w:lang w:val="en-US" w:eastAsia="zh-CN"/>
        </w:rPr>
        <w:t>拴</w:t>
      </w:r>
      <w:r>
        <w:rPr>
          <w:rFonts w:hint="eastAsia" w:ascii="宋体" w:hAnsi="宋体"/>
          <w:color w:val="auto"/>
          <w:spacing w:val="-4"/>
          <w:szCs w:val="21"/>
          <w:highlight w:val="none"/>
        </w:rPr>
        <w:t>绳，角度开张适当；五级以上大风不可上树；截除大枝要由有经验的专人指挥操作。有高血压及心脏病者，不准上树；修剪工具要坚固耐用，防止误伤或影响工作；不得从一棵树跳到另一棵树上，必须下树重上。</w:t>
      </w:r>
    </w:p>
    <w:p w14:paraId="45B07BD3">
      <w:pPr>
        <w:spacing w:line="520" w:lineRule="exact"/>
        <w:ind w:firstLine="301"/>
        <w:rPr>
          <w:rFonts w:ascii="宋体" w:hAnsi="宋体"/>
          <w:b/>
          <w:bCs/>
          <w:color w:val="auto"/>
          <w:spacing w:val="-4"/>
          <w:szCs w:val="21"/>
          <w:highlight w:val="none"/>
        </w:rPr>
      </w:pPr>
      <w:r>
        <w:rPr>
          <w:rFonts w:hint="eastAsia" w:ascii="宋体" w:hAnsi="宋体"/>
          <w:b/>
          <w:bCs/>
          <w:color w:val="auto"/>
          <w:spacing w:val="-4"/>
          <w:szCs w:val="21"/>
          <w:highlight w:val="none"/>
        </w:rPr>
        <w:t>六、突发事故应急处理</w:t>
      </w:r>
    </w:p>
    <w:p w14:paraId="6FEAEA23">
      <w:pPr>
        <w:spacing w:line="520" w:lineRule="exact"/>
        <w:ind w:firstLine="301"/>
        <w:rPr>
          <w:rFonts w:ascii="黑体" w:hAnsi="黑体" w:eastAsia="黑体" w:cs="宋体"/>
          <w:bCs/>
          <w:color w:val="auto"/>
          <w:sz w:val="30"/>
          <w:szCs w:val="30"/>
          <w:highlight w:val="none"/>
        </w:rPr>
      </w:pPr>
      <w:r>
        <w:rPr>
          <w:rFonts w:hint="eastAsia" w:ascii="宋体" w:hAnsi="宋体"/>
          <w:color w:val="auto"/>
          <w:spacing w:val="-4"/>
          <w:szCs w:val="21"/>
          <w:highlight w:val="none"/>
        </w:rPr>
        <w:t xml:space="preserve">做好事故前期的应急处理，及时上报并快速反应，及时、果断、妥善处置。                                          </w:t>
      </w:r>
    </w:p>
    <w:p w14:paraId="38318BE7">
      <w:pPr>
        <w:spacing w:line="360" w:lineRule="auto"/>
        <w:rPr>
          <w:rFonts w:ascii="黑体" w:hAnsi="黑体" w:eastAsia="黑体" w:cs="宋体"/>
          <w:bCs/>
          <w:color w:val="auto"/>
          <w:sz w:val="30"/>
          <w:szCs w:val="30"/>
          <w:highlight w:val="none"/>
        </w:rPr>
      </w:pPr>
    </w:p>
    <w:p w14:paraId="08F91216">
      <w:pPr>
        <w:pageBreakBefore w:val="0"/>
        <w:numPr>
          <w:ilvl w:val="0"/>
          <w:numId w:val="0"/>
        </w:numPr>
        <w:kinsoku/>
        <w:wordWrap w:val="0"/>
        <w:overflowPunct/>
        <w:topLinePunct w:val="0"/>
        <w:bidi w:val="0"/>
        <w:ind w:firstLine="321" w:firstLineChars="100"/>
        <w:outlineLvl w:val="2"/>
        <w:rPr>
          <w:rFonts w:hint="eastAsia" w:ascii="宋体" w:hAnsi="宋体" w:eastAsia="宋体" w:cs="宋体"/>
          <w:b/>
          <w:color w:val="auto"/>
          <w:sz w:val="32"/>
          <w:szCs w:val="32"/>
          <w:highlight w:val="none"/>
        </w:rPr>
        <w:sectPr>
          <w:pgSz w:w="11906" w:h="16838"/>
          <w:pgMar w:top="1440" w:right="1304" w:bottom="1440" w:left="1134" w:header="851" w:footer="992" w:gutter="0"/>
          <w:pgBorders>
            <w:top w:val="none" w:sz="0" w:space="0"/>
            <w:left w:val="none" w:sz="0" w:space="0"/>
            <w:bottom w:val="none" w:sz="0" w:space="0"/>
            <w:right w:val="none" w:sz="0" w:space="0"/>
          </w:pgBorders>
          <w:cols w:space="720" w:num="1"/>
          <w:docGrid w:type="lines" w:linePitch="312" w:charSpace="0"/>
        </w:sectPr>
      </w:pPr>
    </w:p>
    <w:p w14:paraId="797AEAE3">
      <w:pPr>
        <w:spacing w:line="580" w:lineRule="exact"/>
        <w:jc w:val="both"/>
        <w:outlineLvl w:val="1"/>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附件4 </w:t>
      </w:r>
      <w:r>
        <w:rPr>
          <w:rFonts w:hint="eastAsia" w:ascii="宋体" w:hAnsi="宋体" w:cs="宋体"/>
          <w:b/>
          <w:bCs/>
          <w:color w:val="auto"/>
          <w:sz w:val="28"/>
          <w:szCs w:val="28"/>
          <w:highlight w:val="none"/>
          <w:lang w:val="en-US" w:eastAsia="zh-CN"/>
        </w:rPr>
        <w:t>：</w:t>
      </w:r>
      <w:r>
        <w:rPr>
          <w:rFonts w:hint="eastAsia" w:ascii="宋体" w:hAnsi="宋体" w:eastAsia="宋体" w:cs="宋体"/>
          <w:b/>
          <w:bCs/>
          <w:color w:val="auto"/>
          <w:sz w:val="28"/>
          <w:szCs w:val="28"/>
          <w:highlight w:val="none"/>
          <w:lang w:val="en-US" w:eastAsia="zh-CN"/>
        </w:rPr>
        <w:t>南宁市石门公园绿化养护服务范围图及考核办法</w:t>
      </w:r>
    </w:p>
    <w:p w14:paraId="70BA5929">
      <w:pPr>
        <w:outlineLvl w:val="9"/>
        <w:rPr>
          <w:color w:val="auto"/>
          <w:sz w:val="24"/>
          <w:szCs w:val="24"/>
          <w:highlight w:val="none"/>
        </w:rPr>
      </w:pPr>
      <w:r>
        <w:rPr>
          <w:color w:val="auto"/>
          <w:sz w:val="24"/>
          <w:szCs w:val="24"/>
          <w:highlight w:val="none"/>
        </w:rPr>
        <w:drawing>
          <wp:anchor distT="0" distB="0" distL="114300" distR="114300" simplePos="0" relativeHeight="251666432" behindDoc="1" locked="0" layoutInCell="1" allowOverlap="1">
            <wp:simplePos x="0" y="0"/>
            <wp:positionH relativeFrom="column">
              <wp:posOffset>-304800</wp:posOffset>
            </wp:positionH>
            <wp:positionV relativeFrom="paragraph">
              <wp:posOffset>429895</wp:posOffset>
            </wp:positionV>
            <wp:extent cx="6098540" cy="6635750"/>
            <wp:effectExtent l="0" t="0" r="0" b="0"/>
            <wp:wrapNone/>
            <wp:docPr id="19" name="图片 3" descr="E:/韦娅工作文件夹2024.2.28拷贝/韦娅工作文件夹（南湖治安科）2021.9.1起记录/1111——公园综合管养/2026.3.30汇总各公园反馈的意见/石门公园/bb737b4ca9f4ad8b36f2968422feee37.jpgbb737b4ca9f4ad8b36f2968422fee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E:/韦娅工作文件夹2024.2.28拷贝/韦娅工作文件夹（南湖治安科）2021.9.1起记录/1111——公园综合管养/2026.3.30汇总各公园反馈的意见/石门公园/bb737b4ca9f4ad8b36f2968422feee37.jpgbb737b4ca9f4ad8b36f2968422feee37"/>
                    <pic:cNvPicPr>
                      <a:picLocks noChangeAspect="1"/>
                    </pic:cNvPicPr>
                  </pic:nvPicPr>
                  <pic:blipFill>
                    <a:blip r:embed="rId22"/>
                    <a:srcRect t="-87" r="114" b="85"/>
                    <a:stretch>
                      <a:fillRect/>
                    </a:stretch>
                  </pic:blipFill>
                  <pic:spPr>
                    <a:xfrm>
                      <a:off x="0" y="0"/>
                      <a:ext cx="6098540" cy="6635750"/>
                    </a:xfrm>
                    <a:prstGeom prst="rect">
                      <a:avLst/>
                    </a:prstGeom>
                    <a:noFill/>
                    <a:ln>
                      <a:noFill/>
                    </a:ln>
                  </pic:spPr>
                </pic:pic>
              </a:graphicData>
            </a:graphic>
          </wp:anchor>
        </w:drawing>
      </w:r>
      <w:r>
        <w:rPr>
          <w:rFonts w:hint="eastAsia" w:ascii="宋体" w:hAnsi="宋体" w:eastAsia="宋体" w:cs="宋体"/>
          <w:color w:val="auto"/>
          <w:sz w:val="24"/>
          <w:szCs w:val="24"/>
          <w:highlight w:val="none"/>
          <w:lang w:val="en-US" w:eastAsia="zh-CN"/>
        </w:rPr>
        <w:t>附件4-1</w:t>
      </w:r>
      <w:r>
        <w:rPr>
          <w:rFonts w:hint="eastAsia" w:ascii="宋体" w:hAnsi="宋体" w:eastAsia="宋体" w:cs="宋体"/>
          <w:b/>
          <w:bCs/>
          <w:color w:val="auto"/>
          <w:sz w:val="24"/>
          <w:szCs w:val="24"/>
          <w:highlight w:val="none"/>
          <w:lang w:val="en-US" w:eastAsia="zh-CN"/>
        </w:rPr>
        <w:t>南宁市石门公园绿化养护服务范围图</w:t>
      </w:r>
    </w:p>
    <w:p w14:paraId="295D5471">
      <w:pPr>
        <w:pStyle w:val="6"/>
        <w:rPr>
          <w:rFonts w:hint="eastAsia"/>
          <w:color w:val="auto"/>
          <w:highlight w:val="none"/>
        </w:rPr>
        <w:sectPr>
          <w:pgSz w:w="11906" w:h="16838"/>
          <w:pgMar w:top="1440" w:right="1304" w:bottom="1440" w:left="1304" w:header="851" w:footer="992" w:gutter="0"/>
          <w:pgBorders>
            <w:top w:val="none" w:sz="0" w:space="0"/>
            <w:left w:val="none" w:sz="0" w:space="0"/>
            <w:bottom w:val="none" w:sz="0" w:space="0"/>
            <w:right w:val="none" w:sz="0" w:space="0"/>
          </w:pgBorders>
          <w:cols w:space="720" w:num="1"/>
          <w:docGrid w:type="lines" w:linePitch="312" w:charSpace="0"/>
        </w:sectPr>
      </w:pPr>
    </w:p>
    <w:p w14:paraId="465972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20" w:lineRule="exact"/>
        <w:ind w:left="-360" w:leftChars="0" w:right="0" w:rightChars="0" w:firstLine="562" w:firstLineChars="20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i w:val="0"/>
          <w:caps w:val="0"/>
          <w:color w:val="auto"/>
          <w:spacing w:val="0"/>
          <w:sz w:val="28"/>
          <w:szCs w:val="28"/>
          <w:highlight w:val="none"/>
          <w:shd w:val="clear" w:color="auto" w:fill="FFFFFF"/>
          <w:lang w:val="en-US" w:eastAsia="zh-CN"/>
        </w:rPr>
        <w:t>附件4-2</w:t>
      </w:r>
      <w:r>
        <w:rPr>
          <w:rFonts w:hint="eastAsia" w:ascii="宋体" w:hAnsi="宋体" w:cs="宋体"/>
          <w:b/>
          <w:i w:val="0"/>
          <w:caps w:val="0"/>
          <w:color w:val="auto"/>
          <w:spacing w:val="0"/>
          <w:sz w:val="28"/>
          <w:szCs w:val="28"/>
          <w:highlight w:val="none"/>
          <w:shd w:val="clear" w:color="auto" w:fill="FFFFFF"/>
          <w:lang w:val="en-US" w:eastAsia="zh-CN"/>
        </w:rPr>
        <w:t xml:space="preserve">              </w:t>
      </w:r>
      <w:r>
        <w:rPr>
          <w:rFonts w:hint="eastAsia" w:ascii="宋体" w:hAnsi="宋体" w:eastAsia="宋体" w:cs="宋体"/>
          <w:b/>
          <w:bCs/>
          <w:color w:val="auto"/>
          <w:kern w:val="2"/>
          <w:sz w:val="24"/>
          <w:szCs w:val="24"/>
          <w:highlight w:val="none"/>
          <w:lang w:val="en-US" w:eastAsia="zh-CN" w:bidi="ar-SA"/>
        </w:rPr>
        <w:t>南宁市石门公园绿化养护考核办法</w:t>
      </w:r>
    </w:p>
    <w:p w14:paraId="691C3CE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420" w:lineRule="exact"/>
        <w:ind w:left="-360" w:leftChars="0" w:right="0" w:rightChars="0" w:firstLine="420" w:firstLineChars="200"/>
        <w:textAlignment w:val="auto"/>
        <w:rPr>
          <w:rFonts w:hint="eastAsia" w:ascii="宋体" w:hAnsi="宋体" w:eastAsia="宋体" w:cs="宋体"/>
          <w:b w:val="0"/>
          <w:bCs w:val="0"/>
          <w:color w:val="auto"/>
          <w:kern w:val="2"/>
          <w:sz w:val="21"/>
          <w:szCs w:val="21"/>
          <w:highlight w:val="none"/>
          <w:lang w:val="en-US" w:eastAsia="zh-CN" w:bidi="ar-SA"/>
        </w:rPr>
      </w:pPr>
    </w:p>
    <w:p w14:paraId="0D32E4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360" w:leftChars="0" w:right="0" w:rightChars="0" w:firstLine="883" w:firstLineChars="400"/>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kern w:val="2"/>
          <w:sz w:val="22"/>
          <w:szCs w:val="22"/>
          <w:highlight w:val="none"/>
          <w:lang w:val="en-US" w:eastAsia="zh-CN" w:bidi="ar-SA"/>
        </w:rPr>
        <w:t>第一章 总则</w:t>
      </w:r>
    </w:p>
    <w:p w14:paraId="675DB9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为加强南宁市石门公园绿化养护服务管理的监督考核，维护石门公园良好的游园秩序和景观环境，使养护工作实现制度化、规范化、程序化，根据《南宁市公园管理规定》及绿化养护有关工作要求，结合石门公园实际制定本办法。</w:t>
      </w:r>
    </w:p>
    <w:p w14:paraId="254465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360" w:leftChars="0" w:right="0" w:rightChars="0" w:firstLine="883" w:firstLineChars="400"/>
        <w:textAlignment w:val="auto"/>
        <w:rPr>
          <w:rFonts w:hint="default" w:ascii="宋体" w:hAnsi="宋体" w:eastAsia="宋体" w:cs="宋体"/>
          <w:b/>
          <w:bCs/>
          <w:color w:val="auto"/>
          <w:kern w:val="2"/>
          <w:sz w:val="22"/>
          <w:szCs w:val="22"/>
          <w:highlight w:val="none"/>
          <w:lang w:val="en-US" w:eastAsia="zh-CN" w:bidi="ar-SA"/>
        </w:rPr>
      </w:pPr>
      <w:r>
        <w:rPr>
          <w:rFonts w:hint="default" w:ascii="宋体" w:hAnsi="宋体" w:eastAsia="宋体" w:cs="宋体"/>
          <w:b/>
          <w:bCs/>
          <w:color w:val="auto"/>
          <w:kern w:val="2"/>
          <w:sz w:val="22"/>
          <w:szCs w:val="22"/>
          <w:highlight w:val="none"/>
          <w:lang w:val="en-US" w:eastAsia="zh-CN" w:bidi="ar-SA"/>
        </w:rPr>
        <w:t>第二章 管理内容与范围</w:t>
      </w:r>
    </w:p>
    <w:p w14:paraId="2382AB5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石门公园区域所辖红线、绿线范围内绿化养护（含补植、灌溉设施维护）。全年养护管理工作内容主要有日常巡查管理，乔木、灌木、草坪、地被、垂直绿化、时令草花等植物的绿化日常养护工作（包括淋水及排水等水分管理、松土除杂、树盘及片植植物边线修整、施肥、植物修剪、勾干枯枝、病虫害防治、灭四害、绿地保洁、补植及移植、黄土裸露</w:t>
      </w:r>
      <w:r>
        <w:rPr>
          <w:rFonts w:hint="eastAsia" w:ascii="宋体" w:hAnsi="宋体" w:cs="宋体"/>
          <w:b w:val="0"/>
          <w:bCs w:val="0"/>
          <w:color w:val="auto"/>
          <w:kern w:val="2"/>
          <w:sz w:val="22"/>
          <w:szCs w:val="22"/>
          <w:highlight w:val="none"/>
          <w:lang w:val="en-US" w:eastAsia="zh-CN" w:bidi="ar-SA"/>
        </w:rPr>
        <w:t>补植</w:t>
      </w:r>
      <w:r>
        <w:rPr>
          <w:rFonts w:hint="default" w:ascii="宋体" w:hAnsi="宋体" w:cs="宋体"/>
          <w:b w:val="0"/>
          <w:bCs w:val="0"/>
          <w:color w:val="auto"/>
          <w:kern w:val="2"/>
          <w:sz w:val="22"/>
          <w:szCs w:val="22"/>
          <w:highlight w:val="none"/>
          <w:lang w:val="en-US" w:eastAsia="zh-CN" w:bidi="ar-SA"/>
        </w:rPr>
        <w:t>、植物清洗、清理过高土、应急抢险或突发事件处理、重大活动保障等涉及绿化养护、绿地管理等一系列工作）。同时，负责绿化工作区域内安全生产、绿地保护，防止人为破坏，及时发现，及时上报。还包括中标人根据养护任务而制定的工作计划和工作完成汇总报表等管理工作情况；石门公园专项突击、社会投诉、网上信访、媒体曝光、市长热线投诉、“美丽南宁”案件以及被有关部门督办等情况，临时安排的其它绿化养护工作的有关情况；</w:t>
      </w:r>
      <w:r>
        <w:rPr>
          <w:rFonts w:hint="eastAsia" w:ascii="宋体" w:hAnsi="宋体" w:cs="宋体"/>
          <w:b w:val="0"/>
          <w:bCs w:val="0"/>
          <w:color w:val="auto"/>
          <w:kern w:val="2"/>
          <w:sz w:val="22"/>
          <w:szCs w:val="22"/>
          <w:highlight w:val="none"/>
          <w:lang w:val="en-US" w:eastAsia="zh-CN" w:bidi="ar-SA"/>
        </w:rPr>
        <w:t>中标单位</w:t>
      </w:r>
      <w:r>
        <w:rPr>
          <w:rFonts w:hint="default" w:ascii="宋体" w:hAnsi="宋体" w:cs="宋体"/>
          <w:b w:val="0"/>
          <w:bCs w:val="0"/>
          <w:color w:val="auto"/>
          <w:kern w:val="2"/>
          <w:sz w:val="22"/>
          <w:szCs w:val="22"/>
          <w:highlight w:val="none"/>
          <w:lang w:val="en-US" w:eastAsia="zh-CN" w:bidi="ar-SA"/>
        </w:rPr>
        <w:t>投标文件承诺投入的人员、车辆及园林机械设备、设施等响应投入情况的考核。</w:t>
      </w:r>
    </w:p>
    <w:p w14:paraId="32184AE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360" w:leftChars="0" w:right="0" w:rightChars="0" w:firstLine="883" w:firstLineChars="400"/>
        <w:textAlignment w:val="auto"/>
        <w:rPr>
          <w:rFonts w:hint="default" w:ascii="宋体" w:hAnsi="宋体" w:eastAsia="宋体" w:cs="宋体"/>
          <w:b/>
          <w:bCs/>
          <w:color w:val="auto"/>
          <w:kern w:val="2"/>
          <w:sz w:val="22"/>
          <w:szCs w:val="22"/>
          <w:highlight w:val="none"/>
          <w:lang w:val="en-US" w:eastAsia="zh-CN" w:bidi="ar-SA"/>
        </w:rPr>
      </w:pPr>
      <w:r>
        <w:rPr>
          <w:rFonts w:hint="default" w:ascii="宋体" w:hAnsi="宋体" w:eastAsia="宋体" w:cs="宋体"/>
          <w:b/>
          <w:bCs/>
          <w:color w:val="auto"/>
          <w:kern w:val="2"/>
          <w:sz w:val="22"/>
          <w:szCs w:val="22"/>
          <w:highlight w:val="none"/>
          <w:lang w:val="en-US" w:eastAsia="zh-CN" w:bidi="ar-SA"/>
        </w:rPr>
        <w:t>第三章 养护标准</w:t>
      </w:r>
    </w:p>
    <w:p w14:paraId="6118550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绿化养护各级养护标准及质量要求执行《广西城市绿化养护规范及验收要求》（DB45/T 449—2007）、《南宁市石门公园绿地养护质量要求》《花境养护质量要求表》《南宁市石门公园绿化养护日常考核评分标准》和《南宁市石门公园绿化养护月度考核评分表》。</w:t>
      </w:r>
    </w:p>
    <w:p w14:paraId="2DD30F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360" w:leftChars="0" w:right="0" w:rightChars="0" w:firstLine="883" w:firstLineChars="400"/>
        <w:textAlignment w:val="auto"/>
        <w:rPr>
          <w:rFonts w:hint="default" w:ascii="宋体" w:hAnsi="宋体" w:eastAsia="宋体" w:cs="宋体"/>
          <w:b/>
          <w:bCs/>
          <w:color w:val="auto"/>
          <w:kern w:val="2"/>
          <w:sz w:val="22"/>
          <w:szCs w:val="22"/>
          <w:highlight w:val="none"/>
          <w:lang w:val="en-US" w:eastAsia="zh-CN" w:bidi="ar-SA"/>
        </w:rPr>
      </w:pPr>
      <w:r>
        <w:rPr>
          <w:rFonts w:hint="default" w:ascii="宋体" w:hAnsi="宋体" w:eastAsia="宋体" w:cs="宋体"/>
          <w:b/>
          <w:bCs/>
          <w:color w:val="auto"/>
          <w:kern w:val="2"/>
          <w:sz w:val="22"/>
          <w:szCs w:val="22"/>
          <w:highlight w:val="none"/>
          <w:lang w:val="en-US" w:eastAsia="zh-CN" w:bidi="ar-SA"/>
        </w:rPr>
        <w:t>第四章 考核标准与依据</w:t>
      </w:r>
    </w:p>
    <w:p w14:paraId="529C9A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1.</w:t>
      </w:r>
      <w:r>
        <w:rPr>
          <w:rFonts w:hint="default" w:ascii="宋体" w:hAnsi="宋体" w:cs="宋体"/>
          <w:b w:val="0"/>
          <w:bCs w:val="0"/>
          <w:color w:val="auto"/>
          <w:kern w:val="2"/>
          <w:sz w:val="22"/>
          <w:szCs w:val="22"/>
          <w:highlight w:val="none"/>
          <w:lang w:val="en-US" w:eastAsia="zh-CN" w:bidi="ar-SA"/>
        </w:rPr>
        <w:t>中标人与公园签订的绿化养护管理合同；</w:t>
      </w:r>
    </w:p>
    <w:p w14:paraId="2A51F8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2.</w:t>
      </w:r>
      <w:r>
        <w:rPr>
          <w:rFonts w:hint="default" w:ascii="宋体" w:hAnsi="宋体" w:cs="宋体"/>
          <w:b w:val="0"/>
          <w:bCs w:val="0"/>
          <w:color w:val="auto"/>
          <w:kern w:val="2"/>
          <w:sz w:val="22"/>
          <w:szCs w:val="22"/>
          <w:highlight w:val="none"/>
          <w:lang w:val="en-US" w:eastAsia="zh-CN" w:bidi="ar-SA"/>
        </w:rPr>
        <w:t>招标文件中规定的技术规范、标准、要求；</w:t>
      </w:r>
    </w:p>
    <w:p w14:paraId="6972678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3.</w:t>
      </w:r>
      <w:r>
        <w:rPr>
          <w:rFonts w:hint="default" w:ascii="宋体" w:hAnsi="宋体" w:cs="宋体"/>
          <w:b w:val="0"/>
          <w:bCs w:val="0"/>
          <w:color w:val="auto"/>
          <w:kern w:val="2"/>
          <w:sz w:val="22"/>
          <w:szCs w:val="22"/>
          <w:highlight w:val="none"/>
          <w:lang w:val="en-US" w:eastAsia="zh-CN" w:bidi="ar-SA"/>
        </w:rPr>
        <w:t>中标人在其投标时的各种资料及承诺；</w:t>
      </w:r>
    </w:p>
    <w:p w14:paraId="4FB0E3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4.</w:t>
      </w:r>
      <w:r>
        <w:rPr>
          <w:rFonts w:hint="default" w:ascii="宋体" w:hAnsi="宋体" w:cs="宋体"/>
          <w:b w:val="0"/>
          <w:bCs w:val="0"/>
          <w:color w:val="auto"/>
          <w:kern w:val="2"/>
          <w:sz w:val="22"/>
          <w:szCs w:val="22"/>
          <w:highlight w:val="none"/>
          <w:lang w:val="en-US" w:eastAsia="zh-CN" w:bidi="ar-SA"/>
        </w:rPr>
        <w:t>《广西壮族自治区地方标准—城市绿化养护规范及验收标准》；</w:t>
      </w:r>
    </w:p>
    <w:p w14:paraId="7D59D5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5.</w:t>
      </w:r>
      <w:r>
        <w:rPr>
          <w:rFonts w:hint="default" w:ascii="宋体" w:hAnsi="宋体" w:cs="宋体"/>
          <w:b w:val="0"/>
          <w:bCs w:val="0"/>
          <w:color w:val="auto"/>
          <w:kern w:val="2"/>
          <w:sz w:val="22"/>
          <w:szCs w:val="22"/>
          <w:highlight w:val="none"/>
          <w:lang w:val="en-US" w:eastAsia="zh-CN" w:bidi="ar-SA"/>
        </w:rPr>
        <w:t>公园制定的安全生产操作规程等有关养护工作的规定；</w:t>
      </w:r>
    </w:p>
    <w:p w14:paraId="48DA73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6.</w:t>
      </w:r>
      <w:r>
        <w:rPr>
          <w:rFonts w:hint="default" w:ascii="宋体" w:hAnsi="宋体" w:cs="宋体"/>
          <w:b w:val="0"/>
          <w:bCs w:val="0"/>
          <w:color w:val="auto"/>
          <w:kern w:val="2"/>
          <w:sz w:val="22"/>
          <w:szCs w:val="22"/>
          <w:highlight w:val="none"/>
          <w:lang w:val="en-US" w:eastAsia="zh-CN" w:bidi="ar-SA"/>
        </w:rPr>
        <w:t>公园园容科会议纪要以及临时安排工作通知要求；</w:t>
      </w:r>
    </w:p>
    <w:p w14:paraId="07DA67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7.</w:t>
      </w:r>
      <w:r>
        <w:rPr>
          <w:rFonts w:hint="default" w:ascii="宋体" w:hAnsi="宋体" w:cs="宋体"/>
          <w:b w:val="0"/>
          <w:bCs w:val="0"/>
          <w:color w:val="auto"/>
          <w:kern w:val="2"/>
          <w:sz w:val="22"/>
          <w:szCs w:val="22"/>
          <w:highlight w:val="none"/>
          <w:lang w:val="en-US" w:eastAsia="zh-CN" w:bidi="ar-SA"/>
        </w:rPr>
        <w:t>公园及其他相关单位等涉及石门公园绿化养护管理工作的相关文件和精神。</w:t>
      </w:r>
    </w:p>
    <w:p w14:paraId="379B1C3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360" w:leftChars="0" w:right="0" w:rightChars="0" w:firstLine="883" w:firstLineChars="400"/>
        <w:textAlignment w:val="auto"/>
        <w:rPr>
          <w:rFonts w:hint="default" w:ascii="宋体" w:hAnsi="宋体" w:eastAsia="宋体" w:cs="宋体"/>
          <w:b/>
          <w:bCs/>
          <w:color w:val="auto"/>
          <w:kern w:val="2"/>
          <w:sz w:val="22"/>
          <w:szCs w:val="22"/>
          <w:highlight w:val="none"/>
          <w:lang w:val="en-US" w:eastAsia="zh-CN" w:bidi="ar-SA"/>
        </w:rPr>
      </w:pPr>
      <w:r>
        <w:rPr>
          <w:rFonts w:hint="default" w:ascii="宋体" w:hAnsi="宋体" w:eastAsia="宋体" w:cs="宋体"/>
          <w:b/>
          <w:bCs/>
          <w:color w:val="auto"/>
          <w:kern w:val="2"/>
          <w:sz w:val="22"/>
          <w:szCs w:val="22"/>
          <w:highlight w:val="none"/>
          <w:lang w:val="en-US" w:eastAsia="zh-CN" w:bidi="ar-SA"/>
        </w:rPr>
        <w:t>第五章 实施与监督</w:t>
      </w:r>
    </w:p>
    <w:p w14:paraId="4CC8E8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1. 考核实施机构</w:t>
      </w:r>
    </w:p>
    <w:p w14:paraId="4E9811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为确保石门公园绿化养护管理各项规范能贯彻执行，维护石门公园良好的游园景观环境，南宁市石门公园负责对石门公园区域绿地养护工作进行直接管理，具体工作由公园园容管理科负责实施。</w:t>
      </w:r>
    </w:p>
    <w:p w14:paraId="4996A4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 xml:space="preserve"> 2.</w:t>
      </w:r>
      <w:r>
        <w:rPr>
          <w:rFonts w:hint="default" w:ascii="宋体" w:hAnsi="宋体" w:cs="宋体"/>
          <w:b w:val="0"/>
          <w:bCs w:val="0"/>
          <w:color w:val="auto"/>
          <w:kern w:val="2"/>
          <w:sz w:val="22"/>
          <w:szCs w:val="22"/>
          <w:highlight w:val="none"/>
          <w:lang w:val="en-US" w:eastAsia="zh-CN" w:bidi="ar-SA"/>
        </w:rPr>
        <w:t>考核责任分工</w:t>
      </w:r>
    </w:p>
    <w:p w14:paraId="06B3377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检查考核采取日常巡查、中标人自查、月度考核及专项考评相结合的办法，考核评分结果作为养护工作质量评价、费用核拨及其它奖惩的重要依据。</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（1）日常巡查</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公园园容管理科根据日常工作需要，对中标人开展的绿化养护工作进行全面日常巡查。成立日常巡查工作小组，小组成员由公园园容管理科技术员、绿化巡查员、1名中标人现场负责人或技术负责人组成。具体职责包括：组织人员巡查、记录日常巡查情况、下发整改通知、参与月度考核评分、整理保存结果并上报。中标人必须委派1名现场负责人或技术负责人参加日常巡查工作。</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此外，中标人每个工作日要由1名现场负责人或技术负责人组织日常工作自查巡查，记录巡查发现问题并及时整改。</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公园日常巡查现场检查发现存在问题，能整改的，立即整改，并将有关情况上报。若未能按时按质按量完成整改，则按规定扣除相应分值，并计入当月月度考核总评分。无法整改或虽整改但造成实际损失的问题，除按规定扣除相应分值，并计入当月月度考核总评分。</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绿化垃圾要及时清理，不可堆放过夜。垃圾堆放过夜的每发现一处/次，当月考核结果额外扣</w:t>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除1分，扣分不设上限。</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程序：现场巡查→对比中标人自查结果→复查验收→上报结果→纳入当月考核</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（2）中标人自查</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中标人自查发现的问题，若未在规定期限内整改到位，每一处/次参照公园日常巡查未整改规定扣除相应分值。若自查发现的问题比公园巡查发现的少，每处/次扣0.05分（每周只能检查2 - 3次的公园，每处/次扣0.1分）。中标人自查扣分值在累计到月度考核总评分时扣除。</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程序：中标人自查→整改→复查验收→上报结果→纳入当月考核</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（3）月度考核</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绿化养护月度考核工作由公园相关领导及园容管理科工作人员、中标人项目经理等人员组成月度考核小组，具体职责包括：组织人员、检查记录、月度考核评分、经费核拨。</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月度检查和月度考核工作由公园负责组织实施，月度检查对中标人全月绿化养护工作进行全面检查考核，按照《南宁市石门公园绿化养护月度检查考核评分表》内容进行考核评分，考核时中标人项目管理人员与技术人员均需到场。每月月度检查结果详细列明考核情况及存在问题、扣分情况，双方项目管理人员签字确认。</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程序：通知中标人→现场检查→评分→整改→复查验收→综合评分→通报月度考核结果→结算服务费</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（4）专项考评</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专项考评按照实际工作情况安排。对大面积施肥、大面积淋水抗旱、专项病虫害防治和大面积灭“四害”、灾害应对这四项专项考评分别编号为①②③④。</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中标人按要求上交专项工作计划，经公园及园容管理科相关领导审批后，由园容科指派技术员现场监督及指导中标人现场负责人按工作计划实施。实施完毕后，根据工作计划内容制表，由专项考评小组复查验收。如专项工作未能按质按量完成，专项考评小组视实际情况及工作完成度进行扣分，每项专项工作扣分上限为10分。当月所有专项考评扣分分值合计后，计入当月月度考核总评分。</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活动专项考评：因特殊情况需开展重点整治或重要突击活动时，经公园下发通知，中标人按要求上交专项工作计划；公园未专门下发通知的，不需中标人上交专项工作计划。</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创建“创文明城”、“创卫生城”、“美丽南宁”等系列行动以及国家级、区级、市级迎检工作纳入月度考核。公园“美丽南宁”办公室检查发现问题的，直接按照美丽南宁扣分标准进行扣分；“创文明城市”、“创卫生城”、“美丽南宁”等系列行动以及国家级、区级、市级迎检工作中被自治区、南宁市、</w:t>
      </w:r>
      <w:r>
        <w:rPr>
          <w:rFonts w:hint="eastAsia" w:ascii="宋体" w:hAnsi="宋体" w:cs="宋体"/>
          <w:b w:val="0"/>
          <w:bCs w:val="0"/>
          <w:color w:val="auto"/>
          <w:kern w:val="2"/>
          <w:sz w:val="22"/>
          <w:szCs w:val="22"/>
          <w:highlight w:val="none"/>
          <w:lang w:val="en-US" w:eastAsia="zh-CN" w:bidi="ar-SA"/>
        </w:rPr>
        <w:t>市市政和园林</w:t>
      </w:r>
      <w:r>
        <w:rPr>
          <w:rFonts w:hint="default" w:ascii="宋体" w:hAnsi="宋体" w:cs="宋体"/>
          <w:b w:val="0"/>
          <w:bCs w:val="0"/>
          <w:color w:val="auto"/>
          <w:kern w:val="2"/>
          <w:sz w:val="22"/>
          <w:szCs w:val="22"/>
          <w:highlight w:val="none"/>
          <w:lang w:val="en-US" w:eastAsia="zh-CN" w:bidi="ar-SA"/>
        </w:rPr>
        <w:t>局等上级扣分的按被扣分的三倍进行扣分，扣分不设上限，纳入当月考核结果。媒体曝光及相关部门投诉、市民游客投诉的，按绿化养护考核细则进行三倍扣分，扣分不设上限，纳入当月考核结果。</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程序：中标人上交专项工作计划→公园领导审批通过→公园指派技术员现场监督及指导工作计划开展→复查验收→上报结果→纳入工作计划和当月考核；不需中标人上交专项工作计划的程序为：上级检查、各级媒体曝光及市民投诉等问题→下发整改通知→复查验收→上报结果→纳入当月考核</w:t>
      </w:r>
    </w:p>
    <w:p w14:paraId="6C717CB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360" w:leftChars="0" w:right="0" w:rightChars="0" w:firstLine="883" w:firstLineChars="400"/>
        <w:textAlignment w:val="auto"/>
        <w:rPr>
          <w:rFonts w:hint="default" w:ascii="宋体" w:hAnsi="宋体" w:eastAsia="宋体" w:cs="宋体"/>
          <w:b/>
          <w:bCs/>
          <w:color w:val="auto"/>
          <w:kern w:val="2"/>
          <w:sz w:val="22"/>
          <w:szCs w:val="22"/>
          <w:highlight w:val="none"/>
          <w:lang w:val="en-US" w:eastAsia="zh-CN" w:bidi="ar-SA"/>
        </w:rPr>
      </w:pPr>
      <w:r>
        <w:rPr>
          <w:rFonts w:hint="default" w:ascii="宋体" w:hAnsi="宋体" w:eastAsia="宋体" w:cs="宋体"/>
          <w:b/>
          <w:bCs/>
          <w:color w:val="auto"/>
          <w:kern w:val="2"/>
          <w:sz w:val="22"/>
          <w:szCs w:val="22"/>
          <w:highlight w:val="none"/>
          <w:lang w:val="en-US" w:eastAsia="zh-CN" w:bidi="ar-SA"/>
        </w:rPr>
        <w:t>第六章 考核实施办法</w:t>
      </w:r>
    </w:p>
    <w:p w14:paraId="4F10F33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1. 检查时间</w:t>
      </w:r>
    </w:p>
    <w:p w14:paraId="68BC46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日常巡查安排每天进行，每月进行一次月度检查，专项考评根据全年工作实际情况进行安排。</w:t>
      </w:r>
    </w:p>
    <w:p w14:paraId="543531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2. 考核办法及等级评定</w:t>
      </w:r>
    </w:p>
    <w:p w14:paraId="092220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考核分为日常工作考核和月考核两种。</w:t>
      </w:r>
    </w:p>
    <w:p w14:paraId="412330F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（1）日常工作考核</w:t>
      </w:r>
    </w:p>
    <w:p w14:paraId="628EF8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日常工作考核由公园园容管理科负责，以考核日常养护工作情况为主，结合内业管理工作进行，采取分类评分综合考评办法。各项评分比例如下表：</w:t>
      </w:r>
    </w:p>
    <w:p w14:paraId="048E08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jc w:val="center"/>
        <w:textAlignment w:val="auto"/>
        <w:rPr>
          <w:rFonts w:hint="eastAsia"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考核分项表</w:t>
      </w:r>
    </w:p>
    <w:tbl>
      <w:tblPr>
        <w:tblStyle w:val="22"/>
        <w:tblW w:w="7455" w:type="dxa"/>
        <w:jc w:val="center"/>
        <w:tblLayout w:type="fixed"/>
        <w:tblCellMar>
          <w:top w:w="0" w:type="dxa"/>
          <w:left w:w="108" w:type="dxa"/>
          <w:bottom w:w="0" w:type="dxa"/>
          <w:right w:w="108" w:type="dxa"/>
        </w:tblCellMar>
      </w:tblPr>
      <w:tblGrid>
        <w:gridCol w:w="1470"/>
        <w:gridCol w:w="2257"/>
        <w:gridCol w:w="1864"/>
        <w:gridCol w:w="1864"/>
      </w:tblGrid>
      <w:tr w14:paraId="268E39FC">
        <w:tblPrEx>
          <w:tblCellMar>
            <w:top w:w="0" w:type="dxa"/>
            <w:left w:w="108" w:type="dxa"/>
            <w:bottom w:w="0" w:type="dxa"/>
            <w:right w:w="108" w:type="dxa"/>
          </w:tblCellMar>
        </w:tblPrEx>
        <w:trPr>
          <w:trHeight w:val="362"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top"/>
          </w:tcPr>
          <w:p w14:paraId="60E0D88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序号</w:t>
            </w:r>
          </w:p>
        </w:tc>
        <w:tc>
          <w:tcPr>
            <w:tcW w:w="2257" w:type="dxa"/>
            <w:tcBorders>
              <w:top w:val="single" w:color="auto" w:sz="4" w:space="0"/>
              <w:left w:val="nil"/>
              <w:bottom w:val="single" w:color="auto" w:sz="4" w:space="0"/>
              <w:right w:val="single" w:color="auto" w:sz="4" w:space="0"/>
            </w:tcBorders>
            <w:noWrap w:val="0"/>
            <w:vAlign w:val="top"/>
          </w:tcPr>
          <w:p w14:paraId="7E09EB2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考核项目</w:t>
            </w:r>
          </w:p>
        </w:tc>
        <w:tc>
          <w:tcPr>
            <w:tcW w:w="1864" w:type="dxa"/>
            <w:tcBorders>
              <w:top w:val="single" w:color="auto" w:sz="4" w:space="0"/>
              <w:left w:val="nil"/>
              <w:bottom w:val="single" w:color="auto" w:sz="4" w:space="0"/>
              <w:right w:val="single" w:color="auto" w:sz="4" w:space="0"/>
            </w:tcBorders>
            <w:noWrap w:val="0"/>
            <w:vAlign w:val="top"/>
          </w:tcPr>
          <w:p w14:paraId="3143006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各项目标准分</w:t>
            </w:r>
          </w:p>
        </w:tc>
        <w:tc>
          <w:tcPr>
            <w:tcW w:w="1864" w:type="dxa"/>
            <w:tcBorders>
              <w:top w:val="single" w:color="auto" w:sz="4" w:space="0"/>
              <w:left w:val="nil"/>
              <w:bottom w:val="single" w:color="auto" w:sz="4" w:space="0"/>
              <w:right w:val="single" w:color="auto" w:sz="4" w:space="0"/>
            </w:tcBorders>
            <w:noWrap w:val="0"/>
            <w:vAlign w:val="top"/>
          </w:tcPr>
          <w:p w14:paraId="28C281F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分项比例</w:t>
            </w:r>
          </w:p>
        </w:tc>
      </w:tr>
      <w:tr w14:paraId="3AF9C666">
        <w:tblPrEx>
          <w:tblCellMar>
            <w:top w:w="0" w:type="dxa"/>
            <w:left w:w="108" w:type="dxa"/>
            <w:bottom w:w="0" w:type="dxa"/>
            <w:right w:w="108" w:type="dxa"/>
          </w:tblCellMar>
        </w:tblPrEx>
        <w:trPr>
          <w:trHeight w:val="353"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top"/>
          </w:tcPr>
          <w:p w14:paraId="130847A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一</w:t>
            </w:r>
          </w:p>
        </w:tc>
        <w:tc>
          <w:tcPr>
            <w:tcW w:w="2257" w:type="dxa"/>
            <w:tcBorders>
              <w:top w:val="single" w:color="auto" w:sz="4" w:space="0"/>
              <w:left w:val="nil"/>
              <w:bottom w:val="single" w:color="auto" w:sz="4" w:space="0"/>
              <w:right w:val="single" w:color="auto" w:sz="4" w:space="0"/>
            </w:tcBorders>
            <w:noWrap w:val="0"/>
            <w:vAlign w:val="top"/>
          </w:tcPr>
          <w:p w14:paraId="0FCEE12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日常养护工作</w:t>
            </w:r>
          </w:p>
        </w:tc>
        <w:tc>
          <w:tcPr>
            <w:tcW w:w="1864" w:type="dxa"/>
            <w:tcBorders>
              <w:top w:val="single" w:color="auto" w:sz="4" w:space="0"/>
              <w:left w:val="nil"/>
              <w:bottom w:val="single" w:color="auto" w:sz="4" w:space="0"/>
              <w:right w:val="single" w:color="auto" w:sz="4" w:space="0"/>
            </w:tcBorders>
            <w:noWrap w:val="0"/>
            <w:vAlign w:val="top"/>
          </w:tcPr>
          <w:p w14:paraId="661EA70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90</w:t>
            </w:r>
          </w:p>
        </w:tc>
        <w:tc>
          <w:tcPr>
            <w:tcW w:w="1864" w:type="dxa"/>
            <w:tcBorders>
              <w:top w:val="single" w:color="auto" w:sz="4" w:space="0"/>
              <w:left w:val="nil"/>
              <w:bottom w:val="single" w:color="auto" w:sz="4" w:space="0"/>
              <w:right w:val="single" w:color="auto" w:sz="4" w:space="0"/>
            </w:tcBorders>
            <w:noWrap w:val="0"/>
            <w:vAlign w:val="top"/>
          </w:tcPr>
          <w:p w14:paraId="527FC3F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90%</w:t>
            </w:r>
          </w:p>
        </w:tc>
      </w:tr>
      <w:tr w14:paraId="593B3702">
        <w:tblPrEx>
          <w:tblCellMar>
            <w:top w:w="0" w:type="dxa"/>
            <w:left w:w="108" w:type="dxa"/>
            <w:bottom w:w="0" w:type="dxa"/>
            <w:right w:w="108" w:type="dxa"/>
          </w:tblCellMar>
        </w:tblPrEx>
        <w:trPr>
          <w:trHeight w:val="427"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top"/>
          </w:tcPr>
          <w:p w14:paraId="020CF34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二</w:t>
            </w:r>
          </w:p>
        </w:tc>
        <w:tc>
          <w:tcPr>
            <w:tcW w:w="2257" w:type="dxa"/>
            <w:tcBorders>
              <w:top w:val="single" w:color="auto" w:sz="4" w:space="0"/>
              <w:left w:val="nil"/>
              <w:bottom w:val="single" w:color="auto" w:sz="4" w:space="0"/>
              <w:right w:val="single" w:color="auto" w:sz="4" w:space="0"/>
            </w:tcBorders>
            <w:noWrap w:val="0"/>
            <w:vAlign w:val="top"/>
          </w:tcPr>
          <w:p w14:paraId="4D8F70D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内业管理工作</w:t>
            </w:r>
          </w:p>
        </w:tc>
        <w:tc>
          <w:tcPr>
            <w:tcW w:w="1864" w:type="dxa"/>
            <w:tcBorders>
              <w:top w:val="single" w:color="auto" w:sz="4" w:space="0"/>
              <w:left w:val="nil"/>
              <w:bottom w:val="single" w:color="auto" w:sz="4" w:space="0"/>
              <w:right w:val="single" w:color="auto" w:sz="4" w:space="0"/>
            </w:tcBorders>
            <w:noWrap w:val="0"/>
            <w:vAlign w:val="top"/>
          </w:tcPr>
          <w:p w14:paraId="0AA0CE4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10</w:t>
            </w:r>
          </w:p>
        </w:tc>
        <w:tc>
          <w:tcPr>
            <w:tcW w:w="1864" w:type="dxa"/>
            <w:tcBorders>
              <w:top w:val="single" w:color="auto" w:sz="4" w:space="0"/>
              <w:left w:val="nil"/>
              <w:bottom w:val="single" w:color="auto" w:sz="4" w:space="0"/>
              <w:right w:val="single" w:color="auto" w:sz="4" w:space="0"/>
            </w:tcBorders>
            <w:noWrap w:val="0"/>
            <w:vAlign w:val="top"/>
          </w:tcPr>
          <w:p w14:paraId="52B9C8C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10%</w:t>
            </w:r>
          </w:p>
        </w:tc>
      </w:tr>
      <w:tr w14:paraId="5883F8EF">
        <w:tblPrEx>
          <w:tblCellMar>
            <w:top w:w="0" w:type="dxa"/>
            <w:left w:w="108" w:type="dxa"/>
            <w:bottom w:w="0" w:type="dxa"/>
            <w:right w:w="108" w:type="dxa"/>
          </w:tblCellMar>
        </w:tblPrEx>
        <w:trPr>
          <w:trHeight w:val="362" w:hRule="atLeast"/>
          <w:jc w:val="center"/>
        </w:trPr>
        <w:tc>
          <w:tcPr>
            <w:tcW w:w="1470" w:type="dxa"/>
            <w:tcBorders>
              <w:top w:val="single" w:color="auto" w:sz="4" w:space="0"/>
              <w:left w:val="single" w:color="auto" w:sz="4" w:space="0"/>
              <w:bottom w:val="single" w:color="auto" w:sz="4" w:space="0"/>
              <w:right w:val="single" w:color="auto" w:sz="4" w:space="0"/>
            </w:tcBorders>
            <w:noWrap w:val="0"/>
            <w:vAlign w:val="top"/>
          </w:tcPr>
          <w:p w14:paraId="4DE84682">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三</w:t>
            </w:r>
          </w:p>
        </w:tc>
        <w:tc>
          <w:tcPr>
            <w:tcW w:w="2257" w:type="dxa"/>
            <w:tcBorders>
              <w:top w:val="single" w:color="auto" w:sz="4" w:space="0"/>
              <w:left w:val="nil"/>
              <w:bottom w:val="single" w:color="auto" w:sz="4" w:space="0"/>
              <w:right w:val="single" w:color="auto" w:sz="4" w:space="0"/>
            </w:tcBorders>
            <w:noWrap w:val="0"/>
            <w:vAlign w:val="top"/>
          </w:tcPr>
          <w:p w14:paraId="2C533DA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综合分</w:t>
            </w:r>
          </w:p>
        </w:tc>
        <w:tc>
          <w:tcPr>
            <w:tcW w:w="1864" w:type="dxa"/>
            <w:tcBorders>
              <w:top w:val="single" w:color="auto" w:sz="4" w:space="0"/>
              <w:left w:val="nil"/>
              <w:bottom w:val="single" w:color="auto" w:sz="4" w:space="0"/>
              <w:right w:val="single" w:color="auto" w:sz="4" w:space="0"/>
            </w:tcBorders>
            <w:noWrap w:val="0"/>
            <w:vAlign w:val="top"/>
          </w:tcPr>
          <w:p w14:paraId="2BC8EE0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100</w:t>
            </w:r>
          </w:p>
        </w:tc>
        <w:tc>
          <w:tcPr>
            <w:tcW w:w="1864" w:type="dxa"/>
            <w:tcBorders>
              <w:top w:val="single" w:color="auto" w:sz="4" w:space="0"/>
              <w:left w:val="nil"/>
              <w:bottom w:val="single" w:color="auto" w:sz="4" w:space="0"/>
              <w:right w:val="single" w:color="auto" w:sz="4" w:space="0"/>
            </w:tcBorders>
            <w:noWrap w:val="0"/>
            <w:vAlign w:val="top"/>
          </w:tcPr>
          <w:p w14:paraId="3820E79A">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100%</w:t>
            </w:r>
          </w:p>
        </w:tc>
      </w:tr>
    </w:tbl>
    <w:p w14:paraId="468B33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218" w:leftChars="104" w:right="0" w:rightChars="0" w:firstLine="220" w:firstLineChars="1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①日常养护工作情况考核</w:t>
      </w:r>
    </w:p>
    <w:p w14:paraId="2E06DD3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公园园容管理科根据绿化养护标准要求以及中标人提供的工作计划，每天对中标人的养护工作进行检查，检查内容包括人员投入、机械设备、安全生产和作业规范、乔木、灌木、草坪、地被、垂直绿化、花卉等植物的绿化日常养护工作，主要包括水分管理、松土除杂、树盘及片植植物边线修整、施肥、植物修剪、勾干枯枝、病虫害防治、灭四害、绿地保洁、补植及移植、消除黄土裸露、植物清洗、清理过高土、应急抢险或突发事件处理、重大活动保障等涉及绿化养护、绿地管理等方面。对发现不达标的情况记入《南宁市石门公园日常检查记录表》，要求其整改并视情形按《南宁市石门公园绿化养护日常检查考核表》进行扣分。记录情况应当场由检查人员及中标人管理人员签字确认。</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日常检查作出扣分决定的，园容科检查人员应及时告知中标人管理人员，并拍照或摄像留档，填写《南宁市石门公园日常检查记录表》。若需要中标人到现场接受指导时，中标人应在半小时内派人到场。</w:t>
      </w:r>
      <w:r>
        <w:rPr>
          <w:rFonts w:hint="default" w:ascii="宋体" w:hAnsi="宋体" w:cs="宋体"/>
          <w:b w:val="0"/>
          <w:bCs w:val="0"/>
          <w:color w:val="auto"/>
          <w:kern w:val="2"/>
          <w:sz w:val="22"/>
          <w:szCs w:val="22"/>
          <w:highlight w:val="none"/>
          <w:lang w:val="en-US" w:eastAsia="zh-CN" w:bidi="ar-SA"/>
        </w:rPr>
        <w:br w:type="textWrapping"/>
      </w:r>
      <w:r>
        <w:rPr>
          <w:rFonts w:hint="eastAsia" w:ascii="宋体" w:hAnsi="宋体" w:cs="宋体"/>
          <w:b w:val="0"/>
          <w:bCs w:val="0"/>
          <w:color w:val="auto"/>
          <w:kern w:val="2"/>
          <w:sz w:val="22"/>
          <w:szCs w:val="22"/>
          <w:highlight w:val="none"/>
          <w:lang w:val="en-US" w:eastAsia="zh-CN" w:bidi="ar-SA"/>
        </w:rPr>
        <w:t xml:space="preserve">    </w:t>
      </w:r>
      <w:r>
        <w:rPr>
          <w:rFonts w:hint="default" w:ascii="宋体" w:hAnsi="宋体" w:cs="宋体"/>
          <w:b w:val="0"/>
          <w:bCs w:val="0"/>
          <w:color w:val="auto"/>
          <w:kern w:val="2"/>
          <w:sz w:val="22"/>
          <w:szCs w:val="22"/>
          <w:highlight w:val="none"/>
          <w:lang w:val="en-US" w:eastAsia="zh-CN" w:bidi="ar-SA"/>
        </w:rPr>
        <w:t>中标人若对扣分有异议，可向园容科提出现场复议，复议原则上需中标人自行提交复议证据材料。复议或申诉有效期为一个工作日，逾期可视为自动放弃复议权。</w:t>
      </w:r>
    </w:p>
    <w:p w14:paraId="53B240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437" w:leftChars="208" w:right="0" w:rightChars="0" w:firstLine="0" w:firstLineChars="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②内业管理工作考核</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内业管理工作主要内容有：</w:t>
      </w:r>
    </w:p>
    <w:p w14:paraId="59E21C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每月20日前呈报下月养护工作计划</w:t>
      </w:r>
      <w:r>
        <w:rPr>
          <w:rFonts w:hint="eastAsia" w:ascii="宋体" w:hAnsi="宋体" w:cs="宋体"/>
          <w:b w:val="0"/>
          <w:bCs w:val="0"/>
          <w:color w:val="auto"/>
          <w:kern w:val="2"/>
          <w:sz w:val="22"/>
          <w:szCs w:val="22"/>
          <w:highlight w:val="none"/>
          <w:lang w:val="en-US" w:eastAsia="zh-CN" w:bidi="ar-SA"/>
        </w:rPr>
        <w:t>；</w:t>
      </w:r>
      <w:r>
        <w:rPr>
          <w:rFonts w:hint="default" w:ascii="宋体" w:hAnsi="宋体" w:cs="宋体"/>
          <w:b w:val="0"/>
          <w:bCs w:val="0"/>
          <w:color w:val="auto"/>
          <w:kern w:val="2"/>
          <w:sz w:val="22"/>
          <w:szCs w:val="22"/>
          <w:highlight w:val="none"/>
          <w:lang w:val="en-US" w:eastAsia="zh-CN" w:bidi="ar-SA"/>
        </w:rPr>
        <w:t>每月5日前呈报上月的工作完成情况报告及考勤表。</w:t>
      </w:r>
    </w:p>
    <w:p w14:paraId="285898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上述资料上交时间如遇节假日则提前顺推至正常工作日上交。其他要求上报的资料数据，以通知为准。</w:t>
      </w:r>
    </w:p>
    <w:p w14:paraId="2BEC4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437" w:leftChars="208" w:right="0" w:rightChars="0" w:firstLine="0" w:firstLineChars="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③等级评定</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根据以上各项检查结果，每月进行综合考核评定。等级评定标准如下：</w:t>
      </w:r>
    </w:p>
    <w:p w14:paraId="208CC587">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rFonts w:hint="eastAsia"/>
          <w:color w:val="auto"/>
          <w:sz w:val="22"/>
          <w:szCs w:val="22"/>
          <w:highlight w:val="none"/>
        </w:rPr>
      </w:pPr>
    </w:p>
    <w:p w14:paraId="327778A0">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rFonts w:hint="eastAsia"/>
          <w:color w:val="auto"/>
          <w:sz w:val="22"/>
          <w:szCs w:val="22"/>
          <w:highlight w:val="none"/>
        </w:rPr>
      </w:pPr>
    </w:p>
    <w:p w14:paraId="774D086F">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rFonts w:hint="eastAsia"/>
          <w:color w:val="auto"/>
          <w:sz w:val="22"/>
          <w:szCs w:val="22"/>
          <w:highlight w:val="none"/>
        </w:rPr>
      </w:pPr>
    </w:p>
    <w:p w14:paraId="02B71D28">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绿化养护质量等级评定标准表</w:t>
      </w:r>
    </w:p>
    <w:tbl>
      <w:tblPr>
        <w:tblStyle w:val="22"/>
        <w:tblW w:w="8730" w:type="dxa"/>
        <w:tblInd w:w="423" w:type="dxa"/>
        <w:tblLayout w:type="fixed"/>
        <w:tblCellMar>
          <w:top w:w="0" w:type="dxa"/>
          <w:left w:w="108" w:type="dxa"/>
          <w:bottom w:w="0" w:type="dxa"/>
          <w:right w:w="108" w:type="dxa"/>
        </w:tblCellMar>
      </w:tblPr>
      <w:tblGrid>
        <w:gridCol w:w="1320"/>
        <w:gridCol w:w="1800"/>
        <w:gridCol w:w="1905"/>
        <w:gridCol w:w="1650"/>
        <w:gridCol w:w="2055"/>
      </w:tblGrid>
      <w:tr w14:paraId="44F71F03">
        <w:tblPrEx>
          <w:tblCellMar>
            <w:top w:w="0" w:type="dxa"/>
            <w:left w:w="108" w:type="dxa"/>
            <w:bottom w:w="0" w:type="dxa"/>
            <w:right w:w="108" w:type="dxa"/>
          </w:tblCellMar>
        </w:tblPrEx>
        <w:trPr>
          <w:trHeight w:val="488" w:hRule="atLeast"/>
        </w:trPr>
        <w:tc>
          <w:tcPr>
            <w:tcW w:w="1320" w:type="dxa"/>
            <w:tcBorders>
              <w:top w:val="single" w:color="auto" w:sz="4" w:space="0"/>
              <w:left w:val="single" w:color="auto" w:sz="4" w:space="0"/>
              <w:bottom w:val="single" w:color="auto" w:sz="4" w:space="0"/>
              <w:right w:val="single" w:color="auto" w:sz="4" w:space="0"/>
            </w:tcBorders>
            <w:noWrap w:val="0"/>
            <w:vAlign w:val="top"/>
          </w:tcPr>
          <w:p w14:paraId="5005F64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序号</w:t>
            </w:r>
          </w:p>
        </w:tc>
        <w:tc>
          <w:tcPr>
            <w:tcW w:w="1800" w:type="dxa"/>
            <w:tcBorders>
              <w:top w:val="single" w:color="auto" w:sz="4" w:space="0"/>
              <w:left w:val="nil"/>
              <w:bottom w:val="single" w:color="auto" w:sz="4" w:space="0"/>
              <w:right w:val="single" w:color="auto" w:sz="4" w:space="0"/>
            </w:tcBorders>
            <w:noWrap w:val="0"/>
            <w:vAlign w:val="top"/>
          </w:tcPr>
          <w:p w14:paraId="5AA2473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评分项目</w:t>
            </w:r>
          </w:p>
        </w:tc>
        <w:tc>
          <w:tcPr>
            <w:tcW w:w="1905" w:type="dxa"/>
            <w:tcBorders>
              <w:top w:val="single" w:color="auto" w:sz="4" w:space="0"/>
              <w:left w:val="nil"/>
              <w:bottom w:val="single" w:color="auto" w:sz="4" w:space="0"/>
              <w:right w:val="single" w:color="auto" w:sz="4" w:space="0"/>
            </w:tcBorders>
            <w:noWrap w:val="0"/>
            <w:vAlign w:val="center"/>
          </w:tcPr>
          <w:p w14:paraId="789F0CCC">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优秀</w:t>
            </w:r>
          </w:p>
        </w:tc>
        <w:tc>
          <w:tcPr>
            <w:tcW w:w="1650" w:type="dxa"/>
            <w:tcBorders>
              <w:top w:val="single" w:color="auto" w:sz="4" w:space="0"/>
              <w:left w:val="nil"/>
              <w:bottom w:val="single" w:color="auto" w:sz="4" w:space="0"/>
              <w:right w:val="single" w:color="auto" w:sz="4" w:space="0"/>
            </w:tcBorders>
            <w:noWrap w:val="0"/>
            <w:vAlign w:val="center"/>
          </w:tcPr>
          <w:p w14:paraId="5CDBF1BD">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合格</w:t>
            </w:r>
          </w:p>
        </w:tc>
        <w:tc>
          <w:tcPr>
            <w:tcW w:w="2055" w:type="dxa"/>
            <w:tcBorders>
              <w:top w:val="single" w:color="auto" w:sz="4" w:space="0"/>
              <w:left w:val="nil"/>
              <w:bottom w:val="single" w:color="auto" w:sz="4" w:space="0"/>
              <w:right w:val="single" w:color="auto" w:sz="4" w:space="0"/>
            </w:tcBorders>
            <w:noWrap w:val="0"/>
            <w:vAlign w:val="center"/>
          </w:tcPr>
          <w:p w14:paraId="0C35F4B6">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不合格</w:t>
            </w:r>
          </w:p>
        </w:tc>
      </w:tr>
      <w:tr w14:paraId="51E09E78">
        <w:tblPrEx>
          <w:tblCellMar>
            <w:top w:w="0" w:type="dxa"/>
            <w:left w:w="108" w:type="dxa"/>
            <w:bottom w:w="0" w:type="dxa"/>
            <w:right w:w="108" w:type="dxa"/>
          </w:tblCellMar>
        </w:tblPrEx>
        <w:trPr>
          <w:trHeight w:val="390" w:hRule="atLeast"/>
        </w:trPr>
        <w:tc>
          <w:tcPr>
            <w:tcW w:w="1320" w:type="dxa"/>
            <w:tcBorders>
              <w:top w:val="single" w:color="auto" w:sz="4" w:space="0"/>
              <w:left w:val="single" w:color="auto" w:sz="4" w:space="0"/>
              <w:bottom w:val="single" w:color="auto" w:sz="4" w:space="0"/>
              <w:right w:val="single" w:color="auto" w:sz="4" w:space="0"/>
            </w:tcBorders>
            <w:noWrap w:val="0"/>
            <w:vAlign w:val="top"/>
          </w:tcPr>
          <w:p w14:paraId="1FA1B8A8">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1</w:t>
            </w:r>
          </w:p>
        </w:tc>
        <w:tc>
          <w:tcPr>
            <w:tcW w:w="1800" w:type="dxa"/>
            <w:tcBorders>
              <w:top w:val="single" w:color="auto" w:sz="4" w:space="0"/>
              <w:left w:val="nil"/>
              <w:bottom w:val="single" w:color="auto" w:sz="4" w:space="0"/>
              <w:right w:val="single" w:color="auto" w:sz="4" w:space="0"/>
            </w:tcBorders>
            <w:noWrap w:val="0"/>
            <w:vAlign w:val="top"/>
          </w:tcPr>
          <w:p w14:paraId="3C41828B">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日常养护工作</w:t>
            </w:r>
          </w:p>
        </w:tc>
        <w:tc>
          <w:tcPr>
            <w:tcW w:w="1905" w:type="dxa"/>
            <w:tcBorders>
              <w:top w:val="single" w:color="auto" w:sz="4" w:space="0"/>
              <w:left w:val="nil"/>
              <w:bottom w:val="single" w:color="auto" w:sz="4" w:space="0"/>
              <w:right w:val="single" w:color="auto" w:sz="4" w:space="0"/>
            </w:tcBorders>
            <w:noWrap w:val="0"/>
            <w:vAlign w:val="top"/>
          </w:tcPr>
          <w:p w14:paraId="5039ACCB">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87.5</w:t>
            </w:r>
            <w:r>
              <w:rPr>
                <w:rFonts w:hint="eastAsia"/>
                <w:color w:val="auto"/>
                <w:sz w:val="22"/>
                <w:szCs w:val="22"/>
                <w:highlight w:val="none"/>
              </w:rPr>
              <w:t>分</w:t>
            </w:r>
          </w:p>
        </w:tc>
        <w:tc>
          <w:tcPr>
            <w:tcW w:w="1650" w:type="dxa"/>
            <w:tcBorders>
              <w:top w:val="single" w:color="auto" w:sz="4" w:space="0"/>
              <w:left w:val="nil"/>
              <w:bottom w:val="single" w:color="auto" w:sz="4" w:space="0"/>
              <w:right w:val="single" w:color="auto" w:sz="4" w:space="0"/>
            </w:tcBorders>
            <w:noWrap w:val="0"/>
            <w:vAlign w:val="top"/>
          </w:tcPr>
          <w:p w14:paraId="36CF3001">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84.25</w:t>
            </w:r>
            <w:r>
              <w:rPr>
                <w:rFonts w:hint="eastAsia"/>
                <w:color w:val="auto"/>
                <w:sz w:val="22"/>
                <w:szCs w:val="22"/>
                <w:highlight w:val="none"/>
              </w:rPr>
              <w:t>分</w:t>
            </w:r>
          </w:p>
        </w:tc>
        <w:tc>
          <w:tcPr>
            <w:tcW w:w="2055" w:type="dxa"/>
            <w:tcBorders>
              <w:top w:val="single" w:color="auto" w:sz="4" w:space="0"/>
              <w:left w:val="nil"/>
              <w:bottom w:val="single" w:color="auto" w:sz="4" w:space="0"/>
              <w:right w:val="single" w:color="auto" w:sz="4" w:space="0"/>
            </w:tcBorders>
            <w:noWrap w:val="0"/>
            <w:vAlign w:val="top"/>
          </w:tcPr>
          <w:p w14:paraId="50D837C4">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84.25</w:t>
            </w:r>
            <w:r>
              <w:rPr>
                <w:rFonts w:hint="eastAsia"/>
                <w:color w:val="auto"/>
                <w:sz w:val="22"/>
                <w:szCs w:val="22"/>
                <w:highlight w:val="none"/>
              </w:rPr>
              <w:t>分</w:t>
            </w:r>
          </w:p>
        </w:tc>
      </w:tr>
      <w:tr w14:paraId="5F5F6BBA">
        <w:tblPrEx>
          <w:tblCellMar>
            <w:top w:w="0" w:type="dxa"/>
            <w:left w:w="108" w:type="dxa"/>
            <w:bottom w:w="0" w:type="dxa"/>
            <w:right w:w="108" w:type="dxa"/>
          </w:tblCellMar>
        </w:tblPrEx>
        <w:trPr>
          <w:trHeight w:val="435" w:hRule="atLeast"/>
        </w:trPr>
        <w:tc>
          <w:tcPr>
            <w:tcW w:w="1320" w:type="dxa"/>
            <w:tcBorders>
              <w:top w:val="single" w:color="auto" w:sz="4" w:space="0"/>
              <w:left w:val="single" w:color="auto" w:sz="4" w:space="0"/>
              <w:bottom w:val="single" w:color="auto" w:sz="4" w:space="0"/>
              <w:right w:val="single" w:color="auto" w:sz="4" w:space="0"/>
            </w:tcBorders>
            <w:noWrap w:val="0"/>
            <w:vAlign w:val="top"/>
          </w:tcPr>
          <w:p w14:paraId="7ECB2FC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2</w:t>
            </w:r>
          </w:p>
        </w:tc>
        <w:tc>
          <w:tcPr>
            <w:tcW w:w="1800" w:type="dxa"/>
            <w:tcBorders>
              <w:top w:val="single" w:color="auto" w:sz="4" w:space="0"/>
              <w:left w:val="nil"/>
              <w:bottom w:val="single" w:color="auto" w:sz="4" w:space="0"/>
              <w:right w:val="single" w:color="auto" w:sz="4" w:space="0"/>
            </w:tcBorders>
            <w:noWrap w:val="0"/>
            <w:vAlign w:val="top"/>
          </w:tcPr>
          <w:p w14:paraId="22F7FE39">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内业管理工作</w:t>
            </w:r>
          </w:p>
        </w:tc>
        <w:tc>
          <w:tcPr>
            <w:tcW w:w="1905" w:type="dxa"/>
            <w:tcBorders>
              <w:top w:val="single" w:color="auto" w:sz="4" w:space="0"/>
              <w:left w:val="nil"/>
              <w:bottom w:val="single" w:color="auto" w:sz="4" w:space="0"/>
              <w:right w:val="single" w:color="auto" w:sz="4" w:space="0"/>
            </w:tcBorders>
            <w:noWrap w:val="0"/>
            <w:vAlign w:val="top"/>
          </w:tcPr>
          <w:p w14:paraId="06BA13A5">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7.5</w:t>
            </w:r>
            <w:r>
              <w:rPr>
                <w:rFonts w:hint="eastAsia"/>
                <w:color w:val="auto"/>
                <w:sz w:val="22"/>
                <w:szCs w:val="22"/>
                <w:highlight w:val="none"/>
              </w:rPr>
              <w:t>分</w:t>
            </w:r>
          </w:p>
        </w:tc>
        <w:tc>
          <w:tcPr>
            <w:tcW w:w="1650" w:type="dxa"/>
            <w:tcBorders>
              <w:top w:val="single" w:color="auto" w:sz="4" w:space="0"/>
              <w:left w:val="nil"/>
              <w:bottom w:val="single" w:color="auto" w:sz="4" w:space="0"/>
              <w:right w:val="single" w:color="auto" w:sz="4" w:space="0"/>
            </w:tcBorders>
            <w:noWrap w:val="0"/>
            <w:vAlign w:val="top"/>
          </w:tcPr>
          <w:p w14:paraId="041DEB04">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5.75</w:t>
            </w:r>
            <w:r>
              <w:rPr>
                <w:rFonts w:hint="eastAsia"/>
                <w:color w:val="auto"/>
                <w:sz w:val="22"/>
                <w:szCs w:val="22"/>
                <w:highlight w:val="none"/>
              </w:rPr>
              <w:t>分</w:t>
            </w:r>
          </w:p>
        </w:tc>
        <w:tc>
          <w:tcPr>
            <w:tcW w:w="2055" w:type="dxa"/>
            <w:tcBorders>
              <w:top w:val="single" w:color="auto" w:sz="4" w:space="0"/>
              <w:left w:val="nil"/>
              <w:bottom w:val="single" w:color="auto" w:sz="4" w:space="0"/>
              <w:right w:val="single" w:color="auto" w:sz="4" w:space="0"/>
            </w:tcBorders>
            <w:noWrap w:val="0"/>
            <w:vAlign w:val="top"/>
          </w:tcPr>
          <w:p w14:paraId="6D29106B">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5.75</w:t>
            </w:r>
            <w:r>
              <w:rPr>
                <w:rFonts w:hint="eastAsia"/>
                <w:color w:val="auto"/>
                <w:sz w:val="22"/>
                <w:szCs w:val="22"/>
                <w:highlight w:val="none"/>
              </w:rPr>
              <w:t>分</w:t>
            </w:r>
          </w:p>
        </w:tc>
      </w:tr>
      <w:tr w14:paraId="7C3381BF">
        <w:tblPrEx>
          <w:tblCellMar>
            <w:top w:w="0" w:type="dxa"/>
            <w:left w:w="108" w:type="dxa"/>
            <w:bottom w:w="0" w:type="dxa"/>
            <w:right w:w="108" w:type="dxa"/>
          </w:tblCellMar>
        </w:tblPrEx>
        <w:trPr>
          <w:trHeight w:val="430" w:hRule="atLeast"/>
        </w:trPr>
        <w:tc>
          <w:tcPr>
            <w:tcW w:w="1320" w:type="dxa"/>
            <w:tcBorders>
              <w:top w:val="single" w:color="auto" w:sz="4" w:space="0"/>
              <w:left w:val="single" w:color="auto" w:sz="4" w:space="0"/>
              <w:bottom w:val="single" w:color="auto" w:sz="4" w:space="0"/>
              <w:right w:val="single" w:color="auto" w:sz="4" w:space="0"/>
            </w:tcBorders>
            <w:noWrap w:val="0"/>
            <w:vAlign w:val="top"/>
          </w:tcPr>
          <w:p w14:paraId="50CC6EE6">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3</w:t>
            </w:r>
          </w:p>
        </w:tc>
        <w:tc>
          <w:tcPr>
            <w:tcW w:w="1800" w:type="dxa"/>
            <w:tcBorders>
              <w:top w:val="single" w:color="auto" w:sz="4" w:space="0"/>
              <w:left w:val="nil"/>
              <w:bottom w:val="single" w:color="auto" w:sz="4" w:space="0"/>
              <w:right w:val="single" w:color="auto" w:sz="4" w:space="0"/>
            </w:tcBorders>
            <w:noWrap w:val="0"/>
            <w:vAlign w:val="top"/>
          </w:tcPr>
          <w:p w14:paraId="65FDDE9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综合分</w:t>
            </w:r>
          </w:p>
        </w:tc>
        <w:tc>
          <w:tcPr>
            <w:tcW w:w="1905" w:type="dxa"/>
            <w:tcBorders>
              <w:top w:val="single" w:color="auto" w:sz="4" w:space="0"/>
              <w:left w:val="nil"/>
              <w:bottom w:val="single" w:color="auto" w:sz="4" w:space="0"/>
              <w:right w:val="single" w:color="auto" w:sz="4" w:space="0"/>
            </w:tcBorders>
            <w:noWrap w:val="0"/>
            <w:vAlign w:val="top"/>
          </w:tcPr>
          <w:p w14:paraId="634A4290">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95</w:t>
            </w:r>
            <w:r>
              <w:rPr>
                <w:rFonts w:hint="eastAsia"/>
                <w:color w:val="auto"/>
                <w:sz w:val="22"/>
                <w:szCs w:val="22"/>
                <w:highlight w:val="none"/>
              </w:rPr>
              <w:t>分</w:t>
            </w:r>
          </w:p>
        </w:tc>
        <w:tc>
          <w:tcPr>
            <w:tcW w:w="1650" w:type="dxa"/>
            <w:tcBorders>
              <w:top w:val="single" w:color="auto" w:sz="4" w:space="0"/>
              <w:left w:val="nil"/>
              <w:bottom w:val="single" w:color="auto" w:sz="4" w:space="0"/>
              <w:right w:val="single" w:color="auto" w:sz="4" w:space="0"/>
            </w:tcBorders>
            <w:noWrap w:val="0"/>
            <w:vAlign w:val="top"/>
          </w:tcPr>
          <w:p w14:paraId="58A81C7E">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90</w:t>
            </w:r>
            <w:r>
              <w:rPr>
                <w:rFonts w:hint="eastAsia"/>
                <w:color w:val="auto"/>
                <w:sz w:val="22"/>
                <w:szCs w:val="22"/>
                <w:highlight w:val="none"/>
              </w:rPr>
              <w:t>分</w:t>
            </w:r>
          </w:p>
        </w:tc>
        <w:tc>
          <w:tcPr>
            <w:tcW w:w="2055" w:type="dxa"/>
            <w:tcBorders>
              <w:top w:val="single" w:color="auto" w:sz="4" w:space="0"/>
              <w:left w:val="nil"/>
              <w:bottom w:val="single" w:color="auto" w:sz="4" w:space="0"/>
              <w:right w:val="single" w:color="auto" w:sz="4" w:space="0"/>
            </w:tcBorders>
            <w:noWrap w:val="0"/>
            <w:vAlign w:val="top"/>
          </w:tcPr>
          <w:p w14:paraId="7FCE79E3">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90</w:t>
            </w:r>
            <w:r>
              <w:rPr>
                <w:rFonts w:hint="eastAsia"/>
                <w:color w:val="auto"/>
                <w:sz w:val="22"/>
                <w:szCs w:val="22"/>
                <w:highlight w:val="none"/>
              </w:rPr>
              <w:t>分</w:t>
            </w:r>
          </w:p>
        </w:tc>
      </w:tr>
    </w:tbl>
    <w:p w14:paraId="214ED4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备注：表中各项指标必须同时满足各评分项目要求方能评为相应等级。其中，三项评分项目中有一项及一项以上为不合格，则综合评定等级认定为不合格。</w:t>
      </w:r>
    </w:p>
    <w:p w14:paraId="7A4E340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w:t>
      </w:r>
      <w:r>
        <w:rPr>
          <w:rFonts w:hint="eastAsia" w:ascii="宋体" w:hAnsi="宋体" w:cs="宋体"/>
          <w:b w:val="0"/>
          <w:bCs w:val="0"/>
          <w:color w:val="auto"/>
          <w:kern w:val="2"/>
          <w:sz w:val="22"/>
          <w:szCs w:val="22"/>
          <w:highlight w:val="none"/>
          <w:lang w:val="en-US" w:eastAsia="zh-CN" w:bidi="ar-SA"/>
        </w:rPr>
        <w:t>2</w:t>
      </w:r>
      <w:r>
        <w:rPr>
          <w:rFonts w:hint="default" w:ascii="宋体" w:hAnsi="宋体" w:cs="宋体"/>
          <w:b w:val="0"/>
          <w:bCs w:val="0"/>
          <w:color w:val="auto"/>
          <w:kern w:val="2"/>
          <w:sz w:val="22"/>
          <w:szCs w:val="22"/>
          <w:highlight w:val="none"/>
          <w:lang w:val="en-US" w:eastAsia="zh-CN" w:bidi="ar-SA"/>
        </w:rPr>
        <w:t>）</w:t>
      </w:r>
      <w:r>
        <w:rPr>
          <w:rFonts w:hint="eastAsia" w:ascii="宋体" w:hAnsi="宋体" w:cs="宋体"/>
          <w:b w:val="0"/>
          <w:bCs w:val="0"/>
          <w:color w:val="auto"/>
          <w:kern w:val="2"/>
          <w:sz w:val="22"/>
          <w:szCs w:val="22"/>
          <w:highlight w:val="none"/>
          <w:lang w:val="en-US" w:eastAsia="zh-CN" w:bidi="ar-SA"/>
        </w:rPr>
        <w:t xml:space="preserve"> 养护效果考核</w:t>
      </w:r>
    </w:p>
    <w:p w14:paraId="37F82E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养护效果考核每月进行一次，考核主要由园容科负责，由科室2名或2名以上技术人员组成检查组，检查组组长由园容科一名中级技术职称以上（含中级职称）人员担任。评分细则详见《南宁市石门公园绿化养护月度检查考核评分表》。</w:t>
      </w:r>
    </w:p>
    <w:p w14:paraId="74AF1D06">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color w:val="auto"/>
          <w:sz w:val="22"/>
          <w:szCs w:val="22"/>
          <w:highlight w:val="none"/>
        </w:rPr>
      </w:pPr>
      <w:r>
        <w:rPr>
          <w:rFonts w:hint="eastAsia"/>
          <w:color w:val="auto"/>
          <w:sz w:val="22"/>
          <w:szCs w:val="22"/>
          <w:highlight w:val="none"/>
        </w:rPr>
        <w:t>养护效果等级评定标准表</w:t>
      </w:r>
    </w:p>
    <w:tbl>
      <w:tblPr>
        <w:tblStyle w:val="22"/>
        <w:tblW w:w="8085" w:type="dxa"/>
        <w:jc w:val="center"/>
        <w:tblLayout w:type="fixed"/>
        <w:tblCellMar>
          <w:top w:w="0" w:type="dxa"/>
          <w:left w:w="108" w:type="dxa"/>
          <w:bottom w:w="0" w:type="dxa"/>
          <w:right w:w="108" w:type="dxa"/>
        </w:tblCellMar>
      </w:tblPr>
      <w:tblGrid>
        <w:gridCol w:w="2625"/>
        <w:gridCol w:w="2940"/>
        <w:gridCol w:w="2520"/>
      </w:tblGrid>
      <w:tr w14:paraId="50E9F3E0">
        <w:tblPrEx>
          <w:tblCellMar>
            <w:top w:w="0" w:type="dxa"/>
            <w:left w:w="108" w:type="dxa"/>
            <w:bottom w:w="0" w:type="dxa"/>
            <w:right w:w="108" w:type="dxa"/>
          </w:tblCellMar>
        </w:tblPrEx>
        <w:trPr>
          <w:trHeight w:val="405" w:hRule="atLeast"/>
          <w:jc w:val="center"/>
        </w:trPr>
        <w:tc>
          <w:tcPr>
            <w:tcW w:w="2625" w:type="dxa"/>
            <w:tcBorders>
              <w:top w:val="single" w:color="auto" w:sz="4" w:space="0"/>
              <w:left w:val="single" w:color="auto" w:sz="4" w:space="0"/>
              <w:bottom w:val="single" w:color="auto" w:sz="4" w:space="0"/>
              <w:right w:val="single" w:color="auto" w:sz="4" w:space="0"/>
            </w:tcBorders>
            <w:noWrap w:val="0"/>
            <w:vAlign w:val="top"/>
          </w:tcPr>
          <w:p w14:paraId="0F1C1474">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优秀</w:t>
            </w:r>
          </w:p>
        </w:tc>
        <w:tc>
          <w:tcPr>
            <w:tcW w:w="2940" w:type="dxa"/>
            <w:tcBorders>
              <w:top w:val="single" w:color="auto" w:sz="4" w:space="0"/>
              <w:left w:val="nil"/>
              <w:bottom w:val="single" w:color="auto" w:sz="4" w:space="0"/>
              <w:right w:val="single" w:color="auto" w:sz="4" w:space="0"/>
            </w:tcBorders>
            <w:noWrap w:val="0"/>
            <w:vAlign w:val="top"/>
          </w:tcPr>
          <w:p w14:paraId="03276390">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合格</w:t>
            </w:r>
          </w:p>
        </w:tc>
        <w:tc>
          <w:tcPr>
            <w:tcW w:w="2520" w:type="dxa"/>
            <w:tcBorders>
              <w:top w:val="single" w:color="auto" w:sz="4" w:space="0"/>
              <w:left w:val="nil"/>
              <w:bottom w:val="single" w:color="auto" w:sz="4" w:space="0"/>
              <w:right w:val="single" w:color="auto" w:sz="4" w:space="0"/>
            </w:tcBorders>
            <w:noWrap w:val="0"/>
            <w:vAlign w:val="top"/>
          </w:tcPr>
          <w:p w14:paraId="25B392D3">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不合格</w:t>
            </w:r>
          </w:p>
        </w:tc>
      </w:tr>
      <w:tr w14:paraId="6DEAE310">
        <w:tblPrEx>
          <w:tblCellMar>
            <w:top w:w="0" w:type="dxa"/>
            <w:left w:w="108" w:type="dxa"/>
            <w:bottom w:w="0" w:type="dxa"/>
            <w:right w:w="108" w:type="dxa"/>
          </w:tblCellMar>
        </w:tblPrEx>
        <w:trPr>
          <w:trHeight w:val="327" w:hRule="atLeast"/>
          <w:jc w:val="center"/>
        </w:trPr>
        <w:tc>
          <w:tcPr>
            <w:tcW w:w="2625" w:type="dxa"/>
            <w:tcBorders>
              <w:top w:val="single" w:color="auto" w:sz="4" w:space="0"/>
              <w:left w:val="single" w:color="auto" w:sz="4" w:space="0"/>
              <w:bottom w:val="single" w:color="auto" w:sz="4" w:space="0"/>
              <w:right w:val="single" w:color="auto" w:sz="4" w:space="0"/>
            </w:tcBorders>
            <w:noWrap w:val="0"/>
            <w:vAlign w:val="top"/>
          </w:tcPr>
          <w:p w14:paraId="2DA42751">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95</w:t>
            </w:r>
          </w:p>
        </w:tc>
        <w:tc>
          <w:tcPr>
            <w:tcW w:w="2940" w:type="dxa"/>
            <w:tcBorders>
              <w:top w:val="single" w:color="auto" w:sz="4" w:space="0"/>
              <w:left w:val="nil"/>
              <w:bottom w:val="single" w:color="auto" w:sz="4" w:space="0"/>
              <w:right w:val="single" w:color="auto" w:sz="4" w:space="0"/>
            </w:tcBorders>
            <w:noWrap w:val="0"/>
            <w:vAlign w:val="top"/>
          </w:tcPr>
          <w:p w14:paraId="703ABA27">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color w:val="auto"/>
                <w:sz w:val="22"/>
                <w:szCs w:val="22"/>
                <w:highlight w:val="none"/>
              </w:rPr>
              <w:t>95—90</w:t>
            </w:r>
          </w:p>
        </w:tc>
        <w:tc>
          <w:tcPr>
            <w:tcW w:w="2520" w:type="dxa"/>
            <w:tcBorders>
              <w:top w:val="single" w:color="auto" w:sz="4" w:space="0"/>
              <w:left w:val="nil"/>
              <w:bottom w:val="single" w:color="auto" w:sz="4" w:space="0"/>
              <w:right w:val="single" w:color="auto" w:sz="4" w:space="0"/>
            </w:tcBorders>
            <w:noWrap w:val="0"/>
            <w:vAlign w:val="top"/>
          </w:tcPr>
          <w:p w14:paraId="1CC042CE">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color w:val="auto"/>
                <w:sz w:val="22"/>
                <w:szCs w:val="22"/>
                <w:highlight w:val="none"/>
              </w:rPr>
            </w:pPr>
            <w:r>
              <w:rPr>
                <w:rFonts w:hint="eastAsia"/>
                <w:color w:val="auto"/>
                <w:sz w:val="22"/>
                <w:szCs w:val="22"/>
                <w:highlight w:val="none"/>
              </w:rPr>
              <w:t>＜</w:t>
            </w:r>
            <w:r>
              <w:rPr>
                <w:color w:val="auto"/>
                <w:sz w:val="22"/>
                <w:szCs w:val="22"/>
                <w:highlight w:val="none"/>
              </w:rPr>
              <w:t>90</w:t>
            </w:r>
          </w:p>
        </w:tc>
      </w:tr>
    </w:tbl>
    <w:p w14:paraId="1FDE7BBA">
      <w:pPr>
        <w:keepNext w:val="0"/>
        <w:keepLines w:val="0"/>
        <w:pageBreakBefore w:val="0"/>
        <w:widowControl w:val="0"/>
        <w:kinsoku/>
        <w:wordWrap/>
        <w:overflowPunct/>
        <w:topLinePunct w:val="0"/>
        <w:autoSpaceDE/>
        <w:autoSpaceDN/>
        <w:bidi w:val="0"/>
        <w:adjustRightInd/>
        <w:snapToGrid/>
        <w:spacing w:line="380" w:lineRule="exact"/>
        <w:ind w:firstLine="440" w:firstLineChars="200"/>
        <w:jc w:val="center"/>
        <w:textAlignment w:val="auto"/>
        <w:rPr>
          <w:rFonts w:hint="default"/>
          <w:color w:val="auto"/>
          <w:sz w:val="22"/>
          <w:szCs w:val="22"/>
          <w:highlight w:val="none"/>
          <w:lang w:val="en-US" w:eastAsia="zh-CN"/>
        </w:rPr>
      </w:pPr>
      <w:r>
        <w:rPr>
          <w:rFonts w:hint="eastAsia"/>
          <w:color w:val="auto"/>
          <w:sz w:val="22"/>
          <w:szCs w:val="22"/>
          <w:highlight w:val="none"/>
          <w:lang w:val="en-US" w:eastAsia="zh-CN"/>
        </w:rPr>
        <w:t>优秀（≥</w:t>
      </w:r>
      <w:r>
        <w:rPr>
          <w:rFonts w:hint="default"/>
          <w:color w:val="auto"/>
          <w:sz w:val="22"/>
          <w:szCs w:val="22"/>
          <w:highlight w:val="none"/>
          <w:lang w:val="en-US" w:eastAsia="zh-CN"/>
        </w:rPr>
        <w:t>95）、合格（95</w:t>
      </w:r>
      <w:r>
        <w:rPr>
          <w:rFonts w:hint="eastAsia"/>
          <w:color w:val="auto"/>
          <w:sz w:val="22"/>
          <w:szCs w:val="22"/>
          <w:highlight w:val="none"/>
          <w:lang w:val="en-US" w:eastAsia="zh-CN"/>
        </w:rPr>
        <w:t>-</w:t>
      </w:r>
      <w:r>
        <w:rPr>
          <w:rFonts w:hint="default"/>
          <w:color w:val="auto"/>
          <w:sz w:val="22"/>
          <w:szCs w:val="22"/>
          <w:highlight w:val="none"/>
          <w:lang w:val="en-US" w:eastAsia="zh-CN"/>
        </w:rPr>
        <w:t>90）、不合格（＜90）</w:t>
      </w:r>
    </w:p>
    <w:p w14:paraId="1DB7B5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3. 考核结果运用</w:t>
      </w:r>
    </w:p>
    <w:p w14:paraId="2163C1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（1）考核等级与养护经费挂钩</w:t>
      </w:r>
    </w:p>
    <w:p w14:paraId="6B5F7A7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437" w:leftChars="208" w:right="0" w:rightChars="0" w:firstLine="0" w:firstLineChars="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①</w:t>
      </w:r>
      <w:r>
        <w:rPr>
          <w:rFonts w:hint="default" w:ascii="宋体" w:hAnsi="宋体" w:cs="宋体"/>
          <w:b w:val="0"/>
          <w:bCs w:val="0"/>
          <w:color w:val="auto"/>
          <w:kern w:val="2"/>
          <w:sz w:val="22"/>
          <w:szCs w:val="22"/>
          <w:highlight w:val="none"/>
          <w:lang w:val="en-US" w:eastAsia="zh-CN" w:bidi="ar-SA"/>
        </w:rPr>
        <w:t>月度考核总评分在95分以上的（等级评定优秀），按合同规定拨付当月合同款；</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计算公式如下：月实付合同款 = 合同款/12个月 - 整改扣款金额</w:t>
      </w:r>
    </w:p>
    <w:p w14:paraId="7EBB50C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left="437" w:leftChars="208" w:right="0" w:rightChars="0" w:firstLine="0" w:firstLineChars="0"/>
        <w:textAlignment w:val="auto"/>
        <w:rPr>
          <w:rFonts w:hint="default"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②</w:t>
      </w:r>
      <w:r>
        <w:rPr>
          <w:rFonts w:hint="default" w:ascii="宋体" w:hAnsi="宋体" w:cs="宋体"/>
          <w:b w:val="0"/>
          <w:bCs w:val="0"/>
          <w:color w:val="auto"/>
          <w:kern w:val="2"/>
          <w:sz w:val="22"/>
          <w:szCs w:val="22"/>
          <w:highlight w:val="none"/>
          <w:lang w:val="en-US" w:eastAsia="zh-CN" w:bidi="ar-SA"/>
        </w:rPr>
        <w:t>月度考核总评分在95 - 90分之间的（等级评定合格），按考核得分比例核拨当月合同款；</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计算公式如下：月实付合同款 = 合同款/12个月×当月考核得分/100 - 整改扣款金额</w:t>
      </w:r>
    </w:p>
    <w:p w14:paraId="457A57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③</w:t>
      </w:r>
      <w:r>
        <w:rPr>
          <w:rFonts w:hint="default" w:ascii="宋体" w:hAnsi="宋体" w:cs="宋体"/>
          <w:b w:val="0"/>
          <w:bCs w:val="0"/>
          <w:color w:val="auto"/>
          <w:kern w:val="2"/>
          <w:sz w:val="22"/>
          <w:szCs w:val="22"/>
          <w:highlight w:val="none"/>
          <w:lang w:val="en-US" w:eastAsia="zh-CN" w:bidi="ar-SA"/>
        </w:rPr>
        <w:t>月度考核低于90分（等级评定不合格）按考核得分比例核拨当月95%的合同款</w:t>
      </w:r>
      <w:r>
        <w:rPr>
          <w:rFonts w:hint="eastAsia" w:ascii="宋体" w:hAnsi="宋体" w:cs="宋体"/>
          <w:b w:val="0"/>
          <w:bCs w:val="0"/>
          <w:color w:val="auto"/>
          <w:kern w:val="2"/>
          <w:sz w:val="22"/>
          <w:szCs w:val="22"/>
          <w:highlight w:val="none"/>
          <w:lang w:val="en-US" w:eastAsia="zh-CN" w:bidi="ar-SA"/>
        </w:rPr>
        <w:t>；</w:t>
      </w:r>
    </w:p>
    <w:p w14:paraId="4E749A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计算公式如下：月实付合同款 = （合同款/12个月×当月考核得分/100）×95% - 整改扣款金额</w:t>
      </w:r>
    </w:p>
    <w:p w14:paraId="42C3063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工作期间造成严重损失或发生重大安全责任事故的，当月考核等级为不合格，除扣当月合同款外、公园将终止合同，中标人应赔偿全部损失。公园考评检查后发现的问题以绿化养护考核情况通报表的形式发出后，中标人连续3次或累计5次未按要求整改的，公园有权单方面解除合同。中标人连续3个月月度考核不合格，或一年内累计5个月月度考核不合格则视为违约，公园有权单方面解除承包合同，并重新招标。</w:t>
      </w:r>
    </w:p>
    <w:p w14:paraId="56E59C4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创文明城”、“美丽南宁”等系列行动以及国家级、区级、市级迎检工作纳入月度考核。一经检查拍照上传，要求整改的，乙方应按照相关要求进行整改，被扣分项按每项（或每次、每件）扣款200元人民币，扣分不设上限，纳入考核结果。款额从养护经费中扣除。媒体曝光及相关部门投诉、市民游客投诉的，按每项（或每次、每件）扣款200元人民币，扣分不设上限，纳入考核结果。款额从养护经费中扣除。</w:t>
      </w:r>
    </w:p>
    <w:p w14:paraId="16487F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（2）考核等级与养护合同期挂钩</w:t>
      </w:r>
    </w:p>
    <w:p w14:paraId="0FAD9C8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续签合同：在合同期内考核结果均为合格等次，可提出续签合同申请，合同期续签最高累计3年。</w:t>
      </w:r>
    </w:p>
    <w:p w14:paraId="4CAC9B9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终止合同：</w:t>
      </w:r>
      <w:r>
        <w:rPr>
          <w:rFonts w:hint="eastAsia" w:ascii="宋体" w:hAnsi="宋体" w:cs="宋体"/>
          <w:b w:val="0"/>
          <w:bCs w:val="0"/>
          <w:color w:val="auto"/>
          <w:kern w:val="2"/>
          <w:sz w:val="22"/>
          <w:szCs w:val="22"/>
          <w:highlight w:val="none"/>
          <w:lang w:val="en-US" w:eastAsia="zh-CN" w:bidi="ar-SA"/>
        </w:rPr>
        <w:t>中标单位</w:t>
      </w:r>
      <w:r>
        <w:rPr>
          <w:rFonts w:hint="default" w:ascii="宋体" w:hAnsi="宋体" w:cs="宋体"/>
          <w:b w:val="0"/>
          <w:bCs w:val="0"/>
          <w:color w:val="auto"/>
          <w:kern w:val="2"/>
          <w:sz w:val="22"/>
          <w:szCs w:val="22"/>
          <w:highlight w:val="none"/>
          <w:lang w:val="en-US" w:eastAsia="zh-CN" w:bidi="ar-SA"/>
        </w:rPr>
        <w:t>如果连续三次考核分数在90 - 80分或累计两个月考核低于70分的，则视为中标供应商未按合同提供服务，公园有权终止合同。其中，考核包括日常工作考核和养护效果考核。</w:t>
      </w:r>
    </w:p>
    <w:p w14:paraId="388048E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计分办法及整改要求</w:t>
      </w:r>
    </w:p>
    <w:p w14:paraId="447892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每次月度检查完毕，考核小组根据每个考核组成员的计分情况，集体讨论决定分值。</w:t>
      </w:r>
    </w:p>
    <w:p w14:paraId="5C0DBE3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月度考核综合得分计算方式为：月度考核综合得分＝100－月度检查扣分分值×80%－日常巡查扣分分值（含未整改扣分值和中标人自查扣分值）×20%－专项考评扣分分值</w:t>
      </w:r>
      <w:r>
        <w:rPr>
          <w:rFonts w:hint="eastAsia" w:ascii="宋体" w:hAnsi="宋体" w:cs="宋体"/>
          <w:b w:val="0"/>
          <w:bCs w:val="0"/>
          <w:color w:val="auto"/>
          <w:kern w:val="2"/>
          <w:sz w:val="22"/>
          <w:szCs w:val="22"/>
          <w:highlight w:val="none"/>
          <w:lang w:val="en-US" w:eastAsia="zh-CN" w:bidi="ar-SA"/>
        </w:rPr>
        <w:t>。</w:t>
      </w:r>
    </w:p>
    <w:p w14:paraId="3875FCA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各项检查考核中发现的问题，中标人应在收到公园下达的考核情况通报表后在整改时限（没有整改时限要求的均按3天作为整改时限）完成整改工作。如情况特殊无法在规定期限内完成存在问题整改工作的，中标人应及时将实际情况上报园容科，经园容科相关领导审批后，视实际情况适当延长整改期限。整改工作完成后应将整改结果及相关材料（如现场整改照片）及时反馈至园容科。</w:t>
      </w:r>
    </w:p>
    <w:p w14:paraId="145420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以下情况按合同规定扣除部分或全部当月拨付合同款：</w:t>
      </w:r>
    </w:p>
    <w:p w14:paraId="5194E4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日常巡查、月度检查、专项考评时每发现一处问题扣200元，未能在规定整改期限或经审批延长整改期内完成整改工作的，扣款（扣除500元/天/处）；</w:t>
      </w:r>
      <w:r>
        <w:rPr>
          <w:rFonts w:hint="default" w:ascii="宋体" w:hAnsi="宋体" w:cs="宋体"/>
          <w:b w:val="0"/>
          <w:bCs w:val="0"/>
          <w:color w:val="auto"/>
          <w:kern w:val="2"/>
          <w:sz w:val="22"/>
          <w:szCs w:val="22"/>
          <w:highlight w:val="none"/>
          <w:lang w:val="en-US" w:eastAsia="zh-CN" w:bidi="ar-SA"/>
        </w:rPr>
        <w:br w:type="textWrapping"/>
      </w:r>
      <w:r>
        <w:rPr>
          <w:rFonts w:hint="default" w:ascii="宋体" w:hAnsi="宋体" w:cs="宋体"/>
          <w:b w:val="0"/>
          <w:bCs w:val="0"/>
          <w:color w:val="auto"/>
          <w:kern w:val="2"/>
          <w:sz w:val="22"/>
          <w:szCs w:val="22"/>
          <w:highlight w:val="none"/>
          <w:lang w:val="en-US" w:eastAsia="zh-CN" w:bidi="ar-SA"/>
        </w:rPr>
        <w:t>计算公式如下：整改扣款金额＝发现问题数×200元 + 当月逾期天数×未整改问题×500元</w:t>
      </w:r>
    </w:p>
    <w:p w14:paraId="7EA73171">
      <w:pPr>
        <w:keepNext w:val="0"/>
        <w:keepLines w:val="0"/>
        <w:pageBreakBefore w:val="0"/>
        <w:widowControl w:val="0"/>
        <w:kinsoku/>
        <w:wordWrap/>
        <w:overflowPunct/>
        <w:topLinePunct w:val="0"/>
        <w:autoSpaceDE/>
        <w:autoSpaceDN/>
        <w:bidi w:val="0"/>
        <w:adjustRightInd/>
        <w:snapToGrid/>
        <w:spacing w:line="380" w:lineRule="exact"/>
        <w:ind w:firstLine="442" w:firstLineChars="200"/>
        <w:textAlignment w:val="auto"/>
        <w:rPr>
          <w:rFonts w:hint="default"/>
          <w:b/>
          <w:bCs/>
          <w:color w:val="auto"/>
          <w:sz w:val="22"/>
          <w:szCs w:val="22"/>
          <w:highlight w:val="none"/>
          <w:lang w:val="en-US" w:eastAsia="zh-CN"/>
        </w:rPr>
      </w:pPr>
      <w:r>
        <w:rPr>
          <w:rFonts w:hint="default"/>
          <w:b/>
          <w:bCs/>
          <w:color w:val="auto"/>
          <w:sz w:val="22"/>
          <w:szCs w:val="22"/>
          <w:highlight w:val="none"/>
          <w:lang w:val="en-US" w:eastAsia="zh-CN"/>
        </w:rPr>
        <w:t>第七章 附则</w:t>
      </w:r>
    </w:p>
    <w:p w14:paraId="35053D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default" w:ascii="宋体" w:hAnsi="宋体" w:cs="宋体"/>
          <w:b w:val="0"/>
          <w:bCs w:val="0"/>
          <w:color w:val="auto"/>
          <w:kern w:val="2"/>
          <w:sz w:val="22"/>
          <w:szCs w:val="22"/>
          <w:highlight w:val="none"/>
          <w:lang w:val="en-US" w:eastAsia="zh-CN" w:bidi="ar-SA"/>
        </w:rPr>
      </w:pPr>
      <w:r>
        <w:rPr>
          <w:rFonts w:hint="default" w:ascii="宋体" w:hAnsi="宋体" w:cs="宋体"/>
          <w:b w:val="0"/>
          <w:bCs w:val="0"/>
          <w:color w:val="auto"/>
          <w:kern w:val="2"/>
          <w:sz w:val="22"/>
          <w:szCs w:val="22"/>
          <w:highlight w:val="none"/>
          <w:lang w:val="en-US" w:eastAsia="zh-CN" w:bidi="ar-SA"/>
        </w:rPr>
        <w:t>本办法自发布之日起施行，由南宁市石门公园负责解释。如有未尽事宜，可根据实际情况进行补充和修订。</w:t>
      </w:r>
    </w:p>
    <w:p w14:paraId="58004E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80" w:lineRule="exact"/>
        <w:ind w:right="0" w:rightChars="0" w:firstLine="440" w:firstLineChars="200"/>
        <w:textAlignment w:val="auto"/>
        <w:rPr>
          <w:rFonts w:hint="eastAsia" w:ascii="宋体" w:hAnsi="宋体" w:cs="宋体"/>
          <w:b w:val="0"/>
          <w:bCs w:val="0"/>
          <w:color w:val="auto"/>
          <w:kern w:val="2"/>
          <w:sz w:val="22"/>
          <w:szCs w:val="22"/>
          <w:highlight w:val="none"/>
          <w:lang w:val="en-US" w:eastAsia="zh-CN" w:bidi="ar-SA"/>
        </w:rPr>
      </w:pPr>
      <w:r>
        <w:rPr>
          <w:rFonts w:hint="eastAsia" w:ascii="宋体" w:hAnsi="宋体" w:cs="宋体"/>
          <w:b w:val="0"/>
          <w:bCs w:val="0"/>
          <w:color w:val="auto"/>
          <w:kern w:val="2"/>
          <w:sz w:val="22"/>
          <w:szCs w:val="22"/>
          <w:highlight w:val="none"/>
          <w:lang w:val="en-US" w:eastAsia="zh-CN" w:bidi="ar-SA"/>
        </w:rPr>
        <w:t>为加强南宁市石门公园绿化养护服务管理的监督考核，维护石门公园良好的游园秩序和景观环境，使养护工作实现制度化、规范化、程序化，根据《南宁市公园管理规定》及绿化养护有关工作要求，结合石门公园实际制定本办法。</w:t>
      </w:r>
    </w:p>
    <w:p w14:paraId="36861E69">
      <w:pPr>
        <w:rPr>
          <w:rFonts w:hint="eastAsia" w:ascii="宋体" w:hAnsi="宋体" w:eastAsia="宋体" w:cs="宋体"/>
          <w:b/>
          <w:bCs/>
          <w:color w:val="auto"/>
          <w:sz w:val="28"/>
          <w:szCs w:val="28"/>
          <w:highlight w:val="none"/>
          <w:lang w:val="en-US" w:eastAsia="zh-CN"/>
        </w:rPr>
        <w:sectPr>
          <w:pgSz w:w="11906" w:h="16838"/>
          <w:pgMar w:top="1020" w:right="1134" w:bottom="1020" w:left="1134" w:header="851" w:footer="992" w:gutter="0"/>
          <w:pgBorders>
            <w:top w:val="none" w:sz="0" w:space="0"/>
            <w:left w:val="none" w:sz="0" w:space="0"/>
            <w:bottom w:val="none" w:sz="0" w:space="0"/>
            <w:right w:val="none" w:sz="0" w:space="0"/>
          </w:pgBorders>
          <w:cols w:space="720" w:num="1"/>
          <w:docGrid w:type="lines" w:linePitch="312" w:charSpace="0"/>
        </w:sectPr>
      </w:pPr>
    </w:p>
    <w:p w14:paraId="0CBF5537">
      <w:pPr>
        <w:rPr>
          <w:rFonts w:hint="default" w:ascii="黑体" w:eastAsia="黑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附件4-2-1</w:t>
      </w:r>
    </w:p>
    <w:p w14:paraId="369F6E1F">
      <w:pPr>
        <w:jc w:val="center"/>
        <w:rPr>
          <w:rFonts w:ascii="黑体" w:eastAsia="黑体"/>
          <w:b/>
          <w:bCs/>
          <w:color w:val="auto"/>
          <w:sz w:val="30"/>
          <w:szCs w:val="30"/>
          <w:highlight w:val="none"/>
        </w:rPr>
      </w:pPr>
      <w:r>
        <w:rPr>
          <w:rFonts w:hint="eastAsia" w:ascii="黑体" w:eastAsia="黑体"/>
          <w:b/>
          <w:bCs/>
          <w:color w:val="auto"/>
          <w:sz w:val="30"/>
          <w:szCs w:val="30"/>
          <w:highlight w:val="none"/>
        </w:rPr>
        <w:t>南宁市石门公园绿化养护日常考核评分标准</w:t>
      </w:r>
    </w:p>
    <w:p w14:paraId="10A4EE30">
      <w:pPr>
        <w:jc w:val="left"/>
        <w:rPr>
          <w:rFonts w:ascii="黑体" w:eastAsia="黑体"/>
          <w:b/>
          <w:bCs/>
          <w:color w:val="auto"/>
          <w:sz w:val="28"/>
          <w:szCs w:val="28"/>
          <w:highlight w:val="none"/>
        </w:rPr>
      </w:pPr>
      <w:r>
        <w:rPr>
          <w:rFonts w:ascii="黑体" w:eastAsia="黑体"/>
          <w:color w:val="auto"/>
          <w:sz w:val="24"/>
          <w:highlight w:val="none"/>
        </w:rPr>
        <w:t xml:space="preserve"> </w:t>
      </w:r>
      <w:r>
        <w:rPr>
          <w:rFonts w:hint="eastAsia" w:ascii="黑体" w:eastAsia="黑体"/>
          <w:color w:val="auto"/>
          <w:sz w:val="24"/>
          <w:highlight w:val="none"/>
        </w:rPr>
        <w:t>日期：</w:t>
      </w:r>
      <w:r>
        <w:rPr>
          <w:rFonts w:ascii="黑体" w:eastAsia="黑体"/>
          <w:color w:val="auto"/>
          <w:sz w:val="24"/>
          <w:highlight w:val="none"/>
        </w:rPr>
        <w:t xml:space="preserve">      </w:t>
      </w:r>
      <w:r>
        <w:rPr>
          <w:rFonts w:hint="eastAsia" w:ascii="黑体" w:eastAsia="黑体"/>
          <w:color w:val="auto"/>
          <w:sz w:val="24"/>
          <w:highlight w:val="none"/>
        </w:rPr>
        <w:t>年</w:t>
      </w:r>
      <w:r>
        <w:rPr>
          <w:rFonts w:ascii="黑体" w:eastAsia="黑体"/>
          <w:color w:val="auto"/>
          <w:sz w:val="24"/>
          <w:highlight w:val="none"/>
        </w:rPr>
        <w:t xml:space="preserve">   </w:t>
      </w:r>
      <w:r>
        <w:rPr>
          <w:rFonts w:hint="eastAsia" w:ascii="黑体" w:eastAsia="黑体"/>
          <w:color w:val="auto"/>
          <w:sz w:val="24"/>
          <w:highlight w:val="none"/>
        </w:rPr>
        <w:t>月</w:t>
      </w:r>
      <w:r>
        <w:rPr>
          <w:rFonts w:ascii="黑体" w:eastAsia="黑体"/>
          <w:color w:val="auto"/>
          <w:sz w:val="24"/>
          <w:highlight w:val="none"/>
        </w:rPr>
        <w:t xml:space="preserve">   </w:t>
      </w:r>
      <w:r>
        <w:rPr>
          <w:rFonts w:hint="eastAsia" w:ascii="黑体" w:eastAsia="黑体"/>
          <w:color w:val="auto"/>
          <w:sz w:val="24"/>
          <w:highlight w:val="none"/>
        </w:rPr>
        <w:t>日</w:t>
      </w:r>
      <w:r>
        <w:rPr>
          <w:rFonts w:ascii="黑体" w:eastAsia="黑体"/>
          <w:color w:val="auto"/>
          <w:sz w:val="24"/>
          <w:highlight w:val="none"/>
        </w:rPr>
        <w:t xml:space="preserve"> </w:t>
      </w:r>
    </w:p>
    <w:tbl>
      <w:tblPr>
        <w:tblStyle w:val="22"/>
        <w:tblW w:w="9555" w:type="dxa"/>
        <w:tblInd w:w="108" w:type="dxa"/>
        <w:tblLayout w:type="fixed"/>
        <w:tblCellMar>
          <w:top w:w="0" w:type="dxa"/>
          <w:left w:w="108" w:type="dxa"/>
          <w:bottom w:w="0" w:type="dxa"/>
          <w:right w:w="108" w:type="dxa"/>
        </w:tblCellMar>
      </w:tblPr>
      <w:tblGrid>
        <w:gridCol w:w="420"/>
        <w:gridCol w:w="420"/>
        <w:gridCol w:w="3150"/>
        <w:gridCol w:w="525"/>
        <w:gridCol w:w="3990"/>
        <w:gridCol w:w="1050"/>
      </w:tblGrid>
      <w:tr w14:paraId="378AC571">
        <w:tblPrEx>
          <w:tblCellMar>
            <w:top w:w="0" w:type="dxa"/>
            <w:left w:w="108" w:type="dxa"/>
            <w:bottom w:w="0" w:type="dxa"/>
            <w:right w:w="108" w:type="dxa"/>
          </w:tblCellMar>
        </w:tblPrEx>
        <w:tc>
          <w:tcPr>
            <w:tcW w:w="420" w:type="dxa"/>
            <w:tcBorders>
              <w:top w:val="single" w:color="auto" w:sz="4" w:space="0"/>
              <w:left w:val="single" w:color="auto" w:sz="4" w:space="0"/>
              <w:bottom w:val="single" w:color="auto" w:sz="4" w:space="0"/>
              <w:right w:val="single" w:color="auto" w:sz="4" w:space="0"/>
            </w:tcBorders>
            <w:noWrap w:val="0"/>
            <w:vAlign w:val="center"/>
          </w:tcPr>
          <w:p w14:paraId="49B083E2">
            <w:pPr>
              <w:spacing w:line="240" w:lineRule="exact"/>
              <w:jc w:val="center"/>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top"/>
          </w:tcPr>
          <w:p w14:paraId="2C13F128">
            <w:pPr>
              <w:spacing w:line="240" w:lineRule="exact"/>
              <w:jc w:val="center"/>
              <w:rPr>
                <w:rFonts w:ascii="宋体"/>
                <w:color w:val="auto"/>
                <w:sz w:val="18"/>
                <w:szCs w:val="18"/>
                <w:highlight w:val="none"/>
              </w:rPr>
            </w:pPr>
            <w:r>
              <w:rPr>
                <w:rFonts w:hint="eastAsia" w:ascii="宋体" w:hAnsi="宋体"/>
                <w:color w:val="auto"/>
                <w:sz w:val="18"/>
                <w:szCs w:val="18"/>
                <w:highlight w:val="none"/>
              </w:rPr>
              <w:t>序</w:t>
            </w:r>
          </w:p>
          <w:p w14:paraId="1CC952BC">
            <w:pPr>
              <w:spacing w:line="240" w:lineRule="exact"/>
              <w:jc w:val="center"/>
              <w:rPr>
                <w:rFonts w:ascii="宋体"/>
                <w:color w:val="auto"/>
                <w:sz w:val="18"/>
                <w:szCs w:val="18"/>
                <w:highlight w:val="none"/>
              </w:rPr>
            </w:pPr>
            <w:r>
              <w:rPr>
                <w:rFonts w:hint="eastAsia" w:ascii="宋体" w:hAnsi="宋体"/>
                <w:color w:val="auto"/>
                <w:sz w:val="18"/>
                <w:szCs w:val="18"/>
                <w:highlight w:val="none"/>
              </w:rPr>
              <w:t>号</w:t>
            </w:r>
          </w:p>
        </w:tc>
        <w:tc>
          <w:tcPr>
            <w:tcW w:w="3150" w:type="dxa"/>
            <w:tcBorders>
              <w:top w:val="single" w:color="auto" w:sz="4" w:space="0"/>
              <w:left w:val="nil"/>
              <w:bottom w:val="single" w:color="auto" w:sz="4" w:space="0"/>
              <w:right w:val="single" w:color="auto" w:sz="4" w:space="0"/>
            </w:tcBorders>
            <w:noWrap w:val="0"/>
            <w:vAlign w:val="center"/>
          </w:tcPr>
          <w:p w14:paraId="36A4C3C2">
            <w:pPr>
              <w:spacing w:line="240" w:lineRule="exact"/>
              <w:jc w:val="center"/>
              <w:rPr>
                <w:rFonts w:ascii="宋体"/>
                <w:color w:val="auto"/>
                <w:sz w:val="18"/>
                <w:szCs w:val="18"/>
                <w:highlight w:val="none"/>
              </w:rPr>
            </w:pPr>
            <w:r>
              <w:rPr>
                <w:rFonts w:hint="eastAsia" w:ascii="宋体" w:hAnsi="宋体"/>
                <w:color w:val="auto"/>
                <w:sz w:val="18"/>
                <w:szCs w:val="18"/>
                <w:highlight w:val="none"/>
              </w:rPr>
              <w:t>工作内容</w:t>
            </w:r>
          </w:p>
        </w:tc>
        <w:tc>
          <w:tcPr>
            <w:tcW w:w="525" w:type="dxa"/>
            <w:tcBorders>
              <w:top w:val="single" w:color="auto" w:sz="4" w:space="0"/>
              <w:left w:val="nil"/>
              <w:bottom w:val="single" w:color="auto" w:sz="4" w:space="0"/>
              <w:right w:val="single" w:color="auto" w:sz="4" w:space="0"/>
            </w:tcBorders>
            <w:noWrap w:val="0"/>
            <w:vAlign w:val="center"/>
          </w:tcPr>
          <w:p w14:paraId="1A48C1DA">
            <w:pPr>
              <w:spacing w:line="240" w:lineRule="exact"/>
              <w:jc w:val="center"/>
              <w:rPr>
                <w:rFonts w:ascii="宋体"/>
                <w:color w:val="auto"/>
                <w:sz w:val="18"/>
                <w:szCs w:val="18"/>
                <w:highlight w:val="none"/>
              </w:rPr>
            </w:pPr>
            <w:r>
              <w:rPr>
                <w:rFonts w:hint="eastAsia" w:ascii="宋体" w:hAnsi="宋体"/>
                <w:color w:val="auto"/>
                <w:sz w:val="18"/>
                <w:szCs w:val="18"/>
                <w:highlight w:val="none"/>
              </w:rPr>
              <w:t>分</w:t>
            </w:r>
          </w:p>
          <w:p w14:paraId="52427A09">
            <w:pPr>
              <w:spacing w:line="240" w:lineRule="exact"/>
              <w:jc w:val="center"/>
              <w:rPr>
                <w:rFonts w:ascii="宋体"/>
                <w:color w:val="auto"/>
                <w:sz w:val="18"/>
                <w:szCs w:val="18"/>
                <w:highlight w:val="none"/>
              </w:rPr>
            </w:pPr>
            <w:r>
              <w:rPr>
                <w:rFonts w:hint="eastAsia" w:ascii="宋体" w:hAnsi="宋体"/>
                <w:color w:val="auto"/>
                <w:sz w:val="18"/>
                <w:szCs w:val="18"/>
                <w:highlight w:val="none"/>
              </w:rPr>
              <w:t>值</w:t>
            </w:r>
          </w:p>
        </w:tc>
        <w:tc>
          <w:tcPr>
            <w:tcW w:w="3990" w:type="dxa"/>
            <w:tcBorders>
              <w:top w:val="single" w:color="auto" w:sz="4" w:space="0"/>
              <w:left w:val="nil"/>
              <w:bottom w:val="single" w:color="auto" w:sz="4" w:space="0"/>
              <w:right w:val="single" w:color="auto" w:sz="4" w:space="0"/>
            </w:tcBorders>
            <w:noWrap w:val="0"/>
            <w:vAlign w:val="center"/>
          </w:tcPr>
          <w:p w14:paraId="38C56A66">
            <w:pPr>
              <w:spacing w:line="240" w:lineRule="exact"/>
              <w:jc w:val="center"/>
              <w:rPr>
                <w:rFonts w:ascii="宋体"/>
                <w:color w:val="auto"/>
                <w:sz w:val="18"/>
                <w:szCs w:val="18"/>
                <w:highlight w:val="none"/>
              </w:rPr>
            </w:pPr>
            <w:r>
              <w:rPr>
                <w:rFonts w:hint="eastAsia" w:ascii="宋体" w:hAnsi="宋体"/>
                <w:color w:val="auto"/>
                <w:sz w:val="18"/>
                <w:szCs w:val="18"/>
                <w:highlight w:val="none"/>
              </w:rPr>
              <w:t>评分细则</w:t>
            </w:r>
          </w:p>
        </w:tc>
        <w:tc>
          <w:tcPr>
            <w:tcW w:w="1050" w:type="dxa"/>
            <w:tcBorders>
              <w:top w:val="single" w:color="auto" w:sz="4" w:space="0"/>
              <w:left w:val="nil"/>
              <w:bottom w:val="single" w:color="auto" w:sz="4" w:space="0"/>
              <w:right w:val="single" w:color="auto" w:sz="4" w:space="0"/>
            </w:tcBorders>
            <w:noWrap w:val="0"/>
            <w:vAlign w:val="center"/>
          </w:tcPr>
          <w:p w14:paraId="571DADDF">
            <w:pPr>
              <w:spacing w:line="240" w:lineRule="exact"/>
              <w:jc w:val="center"/>
              <w:rPr>
                <w:rFonts w:ascii="宋体"/>
                <w:color w:val="auto"/>
                <w:sz w:val="18"/>
                <w:szCs w:val="18"/>
                <w:highlight w:val="none"/>
              </w:rPr>
            </w:pPr>
            <w:r>
              <w:rPr>
                <w:rFonts w:hint="eastAsia" w:ascii="宋体" w:hAnsi="宋体"/>
                <w:color w:val="auto"/>
                <w:sz w:val="18"/>
                <w:szCs w:val="18"/>
                <w:highlight w:val="none"/>
              </w:rPr>
              <w:t>扣分</w:t>
            </w:r>
          </w:p>
        </w:tc>
      </w:tr>
      <w:tr w14:paraId="423FC52D">
        <w:tblPrEx>
          <w:tblCellMar>
            <w:top w:w="0" w:type="dxa"/>
            <w:left w:w="108" w:type="dxa"/>
            <w:bottom w:w="0" w:type="dxa"/>
            <w:right w:w="108" w:type="dxa"/>
          </w:tblCellMar>
        </w:tblPrEx>
        <w:tc>
          <w:tcPr>
            <w:tcW w:w="420" w:type="dxa"/>
            <w:vMerge w:val="restart"/>
            <w:tcBorders>
              <w:top w:val="nil"/>
              <w:left w:val="single" w:color="auto" w:sz="4" w:space="0"/>
              <w:bottom w:val="single" w:color="auto" w:sz="4" w:space="0"/>
              <w:right w:val="single" w:color="auto" w:sz="4" w:space="0"/>
            </w:tcBorders>
            <w:noWrap w:val="0"/>
            <w:vAlign w:val="center"/>
          </w:tcPr>
          <w:p w14:paraId="2BF4F0AF">
            <w:pPr>
              <w:spacing w:line="260" w:lineRule="exact"/>
              <w:jc w:val="center"/>
              <w:rPr>
                <w:rFonts w:ascii="宋体"/>
                <w:color w:val="auto"/>
                <w:sz w:val="18"/>
                <w:szCs w:val="18"/>
                <w:highlight w:val="none"/>
              </w:rPr>
            </w:pPr>
            <w:r>
              <w:rPr>
                <w:rFonts w:hint="eastAsia" w:ascii="宋体" w:hAnsi="宋体"/>
                <w:color w:val="auto"/>
                <w:sz w:val="18"/>
                <w:szCs w:val="18"/>
                <w:highlight w:val="none"/>
              </w:rPr>
              <w:t>管理</w:t>
            </w:r>
          </w:p>
        </w:tc>
        <w:tc>
          <w:tcPr>
            <w:tcW w:w="420" w:type="dxa"/>
            <w:tcBorders>
              <w:top w:val="single" w:color="auto" w:sz="4" w:space="0"/>
              <w:left w:val="nil"/>
              <w:bottom w:val="single" w:color="auto" w:sz="4" w:space="0"/>
              <w:right w:val="single" w:color="auto" w:sz="4" w:space="0"/>
            </w:tcBorders>
            <w:noWrap w:val="0"/>
            <w:vAlign w:val="center"/>
          </w:tcPr>
          <w:p w14:paraId="230D910A">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150" w:type="dxa"/>
            <w:tcBorders>
              <w:top w:val="single" w:color="auto" w:sz="4" w:space="0"/>
              <w:left w:val="nil"/>
              <w:bottom w:val="single" w:color="auto" w:sz="4" w:space="0"/>
              <w:right w:val="single" w:color="auto" w:sz="4" w:space="0"/>
            </w:tcBorders>
            <w:noWrap w:val="0"/>
            <w:vAlign w:val="center"/>
          </w:tcPr>
          <w:p w14:paraId="759F8FFB">
            <w:pPr>
              <w:spacing w:line="260" w:lineRule="exact"/>
              <w:rPr>
                <w:rFonts w:ascii="宋体"/>
                <w:color w:val="auto"/>
                <w:sz w:val="18"/>
                <w:szCs w:val="18"/>
                <w:highlight w:val="none"/>
              </w:rPr>
            </w:pPr>
            <w:r>
              <w:rPr>
                <w:rFonts w:hint="eastAsia"/>
                <w:color w:val="auto"/>
                <w:sz w:val="18"/>
                <w:szCs w:val="18"/>
                <w:highlight w:val="none"/>
              </w:rPr>
              <w:t>一线养护人员按时按量上岗，统一着绿化工作服。</w:t>
            </w:r>
          </w:p>
        </w:tc>
        <w:tc>
          <w:tcPr>
            <w:tcW w:w="525" w:type="dxa"/>
            <w:tcBorders>
              <w:top w:val="single" w:color="auto" w:sz="4" w:space="0"/>
              <w:left w:val="nil"/>
              <w:bottom w:val="single" w:color="auto" w:sz="4" w:space="0"/>
              <w:right w:val="single" w:color="auto" w:sz="4" w:space="0"/>
            </w:tcBorders>
            <w:noWrap w:val="0"/>
            <w:vAlign w:val="center"/>
          </w:tcPr>
          <w:p w14:paraId="48DE2398">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4C3868A5">
            <w:pPr>
              <w:spacing w:line="260" w:lineRule="exact"/>
              <w:rPr>
                <w:rFonts w:ascii="宋体"/>
                <w:color w:val="auto"/>
                <w:sz w:val="18"/>
                <w:szCs w:val="18"/>
                <w:highlight w:val="none"/>
              </w:rPr>
            </w:pPr>
            <w:r>
              <w:rPr>
                <w:rFonts w:hint="eastAsia"/>
                <w:color w:val="auto"/>
                <w:sz w:val="18"/>
                <w:szCs w:val="18"/>
                <w:highlight w:val="none"/>
              </w:rPr>
              <w:t>一线养护人员未按投标文件的要求及时到位或人员数量弄虚作假，</w:t>
            </w:r>
            <w:r>
              <w:rPr>
                <w:rFonts w:hint="eastAsia" w:ascii="宋体" w:hAnsi="宋体"/>
                <w:color w:val="auto"/>
                <w:sz w:val="18"/>
                <w:szCs w:val="18"/>
                <w:highlight w:val="none"/>
              </w:rPr>
              <w:t>每少</w:t>
            </w:r>
            <w:r>
              <w:rPr>
                <w:rFonts w:ascii="宋体" w:hAnsi="宋体"/>
                <w:color w:val="auto"/>
                <w:sz w:val="18"/>
                <w:szCs w:val="18"/>
                <w:highlight w:val="none"/>
              </w:rPr>
              <w:t>1</w:t>
            </w:r>
            <w:r>
              <w:rPr>
                <w:rFonts w:hint="eastAsia" w:ascii="宋体" w:hAnsi="宋体"/>
                <w:color w:val="auto"/>
                <w:sz w:val="18"/>
                <w:szCs w:val="18"/>
                <w:highlight w:val="none"/>
              </w:rPr>
              <w:t>次</w:t>
            </w:r>
            <w:r>
              <w:rPr>
                <w:rFonts w:ascii="宋体" w:hAnsi="宋体"/>
                <w:color w:val="auto"/>
                <w:sz w:val="18"/>
                <w:szCs w:val="18"/>
                <w:highlight w:val="none"/>
              </w:rPr>
              <w:t>/</w:t>
            </w:r>
            <w:r>
              <w:rPr>
                <w:rFonts w:hint="eastAsia" w:ascii="宋体" w:hAnsi="宋体"/>
                <w:color w:val="auto"/>
                <w:sz w:val="18"/>
                <w:szCs w:val="18"/>
                <w:highlight w:val="none"/>
              </w:rPr>
              <w:t>天，扣</w:t>
            </w:r>
            <w:r>
              <w:rPr>
                <w:rFonts w:ascii="宋体" w:hAnsi="宋体"/>
                <w:color w:val="auto"/>
                <w:sz w:val="18"/>
                <w:szCs w:val="18"/>
                <w:highlight w:val="none"/>
              </w:rPr>
              <w:t>0.2</w:t>
            </w:r>
            <w:r>
              <w:rPr>
                <w:rFonts w:hint="eastAsia" w:ascii="宋体" w:hAnsi="宋体"/>
                <w:color w:val="auto"/>
                <w:sz w:val="18"/>
                <w:szCs w:val="18"/>
                <w:highlight w:val="none"/>
              </w:rPr>
              <w:t>分。迟到每</w:t>
            </w:r>
            <w:r>
              <w:rPr>
                <w:rFonts w:ascii="宋体" w:hAnsi="宋体"/>
                <w:color w:val="auto"/>
                <w:sz w:val="18"/>
                <w:szCs w:val="18"/>
                <w:highlight w:val="none"/>
              </w:rPr>
              <w:t>3</w:t>
            </w:r>
            <w:r>
              <w:rPr>
                <w:rFonts w:hint="eastAsia" w:ascii="宋体" w:hAnsi="宋体"/>
                <w:color w:val="auto"/>
                <w:sz w:val="18"/>
                <w:szCs w:val="18"/>
                <w:highlight w:val="none"/>
              </w:rPr>
              <w:t>人次扣</w:t>
            </w:r>
            <w:r>
              <w:rPr>
                <w:rFonts w:ascii="宋体" w:hAnsi="宋体"/>
                <w:color w:val="auto"/>
                <w:sz w:val="18"/>
                <w:szCs w:val="18"/>
                <w:highlight w:val="none"/>
              </w:rPr>
              <w:t>0.1</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以上扣分值不设上限。</w:t>
            </w:r>
            <w:r>
              <w:rPr>
                <w:rFonts w:hint="eastAsia"/>
                <w:color w:val="auto"/>
                <w:sz w:val="18"/>
                <w:szCs w:val="18"/>
                <w:highlight w:val="none"/>
              </w:rPr>
              <w:t>未按统一着装和佩戴工作牌的每人次扣</w:t>
            </w:r>
            <w:r>
              <w:rPr>
                <w:color w:val="auto"/>
                <w:sz w:val="18"/>
                <w:szCs w:val="18"/>
                <w:highlight w:val="none"/>
              </w:rPr>
              <w:t>0.1</w:t>
            </w:r>
            <w:r>
              <w:rPr>
                <w:rFonts w:hint="eastAsia"/>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6C50266A">
            <w:pPr>
              <w:spacing w:line="260" w:lineRule="exact"/>
              <w:jc w:val="center"/>
              <w:rPr>
                <w:rFonts w:ascii="宋体"/>
                <w:color w:val="auto"/>
                <w:sz w:val="18"/>
                <w:szCs w:val="18"/>
                <w:highlight w:val="none"/>
              </w:rPr>
            </w:pPr>
          </w:p>
        </w:tc>
      </w:tr>
      <w:tr w14:paraId="16646E81">
        <w:tblPrEx>
          <w:tblCellMar>
            <w:top w:w="0" w:type="dxa"/>
            <w:left w:w="108" w:type="dxa"/>
            <w:bottom w:w="0" w:type="dxa"/>
            <w:right w:w="108" w:type="dxa"/>
          </w:tblCellMar>
        </w:tblPrEx>
        <w:tc>
          <w:tcPr>
            <w:tcW w:w="420" w:type="dxa"/>
            <w:vMerge w:val="continue"/>
            <w:tcBorders>
              <w:top w:val="nil"/>
              <w:left w:val="single" w:color="auto" w:sz="4" w:space="0"/>
              <w:bottom w:val="single" w:color="auto" w:sz="4" w:space="0"/>
              <w:right w:val="single" w:color="auto" w:sz="4" w:space="0"/>
            </w:tcBorders>
            <w:noWrap w:val="0"/>
            <w:vAlign w:val="center"/>
          </w:tcPr>
          <w:p w14:paraId="31FF58C1">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0A2441E">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150" w:type="dxa"/>
            <w:tcBorders>
              <w:top w:val="single" w:color="auto" w:sz="4" w:space="0"/>
              <w:left w:val="nil"/>
              <w:bottom w:val="single" w:color="auto" w:sz="4" w:space="0"/>
              <w:right w:val="single" w:color="auto" w:sz="4" w:space="0"/>
            </w:tcBorders>
            <w:noWrap w:val="0"/>
            <w:vAlign w:val="center"/>
          </w:tcPr>
          <w:p w14:paraId="39159E44">
            <w:pPr>
              <w:spacing w:line="260" w:lineRule="exact"/>
              <w:rPr>
                <w:color w:val="auto"/>
                <w:sz w:val="18"/>
                <w:szCs w:val="18"/>
                <w:highlight w:val="none"/>
              </w:rPr>
            </w:pPr>
            <w:r>
              <w:rPr>
                <w:rFonts w:hint="eastAsia"/>
                <w:color w:val="auto"/>
                <w:sz w:val="18"/>
                <w:szCs w:val="18"/>
                <w:highlight w:val="none"/>
              </w:rPr>
              <w:t>管理层人员按投标文件的要求及时到位。</w:t>
            </w:r>
          </w:p>
        </w:tc>
        <w:tc>
          <w:tcPr>
            <w:tcW w:w="525" w:type="dxa"/>
            <w:tcBorders>
              <w:top w:val="single" w:color="auto" w:sz="4" w:space="0"/>
              <w:left w:val="nil"/>
              <w:bottom w:val="single" w:color="auto" w:sz="4" w:space="0"/>
              <w:right w:val="single" w:color="auto" w:sz="4" w:space="0"/>
            </w:tcBorders>
            <w:noWrap w:val="0"/>
            <w:vAlign w:val="center"/>
          </w:tcPr>
          <w:p w14:paraId="68DB3ADA">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48D13796">
            <w:pPr>
              <w:spacing w:line="260" w:lineRule="exact"/>
              <w:rPr>
                <w:rFonts w:ascii="宋体"/>
                <w:color w:val="auto"/>
                <w:sz w:val="18"/>
                <w:szCs w:val="18"/>
                <w:highlight w:val="none"/>
              </w:rPr>
            </w:pPr>
            <w:r>
              <w:rPr>
                <w:rFonts w:hint="eastAsia"/>
                <w:color w:val="auto"/>
                <w:sz w:val="18"/>
                <w:szCs w:val="18"/>
                <w:highlight w:val="none"/>
              </w:rPr>
              <w:t>管理层人员未按投标文件的要求及时到位，</w:t>
            </w:r>
            <w:r>
              <w:rPr>
                <w:rFonts w:hint="eastAsia" w:ascii="宋体" w:hAnsi="宋体"/>
                <w:color w:val="auto"/>
                <w:sz w:val="18"/>
                <w:szCs w:val="18"/>
                <w:highlight w:val="none"/>
              </w:rPr>
              <w:t>每少</w:t>
            </w:r>
            <w:r>
              <w:rPr>
                <w:rFonts w:ascii="宋体" w:hAnsi="宋体"/>
                <w:color w:val="auto"/>
                <w:sz w:val="18"/>
                <w:szCs w:val="18"/>
                <w:highlight w:val="none"/>
              </w:rPr>
              <w:t>1</w:t>
            </w:r>
            <w:r>
              <w:rPr>
                <w:rFonts w:hint="eastAsia" w:ascii="宋体" w:hAnsi="宋体"/>
                <w:color w:val="auto"/>
                <w:sz w:val="18"/>
                <w:szCs w:val="18"/>
                <w:highlight w:val="none"/>
              </w:rPr>
              <w:t>次</w:t>
            </w:r>
            <w:r>
              <w:rPr>
                <w:rFonts w:ascii="宋体" w:hAnsi="宋体"/>
                <w:color w:val="auto"/>
                <w:sz w:val="18"/>
                <w:szCs w:val="18"/>
                <w:highlight w:val="none"/>
              </w:rPr>
              <w:t>/</w:t>
            </w:r>
            <w:r>
              <w:rPr>
                <w:rFonts w:hint="eastAsia" w:ascii="宋体" w:hAnsi="宋体"/>
                <w:color w:val="auto"/>
                <w:sz w:val="18"/>
                <w:szCs w:val="18"/>
                <w:highlight w:val="none"/>
              </w:rPr>
              <w:t>天，扣</w:t>
            </w:r>
            <w:r>
              <w:rPr>
                <w:rFonts w:ascii="宋体" w:hAnsi="宋体"/>
                <w:color w:val="auto"/>
                <w:sz w:val="18"/>
                <w:szCs w:val="18"/>
                <w:highlight w:val="none"/>
              </w:rPr>
              <w:t>0.2</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此条款扣分值不设上限。</w:t>
            </w:r>
          </w:p>
        </w:tc>
        <w:tc>
          <w:tcPr>
            <w:tcW w:w="1050" w:type="dxa"/>
            <w:tcBorders>
              <w:top w:val="single" w:color="auto" w:sz="4" w:space="0"/>
              <w:left w:val="nil"/>
              <w:bottom w:val="single" w:color="auto" w:sz="4" w:space="0"/>
              <w:right w:val="single" w:color="auto" w:sz="4" w:space="0"/>
            </w:tcBorders>
            <w:noWrap w:val="0"/>
            <w:vAlign w:val="center"/>
          </w:tcPr>
          <w:p w14:paraId="078EF44B">
            <w:pPr>
              <w:spacing w:line="260" w:lineRule="exact"/>
              <w:jc w:val="center"/>
              <w:rPr>
                <w:rFonts w:ascii="宋体"/>
                <w:color w:val="auto"/>
                <w:sz w:val="18"/>
                <w:szCs w:val="18"/>
                <w:highlight w:val="none"/>
              </w:rPr>
            </w:pPr>
          </w:p>
        </w:tc>
      </w:tr>
      <w:tr w14:paraId="47D8BCD6">
        <w:tblPrEx>
          <w:tblCellMar>
            <w:top w:w="0" w:type="dxa"/>
            <w:left w:w="108" w:type="dxa"/>
            <w:bottom w:w="0" w:type="dxa"/>
            <w:right w:w="108" w:type="dxa"/>
          </w:tblCellMar>
        </w:tblPrEx>
        <w:tc>
          <w:tcPr>
            <w:tcW w:w="420" w:type="dxa"/>
            <w:vMerge w:val="continue"/>
            <w:tcBorders>
              <w:top w:val="nil"/>
              <w:left w:val="single" w:color="auto" w:sz="4" w:space="0"/>
              <w:bottom w:val="single" w:color="auto" w:sz="4" w:space="0"/>
              <w:right w:val="single" w:color="auto" w:sz="4" w:space="0"/>
            </w:tcBorders>
            <w:noWrap w:val="0"/>
            <w:vAlign w:val="center"/>
          </w:tcPr>
          <w:p w14:paraId="75F8EF14">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830A6F4">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150" w:type="dxa"/>
            <w:tcBorders>
              <w:top w:val="single" w:color="auto" w:sz="4" w:space="0"/>
              <w:left w:val="nil"/>
              <w:bottom w:val="single" w:color="auto" w:sz="4" w:space="0"/>
              <w:right w:val="single" w:color="auto" w:sz="4" w:space="0"/>
            </w:tcBorders>
            <w:noWrap w:val="0"/>
            <w:vAlign w:val="center"/>
          </w:tcPr>
          <w:p w14:paraId="36CE8866">
            <w:pPr>
              <w:spacing w:line="260" w:lineRule="exact"/>
              <w:rPr>
                <w:rFonts w:ascii="宋体"/>
                <w:color w:val="auto"/>
                <w:sz w:val="18"/>
                <w:szCs w:val="18"/>
                <w:highlight w:val="none"/>
              </w:rPr>
            </w:pPr>
            <w:r>
              <w:rPr>
                <w:rFonts w:hint="eastAsia" w:ascii="宋体" w:hAnsi="宋体"/>
                <w:color w:val="auto"/>
                <w:sz w:val="18"/>
                <w:szCs w:val="18"/>
                <w:highlight w:val="none"/>
              </w:rPr>
              <w:t>开展养护工作，积极参加业务学习和安全培训，圆满完成公园临时突击任务。</w:t>
            </w:r>
          </w:p>
        </w:tc>
        <w:tc>
          <w:tcPr>
            <w:tcW w:w="525" w:type="dxa"/>
            <w:tcBorders>
              <w:top w:val="single" w:color="auto" w:sz="4" w:space="0"/>
              <w:left w:val="nil"/>
              <w:bottom w:val="single" w:color="auto" w:sz="4" w:space="0"/>
              <w:right w:val="single" w:color="auto" w:sz="4" w:space="0"/>
            </w:tcBorders>
            <w:noWrap w:val="0"/>
            <w:vAlign w:val="center"/>
          </w:tcPr>
          <w:p w14:paraId="48197229">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5DC41AB8">
            <w:pPr>
              <w:spacing w:line="260" w:lineRule="exact"/>
              <w:rPr>
                <w:rFonts w:ascii="宋体"/>
                <w:color w:val="auto"/>
                <w:sz w:val="18"/>
                <w:szCs w:val="18"/>
                <w:highlight w:val="none"/>
              </w:rPr>
            </w:pPr>
            <w:r>
              <w:rPr>
                <w:rFonts w:hint="eastAsia" w:ascii="宋体" w:hAnsi="宋体"/>
                <w:color w:val="auto"/>
                <w:sz w:val="18"/>
                <w:szCs w:val="18"/>
                <w:highlight w:val="none"/>
              </w:rPr>
              <w:t>无故缺勤临时突击任务、无故不落实管理层的技术指导或没有按时按质完成专项养护任务每次扣</w:t>
            </w:r>
            <w:r>
              <w:rPr>
                <w:rFonts w:ascii="宋体" w:hAnsi="宋体"/>
                <w:color w:val="auto"/>
                <w:sz w:val="18"/>
                <w:szCs w:val="18"/>
                <w:highlight w:val="none"/>
              </w:rPr>
              <w:t>0.2-1</w:t>
            </w:r>
            <w:r>
              <w:rPr>
                <w:rFonts w:hint="eastAsia" w:ascii="宋体" w:hAnsi="宋体"/>
                <w:color w:val="auto"/>
                <w:sz w:val="18"/>
                <w:szCs w:val="18"/>
                <w:highlight w:val="none"/>
              </w:rPr>
              <w:t>分；迟到或早退、无故缺席业务学习和安全培训每人次扣</w:t>
            </w:r>
            <w:r>
              <w:rPr>
                <w:rFonts w:ascii="宋体" w:hAnsi="宋体"/>
                <w:color w:val="auto"/>
                <w:sz w:val="18"/>
                <w:szCs w:val="18"/>
                <w:highlight w:val="none"/>
              </w:rPr>
              <w:t>0.1</w:t>
            </w:r>
            <w:r>
              <w:rPr>
                <w:rFonts w:hint="eastAsia" w:ascii="宋体" w:hAnsi="宋体"/>
                <w:color w:val="auto"/>
                <w:sz w:val="18"/>
                <w:szCs w:val="18"/>
                <w:highlight w:val="none"/>
              </w:rPr>
              <w:t>分；每少一人，</w:t>
            </w:r>
            <w:r>
              <w:rPr>
                <w:rFonts w:hint="eastAsia"/>
                <w:color w:val="auto"/>
                <w:sz w:val="18"/>
                <w:szCs w:val="18"/>
                <w:highlight w:val="none"/>
              </w:rPr>
              <w:t>扣</w:t>
            </w:r>
            <w:r>
              <w:rPr>
                <w:color w:val="auto"/>
                <w:sz w:val="18"/>
                <w:szCs w:val="18"/>
                <w:highlight w:val="none"/>
              </w:rPr>
              <w:t>0.5-1</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18A1D3DC">
            <w:pPr>
              <w:spacing w:line="260" w:lineRule="exact"/>
              <w:jc w:val="center"/>
              <w:rPr>
                <w:rFonts w:ascii="宋体"/>
                <w:color w:val="auto"/>
                <w:sz w:val="18"/>
                <w:szCs w:val="18"/>
                <w:highlight w:val="none"/>
              </w:rPr>
            </w:pPr>
          </w:p>
        </w:tc>
      </w:tr>
      <w:tr w14:paraId="42BF1385">
        <w:tblPrEx>
          <w:tblCellMar>
            <w:top w:w="0" w:type="dxa"/>
            <w:left w:w="108" w:type="dxa"/>
            <w:bottom w:w="0" w:type="dxa"/>
            <w:right w:w="108" w:type="dxa"/>
          </w:tblCellMar>
        </w:tblPrEx>
        <w:trPr>
          <w:cantSplit/>
        </w:trPr>
        <w:tc>
          <w:tcPr>
            <w:tcW w:w="420" w:type="dxa"/>
            <w:vMerge w:val="restart"/>
            <w:tcBorders>
              <w:top w:val="nil"/>
              <w:left w:val="single" w:color="auto" w:sz="4" w:space="0"/>
              <w:bottom w:val="single" w:color="auto" w:sz="4" w:space="0"/>
              <w:right w:val="single" w:color="auto" w:sz="4" w:space="0"/>
            </w:tcBorders>
            <w:noWrap w:val="0"/>
            <w:vAlign w:val="center"/>
          </w:tcPr>
          <w:p w14:paraId="1EFF73F0">
            <w:pPr>
              <w:spacing w:line="260" w:lineRule="exact"/>
              <w:jc w:val="center"/>
              <w:rPr>
                <w:rFonts w:ascii="宋体"/>
                <w:color w:val="auto"/>
                <w:sz w:val="18"/>
                <w:szCs w:val="18"/>
                <w:highlight w:val="none"/>
              </w:rPr>
            </w:pPr>
            <w:r>
              <w:rPr>
                <w:rFonts w:hint="eastAsia" w:ascii="宋体" w:hAnsi="宋体"/>
                <w:color w:val="auto"/>
                <w:sz w:val="18"/>
                <w:szCs w:val="18"/>
                <w:highlight w:val="none"/>
              </w:rPr>
              <w:t>乔</w:t>
            </w:r>
          </w:p>
          <w:p w14:paraId="1DD4CE35">
            <w:pPr>
              <w:spacing w:line="260" w:lineRule="exact"/>
              <w:jc w:val="center"/>
              <w:rPr>
                <w:rFonts w:ascii="宋体"/>
                <w:color w:val="auto"/>
                <w:sz w:val="18"/>
                <w:szCs w:val="18"/>
                <w:highlight w:val="none"/>
              </w:rPr>
            </w:pPr>
          </w:p>
          <w:p w14:paraId="11E656BD">
            <w:pPr>
              <w:spacing w:line="260" w:lineRule="exact"/>
              <w:jc w:val="center"/>
              <w:rPr>
                <w:rFonts w:ascii="宋体"/>
                <w:color w:val="auto"/>
                <w:sz w:val="18"/>
                <w:szCs w:val="18"/>
                <w:highlight w:val="none"/>
              </w:rPr>
            </w:pPr>
          </w:p>
          <w:p w14:paraId="7E5F8007">
            <w:pPr>
              <w:spacing w:line="260" w:lineRule="exact"/>
              <w:jc w:val="center"/>
              <w:rPr>
                <w:rFonts w:ascii="宋体"/>
                <w:color w:val="auto"/>
                <w:sz w:val="18"/>
                <w:szCs w:val="18"/>
                <w:highlight w:val="none"/>
              </w:rPr>
            </w:pPr>
            <w:r>
              <w:rPr>
                <w:rFonts w:hint="eastAsia" w:ascii="宋体" w:hAnsi="宋体"/>
                <w:color w:val="auto"/>
                <w:sz w:val="18"/>
                <w:szCs w:val="18"/>
                <w:highlight w:val="none"/>
              </w:rPr>
              <w:t>木</w:t>
            </w:r>
          </w:p>
        </w:tc>
        <w:tc>
          <w:tcPr>
            <w:tcW w:w="420" w:type="dxa"/>
            <w:tcBorders>
              <w:top w:val="single" w:color="auto" w:sz="4" w:space="0"/>
              <w:left w:val="nil"/>
              <w:bottom w:val="single" w:color="auto" w:sz="4" w:space="0"/>
              <w:right w:val="single" w:color="auto" w:sz="4" w:space="0"/>
            </w:tcBorders>
            <w:noWrap w:val="0"/>
            <w:vAlign w:val="center"/>
          </w:tcPr>
          <w:p w14:paraId="01B25506">
            <w:pPr>
              <w:spacing w:line="260" w:lineRule="exact"/>
              <w:ind w:firstLine="90" w:firstLineChars="50"/>
              <w:rPr>
                <w:rFonts w:ascii="宋体"/>
                <w:color w:val="auto"/>
                <w:sz w:val="18"/>
                <w:szCs w:val="18"/>
                <w:highlight w:val="none"/>
              </w:rPr>
            </w:pPr>
            <w:r>
              <w:rPr>
                <w:rFonts w:ascii="宋体" w:hAnsi="宋体"/>
                <w:color w:val="auto"/>
                <w:sz w:val="18"/>
                <w:szCs w:val="18"/>
                <w:highlight w:val="none"/>
              </w:rPr>
              <w:t>1</w:t>
            </w:r>
          </w:p>
        </w:tc>
        <w:tc>
          <w:tcPr>
            <w:tcW w:w="3150" w:type="dxa"/>
            <w:tcBorders>
              <w:top w:val="single" w:color="auto" w:sz="4" w:space="0"/>
              <w:left w:val="nil"/>
              <w:bottom w:val="single" w:color="auto" w:sz="4" w:space="0"/>
              <w:right w:val="single" w:color="auto" w:sz="4" w:space="0"/>
            </w:tcBorders>
            <w:noWrap w:val="0"/>
            <w:vAlign w:val="center"/>
          </w:tcPr>
          <w:p w14:paraId="7C5E64CF">
            <w:pPr>
              <w:spacing w:line="260" w:lineRule="exact"/>
              <w:jc w:val="left"/>
              <w:rPr>
                <w:rFonts w:ascii="宋体"/>
                <w:color w:val="auto"/>
                <w:sz w:val="18"/>
                <w:szCs w:val="18"/>
                <w:highlight w:val="none"/>
              </w:rPr>
            </w:pPr>
            <w:r>
              <w:rPr>
                <w:rFonts w:hint="eastAsia" w:ascii="宋体" w:hAnsi="宋体"/>
                <w:color w:val="auto"/>
                <w:sz w:val="18"/>
                <w:szCs w:val="18"/>
                <w:highlight w:val="none"/>
              </w:rPr>
              <w:t>树枝健壮、茂盛、无病虫害。</w:t>
            </w:r>
          </w:p>
        </w:tc>
        <w:tc>
          <w:tcPr>
            <w:tcW w:w="525" w:type="dxa"/>
            <w:tcBorders>
              <w:top w:val="single" w:color="auto" w:sz="4" w:space="0"/>
              <w:left w:val="nil"/>
              <w:bottom w:val="single" w:color="auto" w:sz="4" w:space="0"/>
              <w:right w:val="single" w:color="auto" w:sz="4" w:space="0"/>
            </w:tcBorders>
            <w:noWrap w:val="0"/>
            <w:vAlign w:val="center"/>
          </w:tcPr>
          <w:p w14:paraId="0268EF21">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990" w:type="dxa"/>
            <w:tcBorders>
              <w:top w:val="single" w:color="auto" w:sz="4" w:space="0"/>
              <w:left w:val="nil"/>
              <w:bottom w:val="single" w:color="auto" w:sz="4" w:space="0"/>
              <w:right w:val="single" w:color="auto" w:sz="4" w:space="0"/>
            </w:tcBorders>
            <w:noWrap w:val="0"/>
            <w:vAlign w:val="center"/>
          </w:tcPr>
          <w:p w14:paraId="756E9DE6">
            <w:pPr>
              <w:spacing w:line="260" w:lineRule="exact"/>
              <w:rPr>
                <w:rFonts w:ascii="宋体"/>
                <w:color w:val="auto"/>
                <w:sz w:val="18"/>
                <w:szCs w:val="18"/>
                <w:highlight w:val="none"/>
              </w:rPr>
            </w:pPr>
            <w:r>
              <w:rPr>
                <w:rFonts w:hint="eastAsia" w:ascii="宋体" w:hAnsi="宋体"/>
                <w:color w:val="auto"/>
                <w:sz w:val="18"/>
                <w:szCs w:val="18"/>
                <w:highlight w:val="none"/>
              </w:rPr>
              <w:t>长势不良或有明显病虫害每处扣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3B54C8E5">
            <w:pPr>
              <w:spacing w:line="260" w:lineRule="exact"/>
              <w:jc w:val="center"/>
              <w:rPr>
                <w:rFonts w:ascii="宋体"/>
                <w:color w:val="auto"/>
                <w:sz w:val="18"/>
                <w:szCs w:val="18"/>
                <w:highlight w:val="none"/>
              </w:rPr>
            </w:pPr>
          </w:p>
        </w:tc>
      </w:tr>
      <w:tr w14:paraId="3A76B278">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5485CB35">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4155487">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150" w:type="dxa"/>
            <w:tcBorders>
              <w:top w:val="single" w:color="auto" w:sz="4" w:space="0"/>
              <w:left w:val="nil"/>
              <w:bottom w:val="single" w:color="auto" w:sz="4" w:space="0"/>
              <w:right w:val="single" w:color="auto" w:sz="4" w:space="0"/>
            </w:tcBorders>
            <w:noWrap w:val="0"/>
            <w:vAlign w:val="center"/>
          </w:tcPr>
          <w:p w14:paraId="6A4B0C45">
            <w:pPr>
              <w:spacing w:line="260" w:lineRule="exact"/>
              <w:jc w:val="left"/>
              <w:rPr>
                <w:rFonts w:ascii="宋体"/>
                <w:color w:val="auto"/>
                <w:sz w:val="18"/>
                <w:szCs w:val="18"/>
                <w:highlight w:val="none"/>
              </w:rPr>
            </w:pPr>
            <w:r>
              <w:rPr>
                <w:rFonts w:hint="eastAsia" w:ascii="宋体" w:hAnsi="宋体"/>
                <w:color w:val="auto"/>
                <w:sz w:val="18"/>
                <w:szCs w:val="18"/>
                <w:highlight w:val="none"/>
              </w:rPr>
              <w:t>乔木无明显枯枝黄叶、断枝。棕榈科植物及时剪除黄叶，维持其自然生长形态。</w:t>
            </w:r>
          </w:p>
        </w:tc>
        <w:tc>
          <w:tcPr>
            <w:tcW w:w="525" w:type="dxa"/>
            <w:tcBorders>
              <w:top w:val="single" w:color="auto" w:sz="4" w:space="0"/>
              <w:left w:val="nil"/>
              <w:bottom w:val="single" w:color="auto" w:sz="4" w:space="0"/>
              <w:right w:val="single" w:color="auto" w:sz="4" w:space="0"/>
            </w:tcBorders>
            <w:noWrap w:val="0"/>
            <w:vAlign w:val="center"/>
          </w:tcPr>
          <w:p w14:paraId="6762357F">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990" w:type="dxa"/>
            <w:tcBorders>
              <w:top w:val="single" w:color="auto" w:sz="4" w:space="0"/>
              <w:left w:val="nil"/>
              <w:bottom w:val="single" w:color="auto" w:sz="4" w:space="0"/>
              <w:right w:val="single" w:color="auto" w:sz="4" w:space="0"/>
            </w:tcBorders>
            <w:noWrap w:val="0"/>
            <w:vAlign w:val="center"/>
          </w:tcPr>
          <w:p w14:paraId="32738D4C">
            <w:pPr>
              <w:spacing w:line="260" w:lineRule="exact"/>
              <w:rPr>
                <w:rFonts w:ascii="宋体"/>
                <w:color w:val="auto"/>
                <w:sz w:val="18"/>
                <w:szCs w:val="18"/>
                <w:highlight w:val="none"/>
              </w:rPr>
            </w:pPr>
            <w:r>
              <w:rPr>
                <w:rFonts w:hint="eastAsia" w:ascii="宋体" w:hAnsi="宋体"/>
                <w:color w:val="auto"/>
                <w:sz w:val="18"/>
                <w:szCs w:val="18"/>
                <w:highlight w:val="none"/>
              </w:rPr>
              <w:t>超过</w:t>
            </w:r>
            <w:r>
              <w:rPr>
                <w:rFonts w:ascii="宋体" w:hAnsi="宋体"/>
                <w:color w:val="auto"/>
                <w:sz w:val="18"/>
                <w:szCs w:val="18"/>
                <w:highlight w:val="none"/>
              </w:rPr>
              <w:t>3cm</w:t>
            </w:r>
            <w:r>
              <w:rPr>
                <w:rFonts w:hint="eastAsia" w:ascii="宋体" w:hAnsi="宋体"/>
                <w:color w:val="auto"/>
                <w:sz w:val="18"/>
                <w:szCs w:val="18"/>
                <w:highlight w:val="none"/>
              </w:rPr>
              <w:t>以上的枯枝或棕榈科黄叶不及时剪除每处扣</w:t>
            </w:r>
            <w:r>
              <w:rPr>
                <w:rFonts w:ascii="宋体" w:hAnsi="宋体"/>
                <w:color w:val="auto"/>
                <w:sz w:val="18"/>
                <w:szCs w:val="18"/>
                <w:highlight w:val="none"/>
              </w:rPr>
              <w:t>0.2 -0.5</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此条款扣分值不设上限。</w:t>
            </w:r>
          </w:p>
        </w:tc>
        <w:tc>
          <w:tcPr>
            <w:tcW w:w="1050" w:type="dxa"/>
            <w:tcBorders>
              <w:top w:val="single" w:color="auto" w:sz="4" w:space="0"/>
              <w:left w:val="nil"/>
              <w:bottom w:val="single" w:color="auto" w:sz="4" w:space="0"/>
              <w:right w:val="single" w:color="auto" w:sz="4" w:space="0"/>
            </w:tcBorders>
            <w:noWrap w:val="0"/>
            <w:vAlign w:val="center"/>
          </w:tcPr>
          <w:p w14:paraId="36C1652A">
            <w:pPr>
              <w:spacing w:line="260" w:lineRule="exact"/>
              <w:jc w:val="center"/>
              <w:rPr>
                <w:rFonts w:ascii="宋体"/>
                <w:color w:val="auto"/>
                <w:sz w:val="18"/>
                <w:szCs w:val="18"/>
                <w:highlight w:val="none"/>
              </w:rPr>
            </w:pPr>
          </w:p>
        </w:tc>
      </w:tr>
      <w:tr w14:paraId="721BB96E">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2CDE24C9">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05C5E4D">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150" w:type="dxa"/>
            <w:tcBorders>
              <w:top w:val="single" w:color="auto" w:sz="4" w:space="0"/>
              <w:left w:val="nil"/>
              <w:bottom w:val="single" w:color="auto" w:sz="4" w:space="0"/>
              <w:right w:val="single" w:color="auto" w:sz="4" w:space="0"/>
            </w:tcBorders>
            <w:noWrap w:val="0"/>
            <w:vAlign w:val="center"/>
          </w:tcPr>
          <w:p w14:paraId="001CA531">
            <w:pPr>
              <w:spacing w:line="260" w:lineRule="exact"/>
              <w:jc w:val="left"/>
              <w:rPr>
                <w:rFonts w:ascii="宋体"/>
                <w:color w:val="auto"/>
                <w:sz w:val="18"/>
                <w:szCs w:val="18"/>
                <w:highlight w:val="none"/>
              </w:rPr>
            </w:pPr>
            <w:r>
              <w:rPr>
                <w:rFonts w:hint="eastAsia" w:ascii="宋体" w:hAnsi="宋体"/>
                <w:color w:val="auto"/>
                <w:sz w:val="18"/>
                <w:szCs w:val="18"/>
                <w:highlight w:val="none"/>
              </w:rPr>
              <w:t>树体正直不偏斜，无寄生、无钉挂物、缠绕杂物。</w:t>
            </w:r>
          </w:p>
        </w:tc>
        <w:tc>
          <w:tcPr>
            <w:tcW w:w="525" w:type="dxa"/>
            <w:tcBorders>
              <w:top w:val="single" w:color="auto" w:sz="4" w:space="0"/>
              <w:left w:val="nil"/>
              <w:bottom w:val="single" w:color="auto" w:sz="4" w:space="0"/>
              <w:right w:val="single" w:color="auto" w:sz="4" w:space="0"/>
            </w:tcBorders>
            <w:noWrap w:val="0"/>
            <w:vAlign w:val="center"/>
          </w:tcPr>
          <w:p w14:paraId="6F09BC63">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990" w:type="dxa"/>
            <w:tcBorders>
              <w:top w:val="single" w:color="auto" w:sz="4" w:space="0"/>
              <w:left w:val="nil"/>
              <w:bottom w:val="single" w:color="auto" w:sz="4" w:space="0"/>
              <w:right w:val="single" w:color="auto" w:sz="4" w:space="0"/>
            </w:tcBorders>
            <w:noWrap w:val="0"/>
            <w:vAlign w:val="center"/>
          </w:tcPr>
          <w:p w14:paraId="68AB7136">
            <w:pPr>
              <w:spacing w:line="260" w:lineRule="exact"/>
              <w:rPr>
                <w:rFonts w:ascii="宋体"/>
                <w:color w:val="auto"/>
                <w:sz w:val="18"/>
                <w:szCs w:val="18"/>
                <w:highlight w:val="none"/>
              </w:rPr>
            </w:pPr>
            <w:r>
              <w:rPr>
                <w:rFonts w:hint="eastAsia" w:ascii="宋体" w:hAnsi="宋体"/>
                <w:color w:val="auto"/>
                <w:sz w:val="18"/>
                <w:szCs w:val="18"/>
                <w:highlight w:val="none"/>
              </w:rPr>
              <w:t>树体有寄生物、钉挂物、缠绕物每处扣</w:t>
            </w:r>
            <w:r>
              <w:rPr>
                <w:rFonts w:ascii="宋体" w:hAnsi="宋体"/>
                <w:color w:val="auto"/>
                <w:sz w:val="18"/>
                <w:szCs w:val="18"/>
                <w:highlight w:val="none"/>
              </w:rPr>
              <w:t>0.1-0.2</w:t>
            </w:r>
            <w:r>
              <w:rPr>
                <w:rFonts w:hint="eastAsia" w:ascii="宋体" w:hAnsi="宋体"/>
                <w:color w:val="auto"/>
                <w:sz w:val="18"/>
                <w:szCs w:val="18"/>
                <w:highlight w:val="none"/>
              </w:rPr>
              <w:t>分。树体倾斜超过</w:t>
            </w:r>
            <w:r>
              <w:rPr>
                <w:rFonts w:ascii="宋体" w:hAnsi="宋体"/>
                <w:color w:val="auto"/>
                <w:sz w:val="18"/>
                <w:szCs w:val="18"/>
                <w:highlight w:val="none"/>
              </w:rPr>
              <w:t>15</w:t>
            </w:r>
            <w:r>
              <w:rPr>
                <w:rFonts w:hint="eastAsia" w:ascii="宋体" w:hAnsi="宋体"/>
                <w:color w:val="auto"/>
                <w:sz w:val="18"/>
                <w:szCs w:val="18"/>
                <w:highlight w:val="none"/>
              </w:rPr>
              <w:t>度的每处扣</w:t>
            </w:r>
            <w:r>
              <w:rPr>
                <w:rFonts w:ascii="宋体" w:hAnsi="宋体"/>
                <w:color w:val="auto"/>
                <w:sz w:val="18"/>
                <w:szCs w:val="18"/>
                <w:highlight w:val="none"/>
              </w:rPr>
              <w:t>0.1-0.2</w:t>
            </w:r>
            <w:r>
              <w:rPr>
                <w:rFonts w:hint="eastAsia" w:ascii="宋体" w:hAnsi="宋体"/>
                <w:color w:val="auto"/>
                <w:sz w:val="18"/>
                <w:szCs w:val="18"/>
                <w:highlight w:val="none"/>
              </w:rPr>
              <w:t>分。受灾天气过后两天仍未将树扶直的每处扣</w:t>
            </w:r>
            <w:r>
              <w:rPr>
                <w:rFonts w:ascii="宋体" w:hAnsi="宋体"/>
                <w:color w:val="auto"/>
                <w:sz w:val="18"/>
                <w:szCs w:val="18"/>
                <w:highlight w:val="none"/>
              </w:rPr>
              <w:t>0.1-0.2</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213E7EDB">
            <w:pPr>
              <w:spacing w:line="260" w:lineRule="exact"/>
              <w:jc w:val="center"/>
              <w:rPr>
                <w:rFonts w:ascii="宋体"/>
                <w:color w:val="auto"/>
                <w:sz w:val="18"/>
                <w:szCs w:val="18"/>
                <w:highlight w:val="none"/>
              </w:rPr>
            </w:pPr>
          </w:p>
        </w:tc>
      </w:tr>
      <w:tr w14:paraId="0D60C096">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079991CB">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CBB8633">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150" w:type="dxa"/>
            <w:tcBorders>
              <w:top w:val="single" w:color="auto" w:sz="4" w:space="0"/>
              <w:left w:val="nil"/>
              <w:bottom w:val="single" w:color="auto" w:sz="4" w:space="0"/>
              <w:right w:val="single" w:color="auto" w:sz="4" w:space="0"/>
            </w:tcBorders>
            <w:noWrap w:val="0"/>
            <w:vAlign w:val="top"/>
          </w:tcPr>
          <w:p w14:paraId="45E054E0">
            <w:pPr>
              <w:spacing w:line="260" w:lineRule="exact"/>
              <w:rPr>
                <w:rFonts w:ascii="宋体"/>
                <w:color w:val="auto"/>
                <w:sz w:val="18"/>
                <w:szCs w:val="18"/>
                <w:highlight w:val="none"/>
              </w:rPr>
            </w:pPr>
            <w:r>
              <w:rPr>
                <w:rFonts w:hint="eastAsia" w:ascii="宋体" w:hAnsi="宋体"/>
                <w:color w:val="auto"/>
                <w:sz w:val="18"/>
                <w:szCs w:val="18"/>
                <w:highlight w:val="none"/>
              </w:rPr>
              <w:t>胸径</w:t>
            </w:r>
            <w:r>
              <w:rPr>
                <w:rFonts w:ascii="宋体" w:hAnsi="宋体"/>
                <w:color w:val="auto"/>
                <w:sz w:val="18"/>
                <w:szCs w:val="18"/>
                <w:highlight w:val="none"/>
              </w:rPr>
              <w:t>15</w:t>
            </w:r>
            <w:r>
              <w:rPr>
                <w:rFonts w:hint="eastAsia" w:ascii="宋体" w:hAnsi="宋体"/>
                <w:color w:val="auto"/>
                <w:sz w:val="18"/>
                <w:szCs w:val="18"/>
                <w:highlight w:val="none"/>
              </w:rPr>
              <w:t>㎝以下做果盘，边线整齐，大小合适，盘面略低于草面。</w:t>
            </w:r>
          </w:p>
        </w:tc>
        <w:tc>
          <w:tcPr>
            <w:tcW w:w="525" w:type="dxa"/>
            <w:tcBorders>
              <w:top w:val="single" w:color="auto" w:sz="4" w:space="0"/>
              <w:left w:val="nil"/>
              <w:bottom w:val="single" w:color="auto" w:sz="4" w:space="0"/>
              <w:right w:val="single" w:color="auto" w:sz="4" w:space="0"/>
            </w:tcBorders>
            <w:noWrap w:val="0"/>
            <w:vAlign w:val="center"/>
          </w:tcPr>
          <w:p w14:paraId="0F819252">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0572D571">
            <w:pPr>
              <w:spacing w:line="260" w:lineRule="exact"/>
              <w:rPr>
                <w:rFonts w:ascii="宋体"/>
                <w:color w:val="auto"/>
                <w:sz w:val="18"/>
                <w:szCs w:val="18"/>
                <w:highlight w:val="none"/>
              </w:rPr>
            </w:pPr>
            <w:r>
              <w:rPr>
                <w:rFonts w:hint="eastAsia" w:ascii="宋体" w:hAnsi="宋体"/>
                <w:color w:val="auto"/>
                <w:sz w:val="18"/>
                <w:szCs w:val="18"/>
                <w:highlight w:val="none"/>
              </w:rPr>
              <w:t>未做果盘的每处扣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1E3B8A87">
            <w:pPr>
              <w:spacing w:line="260" w:lineRule="exact"/>
              <w:jc w:val="center"/>
              <w:rPr>
                <w:rFonts w:ascii="宋体"/>
                <w:color w:val="auto"/>
                <w:sz w:val="18"/>
                <w:szCs w:val="18"/>
                <w:highlight w:val="none"/>
              </w:rPr>
            </w:pPr>
          </w:p>
        </w:tc>
      </w:tr>
      <w:tr w14:paraId="5740DBB0">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7BE1A671">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9BC7284">
            <w:pPr>
              <w:spacing w:line="260" w:lineRule="exact"/>
              <w:jc w:val="center"/>
              <w:rPr>
                <w:rFonts w:ascii="宋体"/>
                <w:color w:val="auto"/>
                <w:sz w:val="18"/>
                <w:szCs w:val="18"/>
                <w:highlight w:val="none"/>
              </w:rPr>
            </w:pPr>
            <w:r>
              <w:rPr>
                <w:rFonts w:ascii="宋体" w:hAnsi="宋体"/>
                <w:color w:val="auto"/>
                <w:sz w:val="18"/>
                <w:szCs w:val="18"/>
                <w:highlight w:val="none"/>
              </w:rPr>
              <w:t>5</w:t>
            </w:r>
          </w:p>
        </w:tc>
        <w:tc>
          <w:tcPr>
            <w:tcW w:w="3150" w:type="dxa"/>
            <w:tcBorders>
              <w:top w:val="single" w:color="auto" w:sz="4" w:space="0"/>
              <w:left w:val="nil"/>
              <w:bottom w:val="single" w:color="auto" w:sz="4" w:space="0"/>
              <w:right w:val="single" w:color="auto" w:sz="4" w:space="0"/>
            </w:tcBorders>
            <w:noWrap w:val="0"/>
            <w:vAlign w:val="center"/>
          </w:tcPr>
          <w:p w14:paraId="531B7C83">
            <w:pPr>
              <w:spacing w:line="260" w:lineRule="exact"/>
              <w:jc w:val="left"/>
              <w:rPr>
                <w:rFonts w:ascii="宋体"/>
                <w:color w:val="auto"/>
                <w:sz w:val="18"/>
                <w:szCs w:val="18"/>
                <w:highlight w:val="none"/>
              </w:rPr>
            </w:pPr>
            <w:r>
              <w:rPr>
                <w:rFonts w:hint="eastAsia" w:ascii="宋体" w:hAnsi="宋体"/>
                <w:color w:val="auto"/>
                <w:sz w:val="18"/>
                <w:szCs w:val="18"/>
                <w:highlight w:val="none"/>
              </w:rPr>
              <w:t>及时清理死树桩。</w:t>
            </w:r>
          </w:p>
        </w:tc>
        <w:tc>
          <w:tcPr>
            <w:tcW w:w="525" w:type="dxa"/>
            <w:tcBorders>
              <w:top w:val="single" w:color="auto" w:sz="4" w:space="0"/>
              <w:left w:val="nil"/>
              <w:bottom w:val="single" w:color="auto" w:sz="4" w:space="0"/>
              <w:right w:val="single" w:color="auto" w:sz="4" w:space="0"/>
            </w:tcBorders>
            <w:noWrap w:val="0"/>
            <w:vAlign w:val="center"/>
          </w:tcPr>
          <w:p w14:paraId="114DE532">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182F0FC5">
            <w:pPr>
              <w:spacing w:line="260" w:lineRule="exact"/>
              <w:rPr>
                <w:rFonts w:ascii="宋体"/>
                <w:color w:val="auto"/>
                <w:sz w:val="18"/>
                <w:szCs w:val="18"/>
                <w:highlight w:val="none"/>
              </w:rPr>
            </w:pPr>
            <w:r>
              <w:rPr>
                <w:rFonts w:hint="eastAsia" w:ascii="宋体" w:hAnsi="宋体"/>
                <w:color w:val="auto"/>
                <w:sz w:val="18"/>
                <w:szCs w:val="18"/>
                <w:highlight w:val="none"/>
              </w:rPr>
              <w:t>发现有死树桩的每个扣</w:t>
            </w:r>
            <w:r>
              <w:rPr>
                <w:rFonts w:ascii="宋体" w:hAnsi="宋体"/>
                <w:color w:val="auto"/>
                <w:sz w:val="18"/>
                <w:szCs w:val="18"/>
                <w:highlight w:val="none"/>
              </w:rPr>
              <w:t>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258C0E7D">
            <w:pPr>
              <w:spacing w:line="260" w:lineRule="exact"/>
              <w:jc w:val="center"/>
              <w:rPr>
                <w:rFonts w:ascii="宋体"/>
                <w:color w:val="auto"/>
                <w:sz w:val="18"/>
                <w:szCs w:val="18"/>
                <w:highlight w:val="none"/>
              </w:rPr>
            </w:pPr>
          </w:p>
        </w:tc>
      </w:tr>
      <w:tr w14:paraId="1AF84E7F">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05FCF6AA">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052709C0">
            <w:pPr>
              <w:spacing w:line="260" w:lineRule="exact"/>
              <w:jc w:val="center"/>
              <w:rPr>
                <w:rFonts w:ascii="宋体"/>
                <w:color w:val="auto"/>
                <w:sz w:val="18"/>
                <w:szCs w:val="18"/>
                <w:highlight w:val="none"/>
              </w:rPr>
            </w:pPr>
            <w:r>
              <w:rPr>
                <w:rFonts w:ascii="宋体" w:hAnsi="宋体"/>
                <w:color w:val="auto"/>
                <w:sz w:val="18"/>
                <w:szCs w:val="18"/>
                <w:highlight w:val="none"/>
              </w:rPr>
              <w:t>6</w:t>
            </w:r>
          </w:p>
        </w:tc>
        <w:tc>
          <w:tcPr>
            <w:tcW w:w="3150" w:type="dxa"/>
            <w:tcBorders>
              <w:top w:val="single" w:color="auto" w:sz="4" w:space="0"/>
              <w:left w:val="nil"/>
              <w:bottom w:val="single" w:color="auto" w:sz="4" w:space="0"/>
              <w:right w:val="single" w:color="auto" w:sz="4" w:space="0"/>
            </w:tcBorders>
            <w:noWrap w:val="0"/>
            <w:vAlign w:val="center"/>
          </w:tcPr>
          <w:p w14:paraId="3FA2895E">
            <w:pPr>
              <w:spacing w:line="260" w:lineRule="exact"/>
              <w:jc w:val="left"/>
              <w:rPr>
                <w:rFonts w:ascii="宋体"/>
                <w:color w:val="auto"/>
                <w:sz w:val="18"/>
                <w:szCs w:val="18"/>
                <w:highlight w:val="none"/>
              </w:rPr>
            </w:pPr>
            <w:r>
              <w:rPr>
                <w:rFonts w:hint="eastAsia" w:ascii="宋体" w:hAnsi="宋体"/>
                <w:color w:val="auto"/>
                <w:sz w:val="18"/>
                <w:szCs w:val="18"/>
                <w:highlight w:val="none"/>
              </w:rPr>
              <w:t>整形乔木要及时修剪，修剪面平滑整齐，无枝叶粘连。剪后成形美观，内部通透。修剪后当天及时清理残枝。</w:t>
            </w:r>
          </w:p>
        </w:tc>
        <w:tc>
          <w:tcPr>
            <w:tcW w:w="525" w:type="dxa"/>
            <w:tcBorders>
              <w:top w:val="single" w:color="auto" w:sz="4" w:space="0"/>
              <w:left w:val="nil"/>
              <w:bottom w:val="single" w:color="auto" w:sz="4" w:space="0"/>
              <w:right w:val="single" w:color="auto" w:sz="4" w:space="0"/>
            </w:tcBorders>
            <w:noWrap w:val="0"/>
            <w:vAlign w:val="center"/>
          </w:tcPr>
          <w:p w14:paraId="46FAB487">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990" w:type="dxa"/>
            <w:tcBorders>
              <w:top w:val="single" w:color="auto" w:sz="4" w:space="0"/>
              <w:left w:val="nil"/>
              <w:bottom w:val="single" w:color="auto" w:sz="4" w:space="0"/>
              <w:right w:val="single" w:color="auto" w:sz="4" w:space="0"/>
            </w:tcBorders>
            <w:noWrap w:val="0"/>
            <w:vAlign w:val="center"/>
          </w:tcPr>
          <w:p w14:paraId="1753823E">
            <w:pPr>
              <w:spacing w:line="260" w:lineRule="exact"/>
              <w:rPr>
                <w:rFonts w:ascii="宋体"/>
                <w:color w:val="auto"/>
                <w:sz w:val="18"/>
                <w:szCs w:val="18"/>
                <w:highlight w:val="none"/>
              </w:rPr>
            </w:pPr>
            <w:r>
              <w:rPr>
                <w:rFonts w:hint="eastAsia" w:ascii="宋体" w:hAnsi="宋体"/>
                <w:color w:val="auto"/>
                <w:sz w:val="18"/>
                <w:szCs w:val="18"/>
                <w:highlight w:val="none"/>
              </w:rPr>
              <w:t>未及时修剪、剪面不整齐或枝叶粘连、残枝未及时处理的每处扣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66040707">
            <w:pPr>
              <w:spacing w:line="260" w:lineRule="exact"/>
              <w:jc w:val="center"/>
              <w:rPr>
                <w:rFonts w:ascii="宋体"/>
                <w:color w:val="auto"/>
                <w:sz w:val="18"/>
                <w:szCs w:val="18"/>
                <w:highlight w:val="none"/>
              </w:rPr>
            </w:pPr>
          </w:p>
        </w:tc>
      </w:tr>
      <w:tr w14:paraId="3DC70D56">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5611F71E">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140494F3">
            <w:pPr>
              <w:spacing w:line="260" w:lineRule="exact"/>
              <w:jc w:val="center"/>
              <w:rPr>
                <w:rFonts w:ascii="宋体"/>
                <w:color w:val="auto"/>
                <w:sz w:val="18"/>
                <w:szCs w:val="18"/>
                <w:highlight w:val="none"/>
              </w:rPr>
            </w:pPr>
            <w:r>
              <w:rPr>
                <w:rFonts w:ascii="宋体" w:hAnsi="宋体"/>
                <w:color w:val="auto"/>
                <w:sz w:val="18"/>
                <w:szCs w:val="18"/>
                <w:highlight w:val="none"/>
              </w:rPr>
              <w:t>7</w:t>
            </w:r>
          </w:p>
        </w:tc>
        <w:tc>
          <w:tcPr>
            <w:tcW w:w="3150" w:type="dxa"/>
            <w:tcBorders>
              <w:top w:val="single" w:color="auto" w:sz="4" w:space="0"/>
              <w:left w:val="nil"/>
              <w:bottom w:val="single" w:color="auto" w:sz="4" w:space="0"/>
              <w:right w:val="single" w:color="auto" w:sz="4" w:space="0"/>
            </w:tcBorders>
            <w:noWrap w:val="0"/>
            <w:vAlign w:val="center"/>
          </w:tcPr>
          <w:p w14:paraId="5F96C034">
            <w:pPr>
              <w:spacing w:line="260" w:lineRule="exact"/>
              <w:jc w:val="left"/>
              <w:rPr>
                <w:rFonts w:ascii="宋体"/>
                <w:color w:val="auto"/>
                <w:sz w:val="18"/>
                <w:szCs w:val="18"/>
                <w:highlight w:val="none"/>
              </w:rPr>
            </w:pPr>
            <w:r>
              <w:rPr>
                <w:rFonts w:hint="eastAsia" w:ascii="宋体" w:hAnsi="宋体"/>
                <w:color w:val="auto"/>
                <w:sz w:val="18"/>
                <w:szCs w:val="18"/>
                <w:highlight w:val="none"/>
              </w:rPr>
              <w:t>过低枝条、折断枝条应及时修剪，修剪面平滑，无枝</w:t>
            </w:r>
            <w:r>
              <w:rPr>
                <w:rFonts w:hint="eastAsia" w:ascii="宋体" w:hAnsi="宋体"/>
                <w:color w:val="auto"/>
                <w:sz w:val="18"/>
                <w:szCs w:val="18"/>
                <w:highlight w:val="none"/>
                <w:lang w:val="en-US" w:eastAsia="zh-CN"/>
              </w:rPr>
              <w:t>干</w:t>
            </w:r>
            <w:r>
              <w:rPr>
                <w:rFonts w:hint="eastAsia" w:ascii="宋体" w:hAnsi="宋体"/>
                <w:color w:val="auto"/>
                <w:sz w:val="18"/>
                <w:szCs w:val="18"/>
                <w:highlight w:val="none"/>
              </w:rPr>
              <w:t>撕裂，创口做保护处理。</w:t>
            </w:r>
          </w:p>
        </w:tc>
        <w:tc>
          <w:tcPr>
            <w:tcW w:w="525" w:type="dxa"/>
            <w:tcBorders>
              <w:top w:val="single" w:color="auto" w:sz="4" w:space="0"/>
              <w:left w:val="nil"/>
              <w:bottom w:val="single" w:color="auto" w:sz="4" w:space="0"/>
              <w:right w:val="single" w:color="auto" w:sz="4" w:space="0"/>
            </w:tcBorders>
            <w:noWrap w:val="0"/>
            <w:vAlign w:val="center"/>
          </w:tcPr>
          <w:p w14:paraId="048AB2F1">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61D0C4CB">
            <w:pPr>
              <w:spacing w:line="260" w:lineRule="exact"/>
              <w:rPr>
                <w:rFonts w:ascii="宋体"/>
                <w:color w:val="auto"/>
                <w:sz w:val="18"/>
                <w:szCs w:val="18"/>
                <w:highlight w:val="none"/>
              </w:rPr>
            </w:pPr>
            <w:r>
              <w:rPr>
                <w:rFonts w:hint="eastAsia" w:ascii="宋体" w:hAnsi="宋体"/>
                <w:color w:val="auto"/>
                <w:sz w:val="18"/>
                <w:szCs w:val="18"/>
                <w:highlight w:val="none"/>
              </w:rPr>
              <w:t>修剪不及时或修剪创口不做任何保护处理的每处扣</w:t>
            </w:r>
            <w:r>
              <w:rPr>
                <w:rFonts w:ascii="宋体" w:hAnsi="宋体"/>
                <w:color w:val="auto"/>
                <w:sz w:val="18"/>
                <w:szCs w:val="18"/>
                <w:highlight w:val="none"/>
              </w:rPr>
              <w:t>0.1-0.5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1E170EBA">
            <w:pPr>
              <w:spacing w:line="260" w:lineRule="exact"/>
              <w:jc w:val="center"/>
              <w:rPr>
                <w:rFonts w:ascii="宋体"/>
                <w:color w:val="auto"/>
                <w:sz w:val="18"/>
                <w:szCs w:val="18"/>
                <w:highlight w:val="none"/>
              </w:rPr>
            </w:pPr>
          </w:p>
        </w:tc>
      </w:tr>
      <w:tr w14:paraId="779E2D4F">
        <w:tblPrEx>
          <w:tblCellMar>
            <w:top w:w="0" w:type="dxa"/>
            <w:left w:w="108" w:type="dxa"/>
            <w:bottom w:w="0" w:type="dxa"/>
            <w:right w:w="108" w:type="dxa"/>
          </w:tblCellMar>
        </w:tblPrEx>
        <w:trPr>
          <w:cantSplit/>
        </w:trPr>
        <w:tc>
          <w:tcPr>
            <w:tcW w:w="420" w:type="dxa"/>
            <w:vMerge w:val="restart"/>
            <w:tcBorders>
              <w:top w:val="nil"/>
              <w:left w:val="single" w:color="auto" w:sz="4" w:space="0"/>
              <w:bottom w:val="single" w:color="auto" w:sz="4" w:space="0"/>
              <w:right w:val="single" w:color="auto" w:sz="4" w:space="0"/>
            </w:tcBorders>
            <w:noWrap w:val="0"/>
            <w:vAlign w:val="center"/>
          </w:tcPr>
          <w:p w14:paraId="1D100FAC">
            <w:pPr>
              <w:spacing w:line="260" w:lineRule="exact"/>
              <w:jc w:val="center"/>
              <w:rPr>
                <w:rFonts w:ascii="宋体"/>
                <w:color w:val="auto"/>
                <w:sz w:val="18"/>
                <w:szCs w:val="18"/>
                <w:highlight w:val="none"/>
              </w:rPr>
            </w:pPr>
            <w:r>
              <w:rPr>
                <w:rFonts w:hint="eastAsia" w:ascii="宋体" w:hAnsi="宋体"/>
                <w:color w:val="auto"/>
                <w:sz w:val="18"/>
                <w:szCs w:val="18"/>
                <w:highlight w:val="none"/>
              </w:rPr>
              <w:t>灌</w:t>
            </w:r>
          </w:p>
          <w:p w14:paraId="29BCA6BB">
            <w:pPr>
              <w:spacing w:line="260" w:lineRule="exact"/>
              <w:jc w:val="center"/>
              <w:rPr>
                <w:rFonts w:ascii="宋体"/>
                <w:color w:val="auto"/>
                <w:sz w:val="18"/>
                <w:szCs w:val="18"/>
                <w:highlight w:val="none"/>
              </w:rPr>
            </w:pPr>
          </w:p>
          <w:p w14:paraId="389AEB5C">
            <w:pPr>
              <w:spacing w:line="260" w:lineRule="exact"/>
              <w:jc w:val="center"/>
              <w:rPr>
                <w:rFonts w:ascii="宋体"/>
                <w:color w:val="auto"/>
                <w:sz w:val="18"/>
                <w:szCs w:val="18"/>
                <w:highlight w:val="none"/>
              </w:rPr>
            </w:pPr>
            <w:r>
              <w:rPr>
                <w:rFonts w:hint="eastAsia" w:ascii="宋体" w:hAnsi="宋体"/>
                <w:color w:val="auto"/>
                <w:sz w:val="18"/>
                <w:szCs w:val="18"/>
                <w:highlight w:val="none"/>
              </w:rPr>
              <w:t>木</w:t>
            </w:r>
          </w:p>
          <w:p w14:paraId="249C1B9B">
            <w:pPr>
              <w:spacing w:line="260" w:lineRule="exact"/>
              <w:jc w:val="center"/>
              <w:rPr>
                <w:rFonts w:ascii="宋体"/>
                <w:color w:val="auto"/>
                <w:sz w:val="18"/>
                <w:szCs w:val="18"/>
                <w:highlight w:val="none"/>
              </w:rPr>
            </w:pPr>
          </w:p>
          <w:p w14:paraId="0B6F9A20">
            <w:pPr>
              <w:spacing w:line="260" w:lineRule="exact"/>
              <w:jc w:val="center"/>
              <w:rPr>
                <w:rFonts w:ascii="宋体"/>
                <w:color w:val="auto"/>
                <w:sz w:val="18"/>
                <w:szCs w:val="18"/>
                <w:highlight w:val="none"/>
              </w:rPr>
            </w:pPr>
            <w:r>
              <w:rPr>
                <w:rFonts w:hint="eastAsia" w:ascii="宋体" w:hAnsi="宋体"/>
                <w:color w:val="auto"/>
                <w:sz w:val="18"/>
                <w:szCs w:val="18"/>
                <w:highlight w:val="none"/>
              </w:rPr>
              <w:t>绿</w:t>
            </w:r>
          </w:p>
          <w:p w14:paraId="2E0F6B46">
            <w:pPr>
              <w:spacing w:line="260" w:lineRule="exact"/>
              <w:jc w:val="center"/>
              <w:rPr>
                <w:rFonts w:ascii="宋体"/>
                <w:color w:val="auto"/>
                <w:sz w:val="18"/>
                <w:szCs w:val="18"/>
                <w:highlight w:val="none"/>
              </w:rPr>
            </w:pPr>
          </w:p>
          <w:p w14:paraId="6CDA659A">
            <w:pPr>
              <w:spacing w:line="260" w:lineRule="exact"/>
              <w:jc w:val="center"/>
              <w:rPr>
                <w:rFonts w:ascii="宋体"/>
                <w:color w:val="auto"/>
                <w:sz w:val="18"/>
                <w:szCs w:val="18"/>
                <w:highlight w:val="none"/>
              </w:rPr>
            </w:pPr>
            <w:r>
              <w:rPr>
                <w:rFonts w:hint="eastAsia" w:ascii="宋体" w:hAnsi="宋体"/>
                <w:color w:val="auto"/>
                <w:sz w:val="18"/>
                <w:szCs w:val="18"/>
                <w:highlight w:val="none"/>
              </w:rPr>
              <w:t>篱</w:t>
            </w:r>
          </w:p>
        </w:tc>
        <w:tc>
          <w:tcPr>
            <w:tcW w:w="420" w:type="dxa"/>
            <w:tcBorders>
              <w:top w:val="single" w:color="auto" w:sz="4" w:space="0"/>
              <w:left w:val="nil"/>
              <w:bottom w:val="single" w:color="auto" w:sz="4" w:space="0"/>
              <w:right w:val="single" w:color="auto" w:sz="4" w:space="0"/>
            </w:tcBorders>
            <w:noWrap w:val="0"/>
            <w:vAlign w:val="center"/>
          </w:tcPr>
          <w:p w14:paraId="7C6ED689">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150" w:type="dxa"/>
            <w:tcBorders>
              <w:top w:val="single" w:color="auto" w:sz="4" w:space="0"/>
              <w:left w:val="nil"/>
              <w:bottom w:val="single" w:color="auto" w:sz="4" w:space="0"/>
              <w:right w:val="single" w:color="auto" w:sz="4" w:space="0"/>
            </w:tcBorders>
            <w:noWrap w:val="0"/>
            <w:vAlign w:val="center"/>
          </w:tcPr>
          <w:p w14:paraId="6AE1C1A8">
            <w:pPr>
              <w:spacing w:line="260" w:lineRule="exact"/>
              <w:jc w:val="left"/>
              <w:rPr>
                <w:rFonts w:ascii="宋体"/>
                <w:color w:val="auto"/>
                <w:sz w:val="18"/>
                <w:szCs w:val="18"/>
                <w:highlight w:val="none"/>
              </w:rPr>
            </w:pPr>
            <w:r>
              <w:rPr>
                <w:rFonts w:hint="eastAsia" w:ascii="宋体" w:hAnsi="宋体"/>
                <w:color w:val="auto"/>
                <w:sz w:val="18"/>
                <w:szCs w:val="18"/>
                <w:highlight w:val="none"/>
              </w:rPr>
              <w:t>灌木生长良好，树体正直不偏斜，植株无病害。</w:t>
            </w:r>
          </w:p>
        </w:tc>
        <w:tc>
          <w:tcPr>
            <w:tcW w:w="525" w:type="dxa"/>
            <w:tcBorders>
              <w:top w:val="single" w:color="auto" w:sz="4" w:space="0"/>
              <w:left w:val="nil"/>
              <w:bottom w:val="single" w:color="auto" w:sz="4" w:space="0"/>
              <w:right w:val="single" w:color="auto" w:sz="4" w:space="0"/>
            </w:tcBorders>
            <w:noWrap w:val="0"/>
            <w:vAlign w:val="center"/>
          </w:tcPr>
          <w:p w14:paraId="2EEC0A8B">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3F48BB98">
            <w:pPr>
              <w:spacing w:line="260" w:lineRule="exact"/>
              <w:rPr>
                <w:rFonts w:ascii="宋体"/>
                <w:color w:val="auto"/>
                <w:sz w:val="18"/>
                <w:szCs w:val="18"/>
                <w:highlight w:val="none"/>
              </w:rPr>
            </w:pPr>
            <w:r>
              <w:rPr>
                <w:rFonts w:hint="eastAsia" w:ascii="宋体" w:hAnsi="宋体"/>
                <w:color w:val="auto"/>
                <w:sz w:val="18"/>
                <w:szCs w:val="18"/>
                <w:highlight w:val="none"/>
              </w:rPr>
              <w:t>长势不良或有明显病害的每处扣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774099A6">
            <w:pPr>
              <w:spacing w:line="260" w:lineRule="exact"/>
              <w:jc w:val="center"/>
              <w:rPr>
                <w:rFonts w:ascii="宋体"/>
                <w:color w:val="auto"/>
                <w:sz w:val="18"/>
                <w:szCs w:val="18"/>
                <w:highlight w:val="none"/>
              </w:rPr>
            </w:pPr>
          </w:p>
        </w:tc>
      </w:tr>
      <w:tr w14:paraId="1FDACF28">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1BD20D21">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00BCBA63">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150" w:type="dxa"/>
            <w:tcBorders>
              <w:top w:val="single" w:color="auto" w:sz="4" w:space="0"/>
              <w:left w:val="nil"/>
              <w:bottom w:val="single" w:color="auto" w:sz="4" w:space="0"/>
              <w:right w:val="single" w:color="auto" w:sz="4" w:space="0"/>
            </w:tcBorders>
            <w:noWrap w:val="0"/>
            <w:vAlign w:val="center"/>
          </w:tcPr>
          <w:p w14:paraId="5B175DC0">
            <w:pPr>
              <w:spacing w:line="260" w:lineRule="exact"/>
              <w:jc w:val="left"/>
              <w:rPr>
                <w:rFonts w:ascii="宋体"/>
                <w:color w:val="auto"/>
                <w:sz w:val="18"/>
                <w:szCs w:val="18"/>
                <w:highlight w:val="none"/>
              </w:rPr>
            </w:pPr>
            <w:r>
              <w:rPr>
                <w:rFonts w:hint="eastAsia" w:ascii="宋体" w:hAnsi="宋体"/>
                <w:color w:val="auto"/>
                <w:sz w:val="18"/>
                <w:szCs w:val="18"/>
                <w:highlight w:val="none"/>
              </w:rPr>
              <w:t>孤植灌木树盘边线整齐，无杂草。</w:t>
            </w:r>
          </w:p>
        </w:tc>
        <w:tc>
          <w:tcPr>
            <w:tcW w:w="525" w:type="dxa"/>
            <w:tcBorders>
              <w:top w:val="single" w:color="auto" w:sz="4" w:space="0"/>
              <w:left w:val="nil"/>
              <w:bottom w:val="single" w:color="auto" w:sz="4" w:space="0"/>
              <w:right w:val="single" w:color="auto" w:sz="4" w:space="0"/>
            </w:tcBorders>
            <w:noWrap w:val="0"/>
            <w:vAlign w:val="center"/>
          </w:tcPr>
          <w:p w14:paraId="3FBADA3A">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0902AEF3">
            <w:pPr>
              <w:spacing w:line="260" w:lineRule="exact"/>
              <w:rPr>
                <w:rFonts w:ascii="宋体"/>
                <w:color w:val="auto"/>
                <w:sz w:val="18"/>
                <w:szCs w:val="18"/>
                <w:highlight w:val="none"/>
              </w:rPr>
            </w:pPr>
            <w:r>
              <w:rPr>
                <w:rFonts w:hint="eastAsia" w:ascii="宋体" w:hAnsi="宋体"/>
                <w:color w:val="auto"/>
                <w:sz w:val="18"/>
                <w:szCs w:val="18"/>
                <w:highlight w:val="none"/>
              </w:rPr>
              <w:t>未做树盘或有杂草每处扣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14574406">
            <w:pPr>
              <w:spacing w:line="260" w:lineRule="exact"/>
              <w:jc w:val="center"/>
              <w:rPr>
                <w:rFonts w:ascii="宋体"/>
                <w:color w:val="auto"/>
                <w:sz w:val="18"/>
                <w:szCs w:val="18"/>
                <w:highlight w:val="none"/>
              </w:rPr>
            </w:pPr>
          </w:p>
        </w:tc>
      </w:tr>
      <w:tr w14:paraId="5AF5AD19">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0B3A5CC0">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2BA889A">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150" w:type="dxa"/>
            <w:tcBorders>
              <w:top w:val="single" w:color="auto" w:sz="4" w:space="0"/>
              <w:left w:val="nil"/>
              <w:bottom w:val="single" w:color="auto" w:sz="4" w:space="0"/>
              <w:right w:val="single" w:color="auto" w:sz="4" w:space="0"/>
            </w:tcBorders>
            <w:noWrap w:val="0"/>
            <w:vAlign w:val="top"/>
          </w:tcPr>
          <w:p w14:paraId="0CEB85A7">
            <w:pPr>
              <w:spacing w:line="260" w:lineRule="exact"/>
              <w:jc w:val="left"/>
              <w:rPr>
                <w:rFonts w:ascii="宋体"/>
                <w:color w:val="auto"/>
                <w:sz w:val="18"/>
                <w:szCs w:val="18"/>
                <w:highlight w:val="none"/>
              </w:rPr>
            </w:pPr>
            <w:r>
              <w:rPr>
                <w:rFonts w:hint="eastAsia" w:ascii="宋体" w:hAnsi="宋体"/>
                <w:color w:val="auto"/>
                <w:sz w:val="18"/>
                <w:szCs w:val="18"/>
                <w:highlight w:val="none"/>
              </w:rPr>
              <w:t>整形灌木、孤植灌球、片植灌木要及时修剪。修剪面平滑整齐，无枝叶粘连。整形灌木剪后成形美观，内部通透。</w:t>
            </w:r>
          </w:p>
        </w:tc>
        <w:tc>
          <w:tcPr>
            <w:tcW w:w="525" w:type="dxa"/>
            <w:tcBorders>
              <w:top w:val="single" w:color="auto" w:sz="4" w:space="0"/>
              <w:left w:val="nil"/>
              <w:bottom w:val="single" w:color="auto" w:sz="4" w:space="0"/>
              <w:right w:val="single" w:color="auto" w:sz="4" w:space="0"/>
            </w:tcBorders>
            <w:noWrap w:val="0"/>
            <w:vAlign w:val="center"/>
          </w:tcPr>
          <w:p w14:paraId="0FBA9408">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990" w:type="dxa"/>
            <w:tcBorders>
              <w:top w:val="single" w:color="auto" w:sz="4" w:space="0"/>
              <w:left w:val="nil"/>
              <w:bottom w:val="single" w:color="auto" w:sz="4" w:space="0"/>
              <w:right w:val="single" w:color="auto" w:sz="4" w:space="0"/>
            </w:tcBorders>
            <w:noWrap w:val="0"/>
            <w:vAlign w:val="center"/>
          </w:tcPr>
          <w:p w14:paraId="10B9251A">
            <w:pPr>
              <w:spacing w:line="260" w:lineRule="exact"/>
              <w:rPr>
                <w:rFonts w:ascii="宋体"/>
                <w:color w:val="auto"/>
                <w:sz w:val="18"/>
                <w:szCs w:val="18"/>
                <w:highlight w:val="none"/>
              </w:rPr>
            </w:pPr>
            <w:r>
              <w:rPr>
                <w:rFonts w:hint="eastAsia" w:ascii="宋体" w:hAnsi="宋体"/>
                <w:color w:val="auto"/>
                <w:sz w:val="18"/>
                <w:szCs w:val="18"/>
                <w:highlight w:val="none"/>
              </w:rPr>
              <w:t>未及时修剪的每处扣</w:t>
            </w:r>
            <w:r>
              <w:rPr>
                <w:rFonts w:ascii="宋体" w:hAnsi="宋体"/>
                <w:color w:val="auto"/>
                <w:sz w:val="18"/>
                <w:szCs w:val="18"/>
                <w:highlight w:val="none"/>
              </w:rPr>
              <w:t>0.2-0.5</w:t>
            </w:r>
            <w:r>
              <w:rPr>
                <w:rFonts w:hint="eastAsia" w:ascii="宋体" w:hAnsi="宋体"/>
                <w:color w:val="auto"/>
                <w:sz w:val="18"/>
                <w:szCs w:val="18"/>
                <w:highlight w:val="none"/>
              </w:rPr>
              <w:t>分。修剪面不整齐或枝叶粘连、修剪后不美观的每处扣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77916474">
            <w:pPr>
              <w:spacing w:line="260" w:lineRule="exact"/>
              <w:jc w:val="center"/>
              <w:rPr>
                <w:rFonts w:ascii="宋体"/>
                <w:color w:val="auto"/>
                <w:sz w:val="18"/>
                <w:szCs w:val="18"/>
                <w:highlight w:val="none"/>
              </w:rPr>
            </w:pPr>
          </w:p>
        </w:tc>
      </w:tr>
      <w:tr w14:paraId="58D314DE">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6C4E004E">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0626771">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150" w:type="dxa"/>
            <w:tcBorders>
              <w:top w:val="single" w:color="auto" w:sz="4" w:space="0"/>
              <w:left w:val="nil"/>
              <w:bottom w:val="single" w:color="auto" w:sz="4" w:space="0"/>
              <w:right w:val="single" w:color="auto" w:sz="4" w:space="0"/>
            </w:tcBorders>
            <w:noWrap w:val="0"/>
            <w:vAlign w:val="top"/>
          </w:tcPr>
          <w:p w14:paraId="580AC096">
            <w:pPr>
              <w:spacing w:line="260" w:lineRule="exact"/>
              <w:jc w:val="left"/>
              <w:rPr>
                <w:rFonts w:ascii="宋体"/>
                <w:color w:val="auto"/>
                <w:sz w:val="18"/>
                <w:szCs w:val="18"/>
                <w:highlight w:val="none"/>
              </w:rPr>
            </w:pPr>
            <w:r>
              <w:rPr>
                <w:rFonts w:hint="eastAsia" w:ascii="宋体" w:hAnsi="宋体"/>
                <w:color w:val="auto"/>
                <w:sz w:val="18"/>
                <w:szCs w:val="18"/>
                <w:highlight w:val="none"/>
              </w:rPr>
              <w:t>修剪后及时清理干净绿化垃圾（地面和植株上）。</w:t>
            </w:r>
          </w:p>
        </w:tc>
        <w:tc>
          <w:tcPr>
            <w:tcW w:w="525" w:type="dxa"/>
            <w:tcBorders>
              <w:top w:val="single" w:color="auto" w:sz="4" w:space="0"/>
              <w:left w:val="nil"/>
              <w:bottom w:val="single" w:color="auto" w:sz="4" w:space="0"/>
              <w:right w:val="single" w:color="auto" w:sz="4" w:space="0"/>
            </w:tcBorders>
            <w:noWrap w:val="0"/>
            <w:vAlign w:val="center"/>
          </w:tcPr>
          <w:p w14:paraId="2AA7D8D0">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2964C060">
            <w:pPr>
              <w:spacing w:line="260" w:lineRule="exact"/>
              <w:rPr>
                <w:rFonts w:ascii="宋体"/>
                <w:color w:val="auto"/>
                <w:sz w:val="18"/>
                <w:szCs w:val="18"/>
                <w:highlight w:val="none"/>
              </w:rPr>
            </w:pPr>
            <w:r>
              <w:rPr>
                <w:rFonts w:hint="eastAsia" w:ascii="宋体" w:hAnsi="宋体"/>
                <w:color w:val="auto"/>
                <w:sz w:val="18"/>
                <w:szCs w:val="18"/>
                <w:highlight w:val="none"/>
              </w:rPr>
              <w:t>修剪后未及时清理的每处扣</w:t>
            </w:r>
            <w:r>
              <w:rPr>
                <w:rFonts w:ascii="宋体" w:hAnsi="宋体"/>
                <w:color w:val="auto"/>
                <w:sz w:val="18"/>
                <w:szCs w:val="18"/>
                <w:highlight w:val="none"/>
              </w:rPr>
              <w:t>0.2 -0.5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7B21CA59">
            <w:pPr>
              <w:spacing w:line="260" w:lineRule="exact"/>
              <w:jc w:val="center"/>
              <w:rPr>
                <w:rFonts w:ascii="宋体"/>
                <w:color w:val="auto"/>
                <w:sz w:val="18"/>
                <w:szCs w:val="18"/>
                <w:highlight w:val="none"/>
              </w:rPr>
            </w:pPr>
          </w:p>
        </w:tc>
      </w:tr>
      <w:tr w14:paraId="62093E3D">
        <w:tblPrEx>
          <w:tblCellMar>
            <w:top w:w="0" w:type="dxa"/>
            <w:left w:w="108" w:type="dxa"/>
            <w:bottom w:w="0" w:type="dxa"/>
            <w:right w:w="108" w:type="dxa"/>
          </w:tblCellMar>
        </w:tblPrEx>
        <w:trPr>
          <w:cantSplit/>
          <w:trHeight w:val="665"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0FD1C160">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D428E5F">
            <w:pPr>
              <w:spacing w:line="260" w:lineRule="exact"/>
              <w:jc w:val="center"/>
              <w:rPr>
                <w:rFonts w:ascii="宋体"/>
                <w:color w:val="auto"/>
                <w:sz w:val="18"/>
                <w:szCs w:val="18"/>
                <w:highlight w:val="none"/>
              </w:rPr>
            </w:pPr>
            <w:r>
              <w:rPr>
                <w:rFonts w:ascii="宋体" w:hAnsi="宋体"/>
                <w:color w:val="auto"/>
                <w:sz w:val="18"/>
                <w:szCs w:val="18"/>
                <w:highlight w:val="none"/>
              </w:rPr>
              <w:t>5</w:t>
            </w:r>
          </w:p>
        </w:tc>
        <w:tc>
          <w:tcPr>
            <w:tcW w:w="3150" w:type="dxa"/>
            <w:tcBorders>
              <w:top w:val="single" w:color="auto" w:sz="4" w:space="0"/>
              <w:left w:val="nil"/>
              <w:bottom w:val="single" w:color="auto" w:sz="4" w:space="0"/>
              <w:right w:val="single" w:color="auto" w:sz="4" w:space="0"/>
            </w:tcBorders>
            <w:noWrap w:val="0"/>
            <w:vAlign w:val="top"/>
          </w:tcPr>
          <w:p w14:paraId="18B8A2F0">
            <w:pPr>
              <w:spacing w:line="260" w:lineRule="exact"/>
              <w:jc w:val="left"/>
              <w:rPr>
                <w:rFonts w:ascii="宋体"/>
                <w:color w:val="auto"/>
                <w:sz w:val="18"/>
                <w:szCs w:val="18"/>
                <w:highlight w:val="none"/>
              </w:rPr>
            </w:pPr>
            <w:r>
              <w:rPr>
                <w:rFonts w:hint="eastAsia" w:ascii="宋体" w:hAnsi="宋体"/>
                <w:color w:val="auto"/>
                <w:sz w:val="18"/>
                <w:szCs w:val="18"/>
                <w:highlight w:val="none"/>
              </w:rPr>
              <w:t>片植灌木无光脚、死株、断档现象。</w:t>
            </w:r>
          </w:p>
        </w:tc>
        <w:tc>
          <w:tcPr>
            <w:tcW w:w="525" w:type="dxa"/>
            <w:tcBorders>
              <w:top w:val="single" w:color="auto" w:sz="4" w:space="0"/>
              <w:left w:val="nil"/>
              <w:bottom w:val="single" w:color="auto" w:sz="4" w:space="0"/>
              <w:right w:val="single" w:color="auto" w:sz="4" w:space="0"/>
            </w:tcBorders>
            <w:noWrap w:val="0"/>
            <w:vAlign w:val="center"/>
          </w:tcPr>
          <w:p w14:paraId="0DD1662C">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599BCBCA">
            <w:pPr>
              <w:spacing w:line="260" w:lineRule="exact"/>
              <w:rPr>
                <w:rFonts w:ascii="宋体"/>
                <w:color w:val="auto"/>
                <w:sz w:val="18"/>
                <w:szCs w:val="18"/>
                <w:highlight w:val="none"/>
              </w:rPr>
            </w:pPr>
            <w:r>
              <w:rPr>
                <w:rFonts w:hint="eastAsia" w:ascii="宋体" w:hAnsi="宋体"/>
                <w:color w:val="auto"/>
                <w:sz w:val="18"/>
                <w:szCs w:val="18"/>
                <w:highlight w:val="none"/>
              </w:rPr>
              <w:t>片植灌木有光脚、死株、断档现象的每处扣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1B78A39C">
            <w:pPr>
              <w:spacing w:line="260" w:lineRule="exact"/>
              <w:jc w:val="center"/>
              <w:rPr>
                <w:rFonts w:ascii="宋体"/>
                <w:color w:val="auto"/>
                <w:sz w:val="18"/>
                <w:szCs w:val="18"/>
                <w:highlight w:val="none"/>
              </w:rPr>
            </w:pPr>
          </w:p>
        </w:tc>
      </w:tr>
      <w:tr w14:paraId="5A5491E4">
        <w:tblPrEx>
          <w:tblCellMar>
            <w:top w:w="0" w:type="dxa"/>
            <w:left w:w="108" w:type="dxa"/>
            <w:bottom w:w="0" w:type="dxa"/>
            <w:right w:w="108" w:type="dxa"/>
          </w:tblCellMar>
        </w:tblPrEx>
        <w:trPr>
          <w:cantSplit/>
          <w:trHeight w:val="665"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2C836508">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3B325DF">
            <w:pPr>
              <w:spacing w:line="260" w:lineRule="exact"/>
              <w:jc w:val="center"/>
              <w:rPr>
                <w:rFonts w:ascii="宋体"/>
                <w:color w:val="auto"/>
                <w:sz w:val="18"/>
                <w:szCs w:val="18"/>
                <w:highlight w:val="none"/>
              </w:rPr>
            </w:pPr>
            <w:r>
              <w:rPr>
                <w:rFonts w:ascii="宋体" w:hAnsi="宋体"/>
                <w:color w:val="auto"/>
                <w:sz w:val="18"/>
                <w:szCs w:val="18"/>
                <w:highlight w:val="none"/>
              </w:rPr>
              <w:t>6</w:t>
            </w:r>
          </w:p>
        </w:tc>
        <w:tc>
          <w:tcPr>
            <w:tcW w:w="3150" w:type="dxa"/>
            <w:tcBorders>
              <w:top w:val="single" w:color="auto" w:sz="4" w:space="0"/>
              <w:left w:val="nil"/>
              <w:bottom w:val="single" w:color="auto" w:sz="4" w:space="0"/>
              <w:right w:val="single" w:color="auto" w:sz="4" w:space="0"/>
            </w:tcBorders>
            <w:noWrap w:val="0"/>
            <w:vAlign w:val="center"/>
          </w:tcPr>
          <w:p w14:paraId="764BEDB4">
            <w:pPr>
              <w:spacing w:line="260" w:lineRule="exact"/>
              <w:rPr>
                <w:rFonts w:ascii="宋体"/>
                <w:color w:val="auto"/>
                <w:sz w:val="18"/>
                <w:szCs w:val="18"/>
                <w:highlight w:val="none"/>
              </w:rPr>
            </w:pPr>
            <w:r>
              <w:rPr>
                <w:rFonts w:hint="eastAsia" w:ascii="宋体" w:hAnsi="宋体"/>
                <w:color w:val="auto"/>
                <w:sz w:val="18"/>
                <w:szCs w:val="18"/>
                <w:highlight w:val="none"/>
              </w:rPr>
              <w:t>片植灌木内无石块等杂物。</w:t>
            </w:r>
          </w:p>
        </w:tc>
        <w:tc>
          <w:tcPr>
            <w:tcW w:w="525" w:type="dxa"/>
            <w:tcBorders>
              <w:top w:val="single" w:color="auto" w:sz="4" w:space="0"/>
              <w:left w:val="nil"/>
              <w:bottom w:val="single" w:color="auto" w:sz="4" w:space="0"/>
              <w:right w:val="single" w:color="auto" w:sz="4" w:space="0"/>
            </w:tcBorders>
            <w:noWrap w:val="0"/>
            <w:vAlign w:val="center"/>
          </w:tcPr>
          <w:p w14:paraId="261208A7">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44E03A0E">
            <w:pPr>
              <w:spacing w:line="260" w:lineRule="exact"/>
              <w:rPr>
                <w:rFonts w:ascii="宋体"/>
                <w:color w:val="auto"/>
                <w:sz w:val="18"/>
                <w:szCs w:val="18"/>
                <w:highlight w:val="none"/>
              </w:rPr>
            </w:pPr>
            <w:r>
              <w:rPr>
                <w:rFonts w:hint="eastAsia" w:ascii="宋体" w:hAnsi="宋体"/>
                <w:color w:val="auto"/>
                <w:sz w:val="18"/>
                <w:szCs w:val="18"/>
                <w:highlight w:val="none"/>
              </w:rPr>
              <w:t>片植灌木内有石块等杂物的每处扣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7940AB6B">
            <w:pPr>
              <w:spacing w:line="260" w:lineRule="exact"/>
              <w:jc w:val="center"/>
              <w:rPr>
                <w:rFonts w:ascii="宋体"/>
                <w:color w:val="auto"/>
                <w:sz w:val="18"/>
                <w:szCs w:val="18"/>
                <w:highlight w:val="none"/>
              </w:rPr>
            </w:pPr>
          </w:p>
        </w:tc>
      </w:tr>
      <w:tr w14:paraId="7EE8378C">
        <w:tblPrEx>
          <w:tblCellMar>
            <w:top w:w="0" w:type="dxa"/>
            <w:left w:w="108" w:type="dxa"/>
            <w:bottom w:w="0" w:type="dxa"/>
            <w:right w:w="108" w:type="dxa"/>
          </w:tblCellMar>
        </w:tblPrEx>
        <w:trPr>
          <w:cantSplit/>
        </w:trPr>
        <w:tc>
          <w:tcPr>
            <w:tcW w:w="420" w:type="dxa"/>
            <w:vMerge w:val="restart"/>
            <w:tcBorders>
              <w:top w:val="nil"/>
              <w:left w:val="single" w:color="auto" w:sz="4" w:space="0"/>
              <w:bottom w:val="single" w:color="auto" w:sz="4" w:space="0"/>
              <w:right w:val="single" w:color="auto" w:sz="4" w:space="0"/>
            </w:tcBorders>
            <w:noWrap w:val="0"/>
            <w:vAlign w:val="center"/>
          </w:tcPr>
          <w:p w14:paraId="52B90C28">
            <w:pPr>
              <w:spacing w:line="260" w:lineRule="exact"/>
              <w:jc w:val="center"/>
              <w:rPr>
                <w:rFonts w:ascii="宋体"/>
                <w:color w:val="auto"/>
                <w:sz w:val="18"/>
                <w:szCs w:val="18"/>
                <w:highlight w:val="none"/>
              </w:rPr>
            </w:pPr>
            <w:r>
              <w:rPr>
                <w:rFonts w:hint="eastAsia" w:ascii="宋体" w:hAnsi="宋体"/>
                <w:color w:val="auto"/>
                <w:sz w:val="18"/>
                <w:szCs w:val="18"/>
                <w:highlight w:val="none"/>
              </w:rPr>
              <w:t>草</w:t>
            </w:r>
          </w:p>
          <w:p w14:paraId="741C02A5">
            <w:pPr>
              <w:spacing w:line="260" w:lineRule="exact"/>
              <w:jc w:val="center"/>
              <w:rPr>
                <w:rFonts w:ascii="宋体"/>
                <w:color w:val="auto"/>
                <w:sz w:val="18"/>
                <w:szCs w:val="18"/>
                <w:highlight w:val="none"/>
              </w:rPr>
            </w:pPr>
            <w:r>
              <w:rPr>
                <w:rFonts w:hint="eastAsia" w:ascii="宋体" w:hAnsi="宋体"/>
                <w:color w:val="auto"/>
                <w:sz w:val="18"/>
                <w:szCs w:val="18"/>
                <w:highlight w:val="none"/>
              </w:rPr>
              <w:t>坪</w:t>
            </w:r>
          </w:p>
          <w:p w14:paraId="12C30C9D">
            <w:pPr>
              <w:spacing w:line="260" w:lineRule="exact"/>
              <w:jc w:val="center"/>
              <w:rPr>
                <w:rFonts w:ascii="宋体"/>
                <w:color w:val="auto"/>
                <w:sz w:val="18"/>
                <w:szCs w:val="18"/>
                <w:highlight w:val="none"/>
              </w:rPr>
            </w:pPr>
            <w:r>
              <w:rPr>
                <w:rFonts w:hint="eastAsia" w:ascii="宋体" w:hAnsi="宋体"/>
                <w:color w:val="auto"/>
                <w:sz w:val="18"/>
                <w:szCs w:val="18"/>
                <w:highlight w:val="none"/>
              </w:rPr>
              <w:t>及</w:t>
            </w:r>
          </w:p>
          <w:p w14:paraId="3FF549A1">
            <w:pPr>
              <w:spacing w:line="260" w:lineRule="exact"/>
              <w:rPr>
                <w:rFonts w:ascii="宋体"/>
                <w:color w:val="auto"/>
                <w:sz w:val="18"/>
                <w:szCs w:val="18"/>
                <w:highlight w:val="none"/>
              </w:rPr>
            </w:pPr>
            <w:r>
              <w:rPr>
                <w:rFonts w:hint="eastAsia" w:ascii="宋体" w:hAnsi="宋体"/>
                <w:color w:val="auto"/>
                <w:sz w:val="18"/>
                <w:szCs w:val="18"/>
                <w:highlight w:val="none"/>
              </w:rPr>
              <w:t>地</w:t>
            </w:r>
          </w:p>
          <w:p w14:paraId="12C7A108">
            <w:pPr>
              <w:spacing w:line="260" w:lineRule="exact"/>
              <w:rPr>
                <w:rFonts w:ascii="宋体"/>
                <w:color w:val="auto"/>
                <w:sz w:val="18"/>
                <w:szCs w:val="18"/>
                <w:highlight w:val="none"/>
              </w:rPr>
            </w:pPr>
            <w:r>
              <w:rPr>
                <w:rFonts w:hint="eastAsia" w:ascii="宋体" w:hAnsi="宋体"/>
                <w:color w:val="auto"/>
                <w:sz w:val="18"/>
                <w:szCs w:val="18"/>
                <w:highlight w:val="none"/>
              </w:rPr>
              <w:t>被</w:t>
            </w:r>
          </w:p>
        </w:tc>
        <w:tc>
          <w:tcPr>
            <w:tcW w:w="420" w:type="dxa"/>
            <w:tcBorders>
              <w:top w:val="single" w:color="auto" w:sz="4" w:space="0"/>
              <w:left w:val="nil"/>
              <w:bottom w:val="single" w:color="auto" w:sz="4" w:space="0"/>
              <w:right w:val="single" w:color="auto" w:sz="4" w:space="0"/>
            </w:tcBorders>
            <w:noWrap w:val="0"/>
            <w:vAlign w:val="center"/>
          </w:tcPr>
          <w:p w14:paraId="7F259396">
            <w:pPr>
              <w:spacing w:line="260" w:lineRule="exact"/>
              <w:jc w:val="center"/>
              <w:rPr>
                <w:rFonts w:ascii="宋体"/>
                <w:color w:val="auto"/>
                <w:sz w:val="18"/>
                <w:szCs w:val="18"/>
                <w:highlight w:val="none"/>
              </w:rPr>
            </w:pPr>
          </w:p>
          <w:p w14:paraId="6DA6D013">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150" w:type="dxa"/>
            <w:tcBorders>
              <w:top w:val="single" w:color="auto" w:sz="4" w:space="0"/>
              <w:left w:val="nil"/>
              <w:bottom w:val="single" w:color="auto" w:sz="4" w:space="0"/>
              <w:right w:val="single" w:color="auto" w:sz="4" w:space="0"/>
            </w:tcBorders>
            <w:noWrap w:val="0"/>
            <w:vAlign w:val="center"/>
          </w:tcPr>
          <w:p w14:paraId="392CA955">
            <w:pPr>
              <w:spacing w:line="260" w:lineRule="exact"/>
              <w:jc w:val="left"/>
              <w:rPr>
                <w:rFonts w:ascii="宋体"/>
                <w:color w:val="auto"/>
                <w:sz w:val="18"/>
                <w:szCs w:val="18"/>
                <w:highlight w:val="none"/>
              </w:rPr>
            </w:pPr>
            <w:r>
              <w:rPr>
                <w:rFonts w:hint="eastAsia" w:ascii="宋体" w:hAnsi="宋体"/>
                <w:color w:val="auto"/>
                <w:sz w:val="18"/>
                <w:szCs w:val="18"/>
                <w:highlight w:val="none"/>
              </w:rPr>
              <w:t>保持草坪青绿无枯黄，无明显病虫害、无杂草、碎石，草坪美观平整，高度控制在</w:t>
            </w:r>
            <w:r>
              <w:rPr>
                <w:rFonts w:ascii="宋体" w:hAnsi="宋体"/>
                <w:color w:val="auto"/>
                <w:sz w:val="18"/>
                <w:szCs w:val="18"/>
                <w:highlight w:val="none"/>
              </w:rPr>
              <w:t>8cm</w:t>
            </w:r>
            <w:r>
              <w:rPr>
                <w:rFonts w:hint="eastAsia" w:ascii="宋体" w:hAnsi="宋体"/>
                <w:color w:val="auto"/>
                <w:sz w:val="18"/>
                <w:szCs w:val="18"/>
                <w:highlight w:val="none"/>
              </w:rPr>
              <w:t>以下。</w:t>
            </w:r>
          </w:p>
        </w:tc>
        <w:tc>
          <w:tcPr>
            <w:tcW w:w="525" w:type="dxa"/>
            <w:tcBorders>
              <w:top w:val="single" w:color="auto" w:sz="4" w:space="0"/>
              <w:left w:val="nil"/>
              <w:bottom w:val="single" w:color="auto" w:sz="4" w:space="0"/>
              <w:right w:val="single" w:color="auto" w:sz="4" w:space="0"/>
            </w:tcBorders>
            <w:noWrap w:val="0"/>
            <w:vAlign w:val="center"/>
          </w:tcPr>
          <w:p w14:paraId="444CDCC1">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990" w:type="dxa"/>
            <w:tcBorders>
              <w:top w:val="single" w:color="auto" w:sz="4" w:space="0"/>
              <w:left w:val="nil"/>
              <w:bottom w:val="single" w:color="auto" w:sz="4" w:space="0"/>
              <w:right w:val="single" w:color="auto" w:sz="4" w:space="0"/>
            </w:tcBorders>
            <w:noWrap w:val="0"/>
            <w:vAlign w:val="center"/>
          </w:tcPr>
          <w:p w14:paraId="1314D61F">
            <w:pPr>
              <w:spacing w:line="260" w:lineRule="exact"/>
              <w:rPr>
                <w:rFonts w:ascii="宋体"/>
                <w:color w:val="auto"/>
                <w:sz w:val="18"/>
                <w:szCs w:val="18"/>
                <w:highlight w:val="none"/>
              </w:rPr>
            </w:pPr>
            <w:r>
              <w:rPr>
                <w:rFonts w:hint="eastAsia" w:ascii="宋体" w:hAnsi="宋体"/>
                <w:color w:val="auto"/>
                <w:sz w:val="18"/>
                <w:szCs w:val="18"/>
                <w:highlight w:val="none"/>
              </w:rPr>
              <w:t>草坪枯黄面积达</w:t>
            </w:r>
            <w:r>
              <w:rPr>
                <w:rFonts w:ascii="宋体" w:hAnsi="宋体"/>
                <w:color w:val="auto"/>
                <w:sz w:val="18"/>
                <w:szCs w:val="18"/>
                <w:highlight w:val="none"/>
              </w:rPr>
              <w:t>50</w:t>
            </w:r>
            <w:r>
              <w:rPr>
                <w:rFonts w:hint="eastAsia" w:ascii="宋体" w:hAnsi="宋体"/>
                <w:color w:val="auto"/>
                <w:sz w:val="18"/>
                <w:szCs w:val="18"/>
                <w:highlight w:val="none"/>
              </w:rPr>
              <w:t>㎡（重点区域</w:t>
            </w:r>
            <w:r>
              <w:rPr>
                <w:rFonts w:ascii="宋体" w:hAnsi="宋体"/>
                <w:color w:val="auto"/>
                <w:sz w:val="18"/>
                <w:szCs w:val="18"/>
                <w:highlight w:val="none"/>
              </w:rPr>
              <w:t>20</w:t>
            </w:r>
            <w:r>
              <w:rPr>
                <w:rFonts w:hint="eastAsia" w:ascii="宋体" w:hAnsi="宋体"/>
                <w:color w:val="auto"/>
                <w:sz w:val="18"/>
                <w:szCs w:val="18"/>
                <w:highlight w:val="none"/>
              </w:rPr>
              <w:t>㎡）以上或有明显病虫害、杂草、碎石的每处扣</w:t>
            </w:r>
            <w:r>
              <w:rPr>
                <w:rFonts w:ascii="宋体" w:hAnsi="宋体"/>
                <w:color w:val="auto"/>
                <w:sz w:val="18"/>
                <w:szCs w:val="18"/>
                <w:highlight w:val="none"/>
              </w:rPr>
              <w:t>0.2-0.5</w:t>
            </w:r>
            <w:r>
              <w:rPr>
                <w:rFonts w:hint="eastAsia" w:ascii="宋体" w:hAnsi="宋体"/>
                <w:color w:val="auto"/>
                <w:sz w:val="18"/>
                <w:szCs w:val="18"/>
                <w:highlight w:val="none"/>
              </w:rPr>
              <w:t>分，草坪起球、杂乱、高度过高的每处扣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5F7E3FBD">
            <w:pPr>
              <w:spacing w:line="260" w:lineRule="exact"/>
              <w:jc w:val="center"/>
              <w:rPr>
                <w:rFonts w:ascii="宋体"/>
                <w:color w:val="auto"/>
                <w:sz w:val="18"/>
                <w:szCs w:val="18"/>
                <w:highlight w:val="none"/>
              </w:rPr>
            </w:pPr>
          </w:p>
        </w:tc>
      </w:tr>
      <w:tr w14:paraId="59156892">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0B287FC3">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9DF23E8">
            <w:pPr>
              <w:spacing w:line="260" w:lineRule="exact"/>
              <w:jc w:val="center"/>
              <w:rPr>
                <w:rFonts w:ascii="宋体"/>
                <w:color w:val="auto"/>
                <w:sz w:val="18"/>
                <w:szCs w:val="18"/>
                <w:highlight w:val="none"/>
              </w:rPr>
            </w:pPr>
          </w:p>
          <w:p w14:paraId="0664B35B">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150" w:type="dxa"/>
            <w:tcBorders>
              <w:top w:val="single" w:color="auto" w:sz="4" w:space="0"/>
              <w:left w:val="nil"/>
              <w:bottom w:val="single" w:color="auto" w:sz="4" w:space="0"/>
              <w:right w:val="single" w:color="auto" w:sz="4" w:space="0"/>
            </w:tcBorders>
            <w:noWrap w:val="0"/>
            <w:vAlign w:val="center"/>
          </w:tcPr>
          <w:p w14:paraId="2AEF62C7">
            <w:pPr>
              <w:spacing w:line="260" w:lineRule="exact"/>
              <w:jc w:val="left"/>
              <w:rPr>
                <w:rFonts w:ascii="宋体"/>
                <w:color w:val="auto"/>
                <w:sz w:val="18"/>
                <w:szCs w:val="18"/>
                <w:highlight w:val="none"/>
              </w:rPr>
            </w:pPr>
            <w:r>
              <w:rPr>
                <w:rFonts w:hint="eastAsia" w:ascii="宋体" w:hAnsi="宋体"/>
                <w:color w:val="auto"/>
                <w:sz w:val="18"/>
                <w:szCs w:val="18"/>
                <w:highlight w:val="none"/>
              </w:rPr>
              <w:t>打草要及时清理绿化垃圾（地面及草地上）。</w:t>
            </w:r>
          </w:p>
        </w:tc>
        <w:tc>
          <w:tcPr>
            <w:tcW w:w="525" w:type="dxa"/>
            <w:tcBorders>
              <w:top w:val="single" w:color="auto" w:sz="4" w:space="0"/>
              <w:left w:val="nil"/>
              <w:bottom w:val="single" w:color="auto" w:sz="4" w:space="0"/>
              <w:right w:val="single" w:color="auto" w:sz="4" w:space="0"/>
            </w:tcBorders>
            <w:noWrap w:val="0"/>
            <w:vAlign w:val="center"/>
          </w:tcPr>
          <w:p w14:paraId="546C83C5">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49689384">
            <w:pPr>
              <w:spacing w:line="260" w:lineRule="exact"/>
              <w:rPr>
                <w:rFonts w:ascii="宋体"/>
                <w:color w:val="auto"/>
                <w:sz w:val="18"/>
                <w:szCs w:val="18"/>
                <w:highlight w:val="none"/>
              </w:rPr>
            </w:pPr>
            <w:r>
              <w:rPr>
                <w:rFonts w:hint="eastAsia" w:ascii="宋体" w:hAnsi="宋体"/>
                <w:color w:val="auto"/>
                <w:sz w:val="18"/>
                <w:szCs w:val="18"/>
                <w:highlight w:val="none"/>
              </w:rPr>
              <w:t>不及时清理的每处扣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18A42B78">
            <w:pPr>
              <w:spacing w:line="260" w:lineRule="exact"/>
              <w:jc w:val="center"/>
              <w:rPr>
                <w:rFonts w:ascii="宋体"/>
                <w:color w:val="auto"/>
                <w:sz w:val="18"/>
                <w:szCs w:val="18"/>
                <w:highlight w:val="none"/>
              </w:rPr>
            </w:pPr>
          </w:p>
        </w:tc>
      </w:tr>
      <w:tr w14:paraId="78AFD01B">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16F610AB">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5858B006">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150" w:type="dxa"/>
            <w:tcBorders>
              <w:top w:val="single" w:color="auto" w:sz="4" w:space="0"/>
              <w:left w:val="nil"/>
              <w:bottom w:val="single" w:color="auto" w:sz="4" w:space="0"/>
              <w:right w:val="single" w:color="auto" w:sz="4" w:space="0"/>
            </w:tcBorders>
            <w:noWrap w:val="0"/>
            <w:vAlign w:val="center"/>
          </w:tcPr>
          <w:p w14:paraId="79B7387A">
            <w:pPr>
              <w:spacing w:line="260" w:lineRule="exact"/>
              <w:jc w:val="left"/>
              <w:rPr>
                <w:rFonts w:ascii="宋体"/>
                <w:color w:val="auto"/>
                <w:sz w:val="18"/>
                <w:szCs w:val="18"/>
                <w:highlight w:val="none"/>
              </w:rPr>
            </w:pPr>
            <w:r>
              <w:rPr>
                <w:rFonts w:hint="eastAsia" w:ascii="宋体" w:hAnsi="宋体"/>
                <w:color w:val="auto"/>
                <w:sz w:val="18"/>
                <w:szCs w:val="18"/>
                <w:highlight w:val="none"/>
              </w:rPr>
              <w:t>地被无明显病虫害、杂草、黄叶。地被植物图形清晰，边线明显。</w:t>
            </w:r>
          </w:p>
        </w:tc>
        <w:tc>
          <w:tcPr>
            <w:tcW w:w="525" w:type="dxa"/>
            <w:tcBorders>
              <w:top w:val="single" w:color="auto" w:sz="4" w:space="0"/>
              <w:left w:val="nil"/>
              <w:bottom w:val="single" w:color="auto" w:sz="4" w:space="0"/>
              <w:right w:val="single" w:color="auto" w:sz="4" w:space="0"/>
            </w:tcBorders>
            <w:noWrap w:val="0"/>
            <w:vAlign w:val="center"/>
          </w:tcPr>
          <w:p w14:paraId="593E643F">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41F28E0F">
            <w:pPr>
              <w:spacing w:line="260" w:lineRule="exact"/>
              <w:rPr>
                <w:rFonts w:ascii="宋体"/>
                <w:color w:val="auto"/>
                <w:sz w:val="18"/>
                <w:szCs w:val="18"/>
                <w:highlight w:val="none"/>
              </w:rPr>
            </w:pPr>
            <w:r>
              <w:rPr>
                <w:rFonts w:hint="eastAsia" w:ascii="宋体" w:hAnsi="宋体"/>
                <w:color w:val="auto"/>
                <w:sz w:val="18"/>
                <w:szCs w:val="18"/>
                <w:highlight w:val="none"/>
              </w:rPr>
              <w:t>有明显病虫害、杂草、黄叶的每处扣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23FEA0B9">
            <w:pPr>
              <w:spacing w:line="260" w:lineRule="exact"/>
              <w:jc w:val="center"/>
              <w:rPr>
                <w:rFonts w:ascii="宋体"/>
                <w:color w:val="auto"/>
                <w:sz w:val="18"/>
                <w:szCs w:val="18"/>
                <w:highlight w:val="none"/>
              </w:rPr>
            </w:pPr>
          </w:p>
        </w:tc>
      </w:tr>
      <w:tr w14:paraId="1456E945">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4B3CE33E">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0B0C5AE">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150" w:type="dxa"/>
            <w:tcBorders>
              <w:top w:val="single" w:color="auto" w:sz="4" w:space="0"/>
              <w:left w:val="nil"/>
              <w:bottom w:val="single" w:color="auto" w:sz="4" w:space="0"/>
              <w:right w:val="single" w:color="auto" w:sz="4" w:space="0"/>
            </w:tcBorders>
            <w:noWrap w:val="0"/>
            <w:vAlign w:val="center"/>
          </w:tcPr>
          <w:p w14:paraId="0169E43D">
            <w:pPr>
              <w:spacing w:line="260" w:lineRule="exact"/>
              <w:jc w:val="left"/>
              <w:rPr>
                <w:rFonts w:ascii="宋体"/>
                <w:color w:val="auto"/>
                <w:sz w:val="18"/>
                <w:szCs w:val="18"/>
                <w:highlight w:val="none"/>
              </w:rPr>
            </w:pPr>
            <w:r>
              <w:rPr>
                <w:rFonts w:hint="eastAsia" w:ascii="宋体" w:hAnsi="宋体"/>
                <w:color w:val="auto"/>
                <w:sz w:val="18"/>
                <w:szCs w:val="18"/>
                <w:highlight w:val="none"/>
              </w:rPr>
              <w:t>伸出路缘石的地被要及时修剪。</w:t>
            </w:r>
          </w:p>
        </w:tc>
        <w:tc>
          <w:tcPr>
            <w:tcW w:w="525" w:type="dxa"/>
            <w:tcBorders>
              <w:top w:val="single" w:color="auto" w:sz="4" w:space="0"/>
              <w:left w:val="nil"/>
              <w:bottom w:val="single" w:color="auto" w:sz="4" w:space="0"/>
              <w:right w:val="single" w:color="auto" w:sz="4" w:space="0"/>
            </w:tcBorders>
            <w:noWrap w:val="0"/>
            <w:vAlign w:val="center"/>
          </w:tcPr>
          <w:p w14:paraId="0BC69264">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1D540A69">
            <w:pPr>
              <w:spacing w:line="260" w:lineRule="exact"/>
              <w:rPr>
                <w:rFonts w:ascii="宋体"/>
                <w:color w:val="auto"/>
                <w:sz w:val="18"/>
                <w:szCs w:val="18"/>
                <w:highlight w:val="none"/>
              </w:rPr>
            </w:pPr>
            <w:r>
              <w:rPr>
                <w:rFonts w:hint="eastAsia" w:ascii="宋体" w:hAnsi="宋体"/>
                <w:color w:val="auto"/>
                <w:sz w:val="18"/>
                <w:szCs w:val="18"/>
                <w:highlight w:val="none"/>
              </w:rPr>
              <w:t>不及时修剪的每处扣</w:t>
            </w:r>
            <w:r>
              <w:rPr>
                <w:rFonts w:ascii="宋体" w:hAnsi="宋体"/>
                <w:color w:val="auto"/>
                <w:sz w:val="18"/>
                <w:szCs w:val="18"/>
                <w:highlight w:val="none"/>
              </w:rPr>
              <w:t>0.1-0.2</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06BE070B">
            <w:pPr>
              <w:spacing w:line="260" w:lineRule="exact"/>
              <w:jc w:val="center"/>
              <w:rPr>
                <w:rFonts w:ascii="宋体"/>
                <w:color w:val="auto"/>
                <w:sz w:val="18"/>
                <w:szCs w:val="18"/>
                <w:highlight w:val="none"/>
              </w:rPr>
            </w:pPr>
          </w:p>
        </w:tc>
      </w:tr>
      <w:tr w14:paraId="4BFB550D">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5B9CA576">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89291F1">
            <w:pPr>
              <w:spacing w:line="260" w:lineRule="exact"/>
              <w:jc w:val="center"/>
              <w:rPr>
                <w:rFonts w:ascii="宋体"/>
                <w:color w:val="auto"/>
                <w:sz w:val="18"/>
                <w:szCs w:val="18"/>
                <w:highlight w:val="none"/>
              </w:rPr>
            </w:pPr>
            <w:r>
              <w:rPr>
                <w:rFonts w:ascii="宋体" w:hAnsi="宋体"/>
                <w:color w:val="auto"/>
                <w:sz w:val="18"/>
                <w:szCs w:val="18"/>
                <w:highlight w:val="none"/>
              </w:rPr>
              <w:t>5</w:t>
            </w:r>
          </w:p>
        </w:tc>
        <w:tc>
          <w:tcPr>
            <w:tcW w:w="3150" w:type="dxa"/>
            <w:tcBorders>
              <w:top w:val="single" w:color="auto" w:sz="4" w:space="0"/>
              <w:left w:val="nil"/>
              <w:bottom w:val="single" w:color="auto" w:sz="4" w:space="0"/>
              <w:right w:val="single" w:color="auto" w:sz="4" w:space="0"/>
            </w:tcBorders>
            <w:noWrap w:val="0"/>
            <w:vAlign w:val="center"/>
          </w:tcPr>
          <w:p w14:paraId="227979FB">
            <w:pPr>
              <w:spacing w:line="260" w:lineRule="exact"/>
              <w:jc w:val="left"/>
              <w:rPr>
                <w:rFonts w:ascii="宋体"/>
                <w:color w:val="auto"/>
                <w:sz w:val="18"/>
                <w:szCs w:val="18"/>
                <w:highlight w:val="none"/>
              </w:rPr>
            </w:pPr>
            <w:r>
              <w:rPr>
                <w:rFonts w:hint="eastAsia" w:ascii="宋体" w:hAnsi="宋体"/>
                <w:color w:val="auto"/>
                <w:sz w:val="18"/>
                <w:szCs w:val="18"/>
                <w:highlight w:val="none"/>
              </w:rPr>
              <w:t>铺装面上的杂草要及时清理。</w:t>
            </w:r>
          </w:p>
        </w:tc>
        <w:tc>
          <w:tcPr>
            <w:tcW w:w="525" w:type="dxa"/>
            <w:tcBorders>
              <w:top w:val="single" w:color="auto" w:sz="4" w:space="0"/>
              <w:left w:val="nil"/>
              <w:bottom w:val="single" w:color="auto" w:sz="4" w:space="0"/>
              <w:right w:val="single" w:color="auto" w:sz="4" w:space="0"/>
            </w:tcBorders>
            <w:noWrap w:val="0"/>
            <w:vAlign w:val="center"/>
          </w:tcPr>
          <w:p w14:paraId="2EB5521E">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1C99456A">
            <w:pPr>
              <w:spacing w:line="260" w:lineRule="exact"/>
              <w:rPr>
                <w:rFonts w:ascii="宋体"/>
                <w:color w:val="auto"/>
                <w:sz w:val="18"/>
                <w:szCs w:val="18"/>
                <w:highlight w:val="none"/>
              </w:rPr>
            </w:pPr>
            <w:r>
              <w:rPr>
                <w:rFonts w:hint="eastAsia" w:ascii="宋体" w:hAnsi="宋体"/>
                <w:color w:val="auto"/>
                <w:sz w:val="18"/>
                <w:szCs w:val="18"/>
                <w:highlight w:val="none"/>
              </w:rPr>
              <w:t>不及时清理的每处扣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3A886F3F">
            <w:pPr>
              <w:spacing w:line="260" w:lineRule="exact"/>
              <w:jc w:val="center"/>
              <w:rPr>
                <w:rFonts w:ascii="宋体"/>
                <w:color w:val="auto"/>
                <w:sz w:val="18"/>
                <w:szCs w:val="18"/>
                <w:highlight w:val="none"/>
              </w:rPr>
            </w:pPr>
          </w:p>
        </w:tc>
      </w:tr>
      <w:tr w14:paraId="1772D8D7">
        <w:tblPrEx>
          <w:tblCellMar>
            <w:top w:w="0" w:type="dxa"/>
            <w:left w:w="108" w:type="dxa"/>
            <w:bottom w:w="0" w:type="dxa"/>
            <w:right w:w="108" w:type="dxa"/>
          </w:tblCellMar>
        </w:tblPrEx>
        <w:trPr>
          <w:cantSplit/>
        </w:trPr>
        <w:tc>
          <w:tcPr>
            <w:tcW w:w="420" w:type="dxa"/>
            <w:vMerge w:val="restart"/>
            <w:tcBorders>
              <w:top w:val="nil"/>
              <w:left w:val="single" w:color="auto" w:sz="4" w:space="0"/>
              <w:bottom w:val="single" w:color="auto" w:sz="4" w:space="0"/>
              <w:right w:val="single" w:color="auto" w:sz="4" w:space="0"/>
            </w:tcBorders>
            <w:noWrap w:val="0"/>
            <w:vAlign w:val="center"/>
          </w:tcPr>
          <w:p w14:paraId="35743AE4">
            <w:pPr>
              <w:spacing w:line="260" w:lineRule="exact"/>
              <w:jc w:val="center"/>
              <w:rPr>
                <w:rFonts w:ascii="宋体"/>
                <w:color w:val="auto"/>
                <w:sz w:val="18"/>
                <w:szCs w:val="18"/>
                <w:highlight w:val="none"/>
              </w:rPr>
            </w:pPr>
          </w:p>
          <w:p w14:paraId="307F5657">
            <w:pPr>
              <w:spacing w:line="260" w:lineRule="exact"/>
              <w:jc w:val="center"/>
              <w:rPr>
                <w:rFonts w:ascii="宋体"/>
                <w:color w:val="auto"/>
                <w:sz w:val="18"/>
                <w:szCs w:val="18"/>
                <w:highlight w:val="none"/>
              </w:rPr>
            </w:pPr>
            <w:r>
              <w:rPr>
                <w:rFonts w:hint="eastAsia" w:ascii="宋体" w:hAnsi="宋体"/>
                <w:color w:val="auto"/>
                <w:sz w:val="18"/>
                <w:szCs w:val="18"/>
                <w:highlight w:val="none"/>
              </w:rPr>
              <w:t>安全生产</w:t>
            </w:r>
          </w:p>
        </w:tc>
        <w:tc>
          <w:tcPr>
            <w:tcW w:w="420" w:type="dxa"/>
            <w:tcBorders>
              <w:top w:val="single" w:color="auto" w:sz="4" w:space="0"/>
              <w:left w:val="nil"/>
              <w:bottom w:val="single" w:color="auto" w:sz="4" w:space="0"/>
              <w:right w:val="single" w:color="auto" w:sz="4" w:space="0"/>
            </w:tcBorders>
            <w:noWrap w:val="0"/>
            <w:vAlign w:val="center"/>
          </w:tcPr>
          <w:p w14:paraId="7F631610">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150" w:type="dxa"/>
            <w:tcBorders>
              <w:top w:val="single" w:color="auto" w:sz="4" w:space="0"/>
              <w:left w:val="nil"/>
              <w:bottom w:val="single" w:color="auto" w:sz="4" w:space="0"/>
              <w:right w:val="single" w:color="auto" w:sz="4" w:space="0"/>
            </w:tcBorders>
            <w:noWrap w:val="0"/>
            <w:vAlign w:val="center"/>
          </w:tcPr>
          <w:p w14:paraId="397A3F6B">
            <w:pPr>
              <w:spacing w:line="260" w:lineRule="exact"/>
              <w:jc w:val="left"/>
              <w:rPr>
                <w:rFonts w:ascii="宋体"/>
                <w:color w:val="auto"/>
                <w:sz w:val="18"/>
                <w:szCs w:val="18"/>
                <w:highlight w:val="none"/>
              </w:rPr>
            </w:pPr>
            <w:r>
              <w:rPr>
                <w:rFonts w:hint="eastAsia" w:ascii="宋体" w:hAnsi="宋体"/>
                <w:color w:val="auto"/>
                <w:sz w:val="18"/>
                <w:szCs w:val="18"/>
                <w:highlight w:val="none"/>
              </w:rPr>
              <w:t>严格按操作规程要求，正确使用器具。</w:t>
            </w:r>
          </w:p>
        </w:tc>
        <w:tc>
          <w:tcPr>
            <w:tcW w:w="525" w:type="dxa"/>
            <w:tcBorders>
              <w:top w:val="single" w:color="auto" w:sz="4" w:space="0"/>
              <w:left w:val="nil"/>
              <w:bottom w:val="single" w:color="auto" w:sz="4" w:space="0"/>
              <w:right w:val="single" w:color="auto" w:sz="4" w:space="0"/>
            </w:tcBorders>
            <w:noWrap w:val="0"/>
            <w:vAlign w:val="center"/>
          </w:tcPr>
          <w:p w14:paraId="549DD0B9">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2B388A39">
            <w:pPr>
              <w:spacing w:line="260" w:lineRule="exact"/>
              <w:rPr>
                <w:rFonts w:ascii="宋体"/>
                <w:color w:val="auto"/>
                <w:sz w:val="18"/>
                <w:szCs w:val="18"/>
                <w:highlight w:val="none"/>
              </w:rPr>
            </w:pPr>
            <w:r>
              <w:rPr>
                <w:rFonts w:hint="eastAsia" w:ascii="宋体" w:hAnsi="宋体"/>
                <w:color w:val="auto"/>
                <w:sz w:val="18"/>
                <w:szCs w:val="18"/>
                <w:highlight w:val="none"/>
              </w:rPr>
              <w:t>不按操作规程要求，使器具受到损坏或使人身受到伤害的每次扣</w:t>
            </w:r>
            <w:r>
              <w:rPr>
                <w:rFonts w:ascii="宋体" w:hAnsi="宋体"/>
                <w:color w:val="auto"/>
                <w:sz w:val="18"/>
                <w:szCs w:val="18"/>
                <w:highlight w:val="none"/>
              </w:rPr>
              <w:t>0.5- 1</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此条款扣分值不设上限。</w:t>
            </w:r>
          </w:p>
        </w:tc>
        <w:tc>
          <w:tcPr>
            <w:tcW w:w="1050" w:type="dxa"/>
            <w:tcBorders>
              <w:top w:val="single" w:color="auto" w:sz="4" w:space="0"/>
              <w:left w:val="nil"/>
              <w:bottom w:val="single" w:color="auto" w:sz="4" w:space="0"/>
              <w:right w:val="single" w:color="auto" w:sz="4" w:space="0"/>
            </w:tcBorders>
            <w:noWrap w:val="0"/>
            <w:vAlign w:val="center"/>
          </w:tcPr>
          <w:p w14:paraId="67F453B3">
            <w:pPr>
              <w:spacing w:line="260" w:lineRule="exact"/>
              <w:jc w:val="center"/>
              <w:rPr>
                <w:rFonts w:ascii="宋体"/>
                <w:color w:val="auto"/>
                <w:sz w:val="18"/>
                <w:szCs w:val="18"/>
                <w:highlight w:val="none"/>
              </w:rPr>
            </w:pPr>
          </w:p>
        </w:tc>
      </w:tr>
      <w:tr w14:paraId="777F5FD1">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7133E7D8">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FA4E417">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150" w:type="dxa"/>
            <w:tcBorders>
              <w:top w:val="single" w:color="auto" w:sz="4" w:space="0"/>
              <w:left w:val="nil"/>
              <w:bottom w:val="single" w:color="auto" w:sz="4" w:space="0"/>
              <w:right w:val="single" w:color="auto" w:sz="4" w:space="0"/>
            </w:tcBorders>
            <w:noWrap w:val="0"/>
            <w:vAlign w:val="center"/>
          </w:tcPr>
          <w:p w14:paraId="794D931E">
            <w:pPr>
              <w:spacing w:line="260" w:lineRule="exact"/>
              <w:jc w:val="left"/>
              <w:rPr>
                <w:rFonts w:ascii="宋体"/>
                <w:color w:val="auto"/>
                <w:sz w:val="18"/>
                <w:szCs w:val="18"/>
                <w:highlight w:val="none"/>
              </w:rPr>
            </w:pPr>
            <w:r>
              <w:rPr>
                <w:rFonts w:hint="eastAsia" w:ascii="宋体" w:hAnsi="宋体"/>
                <w:color w:val="auto"/>
                <w:sz w:val="18"/>
                <w:szCs w:val="18"/>
                <w:highlight w:val="none"/>
              </w:rPr>
              <w:t>汽油、农药要妥善处理。</w:t>
            </w:r>
          </w:p>
        </w:tc>
        <w:tc>
          <w:tcPr>
            <w:tcW w:w="525" w:type="dxa"/>
            <w:tcBorders>
              <w:top w:val="single" w:color="auto" w:sz="4" w:space="0"/>
              <w:left w:val="nil"/>
              <w:bottom w:val="single" w:color="auto" w:sz="4" w:space="0"/>
              <w:right w:val="single" w:color="auto" w:sz="4" w:space="0"/>
            </w:tcBorders>
            <w:noWrap w:val="0"/>
            <w:vAlign w:val="center"/>
          </w:tcPr>
          <w:p w14:paraId="3E5A76A8">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top"/>
          </w:tcPr>
          <w:p w14:paraId="1F9DDB00">
            <w:pPr>
              <w:spacing w:line="260" w:lineRule="exact"/>
              <w:rPr>
                <w:rFonts w:ascii="宋体"/>
                <w:color w:val="auto"/>
                <w:sz w:val="18"/>
                <w:szCs w:val="18"/>
                <w:highlight w:val="none"/>
              </w:rPr>
            </w:pPr>
            <w:r>
              <w:rPr>
                <w:rFonts w:hint="eastAsia" w:ascii="宋体" w:hAnsi="宋体"/>
                <w:color w:val="auto"/>
                <w:sz w:val="18"/>
                <w:szCs w:val="18"/>
                <w:highlight w:val="none"/>
              </w:rPr>
              <w:t>乱扔、乱放农药汽油每次扣</w:t>
            </w:r>
            <w:r>
              <w:rPr>
                <w:rFonts w:ascii="宋体" w:hAnsi="宋体"/>
                <w:color w:val="auto"/>
                <w:sz w:val="18"/>
                <w:szCs w:val="18"/>
                <w:highlight w:val="none"/>
              </w:rPr>
              <w:t>0.5</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此条款扣分值不设上限。</w:t>
            </w:r>
          </w:p>
        </w:tc>
        <w:tc>
          <w:tcPr>
            <w:tcW w:w="1050" w:type="dxa"/>
            <w:tcBorders>
              <w:top w:val="single" w:color="auto" w:sz="4" w:space="0"/>
              <w:left w:val="nil"/>
              <w:bottom w:val="single" w:color="auto" w:sz="4" w:space="0"/>
              <w:right w:val="single" w:color="auto" w:sz="4" w:space="0"/>
            </w:tcBorders>
            <w:noWrap w:val="0"/>
            <w:vAlign w:val="center"/>
          </w:tcPr>
          <w:p w14:paraId="72C68F21">
            <w:pPr>
              <w:spacing w:line="260" w:lineRule="exact"/>
              <w:jc w:val="center"/>
              <w:rPr>
                <w:rFonts w:ascii="宋体"/>
                <w:color w:val="auto"/>
                <w:sz w:val="18"/>
                <w:szCs w:val="18"/>
                <w:highlight w:val="none"/>
              </w:rPr>
            </w:pPr>
          </w:p>
        </w:tc>
      </w:tr>
      <w:tr w14:paraId="3D7FFE29">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563B6EC4">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BA15768">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150" w:type="dxa"/>
            <w:tcBorders>
              <w:top w:val="single" w:color="auto" w:sz="4" w:space="0"/>
              <w:left w:val="nil"/>
              <w:bottom w:val="single" w:color="auto" w:sz="4" w:space="0"/>
              <w:right w:val="single" w:color="auto" w:sz="4" w:space="0"/>
            </w:tcBorders>
            <w:noWrap w:val="0"/>
            <w:vAlign w:val="center"/>
          </w:tcPr>
          <w:p w14:paraId="201310F0">
            <w:pPr>
              <w:spacing w:line="260" w:lineRule="exact"/>
              <w:jc w:val="left"/>
              <w:rPr>
                <w:rFonts w:ascii="宋体"/>
                <w:color w:val="auto"/>
                <w:sz w:val="18"/>
                <w:szCs w:val="18"/>
                <w:highlight w:val="none"/>
              </w:rPr>
            </w:pPr>
            <w:r>
              <w:rPr>
                <w:rFonts w:hint="eastAsia" w:ascii="宋体" w:hAnsi="宋体"/>
                <w:color w:val="auto"/>
                <w:sz w:val="18"/>
                <w:szCs w:val="18"/>
                <w:highlight w:val="none"/>
              </w:rPr>
              <w:t>绿化器具按要求进行保养，损坏器具及时维修。及时维修抽水泵房设备及淋水管头。保管好维修工具。</w:t>
            </w:r>
          </w:p>
        </w:tc>
        <w:tc>
          <w:tcPr>
            <w:tcW w:w="525" w:type="dxa"/>
            <w:tcBorders>
              <w:top w:val="single" w:color="auto" w:sz="4" w:space="0"/>
              <w:left w:val="nil"/>
              <w:bottom w:val="single" w:color="auto" w:sz="4" w:space="0"/>
              <w:right w:val="single" w:color="auto" w:sz="4" w:space="0"/>
            </w:tcBorders>
            <w:noWrap w:val="0"/>
            <w:vAlign w:val="center"/>
          </w:tcPr>
          <w:p w14:paraId="324405D5">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156C9890">
            <w:pPr>
              <w:spacing w:line="260" w:lineRule="exact"/>
              <w:rPr>
                <w:rFonts w:ascii="宋体"/>
                <w:color w:val="auto"/>
                <w:sz w:val="18"/>
                <w:szCs w:val="18"/>
                <w:highlight w:val="none"/>
              </w:rPr>
            </w:pPr>
            <w:r>
              <w:rPr>
                <w:rFonts w:hint="eastAsia" w:ascii="宋体" w:hAnsi="宋体"/>
                <w:color w:val="auto"/>
                <w:sz w:val="18"/>
                <w:szCs w:val="18"/>
                <w:highlight w:val="none"/>
              </w:rPr>
              <w:t>器具不按要求进行保养或损坏器具不及时维修的每次扣</w:t>
            </w:r>
            <w:r>
              <w:rPr>
                <w:rFonts w:ascii="宋体" w:hAnsi="宋体"/>
                <w:color w:val="auto"/>
                <w:sz w:val="18"/>
                <w:szCs w:val="18"/>
                <w:highlight w:val="none"/>
              </w:rPr>
              <w:t>0.5-1</w:t>
            </w:r>
            <w:r>
              <w:rPr>
                <w:rFonts w:hint="eastAsia" w:ascii="宋体" w:hAnsi="宋体"/>
                <w:color w:val="auto"/>
                <w:sz w:val="18"/>
                <w:szCs w:val="18"/>
                <w:highlight w:val="none"/>
              </w:rPr>
              <w:t>分。没有及时维修抽水泵房设备及淋水管头影响工作的每次扣</w:t>
            </w:r>
            <w:r>
              <w:rPr>
                <w:rFonts w:ascii="宋体" w:hAnsi="宋体"/>
                <w:color w:val="auto"/>
                <w:sz w:val="18"/>
                <w:szCs w:val="18"/>
                <w:highlight w:val="none"/>
              </w:rPr>
              <w:t>0.5-2</w:t>
            </w:r>
            <w:r>
              <w:rPr>
                <w:rFonts w:hint="eastAsia" w:ascii="宋体" w:hAnsi="宋体"/>
                <w:color w:val="auto"/>
                <w:sz w:val="18"/>
                <w:szCs w:val="18"/>
                <w:highlight w:val="none"/>
              </w:rPr>
              <w:t>分。人为损坏或丢失维修工具的每次扣</w:t>
            </w:r>
            <w:r>
              <w:rPr>
                <w:rFonts w:ascii="宋体" w:hAnsi="宋体"/>
                <w:color w:val="auto"/>
                <w:sz w:val="18"/>
                <w:szCs w:val="18"/>
                <w:highlight w:val="none"/>
              </w:rPr>
              <w:t>0.5-1</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60ADFF2D">
            <w:pPr>
              <w:spacing w:line="260" w:lineRule="exact"/>
              <w:jc w:val="center"/>
              <w:rPr>
                <w:rFonts w:ascii="宋体"/>
                <w:color w:val="auto"/>
                <w:sz w:val="18"/>
                <w:szCs w:val="18"/>
                <w:highlight w:val="none"/>
              </w:rPr>
            </w:pPr>
          </w:p>
        </w:tc>
      </w:tr>
      <w:tr w14:paraId="6EB4525D">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2FDE60EB">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C7231BF">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150" w:type="dxa"/>
            <w:tcBorders>
              <w:top w:val="single" w:color="auto" w:sz="4" w:space="0"/>
              <w:left w:val="nil"/>
              <w:bottom w:val="single" w:color="auto" w:sz="4" w:space="0"/>
              <w:right w:val="single" w:color="auto" w:sz="4" w:space="0"/>
            </w:tcBorders>
            <w:noWrap w:val="0"/>
            <w:vAlign w:val="center"/>
          </w:tcPr>
          <w:p w14:paraId="6CB2FC2D">
            <w:pPr>
              <w:spacing w:line="260" w:lineRule="exact"/>
              <w:jc w:val="left"/>
              <w:rPr>
                <w:rFonts w:ascii="宋体"/>
                <w:color w:val="auto"/>
                <w:sz w:val="18"/>
                <w:szCs w:val="18"/>
                <w:highlight w:val="none"/>
              </w:rPr>
            </w:pPr>
            <w:r>
              <w:rPr>
                <w:rFonts w:hint="eastAsia" w:ascii="宋体" w:hAnsi="宋体"/>
                <w:color w:val="auto"/>
                <w:sz w:val="18"/>
                <w:szCs w:val="18"/>
                <w:highlight w:val="none"/>
              </w:rPr>
              <w:t>作业车辆按时年检，保持车况良好，车内干净整洁。每月对各车辆做一次全面安全卫生检查。驾驶员持证上岗，按规范操作</w:t>
            </w:r>
            <w:r>
              <w:rPr>
                <w:rFonts w:hint="eastAsia" w:ascii="宋体" w:hAnsi="宋体"/>
                <w:color w:val="auto"/>
                <w:sz w:val="18"/>
                <w:szCs w:val="18"/>
                <w:highlight w:val="none"/>
                <w:lang w:val="en-US" w:eastAsia="zh-CN"/>
              </w:rPr>
              <w:t>行驶</w:t>
            </w:r>
            <w:r>
              <w:rPr>
                <w:rFonts w:hint="eastAsia" w:ascii="宋体" w:hAnsi="宋体"/>
                <w:color w:val="auto"/>
                <w:sz w:val="18"/>
                <w:szCs w:val="18"/>
                <w:highlight w:val="none"/>
              </w:rPr>
              <w:t>，不得疲劳、酒后驾驶。</w:t>
            </w:r>
          </w:p>
        </w:tc>
        <w:tc>
          <w:tcPr>
            <w:tcW w:w="525" w:type="dxa"/>
            <w:tcBorders>
              <w:top w:val="single" w:color="auto" w:sz="4" w:space="0"/>
              <w:left w:val="nil"/>
              <w:bottom w:val="single" w:color="auto" w:sz="4" w:space="0"/>
              <w:right w:val="single" w:color="auto" w:sz="4" w:space="0"/>
            </w:tcBorders>
            <w:noWrap w:val="0"/>
            <w:vAlign w:val="center"/>
          </w:tcPr>
          <w:p w14:paraId="59D5524E">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78FC612B">
            <w:pPr>
              <w:spacing w:before="100" w:beforeAutospacing="1" w:line="260" w:lineRule="exact"/>
              <w:rPr>
                <w:rFonts w:ascii="宋体"/>
                <w:color w:val="auto"/>
                <w:sz w:val="18"/>
                <w:szCs w:val="18"/>
                <w:highlight w:val="none"/>
              </w:rPr>
            </w:pPr>
            <w:r>
              <w:rPr>
                <w:rFonts w:hint="eastAsia" w:ascii="宋体" w:hAnsi="宋体"/>
                <w:color w:val="auto"/>
                <w:sz w:val="18"/>
                <w:szCs w:val="18"/>
                <w:highlight w:val="none"/>
              </w:rPr>
              <w:t>不按时年检或影响生产用车的每次扣</w:t>
            </w:r>
            <w:r>
              <w:rPr>
                <w:rFonts w:ascii="宋体" w:hAnsi="宋体"/>
                <w:color w:val="auto"/>
                <w:sz w:val="18"/>
                <w:szCs w:val="18"/>
                <w:highlight w:val="none"/>
              </w:rPr>
              <w:t>1</w:t>
            </w:r>
            <w:r>
              <w:rPr>
                <w:rFonts w:hint="eastAsia" w:ascii="宋体" w:hAnsi="宋体"/>
                <w:color w:val="auto"/>
                <w:sz w:val="18"/>
                <w:szCs w:val="18"/>
                <w:highlight w:val="none"/>
              </w:rPr>
              <w:t>分。不及时清扫工作车辆的每次扣</w:t>
            </w:r>
            <w:r>
              <w:rPr>
                <w:rFonts w:ascii="宋体" w:hAnsi="宋体"/>
                <w:color w:val="auto"/>
                <w:sz w:val="18"/>
                <w:szCs w:val="18"/>
                <w:highlight w:val="none"/>
              </w:rPr>
              <w:t>0.2-0.5</w:t>
            </w:r>
            <w:r>
              <w:rPr>
                <w:rFonts w:hint="eastAsia" w:ascii="宋体" w:hAnsi="宋体"/>
                <w:color w:val="auto"/>
                <w:sz w:val="18"/>
                <w:szCs w:val="18"/>
                <w:highlight w:val="none"/>
              </w:rPr>
              <w:t>分。没有进行安全卫生检查的每次扣</w:t>
            </w:r>
            <w:r>
              <w:rPr>
                <w:rFonts w:ascii="宋体" w:hAnsi="宋体"/>
                <w:color w:val="auto"/>
                <w:sz w:val="18"/>
                <w:szCs w:val="18"/>
                <w:highlight w:val="none"/>
              </w:rPr>
              <w:t>1</w:t>
            </w:r>
            <w:r>
              <w:rPr>
                <w:rFonts w:hint="eastAsia" w:ascii="宋体" w:hAnsi="宋体"/>
                <w:color w:val="auto"/>
                <w:sz w:val="18"/>
                <w:szCs w:val="18"/>
                <w:highlight w:val="none"/>
              </w:rPr>
              <w:t>分。驾驶员违规操作行</w:t>
            </w:r>
            <w:r>
              <w:rPr>
                <w:rFonts w:hint="eastAsia" w:ascii="宋体" w:hAnsi="宋体"/>
                <w:color w:val="auto"/>
                <w:sz w:val="18"/>
                <w:szCs w:val="18"/>
                <w:highlight w:val="none"/>
                <w:lang w:val="en-US" w:eastAsia="zh-CN"/>
              </w:rPr>
              <w:t>驶</w:t>
            </w:r>
            <w:r>
              <w:rPr>
                <w:rFonts w:hint="eastAsia" w:ascii="宋体" w:hAnsi="宋体"/>
                <w:color w:val="auto"/>
                <w:sz w:val="18"/>
                <w:szCs w:val="18"/>
                <w:highlight w:val="none"/>
              </w:rPr>
              <w:t>的，每次扣</w:t>
            </w:r>
            <w:r>
              <w:rPr>
                <w:rFonts w:ascii="宋体" w:hAnsi="宋体"/>
                <w:color w:val="auto"/>
                <w:sz w:val="18"/>
                <w:szCs w:val="18"/>
                <w:highlight w:val="none"/>
              </w:rPr>
              <w:t>1</w:t>
            </w:r>
            <w:r>
              <w:rPr>
                <w:rFonts w:hint="eastAsia" w:ascii="宋体" w:hAnsi="宋体"/>
                <w:color w:val="auto"/>
                <w:sz w:val="18"/>
                <w:szCs w:val="18"/>
                <w:highlight w:val="none"/>
              </w:rPr>
              <w:t>分；疲劳、酒后驾驶的，每次扣</w:t>
            </w:r>
            <w:r>
              <w:rPr>
                <w:rFonts w:ascii="宋体" w:hAnsi="宋体"/>
                <w:color w:val="auto"/>
                <w:sz w:val="18"/>
                <w:szCs w:val="18"/>
                <w:highlight w:val="none"/>
              </w:rPr>
              <w:t>1</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2E0D73BF">
            <w:pPr>
              <w:spacing w:line="260" w:lineRule="exact"/>
              <w:jc w:val="center"/>
              <w:rPr>
                <w:rFonts w:ascii="宋体"/>
                <w:color w:val="auto"/>
                <w:sz w:val="18"/>
                <w:szCs w:val="18"/>
                <w:highlight w:val="none"/>
              </w:rPr>
            </w:pPr>
          </w:p>
        </w:tc>
      </w:tr>
      <w:tr w14:paraId="459B88A9">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100B89B8">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2C9B129">
            <w:pPr>
              <w:spacing w:line="260" w:lineRule="exact"/>
              <w:jc w:val="center"/>
              <w:rPr>
                <w:rFonts w:ascii="宋体"/>
                <w:color w:val="auto"/>
                <w:sz w:val="18"/>
                <w:szCs w:val="18"/>
                <w:highlight w:val="none"/>
              </w:rPr>
            </w:pPr>
            <w:r>
              <w:rPr>
                <w:rFonts w:ascii="宋体" w:hAnsi="宋体"/>
                <w:color w:val="auto"/>
                <w:sz w:val="18"/>
                <w:szCs w:val="18"/>
                <w:highlight w:val="none"/>
              </w:rPr>
              <w:t>5</w:t>
            </w:r>
          </w:p>
        </w:tc>
        <w:tc>
          <w:tcPr>
            <w:tcW w:w="3150" w:type="dxa"/>
            <w:tcBorders>
              <w:top w:val="single" w:color="auto" w:sz="4" w:space="0"/>
              <w:left w:val="nil"/>
              <w:bottom w:val="single" w:color="auto" w:sz="4" w:space="0"/>
              <w:right w:val="single" w:color="auto" w:sz="4" w:space="0"/>
            </w:tcBorders>
            <w:noWrap w:val="0"/>
            <w:vAlign w:val="center"/>
          </w:tcPr>
          <w:p w14:paraId="1725D001">
            <w:pPr>
              <w:spacing w:line="260" w:lineRule="exact"/>
              <w:jc w:val="left"/>
              <w:rPr>
                <w:rFonts w:ascii="宋体"/>
                <w:color w:val="auto"/>
                <w:sz w:val="18"/>
                <w:szCs w:val="18"/>
                <w:highlight w:val="none"/>
              </w:rPr>
            </w:pPr>
            <w:r>
              <w:rPr>
                <w:rFonts w:hint="eastAsia" w:hAnsi="宋体"/>
                <w:color w:val="auto"/>
                <w:sz w:val="18"/>
                <w:szCs w:val="18"/>
                <w:highlight w:val="none"/>
              </w:rPr>
              <w:t>进行喷药、裁枝等对游人游园环境影响较大的工作需提前贴出告示及温馨提示。</w:t>
            </w:r>
            <w:r>
              <w:rPr>
                <w:rFonts w:hint="eastAsia" w:ascii="宋体" w:hAnsi="宋体"/>
                <w:color w:val="auto"/>
                <w:sz w:val="18"/>
                <w:szCs w:val="18"/>
                <w:highlight w:val="none"/>
              </w:rPr>
              <w:t>高空作业或钩除大树枯枝黄叶时，佩戴安全帽。喷农药时，佩戴口罩。设立安全警示牌。</w:t>
            </w:r>
          </w:p>
        </w:tc>
        <w:tc>
          <w:tcPr>
            <w:tcW w:w="525" w:type="dxa"/>
            <w:tcBorders>
              <w:top w:val="single" w:color="auto" w:sz="4" w:space="0"/>
              <w:left w:val="nil"/>
              <w:bottom w:val="single" w:color="auto" w:sz="4" w:space="0"/>
              <w:right w:val="single" w:color="auto" w:sz="4" w:space="0"/>
            </w:tcBorders>
            <w:noWrap w:val="0"/>
            <w:vAlign w:val="center"/>
          </w:tcPr>
          <w:p w14:paraId="4F4DF401">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990" w:type="dxa"/>
            <w:tcBorders>
              <w:top w:val="single" w:color="auto" w:sz="4" w:space="0"/>
              <w:left w:val="nil"/>
              <w:bottom w:val="single" w:color="auto" w:sz="4" w:space="0"/>
              <w:right w:val="single" w:color="auto" w:sz="4" w:space="0"/>
            </w:tcBorders>
            <w:noWrap w:val="0"/>
            <w:vAlign w:val="center"/>
          </w:tcPr>
          <w:p w14:paraId="6B2DD299">
            <w:pPr>
              <w:spacing w:line="260" w:lineRule="exact"/>
              <w:rPr>
                <w:rFonts w:ascii="宋体"/>
                <w:color w:val="auto"/>
                <w:sz w:val="18"/>
                <w:szCs w:val="18"/>
                <w:highlight w:val="none"/>
              </w:rPr>
            </w:pPr>
            <w:r>
              <w:rPr>
                <w:rFonts w:hint="eastAsia" w:hAnsi="宋体"/>
                <w:color w:val="auto"/>
                <w:sz w:val="18"/>
                <w:szCs w:val="18"/>
                <w:highlight w:val="none"/>
              </w:rPr>
              <w:t>对游人游园环境影响较大的作业时未提前贴出告示及温馨提示的每次扣</w:t>
            </w:r>
            <w:r>
              <w:rPr>
                <w:rFonts w:hAnsi="宋体"/>
                <w:color w:val="auto"/>
                <w:sz w:val="18"/>
                <w:szCs w:val="18"/>
                <w:highlight w:val="none"/>
              </w:rPr>
              <w:t>1</w:t>
            </w:r>
            <w:r>
              <w:rPr>
                <w:rFonts w:hint="eastAsia" w:hAnsi="宋体"/>
                <w:color w:val="auto"/>
                <w:sz w:val="18"/>
                <w:szCs w:val="18"/>
                <w:highlight w:val="none"/>
              </w:rPr>
              <w:t>分。</w:t>
            </w:r>
            <w:r>
              <w:rPr>
                <w:rFonts w:hint="eastAsia" w:ascii="宋体" w:hAnsi="宋体"/>
                <w:color w:val="auto"/>
                <w:sz w:val="18"/>
                <w:szCs w:val="18"/>
                <w:highlight w:val="none"/>
              </w:rPr>
              <w:t>作业时，不按要求佩戴安全帽或口罩或不树立警示牌的每发现</w:t>
            </w:r>
            <w:r>
              <w:rPr>
                <w:rFonts w:ascii="宋体" w:hAnsi="宋体"/>
                <w:color w:val="auto"/>
                <w:sz w:val="18"/>
                <w:szCs w:val="18"/>
                <w:highlight w:val="none"/>
              </w:rPr>
              <w:t>1</w:t>
            </w:r>
            <w:r>
              <w:rPr>
                <w:rFonts w:hint="eastAsia" w:ascii="宋体" w:hAnsi="宋体"/>
                <w:color w:val="auto"/>
                <w:sz w:val="18"/>
                <w:szCs w:val="18"/>
                <w:highlight w:val="none"/>
              </w:rPr>
              <w:t>次扣</w:t>
            </w:r>
            <w:r>
              <w:rPr>
                <w:rFonts w:ascii="宋体" w:hAnsi="宋体"/>
                <w:color w:val="auto"/>
                <w:sz w:val="18"/>
                <w:szCs w:val="18"/>
                <w:highlight w:val="none"/>
              </w:rPr>
              <w:t>1</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此条款扣分值不设上限。</w:t>
            </w:r>
          </w:p>
        </w:tc>
        <w:tc>
          <w:tcPr>
            <w:tcW w:w="1050" w:type="dxa"/>
            <w:tcBorders>
              <w:top w:val="single" w:color="auto" w:sz="4" w:space="0"/>
              <w:left w:val="nil"/>
              <w:bottom w:val="single" w:color="auto" w:sz="4" w:space="0"/>
              <w:right w:val="single" w:color="auto" w:sz="4" w:space="0"/>
            </w:tcBorders>
            <w:noWrap w:val="0"/>
            <w:vAlign w:val="center"/>
          </w:tcPr>
          <w:p w14:paraId="23612ED7">
            <w:pPr>
              <w:spacing w:line="260" w:lineRule="exact"/>
              <w:jc w:val="center"/>
              <w:rPr>
                <w:rFonts w:ascii="宋体"/>
                <w:color w:val="auto"/>
                <w:sz w:val="18"/>
                <w:szCs w:val="18"/>
                <w:highlight w:val="none"/>
              </w:rPr>
            </w:pPr>
          </w:p>
        </w:tc>
      </w:tr>
      <w:tr w14:paraId="02B1E6AF">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3B935D29">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5F07E3A">
            <w:pPr>
              <w:spacing w:line="260" w:lineRule="exact"/>
              <w:jc w:val="center"/>
              <w:rPr>
                <w:rFonts w:ascii="宋体"/>
                <w:color w:val="auto"/>
                <w:sz w:val="18"/>
                <w:szCs w:val="18"/>
                <w:highlight w:val="none"/>
              </w:rPr>
            </w:pPr>
            <w:r>
              <w:rPr>
                <w:rFonts w:ascii="宋体" w:hAnsi="宋体"/>
                <w:color w:val="auto"/>
                <w:sz w:val="18"/>
                <w:szCs w:val="18"/>
                <w:highlight w:val="none"/>
              </w:rPr>
              <w:t>6</w:t>
            </w:r>
          </w:p>
        </w:tc>
        <w:tc>
          <w:tcPr>
            <w:tcW w:w="3150" w:type="dxa"/>
            <w:tcBorders>
              <w:top w:val="single" w:color="auto" w:sz="4" w:space="0"/>
              <w:left w:val="nil"/>
              <w:bottom w:val="single" w:color="auto" w:sz="4" w:space="0"/>
              <w:right w:val="single" w:color="auto" w:sz="4" w:space="0"/>
            </w:tcBorders>
            <w:noWrap w:val="0"/>
            <w:vAlign w:val="center"/>
          </w:tcPr>
          <w:p w14:paraId="7C85FED0">
            <w:pPr>
              <w:spacing w:line="260" w:lineRule="exact"/>
              <w:jc w:val="left"/>
              <w:rPr>
                <w:rFonts w:ascii="宋体"/>
                <w:color w:val="auto"/>
                <w:sz w:val="18"/>
                <w:szCs w:val="18"/>
                <w:highlight w:val="none"/>
              </w:rPr>
            </w:pPr>
            <w:r>
              <w:rPr>
                <w:rFonts w:hint="eastAsia" w:ascii="宋体" w:hAnsi="宋体"/>
                <w:color w:val="auto"/>
                <w:sz w:val="18"/>
                <w:szCs w:val="18"/>
                <w:highlight w:val="none"/>
              </w:rPr>
              <w:t>安全作业。如发现责任地段有安全隐患现象，应立即向班长或管理人员汇报。</w:t>
            </w:r>
          </w:p>
        </w:tc>
        <w:tc>
          <w:tcPr>
            <w:tcW w:w="525" w:type="dxa"/>
            <w:tcBorders>
              <w:top w:val="single" w:color="auto" w:sz="4" w:space="0"/>
              <w:left w:val="nil"/>
              <w:bottom w:val="single" w:color="auto" w:sz="4" w:space="0"/>
              <w:right w:val="single" w:color="auto" w:sz="4" w:space="0"/>
            </w:tcBorders>
            <w:noWrap w:val="0"/>
            <w:vAlign w:val="center"/>
          </w:tcPr>
          <w:p w14:paraId="2303DA8A">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1106455E">
            <w:pPr>
              <w:spacing w:line="260" w:lineRule="exact"/>
              <w:rPr>
                <w:rFonts w:ascii="宋体"/>
                <w:color w:val="auto"/>
                <w:sz w:val="18"/>
                <w:szCs w:val="18"/>
                <w:highlight w:val="none"/>
              </w:rPr>
            </w:pPr>
            <w:r>
              <w:rPr>
                <w:rFonts w:hint="eastAsia" w:ascii="宋体" w:hAnsi="宋体"/>
                <w:color w:val="auto"/>
                <w:sz w:val="18"/>
                <w:szCs w:val="18"/>
                <w:highlight w:val="none"/>
              </w:rPr>
              <w:t>不立即汇报安全隐患情况的扣</w:t>
            </w:r>
            <w:r>
              <w:rPr>
                <w:rFonts w:ascii="宋体" w:hAnsi="宋体"/>
                <w:color w:val="auto"/>
                <w:sz w:val="18"/>
                <w:szCs w:val="18"/>
                <w:highlight w:val="none"/>
              </w:rPr>
              <w:t>1</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6047C363">
            <w:pPr>
              <w:spacing w:line="260" w:lineRule="exact"/>
              <w:jc w:val="center"/>
              <w:rPr>
                <w:rFonts w:ascii="宋体"/>
                <w:color w:val="auto"/>
                <w:sz w:val="18"/>
                <w:szCs w:val="18"/>
                <w:highlight w:val="none"/>
              </w:rPr>
            </w:pPr>
          </w:p>
        </w:tc>
      </w:tr>
      <w:tr w14:paraId="378B40F3">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322BDA09">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2D1B3000">
            <w:pPr>
              <w:spacing w:line="260" w:lineRule="exact"/>
              <w:jc w:val="center"/>
              <w:rPr>
                <w:rFonts w:ascii="宋体"/>
                <w:color w:val="auto"/>
                <w:sz w:val="18"/>
                <w:szCs w:val="18"/>
                <w:highlight w:val="none"/>
              </w:rPr>
            </w:pPr>
            <w:r>
              <w:rPr>
                <w:rFonts w:ascii="宋体" w:hAnsi="宋体"/>
                <w:color w:val="auto"/>
                <w:sz w:val="18"/>
                <w:szCs w:val="18"/>
                <w:highlight w:val="none"/>
              </w:rPr>
              <w:t>7</w:t>
            </w:r>
          </w:p>
        </w:tc>
        <w:tc>
          <w:tcPr>
            <w:tcW w:w="3150" w:type="dxa"/>
            <w:tcBorders>
              <w:top w:val="single" w:color="auto" w:sz="4" w:space="0"/>
              <w:left w:val="nil"/>
              <w:bottom w:val="single" w:color="auto" w:sz="4" w:space="0"/>
              <w:right w:val="single" w:color="auto" w:sz="4" w:space="0"/>
            </w:tcBorders>
            <w:noWrap w:val="0"/>
            <w:vAlign w:val="center"/>
          </w:tcPr>
          <w:p w14:paraId="58A6673F">
            <w:pPr>
              <w:spacing w:line="260" w:lineRule="exact"/>
              <w:jc w:val="left"/>
              <w:rPr>
                <w:rFonts w:ascii="宋体"/>
                <w:color w:val="auto"/>
                <w:sz w:val="18"/>
                <w:szCs w:val="18"/>
                <w:highlight w:val="none"/>
              </w:rPr>
            </w:pPr>
            <w:r>
              <w:rPr>
                <w:rFonts w:hint="eastAsia" w:ascii="宋体" w:hAnsi="宋体"/>
                <w:color w:val="auto"/>
                <w:sz w:val="18"/>
                <w:szCs w:val="18"/>
                <w:highlight w:val="none"/>
              </w:rPr>
              <w:t>工具房内规范用电，劳动工具应整齐摆放在指定地点，存放工具处整洁、干净，无乱堆杂物，非工作状态时工具不出现在游客视线范围内，工具房外不得晾晒衣物。</w:t>
            </w:r>
          </w:p>
        </w:tc>
        <w:tc>
          <w:tcPr>
            <w:tcW w:w="525" w:type="dxa"/>
            <w:tcBorders>
              <w:top w:val="single" w:color="auto" w:sz="4" w:space="0"/>
              <w:left w:val="nil"/>
              <w:bottom w:val="single" w:color="auto" w:sz="4" w:space="0"/>
              <w:right w:val="single" w:color="auto" w:sz="4" w:space="0"/>
            </w:tcBorders>
            <w:noWrap w:val="0"/>
            <w:vAlign w:val="center"/>
          </w:tcPr>
          <w:p w14:paraId="2E96D89C">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6CF51A42">
            <w:pPr>
              <w:spacing w:line="260" w:lineRule="exact"/>
              <w:rPr>
                <w:rFonts w:ascii="宋体"/>
                <w:color w:val="auto"/>
                <w:sz w:val="18"/>
                <w:szCs w:val="18"/>
                <w:highlight w:val="none"/>
              </w:rPr>
            </w:pPr>
            <w:r>
              <w:rPr>
                <w:rFonts w:hint="eastAsia" w:ascii="宋体" w:hAnsi="宋体"/>
                <w:color w:val="auto"/>
                <w:sz w:val="18"/>
                <w:szCs w:val="18"/>
                <w:highlight w:val="none"/>
              </w:rPr>
              <w:t>违规用电、超负荷用电导致线路故障的，每次扣</w:t>
            </w:r>
            <w:r>
              <w:rPr>
                <w:rFonts w:ascii="宋体" w:hAnsi="宋体"/>
                <w:color w:val="auto"/>
                <w:sz w:val="18"/>
                <w:szCs w:val="18"/>
                <w:highlight w:val="none"/>
              </w:rPr>
              <w:t>2</w:t>
            </w:r>
            <w:r>
              <w:rPr>
                <w:rFonts w:hint="eastAsia" w:ascii="宋体" w:hAnsi="宋体"/>
                <w:color w:val="auto"/>
                <w:sz w:val="18"/>
                <w:szCs w:val="18"/>
                <w:highlight w:val="none"/>
              </w:rPr>
              <w:t>分；工具房杂乱、工具乱丢乱放的，每处扣</w:t>
            </w:r>
            <w:r>
              <w:rPr>
                <w:rFonts w:ascii="宋体" w:hAnsi="宋体"/>
                <w:color w:val="auto"/>
                <w:sz w:val="18"/>
                <w:szCs w:val="18"/>
                <w:highlight w:val="none"/>
              </w:rPr>
              <w:t>0.2-0.5</w:t>
            </w:r>
            <w:r>
              <w:rPr>
                <w:rFonts w:hint="eastAsia" w:ascii="宋体" w:hAnsi="宋体"/>
                <w:color w:val="auto"/>
                <w:sz w:val="18"/>
                <w:szCs w:val="18"/>
                <w:highlight w:val="none"/>
              </w:rPr>
              <w:t>分。非工作状态时工具出现在游客视线范围内的，每次扣</w:t>
            </w:r>
            <w:r>
              <w:rPr>
                <w:rFonts w:ascii="宋体" w:hAnsi="宋体"/>
                <w:color w:val="auto"/>
                <w:sz w:val="18"/>
                <w:szCs w:val="18"/>
                <w:highlight w:val="none"/>
              </w:rPr>
              <w:t>0.2-0.5</w:t>
            </w:r>
            <w:r>
              <w:rPr>
                <w:rFonts w:hint="eastAsia" w:ascii="宋体" w:hAnsi="宋体"/>
                <w:color w:val="auto"/>
                <w:sz w:val="18"/>
                <w:szCs w:val="18"/>
                <w:highlight w:val="none"/>
              </w:rPr>
              <w:t>分；工具房外晾晒衣物的，每次扣</w:t>
            </w:r>
            <w:r>
              <w:rPr>
                <w:rFonts w:ascii="宋体" w:hAnsi="宋体"/>
                <w:color w:val="auto"/>
                <w:sz w:val="18"/>
                <w:szCs w:val="18"/>
                <w:highlight w:val="none"/>
              </w:rPr>
              <w:t>1</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681C2BBC">
            <w:pPr>
              <w:spacing w:line="260" w:lineRule="exact"/>
              <w:jc w:val="center"/>
              <w:rPr>
                <w:rFonts w:ascii="宋体"/>
                <w:color w:val="auto"/>
                <w:sz w:val="18"/>
                <w:szCs w:val="18"/>
                <w:highlight w:val="none"/>
              </w:rPr>
            </w:pPr>
          </w:p>
        </w:tc>
      </w:tr>
      <w:tr w14:paraId="11EE802A">
        <w:tblPrEx>
          <w:tblCellMar>
            <w:top w:w="0" w:type="dxa"/>
            <w:left w:w="108" w:type="dxa"/>
            <w:bottom w:w="0" w:type="dxa"/>
            <w:right w:w="108" w:type="dxa"/>
          </w:tblCellMar>
        </w:tblPrEx>
        <w:trPr>
          <w:cantSplit/>
        </w:trPr>
        <w:tc>
          <w:tcPr>
            <w:tcW w:w="420" w:type="dxa"/>
            <w:vMerge w:val="restart"/>
            <w:tcBorders>
              <w:top w:val="nil"/>
              <w:left w:val="single" w:color="auto" w:sz="4" w:space="0"/>
              <w:bottom w:val="single" w:color="auto" w:sz="4" w:space="0"/>
              <w:right w:val="single" w:color="auto" w:sz="4" w:space="0"/>
            </w:tcBorders>
            <w:noWrap w:val="0"/>
            <w:vAlign w:val="center"/>
          </w:tcPr>
          <w:p w14:paraId="411B0571">
            <w:pPr>
              <w:spacing w:line="260" w:lineRule="exact"/>
              <w:jc w:val="center"/>
              <w:rPr>
                <w:rFonts w:ascii="宋体"/>
                <w:color w:val="auto"/>
                <w:sz w:val="18"/>
                <w:szCs w:val="18"/>
                <w:highlight w:val="none"/>
              </w:rPr>
            </w:pPr>
          </w:p>
          <w:p w14:paraId="5675EB18">
            <w:pPr>
              <w:spacing w:line="260" w:lineRule="exact"/>
              <w:jc w:val="center"/>
              <w:rPr>
                <w:rFonts w:ascii="宋体"/>
                <w:color w:val="auto"/>
                <w:sz w:val="18"/>
                <w:szCs w:val="18"/>
                <w:highlight w:val="none"/>
              </w:rPr>
            </w:pPr>
            <w:r>
              <w:rPr>
                <w:rFonts w:hint="eastAsia" w:ascii="宋体" w:hAnsi="宋体"/>
                <w:color w:val="auto"/>
                <w:sz w:val="18"/>
                <w:szCs w:val="18"/>
                <w:highlight w:val="none"/>
              </w:rPr>
              <w:t>其</w:t>
            </w:r>
          </w:p>
          <w:p w14:paraId="41F3CEF8">
            <w:pPr>
              <w:spacing w:line="260" w:lineRule="exact"/>
              <w:jc w:val="center"/>
              <w:rPr>
                <w:rFonts w:ascii="宋体"/>
                <w:color w:val="auto"/>
                <w:sz w:val="18"/>
                <w:szCs w:val="18"/>
                <w:highlight w:val="none"/>
              </w:rPr>
            </w:pPr>
          </w:p>
          <w:p w14:paraId="1D9ACE02">
            <w:pPr>
              <w:spacing w:line="260" w:lineRule="exact"/>
              <w:jc w:val="center"/>
              <w:rPr>
                <w:rFonts w:ascii="宋体"/>
                <w:color w:val="auto"/>
                <w:sz w:val="18"/>
                <w:szCs w:val="18"/>
                <w:highlight w:val="none"/>
              </w:rPr>
            </w:pPr>
            <w:r>
              <w:rPr>
                <w:rFonts w:hint="eastAsia" w:ascii="宋体" w:hAnsi="宋体"/>
                <w:color w:val="auto"/>
                <w:sz w:val="18"/>
                <w:szCs w:val="18"/>
                <w:highlight w:val="none"/>
              </w:rPr>
              <w:t>他</w:t>
            </w:r>
          </w:p>
        </w:tc>
        <w:tc>
          <w:tcPr>
            <w:tcW w:w="420" w:type="dxa"/>
            <w:tcBorders>
              <w:top w:val="single" w:color="auto" w:sz="4" w:space="0"/>
              <w:left w:val="nil"/>
              <w:bottom w:val="single" w:color="auto" w:sz="4" w:space="0"/>
              <w:right w:val="single" w:color="auto" w:sz="4" w:space="0"/>
            </w:tcBorders>
            <w:noWrap w:val="0"/>
            <w:vAlign w:val="center"/>
          </w:tcPr>
          <w:p w14:paraId="3C4A4083">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150" w:type="dxa"/>
            <w:tcBorders>
              <w:top w:val="single" w:color="auto" w:sz="4" w:space="0"/>
              <w:left w:val="nil"/>
              <w:bottom w:val="single" w:color="auto" w:sz="4" w:space="0"/>
              <w:right w:val="single" w:color="auto" w:sz="4" w:space="0"/>
            </w:tcBorders>
            <w:noWrap w:val="0"/>
            <w:vAlign w:val="center"/>
          </w:tcPr>
          <w:p w14:paraId="550A5679">
            <w:pPr>
              <w:spacing w:line="260" w:lineRule="exact"/>
              <w:jc w:val="left"/>
              <w:rPr>
                <w:rFonts w:ascii="宋体"/>
                <w:color w:val="auto"/>
                <w:sz w:val="18"/>
                <w:szCs w:val="18"/>
                <w:highlight w:val="none"/>
              </w:rPr>
            </w:pPr>
            <w:r>
              <w:rPr>
                <w:rFonts w:hint="eastAsia" w:ascii="宋体" w:hAnsi="宋体"/>
                <w:color w:val="auto"/>
                <w:sz w:val="18"/>
                <w:szCs w:val="18"/>
                <w:highlight w:val="none"/>
              </w:rPr>
              <w:t>安装指纹打卡机，进行指纹考勤，每月报送一次考勤记录。养护人员统一穿着工作服装，统一佩戴工号或工作牌，不得随意空岗、串岗，并做好各项有关物业管理的台账</w:t>
            </w:r>
            <w:r>
              <w:rPr>
                <w:rFonts w:ascii="宋体" w:hAnsi="宋体"/>
                <w:color w:val="auto"/>
                <w:sz w:val="18"/>
                <w:szCs w:val="18"/>
                <w:highlight w:val="none"/>
              </w:rPr>
              <w:t>(</w:t>
            </w:r>
            <w:r>
              <w:rPr>
                <w:rFonts w:hint="eastAsia" w:ascii="宋体" w:hAnsi="宋体"/>
                <w:color w:val="auto"/>
                <w:sz w:val="18"/>
                <w:szCs w:val="18"/>
                <w:highlight w:val="none"/>
              </w:rPr>
              <w:t>如：规章制度、人员配置、考勤管理等</w:t>
            </w:r>
            <w:r>
              <w:rPr>
                <w:rFonts w:ascii="宋体" w:hAnsi="宋体"/>
                <w:color w:val="auto"/>
                <w:sz w:val="18"/>
                <w:szCs w:val="18"/>
                <w:highlight w:val="none"/>
              </w:rPr>
              <w:t>)</w:t>
            </w:r>
            <w:r>
              <w:rPr>
                <w:rFonts w:hint="eastAsia" w:ascii="宋体" w:hAnsi="宋体"/>
                <w:color w:val="auto"/>
                <w:sz w:val="18"/>
                <w:szCs w:val="18"/>
                <w:highlight w:val="none"/>
              </w:rPr>
              <w:t>。</w:t>
            </w:r>
          </w:p>
        </w:tc>
        <w:tc>
          <w:tcPr>
            <w:tcW w:w="525" w:type="dxa"/>
            <w:tcBorders>
              <w:top w:val="single" w:color="auto" w:sz="4" w:space="0"/>
              <w:left w:val="nil"/>
              <w:bottom w:val="single" w:color="auto" w:sz="4" w:space="0"/>
              <w:right w:val="single" w:color="auto" w:sz="4" w:space="0"/>
            </w:tcBorders>
            <w:noWrap w:val="0"/>
            <w:vAlign w:val="center"/>
          </w:tcPr>
          <w:p w14:paraId="5E6E9917">
            <w:pPr>
              <w:spacing w:line="260" w:lineRule="exact"/>
              <w:jc w:val="center"/>
              <w:rPr>
                <w:rFonts w:ascii="宋体"/>
                <w:color w:val="auto"/>
                <w:sz w:val="18"/>
                <w:szCs w:val="18"/>
                <w:highlight w:val="none"/>
              </w:rPr>
            </w:pPr>
            <w:r>
              <w:rPr>
                <w:rFonts w:ascii="宋体" w:hAnsi="宋体"/>
                <w:color w:val="auto"/>
                <w:sz w:val="18"/>
                <w:szCs w:val="18"/>
                <w:highlight w:val="none"/>
              </w:rPr>
              <w:t>5</w:t>
            </w:r>
          </w:p>
        </w:tc>
        <w:tc>
          <w:tcPr>
            <w:tcW w:w="3990" w:type="dxa"/>
            <w:tcBorders>
              <w:top w:val="single" w:color="auto" w:sz="4" w:space="0"/>
              <w:left w:val="nil"/>
              <w:bottom w:val="single" w:color="auto" w:sz="4" w:space="0"/>
              <w:right w:val="single" w:color="auto" w:sz="4" w:space="0"/>
            </w:tcBorders>
            <w:noWrap w:val="0"/>
            <w:vAlign w:val="center"/>
          </w:tcPr>
          <w:p w14:paraId="5000642F">
            <w:pPr>
              <w:spacing w:line="260" w:lineRule="exact"/>
              <w:rPr>
                <w:rFonts w:ascii="宋体"/>
                <w:color w:val="auto"/>
                <w:sz w:val="18"/>
                <w:szCs w:val="18"/>
                <w:highlight w:val="none"/>
              </w:rPr>
            </w:pPr>
            <w:r>
              <w:rPr>
                <w:rFonts w:hint="eastAsia" w:ascii="宋体" w:hAnsi="宋体"/>
                <w:color w:val="auto"/>
                <w:sz w:val="18"/>
                <w:szCs w:val="18"/>
                <w:highlight w:val="none"/>
              </w:rPr>
              <w:t>不将打卡机的考勤记录按时报送的，每次扣</w:t>
            </w:r>
            <w:r>
              <w:rPr>
                <w:rFonts w:ascii="宋体" w:hAnsi="宋体"/>
                <w:color w:val="auto"/>
                <w:sz w:val="18"/>
                <w:szCs w:val="18"/>
                <w:highlight w:val="none"/>
              </w:rPr>
              <w:t>0.1-0.3</w:t>
            </w:r>
            <w:r>
              <w:rPr>
                <w:rFonts w:hint="eastAsia" w:ascii="宋体" w:hAnsi="宋体"/>
                <w:color w:val="auto"/>
                <w:sz w:val="18"/>
                <w:szCs w:val="18"/>
                <w:highlight w:val="none"/>
              </w:rPr>
              <w:t>分；不穿工作服装、不佩戴工号或工作牌的，每人每次各扣</w:t>
            </w:r>
            <w:r>
              <w:rPr>
                <w:rFonts w:ascii="宋体" w:hAnsi="宋体"/>
                <w:color w:val="auto"/>
                <w:sz w:val="18"/>
                <w:szCs w:val="18"/>
                <w:highlight w:val="none"/>
              </w:rPr>
              <w:t>0.5</w:t>
            </w:r>
            <w:r>
              <w:rPr>
                <w:rFonts w:hint="eastAsia" w:ascii="宋体" w:hAnsi="宋体"/>
                <w:color w:val="auto"/>
                <w:sz w:val="18"/>
                <w:szCs w:val="18"/>
                <w:highlight w:val="none"/>
              </w:rPr>
              <w:t>分；例行检查时无故缺岗（</w:t>
            </w:r>
            <w:r>
              <w:rPr>
                <w:rFonts w:ascii="宋体" w:hAnsi="宋体"/>
                <w:color w:val="auto"/>
                <w:sz w:val="18"/>
                <w:szCs w:val="18"/>
                <w:highlight w:val="none"/>
              </w:rPr>
              <w:t>15—30</w:t>
            </w:r>
            <w:r>
              <w:rPr>
                <w:rFonts w:hint="eastAsia" w:ascii="宋体" w:hAnsi="宋体"/>
                <w:color w:val="auto"/>
                <w:sz w:val="18"/>
                <w:szCs w:val="18"/>
                <w:highlight w:val="none"/>
              </w:rPr>
              <w:t>分钟内），每次扣</w:t>
            </w:r>
            <w:r>
              <w:rPr>
                <w:rFonts w:ascii="宋体" w:hAnsi="宋体"/>
                <w:color w:val="auto"/>
                <w:sz w:val="18"/>
                <w:szCs w:val="18"/>
                <w:highlight w:val="none"/>
              </w:rPr>
              <w:t>0.5</w:t>
            </w:r>
            <w:r>
              <w:rPr>
                <w:rFonts w:hint="eastAsia" w:ascii="宋体" w:hAnsi="宋体"/>
                <w:color w:val="auto"/>
                <w:sz w:val="18"/>
                <w:szCs w:val="18"/>
                <w:highlight w:val="none"/>
              </w:rPr>
              <w:t>分；</w:t>
            </w:r>
            <w:r>
              <w:rPr>
                <w:rFonts w:ascii="宋体" w:hAnsi="宋体"/>
                <w:color w:val="auto"/>
                <w:sz w:val="18"/>
                <w:szCs w:val="18"/>
                <w:highlight w:val="none"/>
              </w:rPr>
              <w:t>30</w:t>
            </w:r>
            <w:r>
              <w:rPr>
                <w:rFonts w:hint="eastAsia" w:ascii="宋体" w:hAnsi="宋体"/>
                <w:color w:val="auto"/>
                <w:sz w:val="18"/>
                <w:szCs w:val="18"/>
                <w:highlight w:val="none"/>
              </w:rPr>
              <w:t>分钟以上，每次扣</w:t>
            </w:r>
            <w:r>
              <w:rPr>
                <w:rFonts w:ascii="宋体" w:hAnsi="宋体"/>
                <w:color w:val="auto"/>
                <w:sz w:val="18"/>
                <w:szCs w:val="18"/>
                <w:highlight w:val="none"/>
              </w:rPr>
              <w:t>1</w:t>
            </w:r>
            <w:r>
              <w:rPr>
                <w:rFonts w:hint="eastAsia" w:ascii="宋体" w:hAnsi="宋体"/>
                <w:color w:val="auto"/>
                <w:sz w:val="18"/>
                <w:szCs w:val="18"/>
                <w:highlight w:val="none"/>
              </w:rPr>
              <w:t>分；不得以任何理由与游客发生争执，发现一次扣</w:t>
            </w:r>
            <w:r>
              <w:rPr>
                <w:rFonts w:ascii="宋体" w:hAnsi="宋体"/>
                <w:color w:val="auto"/>
                <w:sz w:val="18"/>
                <w:szCs w:val="18"/>
                <w:highlight w:val="none"/>
              </w:rPr>
              <w:t>1</w:t>
            </w:r>
            <w:r>
              <w:rPr>
                <w:rFonts w:hint="eastAsia" w:ascii="宋体" w:hAnsi="宋体"/>
                <w:color w:val="auto"/>
                <w:sz w:val="18"/>
                <w:szCs w:val="18"/>
                <w:highlight w:val="none"/>
              </w:rPr>
              <w:t>分；上班时间不得做与工作无关的事情，发现一次每次扣</w:t>
            </w:r>
            <w:r>
              <w:rPr>
                <w:rFonts w:ascii="宋体" w:hAnsi="宋体"/>
                <w:color w:val="auto"/>
                <w:sz w:val="18"/>
                <w:szCs w:val="18"/>
                <w:highlight w:val="none"/>
              </w:rPr>
              <w:t>0.5</w:t>
            </w:r>
            <w:r>
              <w:rPr>
                <w:rFonts w:hint="eastAsia" w:ascii="宋体" w:hAnsi="宋体"/>
                <w:color w:val="auto"/>
                <w:sz w:val="18"/>
                <w:szCs w:val="18"/>
                <w:highlight w:val="none"/>
              </w:rPr>
              <w:t>分；不服从工作安排的每次扣</w:t>
            </w:r>
            <w:r>
              <w:rPr>
                <w:rFonts w:ascii="宋体" w:hAnsi="宋体"/>
                <w:color w:val="auto"/>
                <w:sz w:val="18"/>
                <w:szCs w:val="18"/>
                <w:highlight w:val="none"/>
              </w:rPr>
              <w:t>2</w:t>
            </w:r>
            <w:r>
              <w:rPr>
                <w:rFonts w:hint="eastAsia" w:ascii="宋体" w:hAnsi="宋体"/>
                <w:color w:val="auto"/>
                <w:sz w:val="18"/>
                <w:szCs w:val="18"/>
                <w:highlight w:val="none"/>
              </w:rPr>
              <w:t>分；无故不落实管理员安排的任务每次各扣</w:t>
            </w:r>
            <w:r>
              <w:rPr>
                <w:rFonts w:ascii="宋体" w:hAnsi="宋体"/>
                <w:color w:val="auto"/>
                <w:sz w:val="18"/>
                <w:szCs w:val="18"/>
                <w:highlight w:val="none"/>
              </w:rPr>
              <w:t>1</w:t>
            </w:r>
            <w:r>
              <w:rPr>
                <w:rFonts w:hint="eastAsia" w:ascii="宋体" w:hAnsi="宋体"/>
                <w:color w:val="auto"/>
                <w:sz w:val="18"/>
                <w:szCs w:val="18"/>
                <w:highlight w:val="none"/>
              </w:rPr>
              <w:t>分；每次检查发现台账不完善的，扣</w:t>
            </w:r>
            <w:r>
              <w:rPr>
                <w:rFonts w:ascii="宋体" w:hAnsi="宋体"/>
                <w:color w:val="auto"/>
                <w:sz w:val="18"/>
                <w:szCs w:val="18"/>
                <w:highlight w:val="none"/>
              </w:rPr>
              <w:t>0.5</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以上扣分值不设上限。</w:t>
            </w:r>
          </w:p>
        </w:tc>
        <w:tc>
          <w:tcPr>
            <w:tcW w:w="1050" w:type="dxa"/>
            <w:tcBorders>
              <w:top w:val="single" w:color="auto" w:sz="4" w:space="0"/>
              <w:left w:val="nil"/>
              <w:bottom w:val="single" w:color="auto" w:sz="4" w:space="0"/>
              <w:right w:val="single" w:color="auto" w:sz="4" w:space="0"/>
            </w:tcBorders>
            <w:noWrap w:val="0"/>
            <w:vAlign w:val="center"/>
          </w:tcPr>
          <w:p w14:paraId="6FA72C92">
            <w:pPr>
              <w:spacing w:line="260" w:lineRule="exact"/>
              <w:jc w:val="center"/>
              <w:rPr>
                <w:rFonts w:ascii="宋体"/>
                <w:color w:val="auto"/>
                <w:sz w:val="18"/>
                <w:szCs w:val="18"/>
                <w:highlight w:val="none"/>
              </w:rPr>
            </w:pPr>
          </w:p>
        </w:tc>
      </w:tr>
      <w:tr w14:paraId="6C356A1D">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0F1E7E34">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751DA62F">
            <w:pPr>
              <w:spacing w:line="260" w:lineRule="exact"/>
              <w:jc w:val="center"/>
              <w:rPr>
                <w:rFonts w:ascii="宋体"/>
                <w:color w:val="auto"/>
                <w:sz w:val="18"/>
                <w:szCs w:val="18"/>
                <w:highlight w:val="none"/>
              </w:rPr>
            </w:pPr>
          </w:p>
          <w:p w14:paraId="26737D2D">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150" w:type="dxa"/>
            <w:tcBorders>
              <w:top w:val="single" w:color="auto" w:sz="4" w:space="0"/>
              <w:left w:val="nil"/>
              <w:bottom w:val="single" w:color="auto" w:sz="4" w:space="0"/>
              <w:right w:val="single" w:color="auto" w:sz="4" w:space="0"/>
            </w:tcBorders>
            <w:noWrap w:val="0"/>
            <w:vAlign w:val="center"/>
          </w:tcPr>
          <w:p w14:paraId="63A01C8D">
            <w:pPr>
              <w:spacing w:line="260" w:lineRule="exact"/>
              <w:jc w:val="left"/>
              <w:rPr>
                <w:rFonts w:ascii="宋体"/>
                <w:color w:val="auto"/>
                <w:sz w:val="18"/>
                <w:szCs w:val="18"/>
                <w:highlight w:val="none"/>
              </w:rPr>
            </w:pPr>
            <w:r>
              <w:rPr>
                <w:rFonts w:hint="eastAsia" w:ascii="宋体" w:hAnsi="宋体"/>
                <w:color w:val="auto"/>
                <w:sz w:val="18"/>
                <w:szCs w:val="18"/>
                <w:highlight w:val="none"/>
              </w:rPr>
              <w:t>保护园林设施的完好，发现破坏绿地的行为要及时制止，发现有外来单位在公园施工要及时上报。</w:t>
            </w:r>
          </w:p>
        </w:tc>
        <w:tc>
          <w:tcPr>
            <w:tcW w:w="525" w:type="dxa"/>
            <w:tcBorders>
              <w:top w:val="single" w:color="auto" w:sz="4" w:space="0"/>
              <w:left w:val="nil"/>
              <w:bottom w:val="single" w:color="auto" w:sz="4" w:space="0"/>
              <w:right w:val="single" w:color="auto" w:sz="4" w:space="0"/>
            </w:tcBorders>
            <w:noWrap w:val="0"/>
            <w:vAlign w:val="center"/>
          </w:tcPr>
          <w:p w14:paraId="551A5CF7">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5C0AF8AD">
            <w:pPr>
              <w:spacing w:line="260" w:lineRule="exact"/>
              <w:rPr>
                <w:rFonts w:ascii="宋体"/>
                <w:color w:val="auto"/>
                <w:sz w:val="18"/>
                <w:szCs w:val="18"/>
                <w:highlight w:val="none"/>
              </w:rPr>
            </w:pPr>
            <w:r>
              <w:rPr>
                <w:rFonts w:hint="eastAsia" w:ascii="宋体" w:hAnsi="宋体"/>
                <w:color w:val="auto"/>
                <w:sz w:val="18"/>
                <w:szCs w:val="18"/>
                <w:highlight w:val="none"/>
              </w:rPr>
              <w:t>发现破坏绿地的行为而不及时制止或发现有外来单位在公园施工要及时上报的每次扣</w:t>
            </w:r>
            <w:r>
              <w:rPr>
                <w:rFonts w:ascii="宋体" w:hAnsi="宋体"/>
                <w:color w:val="auto"/>
                <w:sz w:val="18"/>
                <w:szCs w:val="18"/>
                <w:highlight w:val="none"/>
              </w:rPr>
              <w:t>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0151A768">
            <w:pPr>
              <w:spacing w:line="260" w:lineRule="exact"/>
              <w:jc w:val="center"/>
              <w:rPr>
                <w:rFonts w:ascii="宋体"/>
                <w:color w:val="auto"/>
                <w:sz w:val="18"/>
                <w:szCs w:val="18"/>
                <w:highlight w:val="none"/>
              </w:rPr>
            </w:pPr>
          </w:p>
        </w:tc>
      </w:tr>
      <w:tr w14:paraId="65F31AF9">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4D81B9FA">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0E5D5F6B">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150" w:type="dxa"/>
            <w:tcBorders>
              <w:top w:val="single" w:color="auto" w:sz="4" w:space="0"/>
              <w:left w:val="nil"/>
              <w:bottom w:val="single" w:color="auto" w:sz="4" w:space="0"/>
              <w:right w:val="single" w:color="auto" w:sz="4" w:space="0"/>
            </w:tcBorders>
            <w:noWrap w:val="0"/>
            <w:vAlign w:val="center"/>
          </w:tcPr>
          <w:p w14:paraId="0B27F699">
            <w:pPr>
              <w:spacing w:line="260" w:lineRule="exact"/>
              <w:jc w:val="left"/>
              <w:rPr>
                <w:rFonts w:ascii="宋体"/>
                <w:color w:val="auto"/>
                <w:sz w:val="18"/>
                <w:szCs w:val="18"/>
                <w:highlight w:val="none"/>
              </w:rPr>
            </w:pPr>
            <w:r>
              <w:rPr>
                <w:rFonts w:hint="eastAsia" w:ascii="宋体" w:hAnsi="宋体"/>
                <w:color w:val="auto"/>
                <w:sz w:val="18"/>
                <w:szCs w:val="18"/>
                <w:highlight w:val="none"/>
              </w:rPr>
              <w:t>保持绿地整洁，无乱搭棚和圈占树木现象。发现鼠洞要随时堵塞，无鼠洞和蚊蝇滋生在等。</w:t>
            </w:r>
          </w:p>
        </w:tc>
        <w:tc>
          <w:tcPr>
            <w:tcW w:w="525" w:type="dxa"/>
            <w:tcBorders>
              <w:top w:val="single" w:color="auto" w:sz="4" w:space="0"/>
              <w:left w:val="nil"/>
              <w:bottom w:val="single" w:color="auto" w:sz="4" w:space="0"/>
              <w:right w:val="single" w:color="auto" w:sz="4" w:space="0"/>
            </w:tcBorders>
            <w:noWrap w:val="0"/>
            <w:vAlign w:val="center"/>
          </w:tcPr>
          <w:p w14:paraId="569C3A6E">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990" w:type="dxa"/>
            <w:tcBorders>
              <w:top w:val="single" w:color="auto" w:sz="4" w:space="0"/>
              <w:left w:val="nil"/>
              <w:bottom w:val="single" w:color="auto" w:sz="4" w:space="0"/>
              <w:right w:val="single" w:color="auto" w:sz="4" w:space="0"/>
            </w:tcBorders>
            <w:noWrap w:val="0"/>
            <w:vAlign w:val="center"/>
          </w:tcPr>
          <w:p w14:paraId="6E963E73">
            <w:pPr>
              <w:spacing w:line="260" w:lineRule="exact"/>
              <w:rPr>
                <w:rFonts w:ascii="宋体"/>
                <w:color w:val="auto"/>
                <w:sz w:val="18"/>
                <w:szCs w:val="18"/>
                <w:highlight w:val="none"/>
              </w:rPr>
            </w:pPr>
            <w:r>
              <w:rPr>
                <w:rFonts w:hint="eastAsia" w:ascii="宋体" w:hAnsi="宋体"/>
                <w:color w:val="auto"/>
                <w:sz w:val="18"/>
                <w:szCs w:val="18"/>
                <w:highlight w:val="none"/>
              </w:rPr>
              <w:t>绿地不整洁或不及时堵塞鼠洞的每处扣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593ACDB1">
            <w:pPr>
              <w:spacing w:line="260" w:lineRule="exact"/>
              <w:jc w:val="center"/>
              <w:rPr>
                <w:rFonts w:ascii="宋体"/>
                <w:color w:val="auto"/>
                <w:sz w:val="18"/>
                <w:szCs w:val="18"/>
                <w:highlight w:val="none"/>
              </w:rPr>
            </w:pPr>
          </w:p>
        </w:tc>
      </w:tr>
      <w:tr w14:paraId="3BCD2462">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64766711">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69A9F43F">
            <w:pPr>
              <w:spacing w:line="260" w:lineRule="exact"/>
              <w:jc w:val="center"/>
              <w:rPr>
                <w:rFonts w:ascii="宋体"/>
                <w:color w:val="auto"/>
                <w:sz w:val="18"/>
                <w:szCs w:val="18"/>
                <w:highlight w:val="none"/>
              </w:rPr>
            </w:pPr>
            <w:r>
              <w:rPr>
                <w:rFonts w:ascii="宋体" w:hAnsi="宋体"/>
                <w:color w:val="auto"/>
                <w:sz w:val="18"/>
                <w:szCs w:val="18"/>
                <w:highlight w:val="none"/>
              </w:rPr>
              <w:t>4</w:t>
            </w:r>
          </w:p>
        </w:tc>
        <w:tc>
          <w:tcPr>
            <w:tcW w:w="3150" w:type="dxa"/>
            <w:tcBorders>
              <w:top w:val="single" w:color="auto" w:sz="4" w:space="0"/>
              <w:left w:val="nil"/>
              <w:bottom w:val="single" w:color="auto" w:sz="4" w:space="0"/>
              <w:right w:val="single" w:color="auto" w:sz="4" w:space="0"/>
            </w:tcBorders>
            <w:noWrap w:val="0"/>
            <w:vAlign w:val="center"/>
          </w:tcPr>
          <w:p w14:paraId="4046C350">
            <w:pPr>
              <w:spacing w:line="260" w:lineRule="exact"/>
              <w:jc w:val="left"/>
              <w:rPr>
                <w:rFonts w:ascii="宋体"/>
                <w:color w:val="auto"/>
                <w:sz w:val="18"/>
                <w:szCs w:val="18"/>
                <w:highlight w:val="none"/>
              </w:rPr>
            </w:pPr>
            <w:r>
              <w:rPr>
                <w:rFonts w:hint="eastAsia" w:ascii="宋体" w:hAnsi="宋体"/>
                <w:color w:val="auto"/>
                <w:sz w:val="18"/>
                <w:szCs w:val="18"/>
                <w:highlight w:val="none"/>
              </w:rPr>
              <w:t>绿地整理出的垃圾应及时清理，未能及时清理的应放置绿化垃圾临时堆放警示牌。绿化垃圾不可堆放过夜。</w:t>
            </w:r>
          </w:p>
        </w:tc>
        <w:tc>
          <w:tcPr>
            <w:tcW w:w="525" w:type="dxa"/>
            <w:tcBorders>
              <w:top w:val="single" w:color="auto" w:sz="4" w:space="0"/>
              <w:left w:val="nil"/>
              <w:bottom w:val="single" w:color="auto" w:sz="4" w:space="0"/>
              <w:right w:val="single" w:color="auto" w:sz="4" w:space="0"/>
            </w:tcBorders>
            <w:noWrap w:val="0"/>
            <w:vAlign w:val="center"/>
          </w:tcPr>
          <w:p w14:paraId="15A5A2F2">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7DDBCCFC">
            <w:pPr>
              <w:spacing w:line="260" w:lineRule="exact"/>
              <w:rPr>
                <w:rFonts w:ascii="宋体"/>
                <w:color w:val="auto"/>
                <w:sz w:val="18"/>
                <w:szCs w:val="18"/>
                <w:highlight w:val="none"/>
              </w:rPr>
            </w:pPr>
            <w:r>
              <w:rPr>
                <w:rFonts w:hint="eastAsia" w:ascii="宋体" w:hAnsi="宋体"/>
                <w:color w:val="auto"/>
                <w:sz w:val="18"/>
                <w:szCs w:val="18"/>
                <w:highlight w:val="none"/>
              </w:rPr>
              <w:t>不及时清理绿化垃圾或不</w:t>
            </w:r>
            <w:r>
              <w:rPr>
                <w:rFonts w:hint="eastAsia" w:ascii="宋体" w:hAnsi="宋体"/>
                <w:color w:val="auto"/>
                <w:sz w:val="18"/>
                <w:szCs w:val="18"/>
                <w:highlight w:val="none"/>
                <w:lang w:val="en-US" w:eastAsia="zh-CN"/>
              </w:rPr>
              <w:t>按</w:t>
            </w:r>
            <w:r>
              <w:rPr>
                <w:rFonts w:hint="eastAsia" w:ascii="宋体" w:hAnsi="宋体"/>
                <w:color w:val="auto"/>
                <w:sz w:val="18"/>
                <w:szCs w:val="18"/>
                <w:highlight w:val="none"/>
              </w:rPr>
              <w:t>规定放置警示牌的每处扣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003BFF1F">
            <w:pPr>
              <w:spacing w:line="260" w:lineRule="exact"/>
              <w:jc w:val="center"/>
              <w:rPr>
                <w:rFonts w:ascii="宋体"/>
                <w:color w:val="auto"/>
                <w:sz w:val="18"/>
                <w:szCs w:val="18"/>
                <w:highlight w:val="none"/>
              </w:rPr>
            </w:pPr>
          </w:p>
        </w:tc>
      </w:tr>
      <w:tr w14:paraId="32E7F99A">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7AB78D8E">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4655BD5E">
            <w:pPr>
              <w:spacing w:line="260" w:lineRule="exact"/>
              <w:jc w:val="center"/>
              <w:rPr>
                <w:rFonts w:ascii="宋体"/>
                <w:color w:val="auto"/>
                <w:sz w:val="18"/>
                <w:szCs w:val="18"/>
                <w:highlight w:val="none"/>
              </w:rPr>
            </w:pPr>
            <w:r>
              <w:rPr>
                <w:rFonts w:ascii="宋体" w:hAnsi="宋体"/>
                <w:color w:val="auto"/>
                <w:sz w:val="18"/>
                <w:szCs w:val="18"/>
                <w:highlight w:val="none"/>
              </w:rPr>
              <w:t>5</w:t>
            </w:r>
          </w:p>
        </w:tc>
        <w:tc>
          <w:tcPr>
            <w:tcW w:w="3150" w:type="dxa"/>
            <w:tcBorders>
              <w:top w:val="single" w:color="auto" w:sz="4" w:space="0"/>
              <w:left w:val="nil"/>
              <w:bottom w:val="single" w:color="auto" w:sz="4" w:space="0"/>
              <w:right w:val="single" w:color="auto" w:sz="4" w:space="0"/>
            </w:tcBorders>
            <w:noWrap w:val="0"/>
            <w:vAlign w:val="center"/>
          </w:tcPr>
          <w:p w14:paraId="5B621B2D">
            <w:pPr>
              <w:spacing w:line="260" w:lineRule="exact"/>
              <w:jc w:val="left"/>
              <w:rPr>
                <w:rFonts w:ascii="宋体"/>
                <w:color w:val="auto"/>
                <w:sz w:val="18"/>
                <w:szCs w:val="18"/>
                <w:highlight w:val="none"/>
              </w:rPr>
            </w:pPr>
            <w:r>
              <w:rPr>
                <w:rFonts w:hint="eastAsia" w:ascii="宋体" w:hAnsi="宋体"/>
                <w:color w:val="auto"/>
                <w:sz w:val="18"/>
                <w:szCs w:val="18"/>
                <w:highlight w:val="none"/>
              </w:rPr>
              <w:t>超过</w:t>
            </w:r>
            <w:r>
              <w:rPr>
                <w:rFonts w:ascii="宋体" w:hAnsi="宋体"/>
                <w:color w:val="auto"/>
                <w:sz w:val="18"/>
                <w:szCs w:val="18"/>
                <w:highlight w:val="none"/>
              </w:rPr>
              <w:t>1</w:t>
            </w:r>
            <w:r>
              <w:rPr>
                <w:rFonts w:hint="eastAsia" w:ascii="宋体" w:hAnsi="宋体"/>
                <w:color w:val="auto"/>
                <w:sz w:val="18"/>
                <w:szCs w:val="18"/>
                <w:highlight w:val="none"/>
              </w:rPr>
              <w:t>㎡的黄土裸露或灌木缺株要及时补种。发生较大枝条折断、乔木倒伏等严重影响游园环境的突发事件应立即上报并及时处理。</w:t>
            </w:r>
          </w:p>
        </w:tc>
        <w:tc>
          <w:tcPr>
            <w:tcW w:w="525" w:type="dxa"/>
            <w:tcBorders>
              <w:top w:val="single" w:color="auto" w:sz="4" w:space="0"/>
              <w:left w:val="nil"/>
              <w:bottom w:val="single" w:color="auto" w:sz="4" w:space="0"/>
              <w:right w:val="single" w:color="auto" w:sz="4" w:space="0"/>
            </w:tcBorders>
            <w:noWrap w:val="0"/>
            <w:vAlign w:val="center"/>
          </w:tcPr>
          <w:p w14:paraId="78C7FD6F">
            <w:pPr>
              <w:spacing w:line="260" w:lineRule="exact"/>
              <w:jc w:val="center"/>
              <w:rPr>
                <w:rFonts w:ascii="宋体"/>
                <w:color w:val="auto"/>
                <w:sz w:val="18"/>
                <w:szCs w:val="18"/>
                <w:highlight w:val="none"/>
              </w:rPr>
            </w:pPr>
            <w:r>
              <w:rPr>
                <w:rFonts w:ascii="宋体" w:hAnsi="宋体"/>
                <w:color w:val="auto"/>
                <w:sz w:val="18"/>
                <w:szCs w:val="18"/>
                <w:highlight w:val="none"/>
              </w:rPr>
              <w:t>5</w:t>
            </w:r>
          </w:p>
        </w:tc>
        <w:tc>
          <w:tcPr>
            <w:tcW w:w="3990" w:type="dxa"/>
            <w:tcBorders>
              <w:top w:val="single" w:color="auto" w:sz="4" w:space="0"/>
              <w:left w:val="nil"/>
              <w:bottom w:val="single" w:color="auto" w:sz="4" w:space="0"/>
              <w:right w:val="single" w:color="auto" w:sz="4" w:space="0"/>
            </w:tcBorders>
            <w:noWrap w:val="0"/>
            <w:vAlign w:val="center"/>
          </w:tcPr>
          <w:p w14:paraId="6DAEE82B">
            <w:pPr>
              <w:spacing w:line="260" w:lineRule="exact"/>
              <w:rPr>
                <w:rFonts w:ascii="宋体"/>
                <w:color w:val="auto"/>
                <w:sz w:val="18"/>
                <w:szCs w:val="18"/>
                <w:highlight w:val="none"/>
              </w:rPr>
            </w:pPr>
            <w:r>
              <w:rPr>
                <w:rFonts w:hint="eastAsia" w:ascii="宋体" w:hAnsi="宋体"/>
                <w:color w:val="auto"/>
                <w:sz w:val="18"/>
                <w:szCs w:val="18"/>
                <w:highlight w:val="none"/>
              </w:rPr>
              <w:t>不及时补种的每处扣</w:t>
            </w:r>
            <w:r>
              <w:rPr>
                <w:rFonts w:ascii="宋体" w:hAnsi="宋体"/>
                <w:color w:val="auto"/>
                <w:sz w:val="18"/>
                <w:szCs w:val="18"/>
                <w:highlight w:val="none"/>
              </w:rPr>
              <w:t>0.1-0.5</w:t>
            </w:r>
            <w:r>
              <w:rPr>
                <w:rFonts w:hint="eastAsia" w:ascii="宋体" w:hAnsi="宋体"/>
                <w:color w:val="auto"/>
                <w:sz w:val="18"/>
                <w:szCs w:val="18"/>
                <w:highlight w:val="none"/>
              </w:rPr>
              <w:t>分。突发事件不能及时处理的每次扣</w:t>
            </w:r>
            <w:r>
              <w:rPr>
                <w:rFonts w:ascii="宋体" w:hAnsi="宋体"/>
                <w:color w:val="auto"/>
                <w:sz w:val="18"/>
                <w:szCs w:val="18"/>
                <w:highlight w:val="none"/>
              </w:rPr>
              <w:t>0.5-2</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此条扣分值不设上限。</w:t>
            </w:r>
          </w:p>
        </w:tc>
        <w:tc>
          <w:tcPr>
            <w:tcW w:w="1050" w:type="dxa"/>
            <w:tcBorders>
              <w:top w:val="single" w:color="auto" w:sz="4" w:space="0"/>
              <w:left w:val="nil"/>
              <w:bottom w:val="single" w:color="auto" w:sz="4" w:space="0"/>
              <w:right w:val="single" w:color="auto" w:sz="4" w:space="0"/>
            </w:tcBorders>
            <w:noWrap w:val="0"/>
            <w:vAlign w:val="center"/>
          </w:tcPr>
          <w:p w14:paraId="312EC264">
            <w:pPr>
              <w:spacing w:line="260" w:lineRule="exact"/>
              <w:jc w:val="center"/>
              <w:rPr>
                <w:rFonts w:ascii="宋体"/>
                <w:color w:val="auto"/>
                <w:sz w:val="18"/>
                <w:szCs w:val="18"/>
                <w:highlight w:val="none"/>
              </w:rPr>
            </w:pPr>
          </w:p>
        </w:tc>
      </w:tr>
      <w:tr w14:paraId="0145D32B">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5C3789DA">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3186F496">
            <w:pPr>
              <w:spacing w:line="260" w:lineRule="exact"/>
              <w:jc w:val="center"/>
              <w:rPr>
                <w:rFonts w:ascii="宋体"/>
                <w:color w:val="auto"/>
                <w:sz w:val="18"/>
                <w:szCs w:val="18"/>
                <w:highlight w:val="none"/>
              </w:rPr>
            </w:pPr>
            <w:r>
              <w:rPr>
                <w:rFonts w:ascii="宋体" w:hAnsi="宋体"/>
                <w:color w:val="auto"/>
                <w:sz w:val="18"/>
                <w:szCs w:val="18"/>
                <w:highlight w:val="none"/>
              </w:rPr>
              <w:t>6</w:t>
            </w:r>
          </w:p>
        </w:tc>
        <w:tc>
          <w:tcPr>
            <w:tcW w:w="3150" w:type="dxa"/>
            <w:tcBorders>
              <w:top w:val="single" w:color="auto" w:sz="4" w:space="0"/>
              <w:left w:val="nil"/>
              <w:bottom w:val="single" w:color="auto" w:sz="4" w:space="0"/>
              <w:right w:val="single" w:color="auto" w:sz="4" w:space="0"/>
            </w:tcBorders>
            <w:noWrap w:val="0"/>
            <w:vAlign w:val="center"/>
          </w:tcPr>
          <w:p w14:paraId="0521A0A7">
            <w:pPr>
              <w:spacing w:line="260" w:lineRule="exact"/>
              <w:jc w:val="left"/>
              <w:rPr>
                <w:rFonts w:ascii="宋体"/>
                <w:color w:val="auto"/>
                <w:sz w:val="18"/>
                <w:szCs w:val="18"/>
                <w:highlight w:val="none"/>
              </w:rPr>
            </w:pPr>
            <w:r>
              <w:rPr>
                <w:rFonts w:hint="eastAsia" w:ascii="宋体" w:hAnsi="宋体"/>
                <w:color w:val="auto"/>
                <w:sz w:val="18"/>
                <w:szCs w:val="18"/>
                <w:highlight w:val="none"/>
              </w:rPr>
              <w:t>在地段施工时间，应做好配合及善后工作。</w:t>
            </w:r>
          </w:p>
        </w:tc>
        <w:tc>
          <w:tcPr>
            <w:tcW w:w="525" w:type="dxa"/>
            <w:tcBorders>
              <w:top w:val="single" w:color="auto" w:sz="4" w:space="0"/>
              <w:left w:val="nil"/>
              <w:bottom w:val="single" w:color="auto" w:sz="4" w:space="0"/>
              <w:right w:val="single" w:color="auto" w:sz="4" w:space="0"/>
            </w:tcBorders>
            <w:noWrap w:val="0"/>
            <w:vAlign w:val="center"/>
          </w:tcPr>
          <w:p w14:paraId="6CB94B36">
            <w:pPr>
              <w:spacing w:line="260" w:lineRule="exact"/>
              <w:jc w:val="center"/>
              <w:rPr>
                <w:rFonts w:ascii="宋体"/>
                <w:color w:val="auto"/>
                <w:sz w:val="18"/>
                <w:szCs w:val="18"/>
                <w:highlight w:val="none"/>
              </w:rPr>
            </w:pPr>
            <w:r>
              <w:rPr>
                <w:rFonts w:ascii="宋体" w:hAnsi="宋体"/>
                <w:color w:val="auto"/>
                <w:sz w:val="18"/>
                <w:szCs w:val="18"/>
                <w:highlight w:val="none"/>
              </w:rPr>
              <w:t>1</w:t>
            </w:r>
          </w:p>
        </w:tc>
        <w:tc>
          <w:tcPr>
            <w:tcW w:w="3990" w:type="dxa"/>
            <w:tcBorders>
              <w:top w:val="single" w:color="auto" w:sz="4" w:space="0"/>
              <w:left w:val="nil"/>
              <w:bottom w:val="single" w:color="auto" w:sz="4" w:space="0"/>
              <w:right w:val="single" w:color="auto" w:sz="4" w:space="0"/>
            </w:tcBorders>
            <w:noWrap w:val="0"/>
            <w:vAlign w:val="center"/>
          </w:tcPr>
          <w:p w14:paraId="36635D11">
            <w:pPr>
              <w:spacing w:line="260" w:lineRule="exact"/>
              <w:rPr>
                <w:rFonts w:ascii="宋体"/>
                <w:color w:val="auto"/>
                <w:sz w:val="18"/>
                <w:szCs w:val="18"/>
                <w:highlight w:val="none"/>
              </w:rPr>
            </w:pPr>
            <w:r>
              <w:rPr>
                <w:rFonts w:hint="eastAsia" w:ascii="宋体" w:hAnsi="宋体"/>
                <w:color w:val="auto"/>
                <w:sz w:val="18"/>
                <w:szCs w:val="18"/>
                <w:highlight w:val="none"/>
              </w:rPr>
              <w:t>不积极配合工作的扣</w:t>
            </w:r>
            <w:r>
              <w:rPr>
                <w:rFonts w:ascii="宋体" w:hAnsi="宋体"/>
                <w:color w:val="auto"/>
                <w:sz w:val="18"/>
                <w:szCs w:val="18"/>
                <w:highlight w:val="none"/>
              </w:rPr>
              <w:t>1</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1471E87A">
            <w:pPr>
              <w:spacing w:line="260" w:lineRule="exact"/>
              <w:jc w:val="center"/>
              <w:rPr>
                <w:rFonts w:ascii="宋体"/>
                <w:color w:val="auto"/>
                <w:sz w:val="18"/>
                <w:szCs w:val="18"/>
                <w:highlight w:val="none"/>
              </w:rPr>
            </w:pPr>
          </w:p>
        </w:tc>
      </w:tr>
      <w:tr w14:paraId="3A2DDE40">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1493AC09">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1F9FF7CF">
            <w:pPr>
              <w:spacing w:line="260" w:lineRule="exact"/>
              <w:jc w:val="center"/>
              <w:rPr>
                <w:rFonts w:ascii="宋体"/>
                <w:color w:val="auto"/>
                <w:sz w:val="18"/>
                <w:szCs w:val="18"/>
                <w:highlight w:val="none"/>
              </w:rPr>
            </w:pPr>
            <w:r>
              <w:rPr>
                <w:rFonts w:ascii="宋体" w:hAnsi="宋体"/>
                <w:color w:val="auto"/>
                <w:sz w:val="18"/>
                <w:szCs w:val="18"/>
                <w:highlight w:val="none"/>
              </w:rPr>
              <w:t>7</w:t>
            </w:r>
          </w:p>
        </w:tc>
        <w:tc>
          <w:tcPr>
            <w:tcW w:w="3150" w:type="dxa"/>
            <w:tcBorders>
              <w:top w:val="single" w:color="auto" w:sz="4" w:space="0"/>
              <w:left w:val="nil"/>
              <w:bottom w:val="single" w:color="auto" w:sz="4" w:space="0"/>
              <w:right w:val="single" w:color="auto" w:sz="4" w:space="0"/>
            </w:tcBorders>
            <w:noWrap w:val="0"/>
            <w:vAlign w:val="center"/>
          </w:tcPr>
          <w:p w14:paraId="1C3E4E7E">
            <w:pPr>
              <w:spacing w:line="260" w:lineRule="exact"/>
              <w:jc w:val="left"/>
              <w:rPr>
                <w:rFonts w:ascii="宋体"/>
                <w:color w:val="auto"/>
                <w:sz w:val="18"/>
                <w:szCs w:val="18"/>
                <w:highlight w:val="none"/>
              </w:rPr>
            </w:pPr>
            <w:r>
              <w:rPr>
                <w:rFonts w:hint="eastAsia" w:ascii="宋体" w:hAnsi="宋体"/>
                <w:color w:val="auto"/>
                <w:sz w:val="18"/>
                <w:szCs w:val="18"/>
                <w:highlight w:val="none"/>
              </w:rPr>
              <w:t>日常检查整改通知下达后，应及时按整改期限进行整改。</w:t>
            </w:r>
          </w:p>
        </w:tc>
        <w:tc>
          <w:tcPr>
            <w:tcW w:w="525" w:type="dxa"/>
            <w:tcBorders>
              <w:top w:val="single" w:color="auto" w:sz="4" w:space="0"/>
              <w:left w:val="nil"/>
              <w:bottom w:val="single" w:color="auto" w:sz="4" w:space="0"/>
              <w:right w:val="single" w:color="auto" w:sz="4" w:space="0"/>
            </w:tcBorders>
            <w:noWrap w:val="0"/>
            <w:vAlign w:val="center"/>
          </w:tcPr>
          <w:p w14:paraId="0075D0BE">
            <w:pPr>
              <w:spacing w:line="260" w:lineRule="exact"/>
              <w:jc w:val="center"/>
              <w:rPr>
                <w:rFonts w:ascii="宋体"/>
                <w:color w:val="auto"/>
                <w:sz w:val="18"/>
                <w:szCs w:val="18"/>
                <w:highlight w:val="none"/>
              </w:rPr>
            </w:pPr>
            <w:r>
              <w:rPr>
                <w:rFonts w:ascii="宋体" w:hAnsi="宋体"/>
                <w:color w:val="auto"/>
                <w:sz w:val="18"/>
                <w:szCs w:val="18"/>
                <w:highlight w:val="none"/>
              </w:rPr>
              <w:t>3</w:t>
            </w:r>
          </w:p>
        </w:tc>
        <w:tc>
          <w:tcPr>
            <w:tcW w:w="3990" w:type="dxa"/>
            <w:tcBorders>
              <w:top w:val="single" w:color="auto" w:sz="4" w:space="0"/>
              <w:left w:val="nil"/>
              <w:bottom w:val="single" w:color="auto" w:sz="4" w:space="0"/>
              <w:right w:val="single" w:color="auto" w:sz="4" w:space="0"/>
            </w:tcBorders>
            <w:noWrap w:val="0"/>
            <w:vAlign w:val="center"/>
          </w:tcPr>
          <w:p w14:paraId="17432129">
            <w:pPr>
              <w:spacing w:line="260" w:lineRule="exact"/>
              <w:rPr>
                <w:rFonts w:ascii="宋体"/>
                <w:color w:val="auto"/>
                <w:sz w:val="18"/>
                <w:szCs w:val="18"/>
                <w:highlight w:val="none"/>
              </w:rPr>
            </w:pPr>
            <w:r>
              <w:rPr>
                <w:rFonts w:hint="eastAsia" w:ascii="宋体" w:hAnsi="宋体"/>
                <w:color w:val="auto"/>
                <w:sz w:val="18"/>
                <w:szCs w:val="18"/>
                <w:highlight w:val="none"/>
              </w:rPr>
              <w:t>不及时按整改期限进行整改的，每延期一天扣</w:t>
            </w:r>
            <w:r>
              <w:rPr>
                <w:rFonts w:ascii="宋体" w:hAnsi="宋体"/>
                <w:color w:val="auto"/>
                <w:sz w:val="18"/>
                <w:szCs w:val="18"/>
                <w:highlight w:val="none"/>
              </w:rPr>
              <w:t>0.2-0.5</w:t>
            </w:r>
            <w:r>
              <w:rPr>
                <w:rFonts w:hint="eastAsia" w:ascii="宋体" w:hAnsi="宋体"/>
                <w:color w:val="auto"/>
                <w:sz w:val="18"/>
                <w:szCs w:val="18"/>
                <w:highlight w:val="none"/>
              </w:rPr>
              <w:t>分。</w:t>
            </w:r>
            <w:r>
              <w:rPr>
                <w:rFonts w:hint="eastAsia" w:ascii="宋体" w:hAnsi="宋体"/>
                <w:b/>
                <w:bCs/>
                <w:color w:val="auto"/>
                <w:sz w:val="18"/>
                <w:szCs w:val="18"/>
                <w:highlight w:val="none"/>
                <w:u w:val="single"/>
              </w:rPr>
              <w:t>此条款扣分值不设上限。</w:t>
            </w:r>
          </w:p>
        </w:tc>
        <w:tc>
          <w:tcPr>
            <w:tcW w:w="1050" w:type="dxa"/>
            <w:tcBorders>
              <w:top w:val="single" w:color="auto" w:sz="4" w:space="0"/>
              <w:left w:val="nil"/>
              <w:bottom w:val="single" w:color="auto" w:sz="4" w:space="0"/>
              <w:right w:val="single" w:color="auto" w:sz="4" w:space="0"/>
            </w:tcBorders>
            <w:noWrap w:val="0"/>
            <w:vAlign w:val="center"/>
          </w:tcPr>
          <w:p w14:paraId="074CA59A">
            <w:pPr>
              <w:spacing w:line="260" w:lineRule="exact"/>
              <w:jc w:val="center"/>
              <w:rPr>
                <w:rFonts w:ascii="宋体"/>
                <w:color w:val="auto"/>
                <w:sz w:val="18"/>
                <w:szCs w:val="18"/>
                <w:highlight w:val="none"/>
              </w:rPr>
            </w:pPr>
          </w:p>
        </w:tc>
      </w:tr>
      <w:tr w14:paraId="4F358F02">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5F551883">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59AA2FD7">
            <w:pPr>
              <w:spacing w:line="260" w:lineRule="exact"/>
              <w:jc w:val="center"/>
              <w:rPr>
                <w:rFonts w:ascii="宋体"/>
                <w:color w:val="auto"/>
                <w:sz w:val="18"/>
                <w:szCs w:val="18"/>
                <w:highlight w:val="none"/>
              </w:rPr>
            </w:pPr>
            <w:r>
              <w:rPr>
                <w:rFonts w:ascii="宋体" w:hAnsi="宋体"/>
                <w:color w:val="auto"/>
                <w:sz w:val="18"/>
                <w:szCs w:val="18"/>
                <w:highlight w:val="none"/>
              </w:rPr>
              <w:t>8</w:t>
            </w:r>
          </w:p>
        </w:tc>
        <w:tc>
          <w:tcPr>
            <w:tcW w:w="3150" w:type="dxa"/>
            <w:tcBorders>
              <w:top w:val="single" w:color="auto" w:sz="4" w:space="0"/>
              <w:left w:val="nil"/>
              <w:bottom w:val="single" w:color="auto" w:sz="4" w:space="0"/>
              <w:right w:val="single" w:color="auto" w:sz="4" w:space="0"/>
            </w:tcBorders>
            <w:noWrap w:val="0"/>
            <w:vAlign w:val="center"/>
          </w:tcPr>
          <w:p w14:paraId="3CD3FED2">
            <w:pPr>
              <w:spacing w:line="260" w:lineRule="exact"/>
              <w:jc w:val="left"/>
              <w:rPr>
                <w:rFonts w:ascii="宋体"/>
                <w:color w:val="auto"/>
                <w:sz w:val="18"/>
                <w:szCs w:val="18"/>
                <w:highlight w:val="none"/>
              </w:rPr>
            </w:pPr>
            <w:r>
              <w:rPr>
                <w:rFonts w:hint="eastAsia" w:ascii="宋体" w:hAnsi="宋体"/>
                <w:color w:val="auto"/>
                <w:sz w:val="18"/>
                <w:szCs w:val="18"/>
                <w:highlight w:val="none"/>
              </w:rPr>
              <w:t>认真开展月度考核工作</w:t>
            </w:r>
          </w:p>
        </w:tc>
        <w:tc>
          <w:tcPr>
            <w:tcW w:w="525" w:type="dxa"/>
            <w:tcBorders>
              <w:top w:val="single" w:color="auto" w:sz="4" w:space="0"/>
              <w:left w:val="nil"/>
              <w:bottom w:val="single" w:color="auto" w:sz="4" w:space="0"/>
              <w:right w:val="single" w:color="auto" w:sz="4" w:space="0"/>
            </w:tcBorders>
            <w:noWrap w:val="0"/>
            <w:vAlign w:val="center"/>
          </w:tcPr>
          <w:p w14:paraId="70EC7A71">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3F59EB23">
            <w:pPr>
              <w:spacing w:line="260" w:lineRule="exact"/>
              <w:rPr>
                <w:rFonts w:ascii="宋体"/>
                <w:color w:val="auto"/>
                <w:sz w:val="18"/>
                <w:szCs w:val="18"/>
                <w:highlight w:val="none"/>
              </w:rPr>
            </w:pPr>
            <w:r>
              <w:rPr>
                <w:rFonts w:hint="eastAsia" w:ascii="宋体" w:hAnsi="宋体"/>
                <w:color w:val="auto"/>
                <w:sz w:val="18"/>
                <w:szCs w:val="18"/>
                <w:highlight w:val="none"/>
              </w:rPr>
              <w:t>在进行月度考核检查过程中，如发问题按相应的评分条款扣分。</w:t>
            </w:r>
          </w:p>
        </w:tc>
        <w:tc>
          <w:tcPr>
            <w:tcW w:w="1050" w:type="dxa"/>
            <w:tcBorders>
              <w:top w:val="single" w:color="auto" w:sz="4" w:space="0"/>
              <w:left w:val="nil"/>
              <w:bottom w:val="single" w:color="auto" w:sz="4" w:space="0"/>
              <w:right w:val="single" w:color="auto" w:sz="4" w:space="0"/>
            </w:tcBorders>
            <w:noWrap w:val="0"/>
            <w:vAlign w:val="center"/>
          </w:tcPr>
          <w:p w14:paraId="5DD2F410">
            <w:pPr>
              <w:spacing w:line="260" w:lineRule="exact"/>
              <w:jc w:val="center"/>
              <w:rPr>
                <w:rFonts w:ascii="宋体"/>
                <w:color w:val="auto"/>
                <w:sz w:val="18"/>
                <w:szCs w:val="18"/>
                <w:highlight w:val="none"/>
              </w:rPr>
            </w:pPr>
          </w:p>
        </w:tc>
      </w:tr>
      <w:tr w14:paraId="79BF36DC">
        <w:tblPrEx>
          <w:tblCellMar>
            <w:top w:w="0" w:type="dxa"/>
            <w:left w:w="108" w:type="dxa"/>
            <w:bottom w:w="0" w:type="dxa"/>
            <w:right w:w="108" w:type="dxa"/>
          </w:tblCellMar>
        </w:tblPrEx>
        <w:trPr>
          <w:cantSplit/>
        </w:trPr>
        <w:tc>
          <w:tcPr>
            <w:tcW w:w="420" w:type="dxa"/>
            <w:vMerge w:val="continue"/>
            <w:tcBorders>
              <w:top w:val="nil"/>
              <w:left w:val="single" w:color="auto" w:sz="4" w:space="0"/>
              <w:bottom w:val="single" w:color="auto" w:sz="4" w:space="0"/>
              <w:right w:val="single" w:color="auto" w:sz="4" w:space="0"/>
            </w:tcBorders>
            <w:noWrap w:val="0"/>
            <w:vAlign w:val="center"/>
          </w:tcPr>
          <w:p w14:paraId="794BDF9B">
            <w:pPr>
              <w:widowControl/>
              <w:spacing w:line="260" w:lineRule="exact"/>
              <w:jc w:val="left"/>
              <w:rPr>
                <w:rFonts w:ascii="宋体"/>
                <w:color w:val="auto"/>
                <w:sz w:val="18"/>
                <w:szCs w:val="18"/>
                <w:highlight w:val="none"/>
              </w:rPr>
            </w:pPr>
          </w:p>
        </w:tc>
        <w:tc>
          <w:tcPr>
            <w:tcW w:w="420" w:type="dxa"/>
            <w:tcBorders>
              <w:top w:val="single" w:color="auto" w:sz="4" w:space="0"/>
              <w:left w:val="nil"/>
              <w:bottom w:val="single" w:color="auto" w:sz="4" w:space="0"/>
              <w:right w:val="single" w:color="auto" w:sz="4" w:space="0"/>
            </w:tcBorders>
            <w:noWrap w:val="0"/>
            <w:vAlign w:val="center"/>
          </w:tcPr>
          <w:p w14:paraId="1FCEC5A9">
            <w:pPr>
              <w:spacing w:line="260" w:lineRule="exact"/>
              <w:jc w:val="center"/>
              <w:rPr>
                <w:rFonts w:ascii="宋体"/>
                <w:color w:val="auto"/>
                <w:sz w:val="18"/>
                <w:szCs w:val="18"/>
                <w:highlight w:val="none"/>
              </w:rPr>
            </w:pPr>
            <w:r>
              <w:rPr>
                <w:rFonts w:ascii="宋体" w:hAnsi="宋体"/>
                <w:color w:val="auto"/>
                <w:sz w:val="18"/>
                <w:szCs w:val="18"/>
                <w:highlight w:val="none"/>
              </w:rPr>
              <w:t>9</w:t>
            </w:r>
          </w:p>
        </w:tc>
        <w:tc>
          <w:tcPr>
            <w:tcW w:w="3150" w:type="dxa"/>
            <w:tcBorders>
              <w:top w:val="single" w:color="auto" w:sz="4" w:space="0"/>
              <w:left w:val="nil"/>
              <w:bottom w:val="single" w:color="auto" w:sz="4" w:space="0"/>
              <w:right w:val="single" w:color="auto" w:sz="4" w:space="0"/>
            </w:tcBorders>
            <w:noWrap w:val="0"/>
            <w:vAlign w:val="center"/>
          </w:tcPr>
          <w:p w14:paraId="0849DEF8">
            <w:pPr>
              <w:spacing w:line="260" w:lineRule="exact"/>
              <w:jc w:val="left"/>
              <w:rPr>
                <w:rFonts w:ascii="宋体"/>
                <w:color w:val="auto"/>
                <w:sz w:val="18"/>
                <w:szCs w:val="18"/>
                <w:highlight w:val="none"/>
              </w:rPr>
            </w:pPr>
            <w:r>
              <w:rPr>
                <w:rFonts w:hint="eastAsia" w:ascii="宋体" w:hAnsi="宋体"/>
                <w:color w:val="auto"/>
                <w:sz w:val="18"/>
                <w:szCs w:val="18"/>
                <w:highlight w:val="none"/>
              </w:rPr>
              <w:t>按时报送月度工作计划、月度问题记录表及整改情况记录表</w:t>
            </w:r>
          </w:p>
        </w:tc>
        <w:tc>
          <w:tcPr>
            <w:tcW w:w="525" w:type="dxa"/>
            <w:tcBorders>
              <w:top w:val="single" w:color="auto" w:sz="4" w:space="0"/>
              <w:left w:val="nil"/>
              <w:bottom w:val="single" w:color="auto" w:sz="4" w:space="0"/>
              <w:right w:val="single" w:color="auto" w:sz="4" w:space="0"/>
            </w:tcBorders>
            <w:noWrap w:val="0"/>
            <w:vAlign w:val="center"/>
          </w:tcPr>
          <w:p w14:paraId="74C9F03A">
            <w:pPr>
              <w:spacing w:line="260" w:lineRule="exact"/>
              <w:jc w:val="center"/>
              <w:rPr>
                <w:rFonts w:ascii="宋体"/>
                <w:color w:val="auto"/>
                <w:sz w:val="18"/>
                <w:szCs w:val="18"/>
                <w:highlight w:val="none"/>
              </w:rPr>
            </w:pPr>
            <w:r>
              <w:rPr>
                <w:rFonts w:ascii="宋体" w:hAnsi="宋体"/>
                <w:color w:val="auto"/>
                <w:sz w:val="18"/>
                <w:szCs w:val="18"/>
                <w:highlight w:val="none"/>
              </w:rPr>
              <w:t>2</w:t>
            </w:r>
          </w:p>
        </w:tc>
        <w:tc>
          <w:tcPr>
            <w:tcW w:w="3990" w:type="dxa"/>
            <w:tcBorders>
              <w:top w:val="single" w:color="auto" w:sz="4" w:space="0"/>
              <w:left w:val="nil"/>
              <w:bottom w:val="single" w:color="auto" w:sz="4" w:space="0"/>
              <w:right w:val="single" w:color="auto" w:sz="4" w:space="0"/>
            </w:tcBorders>
            <w:noWrap w:val="0"/>
            <w:vAlign w:val="center"/>
          </w:tcPr>
          <w:p w14:paraId="3B078D57">
            <w:pPr>
              <w:spacing w:line="260" w:lineRule="exact"/>
              <w:rPr>
                <w:rFonts w:ascii="宋体"/>
                <w:color w:val="auto"/>
                <w:sz w:val="18"/>
                <w:szCs w:val="18"/>
                <w:highlight w:val="none"/>
              </w:rPr>
            </w:pPr>
            <w:r>
              <w:rPr>
                <w:rFonts w:hint="eastAsia" w:ascii="宋体" w:hAnsi="宋体"/>
                <w:color w:val="auto"/>
                <w:sz w:val="18"/>
                <w:szCs w:val="18"/>
                <w:highlight w:val="none"/>
              </w:rPr>
              <w:t>不按时报送的，每延期一天扣</w:t>
            </w:r>
            <w:r>
              <w:rPr>
                <w:rFonts w:ascii="宋体" w:hAnsi="宋体"/>
                <w:color w:val="auto"/>
                <w:sz w:val="18"/>
                <w:szCs w:val="18"/>
                <w:highlight w:val="none"/>
              </w:rPr>
              <w:t>0.2-0.5</w:t>
            </w:r>
            <w:r>
              <w:rPr>
                <w:rFonts w:hint="eastAsia" w:ascii="宋体" w:hAnsi="宋体"/>
                <w:color w:val="auto"/>
                <w:sz w:val="18"/>
                <w:szCs w:val="18"/>
                <w:highlight w:val="none"/>
              </w:rPr>
              <w:t>分。</w:t>
            </w:r>
          </w:p>
        </w:tc>
        <w:tc>
          <w:tcPr>
            <w:tcW w:w="1050" w:type="dxa"/>
            <w:tcBorders>
              <w:top w:val="single" w:color="auto" w:sz="4" w:space="0"/>
              <w:left w:val="nil"/>
              <w:bottom w:val="single" w:color="auto" w:sz="4" w:space="0"/>
              <w:right w:val="single" w:color="auto" w:sz="4" w:space="0"/>
            </w:tcBorders>
            <w:noWrap w:val="0"/>
            <w:vAlign w:val="center"/>
          </w:tcPr>
          <w:p w14:paraId="4B95492C">
            <w:pPr>
              <w:spacing w:line="260" w:lineRule="exact"/>
              <w:jc w:val="center"/>
              <w:rPr>
                <w:rFonts w:ascii="宋体"/>
                <w:color w:val="auto"/>
                <w:sz w:val="18"/>
                <w:szCs w:val="18"/>
                <w:highlight w:val="none"/>
              </w:rPr>
            </w:pPr>
          </w:p>
        </w:tc>
      </w:tr>
      <w:tr w14:paraId="2FF70BDB">
        <w:tblPrEx>
          <w:tblCellMar>
            <w:top w:w="0" w:type="dxa"/>
            <w:left w:w="108" w:type="dxa"/>
            <w:bottom w:w="0" w:type="dxa"/>
            <w:right w:w="108" w:type="dxa"/>
          </w:tblCellMar>
        </w:tblPrEx>
        <w:trPr>
          <w:trHeight w:val="467" w:hRule="atLeast"/>
        </w:trPr>
        <w:tc>
          <w:tcPr>
            <w:tcW w:w="840" w:type="dxa"/>
            <w:gridSpan w:val="2"/>
            <w:tcBorders>
              <w:top w:val="single" w:color="auto" w:sz="4" w:space="0"/>
              <w:left w:val="single" w:color="auto" w:sz="4" w:space="0"/>
              <w:bottom w:val="single" w:color="auto" w:sz="4" w:space="0"/>
              <w:right w:val="single" w:color="auto" w:sz="4" w:space="0"/>
            </w:tcBorders>
            <w:noWrap w:val="0"/>
            <w:vAlign w:val="top"/>
          </w:tcPr>
          <w:p w14:paraId="228DD9F3">
            <w:pPr>
              <w:spacing w:line="260" w:lineRule="exact"/>
              <w:jc w:val="center"/>
              <w:rPr>
                <w:rFonts w:ascii="宋体"/>
                <w:color w:val="auto"/>
                <w:sz w:val="18"/>
                <w:szCs w:val="18"/>
                <w:highlight w:val="none"/>
              </w:rPr>
            </w:pPr>
            <w:r>
              <w:rPr>
                <w:rFonts w:hint="eastAsia" w:ascii="宋体" w:hAnsi="宋体"/>
                <w:color w:val="auto"/>
                <w:sz w:val="18"/>
                <w:szCs w:val="18"/>
                <w:highlight w:val="none"/>
              </w:rPr>
              <w:t>合计</w:t>
            </w:r>
          </w:p>
        </w:tc>
        <w:tc>
          <w:tcPr>
            <w:tcW w:w="3150" w:type="dxa"/>
            <w:tcBorders>
              <w:top w:val="single" w:color="auto" w:sz="4" w:space="0"/>
              <w:left w:val="nil"/>
              <w:bottom w:val="single" w:color="auto" w:sz="4" w:space="0"/>
              <w:right w:val="single" w:color="auto" w:sz="4" w:space="0"/>
            </w:tcBorders>
            <w:noWrap w:val="0"/>
            <w:vAlign w:val="center"/>
          </w:tcPr>
          <w:p w14:paraId="67DF819F">
            <w:pPr>
              <w:spacing w:line="260" w:lineRule="exact"/>
              <w:jc w:val="center"/>
              <w:rPr>
                <w:rFonts w:ascii="宋体"/>
                <w:color w:val="auto"/>
                <w:sz w:val="18"/>
                <w:szCs w:val="18"/>
                <w:highlight w:val="none"/>
              </w:rPr>
            </w:pPr>
          </w:p>
        </w:tc>
        <w:tc>
          <w:tcPr>
            <w:tcW w:w="525" w:type="dxa"/>
            <w:tcBorders>
              <w:top w:val="single" w:color="auto" w:sz="4" w:space="0"/>
              <w:left w:val="nil"/>
              <w:bottom w:val="single" w:color="auto" w:sz="4" w:space="0"/>
              <w:right w:val="single" w:color="auto" w:sz="4" w:space="0"/>
            </w:tcBorders>
            <w:noWrap w:val="0"/>
            <w:vAlign w:val="center"/>
          </w:tcPr>
          <w:p w14:paraId="77E78C57">
            <w:pPr>
              <w:spacing w:line="260" w:lineRule="exact"/>
              <w:jc w:val="center"/>
              <w:rPr>
                <w:rFonts w:ascii="宋体"/>
                <w:color w:val="auto"/>
                <w:sz w:val="18"/>
                <w:szCs w:val="18"/>
                <w:highlight w:val="none"/>
              </w:rPr>
            </w:pPr>
            <w:r>
              <w:rPr>
                <w:rFonts w:ascii="宋体" w:hAnsi="宋体"/>
                <w:color w:val="auto"/>
                <w:sz w:val="18"/>
                <w:szCs w:val="18"/>
                <w:highlight w:val="none"/>
              </w:rPr>
              <w:t>100</w:t>
            </w:r>
          </w:p>
        </w:tc>
        <w:tc>
          <w:tcPr>
            <w:tcW w:w="3990" w:type="dxa"/>
            <w:tcBorders>
              <w:top w:val="single" w:color="auto" w:sz="4" w:space="0"/>
              <w:left w:val="nil"/>
              <w:bottom w:val="single" w:color="auto" w:sz="4" w:space="0"/>
              <w:right w:val="single" w:color="auto" w:sz="4" w:space="0"/>
            </w:tcBorders>
            <w:noWrap w:val="0"/>
            <w:vAlign w:val="center"/>
          </w:tcPr>
          <w:p w14:paraId="6128759E">
            <w:pPr>
              <w:spacing w:line="260" w:lineRule="exact"/>
              <w:rPr>
                <w:rFonts w:ascii="宋体"/>
                <w:color w:val="auto"/>
                <w:sz w:val="18"/>
                <w:szCs w:val="18"/>
                <w:highlight w:val="none"/>
              </w:rPr>
            </w:pPr>
          </w:p>
        </w:tc>
        <w:tc>
          <w:tcPr>
            <w:tcW w:w="1050" w:type="dxa"/>
            <w:tcBorders>
              <w:top w:val="single" w:color="auto" w:sz="4" w:space="0"/>
              <w:left w:val="nil"/>
              <w:bottom w:val="single" w:color="auto" w:sz="4" w:space="0"/>
              <w:right w:val="single" w:color="auto" w:sz="4" w:space="0"/>
            </w:tcBorders>
            <w:noWrap w:val="0"/>
            <w:vAlign w:val="center"/>
          </w:tcPr>
          <w:p w14:paraId="69763DA4">
            <w:pPr>
              <w:spacing w:line="260" w:lineRule="exact"/>
              <w:jc w:val="center"/>
              <w:rPr>
                <w:rFonts w:ascii="宋体"/>
                <w:color w:val="auto"/>
                <w:sz w:val="18"/>
                <w:szCs w:val="18"/>
                <w:highlight w:val="none"/>
              </w:rPr>
            </w:pPr>
          </w:p>
        </w:tc>
      </w:tr>
      <w:tr w14:paraId="150F5050">
        <w:tblPrEx>
          <w:tblCellMar>
            <w:top w:w="0" w:type="dxa"/>
            <w:left w:w="108" w:type="dxa"/>
            <w:bottom w:w="0" w:type="dxa"/>
            <w:right w:w="108" w:type="dxa"/>
          </w:tblCellMar>
        </w:tblPrEx>
        <w:trPr>
          <w:trHeight w:val="426" w:hRule="atLeast"/>
        </w:trPr>
        <w:tc>
          <w:tcPr>
            <w:tcW w:w="9555" w:type="dxa"/>
            <w:gridSpan w:val="6"/>
            <w:tcBorders>
              <w:top w:val="single" w:color="auto" w:sz="4" w:space="0"/>
              <w:left w:val="single" w:color="auto" w:sz="4" w:space="0"/>
              <w:bottom w:val="single" w:color="auto" w:sz="4" w:space="0"/>
              <w:right w:val="single" w:color="auto" w:sz="4" w:space="0"/>
            </w:tcBorders>
            <w:noWrap w:val="0"/>
            <w:vAlign w:val="top"/>
          </w:tcPr>
          <w:p w14:paraId="75A947C3">
            <w:pPr>
              <w:spacing w:line="260" w:lineRule="exact"/>
              <w:rPr>
                <w:rFonts w:ascii="宋体"/>
                <w:color w:val="auto"/>
                <w:sz w:val="18"/>
                <w:szCs w:val="18"/>
                <w:highlight w:val="none"/>
              </w:rPr>
            </w:pPr>
            <w:r>
              <w:rPr>
                <w:rFonts w:hint="eastAsia" w:ascii="宋体" w:hAnsi="宋体"/>
                <w:color w:val="auto"/>
                <w:sz w:val="18"/>
                <w:szCs w:val="18"/>
                <w:highlight w:val="none"/>
              </w:rPr>
              <w:t>其他管养工作：</w:t>
            </w:r>
          </w:p>
        </w:tc>
      </w:tr>
    </w:tbl>
    <w:p w14:paraId="5E8B3721">
      <w:pPr>
        <w:spacing w:line="400" w:lineRule="exact"/>
        <w:rPr>
          <w:color w:val="auto"/>
          <w:szCs w:val="21"/>
          <w:highlight w:val="none"/>
        </w:rPr>
      </w:pPr>
      <w:r>
        <w:rPr>
          <w:rFonts w:hint="eastAsia" w:ascii="宋体" w:hAnsi="宋体"/>
          <w:color w:val="auto"/>
          <w:szCs w:val="21"/>
          <w:highlight w:val="none"/>
        </w:rPr>
        <w:t>园容科技术员：                 绿化巡查员：               养护公司技术员：</w:t>
      </w:r>
    </w:p>
    <w:p w14:paraId="498AA428">
      <w:pPr>
        <w:spacing w:line="400" w:lineRule="exact"/>
        <w:rPr>
          <w:rFonts w:ascii="宋体"/>
          <w:b/>
          <w:bCs/>
          <w:color w:val="auto"/>
          <w:highlight w:val="none"/>
        </w:rPr>
      </w:pPr>
      <w:r>
        <w:rPr>
          <w:rFonts w:hint="eastAsia" w:ascii="宋体" w:hAnsi="宋体"/>
          <w:b/>
          <w:bCs/>
          <w:color w:val="auto"/>
          <w:highlight w:val="none"/>
        </w:rPr>
        <w:t>备注：</w:t>
      </w:r>
      <w:r>
        <w:rPr>
          <w:rFonts w:ascii="宋体" w:hAnsi="宋体"/>
          <w:b/>
          <w:bCs/>
          <w:color w:val="auto"/>
          <w:highlight w:val="none"/>
        </w:rPr>
        <w:t xml:space="preserve">                                                                                                                                                                                                                                                                                                                                                                                                                                                                                                                                                                                                                                                                                                                                                                                                                                                                                                                                                                                                                                                                                                                                                                                                                                                                                                                                                                                                                                                                                                                                                                                                                                                                                                                                                                                                                                                                                                                                                                                                                                                                                                                                                                                                                                                                                                                                                                                                                                                                                                                                                                                                                                                                                                                                                                                                                                                                                                                                                                                                                                                                                                                                                                                                                         </w:t>
      </w:r>
    </w:p>
    <w:p w14:paraId="688CC2FC">
      <w:pPr>
        <w:spacing w:line="400" w:lineRule="exact"/>
        <w:rPr>
          <w:rFonts w:ascii="宋体"/>
          <w:color w:val="auto"/>
          <w:highlight w:val="none"/>
        </w:rPr>
      </w:pPr>
      <w:r>
        <w:rPr>
          <w:rFonts w:ascii="宋体" w:hAnsi="宋体"/>
          <w:color w:val="auto"/>
          <w:kern w:val="0"/>
          <w:highlight w:val="none"/>
        </w:rPr>
        <w:t>1</w:t>
      </w:r>
      <w:r>
        <w:rPr>
          <w:rFonts w:hint="eastAsia" w:ascii="宋体" w:hAnsi="宋体"/>
          <w:color w:val="auto"/>
          <w:kern w:val="0"/>
          <w:highlight w:val="none"/>
        </w:rPr>
        <w:t>.考核评分满分为</w:t>
      </w:r>
      <w:r>
        <w:rPr>
          <w:rFonts w:ascii="宋体" w:hAnsi="宋体"/>
          <w:color w:val="auto"/>
          <w:kern w:val="0"/>
          <w:highlight w:val="none"/>
        </w:rPr>
        <w:t>100</w:t>
      </w:r>
      <w:r>
        <w:rPr>
          <w:rFonts w:hint="eastAsia" w:ascii="宋体" w:hAnsi="宋体"/>
          <w:color w:val="auto"/>
          <w:kern w:val="0"/>
          <w:highlight w:val="none"/>
        </w:rPr>
        <w:t>分，</w:t>
      </w:r>
      <w:r>
        <w:rPr>
          <w:rFonts w:hint="eastAsia" w:ascii="宋体" w:hAnsi="宋体"/>
          <w:color w:val="auto"/>
          <w:highlight w:val="none"/>
        </w:rPr>
        <w:t>人员、养护内容及要求均列入考核范围，按要求进行考核</w:t>
      </w:r>
      <w:r>
        <w:rPr>
          <w:rFonts w:hint="eastAsia" w:ascii="宋体" w:hAnsi="宋体"/>
          <w:color w:val="auto"/>
          <w:kern w:val="0"/>
          <w:highlight w:val="none"/>
        </w:rPr>
        <w:t>。</w:t>
      </w:r>
    </w:p>
    <w:p w14:paraId="742DD45B">
      <w:pPr>
        <w:spacing w:line="400" w:lineRule="exact"/>
        <w:rPr>
          <w:rFonts w:hint="eastAsia" w:ascii="宋体" w:hAnsi="宋体"/>
          <w:color w:val="auto"/>
          <w:highlight w:val="none"/>
        </w:rPr>
      </w:pPr>
      <w:r>
        <w:rPr>
          <w:rFonts w:ascii="宋体" w:hAnsi="宋体"/>
          <w:color w:val="auto"/>
          <w:highlight w:val="none"/>
        </w:rPr>
        <w:t>2</w:t>
      </w:r>
      <w:r>
        <w:rPr>
          <w:rFonts w:hint="eastAsia" w:ascii="宋体" w:hAnsi="宋体"/>
          <w:color w:val="auto"/>
          <w:kern w:val="0"/>
          <w:highlight w:val="none"/>
        </w:rPr>
        <w:t>.</w:t>
      </w:r>
      <w:r>
        <w:rPr>
          <w:rFonts w:hint="eastAsia" w:ascii="宋体" w:hAnsi="宋体"/>
          <w:color w:val="auto"/>
          <w:highlight w:val="none"/>
        </w:rPr>
        <w:t>日常巡查、平时公园不定期抽查发现问题</w:t>
      </w:r>
      <w:r>
        <w:rPr>
          <w:rFonts w:hint="eastAsia" w:ascii="宋体" w:hAnsi="宋体"/>
          <w:color w:val="auto"/>
          <w:highlight w:val="none"/>
          <w:lang w:val="en-US" w:eastAsia="zh-CN"/>
        </w:rPr>
        <w:t>做</w:t>
      </w:r>
      <w:r>
        <w:rPr>
          <w:rFonts w:hint="eastAsia" w:ascii="宋体" w:hAnsi="宋体"/>
          <w:color w:val="auto"/>
          <w:highlight w:val="none"/>
        </w:rPr>
        <w:t>扣分处理，整改期限内同一地点同一事项不再重复扣分。不整改或不按时按质按量完成整改的，作双倍扣分处理并计入月度考核。</w:t>
      </w:r>
    </w:p>
    <w:p w14:paraId="6C81BA81">
      <w:pPr>
        <w:spacing w:line="400" w:lineRule="exact"/>
        <w:rPr>
          <w:color w:val="auto"/>
          <w:highlight w:val="none"/>
        </w:rPr>
      </w:pPr>
      <w:r>
        <w:rPr>
          <w:rFonts w:hint="eastAsia" w:ascii="宋体" w:hAnsi="宋体"/>
          <w:color w:val="auto"/>
          <w:highlight w:val="none"/>
        </w:rPr>
        <w:t>3.一般扣分情况整改期限规定：</w:t>
      </w:r>
    </w:p>
    <w:p w14:paraId="3129A8DD">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1</w:t>
      </w:r>
      <w:r>
        <w:rPr>
          <w:rFonts w:hint="eastAsia" w:ascii="宋体" w:hAnsi="宋体"/>
          <w:color w:val="auto"/>
          <w:highlight w:val="none"/>
        </w:rPr>
        <w:t>）违反作业规范、或违反安全操作规程、有安全隐患的情况立即整改；</w:t>
      </w:r>
    </w:p>
    <w:p w14:paraId="542F7386">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2</w:t>
      </w:r>
      <w:r>
        <w:rPr>
          <w:rFonts w:hint="eastAsia" w:ascii="宋体" w:hAnsi="宋体"/>
          <w:color w:val="auto"/>
          <w:highlight w:val="none"/>
        </w:rPr>
        <w:t>）黄土裸露整改时限为</w:t>
      </w:r>
      <w:r>
        <w:rPr>
          <w:color w:val="auto"/>
          <w:highlight w:val="none"/>
        </w:rPr>
        <w:t>1-7</w:t>
      </w:r>
      <w:r>
        <w:rPr>
          <w:rFonts w:hint="eastAsia" w:ascii="宋体" w:hAnsi="宋体"/>
          <w:color w:val="auto"/>
          <w:highlight w:val="none"/>
        </w:rPr>
        <w:t>天；</w:t>
      </w:r>
    </w:p>
    <w:p w14:paraId="5B57D88A">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3</w:t>
      </w:r>
      <w:r>
        <w:rPr>
          <w:rFonts w:hint="eastAsia" w:ascii="宋体" w:hAnsi="宋体"/>
          <w:color w:val="auto"/>
          <w:highlight w:val="none"/>
        </w:rPr>
        <w:t>）倒伏树木的整改时限为</w:t>
      </w:r>
      <w:r>
        <w:rPr>
          <w:color w:val="auto"/>
          <w:highlight w:val="none"/>
        </w:rPr>
        <w:t>1</w:t>
      </w:r>
      <w:r>
        <w:rPr>
          <w:rFonts w:hint="eastAsia" w:ascii="宋体" w:hAnsi="宋体"/>
          <w:color w:val="auto"/>
          <w:highlight w:val="none"/>
        </w:rPr>
        <w:t>天，但重要节点位置的，须立即整改；</w:t>
      </w:r>
    </w:p>
    <w:p w14:paraId="2AD34E97">
      <w:pPr>
        <w:spacing w:line="400" w:lineRule="exact"/>
        <w:ind w:firstLine="630" w:firstLineChars="300"/>
        <w:outlineLvl w:val="9"/>
        <w:rPr>
          <w:color w:val="auto"/>
          <w:highlight w:val="none"/>
        </w:rPr>
      </w:pPr>
      <w:r>
        <w:rPr>
          <w:rFonts w:hint="eastAsia" w:ascii="宋体" w:hAnsi="宋体"/>
          <w:color w:val="auto"/>
          <w:highlight w:val="none"/>
        </w:rPr>
        <w:t>（</w:t>
      </w:r>
      <w:r>
        <w:rPr>
          <w:color w:val="auto"/>
          <w:highlight w:val="none"/>
        </w:rPr>
        <w:t>4</w:t>
      </w:r>
      <w:r>
        <w:rPr>
          <w:rFonts w:hint="eastAsia" w:ascii="宋体" w:hAnsi="宋体"/>
          <w:color w:val="auto"/>
          <w:highlight w:val="none"/>
        </w:rPr>
        <w:t>）非自然倾斜树木、死株的整改时限为</w:t>
      </w:r>
      <w:r>
        <w:rPr>
          <w:color w:val="auto"/>
          <w:highlight w:val="none"/>
        </w:rPr>
        <w:t>1-5</w:t>
      </w:r>
      <w:r>
        <w:rPr>
          <w:rFonts w:hint="eastAsia" w:ascii="宋体" w:hAnsi="宋体"/>
          <w:color w:val="auto"/>
          <w:highlight w:val="none"/>
        </w:rPr>
        <w:t>天；</w:t>
      </w:r>
    </w:p>
    <w:p w14:paraId="25243635">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5</w:t>
      </w:r>
      <w:r>
        <w:rPr>
          <w:rFonts w:hint="eastAsia" w:ascii="宋体" w:hAnsi="宋体"/>
          <w:color w:val="auto"/>
          <w:highlight w:val="none"/>
        </w:rPr>
        <w:t>）杂草整改时限为</w:t>
      </w:r>
      <w:r>
        <w:rPr>
          <w:color w:val="auto"/>
          <w:highlight w:val="none"/>
        </w:rPr>
        <w:t>1-5</w:t>
      </w:r>
      <w:r>
        <w:rPr>
          <w:rFonts w:hint="eastAsia" w:ascii="宋体" w:hAnsi="宋体"/>
          <w:color w:val="auto"/>
          <w:highlight w:val="none"/>
        </w:rPr>
        <w:t>天；</w:t>
      </w:r>
    </w:p>
    <w:p w14:paraId="23F6E702">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6</w:t>
      </w:r>
      <w:r>
        <w:rPr>
          <w:rFonts w:hint="eastAsia" w:ascii="宋体" w:hAnsi="宋体"/>
          <w:color w:val="auto"/>
          <w:highlight w:val="none"/>
        </w:rPr>
        <w:t>）病虫害防治的整改时限为</w:t>
      </w:r>
      <w:r>
        <w:rPr>
          <w:color w:val="auto"/>
          <w:highlight w:val="none"/>
        </w:rPr>
        <w:t>1-3</w:t>
      </w:r>
      <w:r>
        <w:rPr>
          <w:rFonts w:hint="eastAsia" w:ascii="宋体" w:hAnsi="宋体"/>
          <w:color w:val="auto"/>
          <w:highlight w:val="none"/>
        </w:rPr>
        <w:t>天；</w:t>
      </w:r>
    </w:p>
    <w:p w14:paraId="3F652658">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7</w:t>
      </w:r>
      <w:r>
        <w:rPr>
          <w:rFonts w:hint="eastAsia" w:ascii="宋体" w:hAnsi="宋体"/>
          <w:color w:val="auto"/>
          <w:highlight w:val="none"/>
        </w:rPr>
        <w:t>）园林设施破损整改时限为</w:t>
      </w:r>
      <w:r>
        <w:rPr>
          <w:color w:val="auto"/>
          <w:highlight w:val="none"/>
        </w:rPr>
        <w:t>1-5</w:t>
      </w:r>
      <w:r>
        <w:rPr>
          <w:rFonts w:hint="eastAsia" w:ascii="宋体" w:hAnsi="宋体"/>
          <w:color w:val="auto"/>
          <w:highlight w:val="none"/>
        </w:rPr>
        <w:t>天；</w:t>
      </w:r>
    </w:p>
    <w:p w14:paraId="418D7901">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8</w:t>
      </w:r>
      <w:r>
        <w:rPr>
          <w:rFonts w:hint="eastAsia" w:ascii="宋体" w:hAnsi="宋体"/>
          <w:color w:val="auto"/>
          <w:highlight w:val="none"/>
        </w:rPr>
        <w:t>）水电设施损坏整改时限为</w:t>
      </w:r>
      <w:r>
        <w:rPr>
          <w:color w:val="auto"/>
          <w:highlight w:val="none"/>
        </w:rPr>
        <w:t>2</w:t>
      </w:r>
      <w:r>
        <w:rPr>
          <w:rFonts w:hint="eastAsia" w:ascii="宋体" w:hAnsi="宋体"/>
          <w:color w:val="auto"/>
          <w:highlight w:val="none"/>
        </w:rPr>
        <w:t>个小时至</w:t>
      </w:r>
      <w:r>
        <w:rPr>
          <w:color w:val="auto"/>
          <w:highlight w:val="none"/>
        </w:rPr>
        <w:t>1</w:t>
      </w:r>
      <w:r>
        <w:rPr>
          <w:rFonts w:hint="eastAsia" w:ascii="宋体" w:hAnsi="宋体"/>
          <w:color w:val="auto"/>
          <w:highlight w:val="none"/>
        </w:rPr>
        <w:t>天；</w:t>
      </w:r>
    </w:p>
    <w:p w14:paraId="0623B1A5">
      <w:pPr>
        <w:spacing w:line="400" w:lineRule="exact"/>
        <w:ind w:firstLine="630" w:firstLineChars="300"/>
        <w:rPr>
          <w:color w:val="auto"/>
          <w:highlight w:val="none"/>
        </w:rPr>
      </w:pPr>
      <w:r>
        <w:rPr>
          <w:rFonts w:hint="eastAsia" w:ascii="宋体" w:hAnsi="宋体"/>
          <w:color w:val="auto"/>
          <w:highlight w:val="none"/>
        </w:rPr>
        <w:t>（</w:t>
      </w:r>
      <w:r>
        <w:rPr>
          <w:color w:val="auto"/>
          <w:highlight w:val="none"/>
        </w:rPr>
        <w:t>9</w:t>
      </w:r>
      <w:r>
        <w:rPr>
          <w:rFonts w:hint="eastAsia" w:ascii="宋体" w:hAnsi="宋体"/>
          <w:color w:val="auto"/>
          <w:highlight w:val="none"/>
        </w:rPr>
        <w:t>）管理用房整改时限为</w:t>
      </w:r>
      <w:r>
        <w:rPr>
          <w:color w:val="auto"/>
          <w:highlight w:val="none"/>
        </w:rPr>
        <w:t>15</w:t>
      </w:r>
      <w:r>
        <w:rPr>
          <w:rFonts w:hint="eastAsia" w:ascii="宋体" w:hAnsi="宋体"/>
          <w:color w:val="auto"/>
          <w:highlight w:val="none"/>
        </w:rPr>
        <w:t>天。</w:t>
      </w:r>
    </w:p>
    <w:p w14:paraId="4A5F9B4E">
      <w:pPr>
        <w:spacing w:line="400" w:lineRule="exact"/>
        <w:rPr>
          <w:rFonts w:ascii="宋体"/>
          <w:color w:val="auto"/>
          <w:highlight w:val="none"/>
        </w:rPr>
      </w:pPr>
      <w:r>
        <w:rPr>
          <w:rFonts w:hint="eastAsia" w:ascii="宋体" w:hAnsi="宋体"/>
          <w:color w:val="auto"/>
          <w:highlight w:val="none"/>
        </w:rPr>
        <w:t>以上情况检查人员可视具体时间、具体路段及工作量适当调整。</w:t>
      </w:r>
    </w:p>
    <w:p w14:paraId="12343244">
      <w:pPr>
        <w:spacing w:line="400" w:lineRule="exact"/>
        <w:rPr>
          <w:rFonts w:ascii="宋体" w:hAnsi="宋体"/>
          <w:color w:val="auto"/>
          <w:highlight w:val="none"/>
        </w:rPr>
      </w:pPr>
      <w:r>
        <w:rPr>
          <w:rFonts w:hint="eastAsia" w:ascii="宋体" w:hAnsi="宋体"/>
          <w:color w:val="auto"/>
          <w:highlight w:val="none"/>
        </w:rPr>
        <w:t>4. 公园在对中标人的考核检查中发现的问题以通报表的形式发出后，中标人连续</w:t>
      </w:r>
      <w:r>
        <w:rPr>
          <w:rFonts w:ascii="宋体" w:hAnsi="宋体"/>
          <w:color w:val="auto"/>
          <w:highlight w:val="none"/>
        </w:rPr>
        <w:t>3</w:t>
      </w:r>
      <w:r>
        <w:rPr>
          <w:rFonts w:hint="eastAsia" w:ascii="宋体" w:hAnsi="宋体"/>
          <w:color w:val="auto"/>
          <w:highlight w:val="none"/>
        </w:rPr>
        <w:t>次或累计</w:t>
      </w:r>
      <w:r>
        <w:rPr>
          <w:rFonts w:ascii="宋体" w:hAnsi="宋体"/>
          <w:color w:val="auto"/>
          <w:highlight w:val="none"/>
        </w:rPr>
        <w:t>5</w:t>
      </w:r>
      <w:r>
        <w:rPr>
          <w:rFonts w:hint="eastAsia" w:ascii="宋体" w:hAnsi="宋体"/>
          <w:color w:val="auto"/>
          <w:highlight w:val="none"/>
        </w:rPr>
        <w:t>次未按考核情况通报表要求整改的，公园有权单方面解除合同。</w:t>
      </w:r>
    </w:p>
    <w:p w14:paraId="53106001">
      <w:pPr>
        <w:rPr>
          <w:rFonts w:hint="default" w:ascii="黑体" w:hAnsi="黑体" w:eastAsia="黑体" w:cs="宋体"/>
          <w:bCs/>
          <w:color w:val="auto"/>
          <w:sz w:val="30"/>
          <w:szCs w:val="30"/>
          <w:highlight w:val="none"/>
          <w:lang w:val="en-US" w:eastAsia="zh-CN"/>
        </w:rPr>
      </w:pPr>
      <w:r>
        <w:rPr>
          <w:rFonts w:ascii="宋体" w:hAnsi="宋体"/>
          <w:color w:val="auto"/>
          <w:highlight w:val="none"/>
        </w:rPr>
        <w:br w:type="page"/>
      </w:r>
      <w:r>
        <w:rPr>
          <w:rFonts w:hint="eastAsia" w:ascii="宋体" w:hAnsi="宋体" w:eastAsia="宋体" w:cs="宋体"/>
          <w:b/>
          <w:bCs w:val="0"/>
          <w:color w:val="auto"/>
          <w:sz w:val="28"/>
          <w:szCs w:val="28"/>
          <w:highlight w:val="none"/>
        </w:rPr>
        <w:t>附件</w:t>
      </w:r>
      <w:r>
        <w:rPr>
          <w:rFonts w:hint="eastAsia" w:ascii="宋体" w:hAnsi="宋体" w:eastAsia="宋体" w:cs="宋体"/>
          <w:b/>
          <w:bCs w:val="0"/>
          <w:color w:val="auto"/>
          <w:sz w:val="28"/>
          <w:szCs w:val="28"/>
          <w:highlight w:val="none"/>
          <w:lang w:val="en-US" w:eastAsia="zh-CN"/>
        </w:rPr>
        <w:t>4-2-2</w:t>
      </w:r>
    </w:p>
    <w:p w14:paraId="3DC45591">
      <w:pPr>
        <w:jc w:val="center"/>
        <w:rPr>
          <w:rFonts w:ascii="宋体"/>
          <w:b/>
          <w:bCs/>
          <w:color w:val="auto"/>
          <w:sz w:val="32"/>
          <w:szCs w:val="32"/>
          <w:highlight w:val="none"/>
        </w:rPr>
      </w:pPr>
      <w:r>
        <w:rPr>
          <w:rFonts w:hint="eastAsia" w:ascii="宋体" w:hAnsi="宋体"/>
          <w:b/>
          <w:bCs/>
          <w:color w:val="auto"/>
          <w:sz w:val="32"/>
          <w:szCs w:val="32"/>
          <w:highlight w:val="none"/>
        </w:rPr>
        <w:t>南宁市石门公园绿化养护日常检查记录表</w:t>
      </w:r>
    </w:p>
    <w:p w14:paraId="775BBE73">
      <w:pPr>
        <w:ind w:left="-3" w:leftChars="-257" w:hanging="537" w:hangingChars="192"/>
        <w:rPr>
          <w:rFonts w:ascii="宋体"/>
          <w:color w:val="auto"/>
          <w:sz w:val="28"/>
          <w:szCs w:val="28"/>
          <w:highlight w:val="none"/>
        </w:rPr>
      </w:pPr>
      <w:r>
        <w:rPr>
          <w:rFonts w:ascii="宋体" w:hAnsi="宋体"/>
          <w:color w:val="auto"/>
          <w:sz w:val="28"/>
          <w:szCs w:val="28"/>
          <w:highlight w:val="none"/>
        </w:rPr>
        <w:t xml:space="preserve">                                             </w:t>
      </w:r>
      <w:r>
        <w:rPr>
          <w:rFonts w:hint="eastAsia" w:ascii="宋体" w:hAnsi="宋体"/>
          <w:color w:val="auto"/>
          <w:sz w:val="28"/>
          <w:szCs w:val="28"/>
          <w:highlight w:val="none"/>
        </w:rPr>
        <w:t>年</w:t>
      </w:r>
      <w:r>
        <w:rPr>
          <w:rFonts w:ascii="宋体" w:hAnsi="宋体"/>
          <w:color w:val="auto"/>
          <w:sz w:val="28"/>
          <w:szCs w:val="28"/>
          <w:highlight w:val="none"/>
        </w:rPr>
        <w:t xml:space="preserve">    </w:t>
      </w:r>
      <w:r>
        <w:rPr>
          <w:rFonts w:hint="eastAsia" w:ascii="宋体" w:hAnsi="宋体"/>
          <w:color w:val="auto"/>
          <w:sz w:val="28"/>
          <w:szCs w:val="28"/>
          <w:highlight w:val="none"/>
        </w:rPr>
        <w:t>月</w:t>
      </w:r>
      <w:r>
        <w:rPr>
          <w:rFonts w:ascii="宋体" w:hAnsi="宋体"/>
          <w:color w:val="auto"/>
          <w:sz w:val="28"/>
          <w:szCs w:val="28"/>
          <w:highlight w:val="none"/>
        </w:rPr>
        <w:t xml:space="preserve">   </w:t>
      </w:r>
      <w:r>
        <w:rPr>
          <w:rFonts w:hint="eastAsia" w:ascii="宋体" w:hAnsi="宋体"/>
          <w:color w:val="auto"/>
          <w:sz w:val="28"/>
          <w:szCs w:val="28"/>
          <w:highlight w:val="none"/>
        </w:rPr>
        <w:t>日</w:t>
      </w:r>
      <w:r>
        <w:rPr>
          <w:rFonts w:ascii="宋体" w:hAnsi="宋体"/>
          <w:color w:val="auto"/>
          <w:sz w:val="28"/>
          <w:szCs w:val="28"/>
          <w:highlight w:val="none"/>
        </w:rPr>
        <w:t xml:space="preserve">                  </w:t>
      </w:r>
    </w:p>
    <w:tbl>
      <w:tblPr>
        <w:tblStyle w:val="22"/>
        <w:tblW w:w="9911" w:type="dxa"/>
        <w:tblInd w:w="-143" w:type="dxa"/>
        <w:tblLayout w:type="fixed"/>
        <w:tblCellMar>
          <w:top w:w="0" w:type="dxa"/>
          <w:left w:w="108" w:type="dxa"/>
          <w:bottom w:w="0" w:type="dxa"/>
          <w:right w:w="108" w:type="dxa"/>
        </w:tblCellMar>
      </w:tblPr>
      <w:tblGrid>
        <w:gridCol w:w="888"/>
        <w:gridCol w:w="3458"/>
        <w:gridCol w:w="735"/>
        <w:gridCol w:w="1260"/>
        <w:gridCol w:w="1155"/>
        <w:gridCol w:w="2415"/>
      </w:tblGrid>
      <w:tr w14:paraId="33BBAA94">
        <w:tblPrEx>
          <w:tblCellMar>
            <w:top w:w="0" w:type="dxa"/>
            <w:left w:w="108" w:type="dxa"/>
            <w:bottom w:w="0" w:type="dxa"/>
            <w:right w:w="108" w:type="dxa"/>
          </w:tblCellMar>
        </w:tblPrEx>
        <w:tc>
          <w:tcPr>
            <w:tcW w:w="888" w:type="dxa"/>
            <w:tcBorders>
              <w:top w:val="single" w:color="auto" w:sz="4" w:space="0"/>
              <w:left w:val="single" w:color="auto" w:sz="4" w:space="0"/>
              <w:bottom w:val="single" w:color="auto" w:sz="4" w:space="0"/>
              <w:right w:val="single" w:color="auto" w:sz="4" w:space="0"/>
            </w:tcBorders>
            <w:noWrap w:val="0"/>
            <w:vAlign w:val="center"/>
          </w:tcPr>
          <w:p w14:paraId="2F9A2059">
            <w:pPr>
              <w:jc w:val="center"/>
              <w:rPr>
                <w:rFonts w:ascii="宋体"/>
                <w:color w:val="auto"/>
                <w:highlight w:val="none"/>
              </w:rPr>
            </w:pPr>
            <w:r>
              <w:rPr>
                <w:rFonts w:hint="eastAsia" w:ascii="宋体" w:hAnsi="宋体"/>
                <w:color w:val="auto"/>
                <w:highlight w:val="none"/>
              </w:rPr>
              <w:t>日期</w:t>
            </w:r>
          </w:p>
        </w:tc>
        <w:tc>
          <w:tcPr>
            <w:tcW w:w="3458" w:type="dxa"/>
            <w:tcBorders>
              <w:top w:val="single" w:color="auto" w:sz="4" w:space="0"/>
              <w:left w:val="nil"/>
              <w:bottom w:val="single" w:color="auto" w:sz="4" w:space="0"/>
              <w:right w:val="single" w:color="auto" w:sz="4" w:space="0"/>
            </w:tcBorders>
            <w:noWrap w:val="0"/>
            <w:vAlign w:val="center"/>
          </w:tcPr>
          <w:p w14:paraId="12A02196">
            <w:pPr>
              <w:jc w:val="center"/>
              <w:rPr>
                <w:rFonts w:ascii="宋体"/>
                <w:color w:val="auto"/>
                <w:highlight w:val="none"/>
              </w:rPr>
            </w:pPr>
            <w:r>
              <w:rPr>
                <w:rFonts w:hint="eastAsia" w:ascii="宋体" w:hAnsi="宋体"/>
                <w:color w:val="auto"/>
                <w:highlight w:val="none"/>
              </w:rPr>
              <w:t>存在问题及发生地点</w:t>
            </w:r>
          </w:p>
        </w:tc>
        <w:tc>
          <w:tcPr>
            <w:tcW w:w="735" w:type="dxa"/>
            <w:tcBorders>
              <w:top w:val="single" w:color="auto" w:sz="4" w:space="0"/>
              <w:left w:val="nil"/>
              <w:bottom w:val="single" w:color="auto" w:sz="4" w:space="0"/>
              <w:right w:val="single" w:color="auto" w:sz="4" w:space="0"/>
            </w:tcBorders>
            <w:noWrap w:val="0"/>
            <w:vAlign w:val="center"/>
          </w:tcPr>
          <w:p w14:paraId="5957621A">
            <w:pPr>
              <w:jc w:val="center"/>
              <w:rPr>
                <w:rFonts w:ascii="宋体"/>
                <w:color w:val="auto"/>
                <w:highlight w:val="none"/>
              </w:rPr>
            </w:pPr>
            <w:r>
              <w:rPr>
                <w:rFonts w:hint="eastAsia" w:ascii="宋体" w:hAnsi="宋体"/>
                <w:color w:val="auto"/>
                <w:highlight w:val="none"/>
              </w:rPr>
              <w:t>扣分</w:t>
            </w:r>
          </w:p>
        </w:tc>
        <w:tc>
          <w:tcPr>
            <w:tcW w:w="1260" w:type="dxa"/>
            <w:tcBorders>
              <w:top w:val="single" w:color="auto" w:sz="4" w:space="0"/>
              <w:left w:val="nil"/>
              <w:bottom w:val="single" w:color="auto" w:sz="4" w:space="0"/>
              <w:right w:val="single" w:color="auto" w:sz="4" w:space="0"/>
            </w:tcBorders>
            <w:noWrap w:val="0"/>
            <w:vAlign w:val="center"/>
          </w:tcPr>
          <w:p w14:paraId="73E98379">
            <w:pPr>
              <w:jc w:val="center"/>
              <w:rPr>
                <w:rFonts w:ascii="宋体"/>
                <w:color w:val="auto"/>
                <w:highlight w:val="none"/>
              </w:rPr>
            </w:pPr>
            <w:r>
              <w:rPr>
                <w:rFonts w:hint="eastAsia" w:ascii="宋体" w:hAnsi="宋体"/>
                <w:color w:val="auto"/>
                <w:highlight w:val="none"/>
              </w:rPr>
              <w:t>公园检查人员签名</w:t>
            </w:r>
          </w:p>
        </w:tc>
        <w:tc>
          <w:tcPr>
            <w:tcW w:w="1155" w:type="dxa"/>
            <w:tcBorders>
              <w:top w:val="single" w:color="auto" w:sz="4" w:space="0"/>
              <w:left w:val="nil"/>
              <w:bottom w:val="single" w:color="auto" w:sz="4" w:space="0"/>
              <w:right w:val="single" w:color="auto" w:sz="4" w:space="0"/>
            </w:tcBorders>
            <w:noWrap w:val="0"/>
            <w:vAlign w:val="top"/>
          </w:tcPr>
          <w:p w14:paraId="5B6E1D42">
            <w:pPr>
              <w:jc w:val="center"/>
              <w:rPr>
                <w:rFonts w:ascii="宋体"/>
                <w:color w:val="auto"/>
                <w:highlight w:val="none"/>
              </w:rPr>
            </w:pPr>
            <w:r>
              <w:rPr>
                <w:rFonts w:hint="eastAsia" w:ascii="宋体" w:hAnsi="宋体"/>
                <w:color w:val="auto"/>
                <w:highlight w:val="none"/>
              </w:rPr>
              <w:t>乙方管理人员签名</w:t>
            </w:r>
          </w:p>
        </w:tc>
        <w:tc>
          <w:tcPr>
            <w:tcW w:w="2415" w:type="dxa"/>
            <w:tcBorders>
              <w:top w:val="single" w:color="auto" w:sz="4" w:space="0"/>
              <w:left w:val="nil"/>
              <w:bottom w:val="single" w:color="auto" w:sz="4" w:space="0"/>
              <w:right w:val="single" w:color="auto" w:sz="4" w:space="0"/>
            </w:tcBorders>
            <w:noWrap w:val="0"/>
            <w:vAlign w:val="top"/>
          </w:tcPr>
          <w:p w14:paraId="7D8D6DF8">
            <w:pPr>
              <w:jc w:val="center"/>
              <w:rPr>
                <w:rFonts w:ascii="宋体"/>
                <w:color w:val="auto"/>
                <w:highlight w:val="none"/>
              </w:rPr>
            </w:pPr>
            <w:r>
              <w:rPr>
                <w:rFonts w:hint="eastAsia" w:ascii="宋体" w:hAnsi="宋体"/>
                <w:color w:val="auto"/>
                <w:highlight w:val="none"/>
              </w:rPr>
              <w:t>整改完成情况及时间</w:t>
            </w:r>
          </w:p>
        </w:tc>
      </w:tr>
      <w:tr w14:paraId="70853D3A">
        <w:tblPrEx>
          <w:tblCellMar>
            <w:top w:w="0" w:type="dxa"/>
            <w:left w:w="108" w:type="dxa"/>
            <w:bottom w:w="0" w:type="dxa"/>
            <w:right w:w="108" w:type="dxa"/>
          </w:tblCellMar>
        </w:tblPrEx>
        <w:trPr>
          <w:trHeight w:val="99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80DBC1C">
            <w:pPr>
              <w:jc w:val="center"/>
              <w:rPr>
                <w:rFonts w:ascii="宋体"/>
                <w:color w:val="auto"/>
                <w:highlight w:val="none"/>
              </w:rPr>
            </w:pPr>
            <w:r>
              <w:rPr>
                <w:rFonts w:ascii="宋体" w:hAnsi="宋体"/>
                <w:color w:val="auto"/>
                <w:highlight w:val="none"/>
              </w:rPr>
              <w:t>1</w:t>
            </w:r>
          </w:p>
        </w:tc>
        <w:tc>
          <w:tcPr>
            <w:tcW w:w="3458" w:type="dxa"/>
            <w:tcBorders>
              <w:top w:val="single" w:color="auto" w:sz="4" w:space="0"/>
              <w:left w:val="nil"/>
              <w:bottom w:val="single" w:color="auto" w:sz="4" w:space="0"/>
              <w:right w:val="single" w:color="auto" w:sz="4" w:space="0"/>
            </w:tcBorders>
            <w:noWrap w:val="0"/>
            <w:vAlign w:val="center"/>
          </w:tcPr>
          <w:p w14:paraId="282C03F4">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0BE3DE03">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05C83CF6">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652893D1">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36B68203">
            <w:pPr>
              <w:rPr>
                <w:rFonts w:ascii="宋体"/>
                <w:color w:val="auto"/>
                <w:highlight w:val="none"/>
              </w:rPr>
            </w:pPr>
          </w:p>
        </w:tc>
      </w:tr>
      <w:tr w14:paraId="69AF07DF">
        <w:tblPrEx>
          <w:tblCellMar>
            <w:top w:w="0" w:type="dxa"/>
            <w:left w:w="108" w:type="dxa"/>
            <w:bottom w:w="0" w:type="dxa"/>
            <w:right w:w="108" w:type="dxa"/>
          </w:tblCellMar>
        </w:tblPrEx>
        <w:trPr>
          <w:trHeight w:val="961"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5FB07AB5">
            <w:pPr>
              <w:jc w:val="center"/>
              <w:rPr>
                <w:rFonts w:ascii="宋体"/>
                <w:color w:val="auto"/>
                <w:highlight w:val="none"/>
              </w:rPr>
            </w:pPr>
            <w:r>
              <w:rPr>
                <w:rFonts w:ascii="宋体" w:hAnsi="宋体"/>
                <w:color w:val="auto"/>
                <w:highlight w:val="none"/>
              </w:rPr>
              <w:t>2</w:t>
            </w:r>
          </w:p>
        </w:tc>
        <w:tc>
          <w:tcPr>
            <w:tcW w:w="3458" w:type="dxa"/>
            <w:tcBorders>
              <w:top w:val="single" w:color="auto" w:sz="4" w:space="0"/>
              <w:left w:val="nil"/>
              <w:bottom w:val="single" w:color="auto" w:sz="4" w:space="0"/>
              <w:right w:val="single" w:color="auto" w:sz="4" w:space="0"/>
            </w:tcBorders>
            <w:noWrap w:val="0"/>
            <w:vAlign w:val="center"/>
          </w:tcPr>
          <w:p w14:paraId="77D75EF1">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0D16964E">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534610BA">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0F435B7E">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04F027AD">
            <w:pPr>
              <w:rPr>
                <w:rFonts w:ascii="宋体"/>
                <w:color w:val="auto"/>
                <w:highlight w:val="none"/>
              </w:rPr>
            </w:pPr>
          </w:p>
        </w:tc>
      </w:tr>
      <w:tr w14:paraId="2379DB1E">
        <w:tblPrEx>
          <w:tblCellMar>
            <w:top w:w="0" w:type="dxa"/>
            <w:left w:w="108" w:type="dxa"/>
            <w:bottom w:w="0" w:type="dxa"/>
            <w:right w:w="108" w:type="dxa"/>
          </w:tblCellMar>
        </w:tblPrEx>
        <w:trPr>
          <w:trHeight w:val="999"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CC0F56C">
            <w:pPr>
              <w:jc w:val="center"/>
              <w:rPr>
                <w:rFonts w:ascii="宋体"/>
                <w:color w:val="auto"/>
                <w:highlight w:val="none"/>
              </w:rPr>
            </w:pPr>
            <w:r>
              <w:rPr>
                <w:rFonts w:ascii="宋体" w:hAnsi="宋体"/>
                <w:color w:val="auto"/>
                <w:highlight w:val="none"/>
              </w:rPr>
              <w:t>3</w:t>
            </w:r>
          </w:p>
        </w:tc>
        <w:tc>
          <w:tcPr>
            <w:tcW w:w="3458" w:type="dxa"/>
            <w:tcBorders>
              <w:top w:val="single" w:color="auto" w:sz="4" w:space="0"/>
              <w:left w:val="nil"/>
              <w:bottom w:val="single" w:color="auto" w:sz="4" w:space="0"/>
              <w:right w:val="single" w:color="auto" w:sz="4" w:space="0"/>
            </w:tcBorders>
            <w:noWrap w:val="0"/>
            <w:vAlign w:val="center"/>
          </w:tcPr>
          <w:p w14:paraId="1AE4D669">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3718ED46">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26EFFE69">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5A4A3ADC">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46868FF5">
            <w:pPr>
              <w:rPr>
                <w:rFonts w:ascii="宋体"/>
                <w:color w:val="auto"/>
                <w:highlight w:val="none"/>
              </w:rPr>
            </w:pPr>
          </w:p>
        </w:tc>
      </w:tr>
      <w:tr w14:paraId="1AF561E1">
        <w:tblPrEx>
          <w:tblCellMar>
            <w:top w:w="0" w:type="dxa"/>
            <w:left w:w="108" w:type="dxa"/>
            <w:bottom w:w="0" w:type="dxa"/>
            <w:right w:w="108" w:type="dxa"/>
          </w:tblCellMar>
        </w:tblPrEx>
        <w:trPr>
          <w:trHeight w:val="1036"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89898F7">
            <w:pPr>
              <w:jc w:val="center"/>
              <w:rPr>
                <w:rFonts w:ascii="宋体"/>
                <w:color w:val="auto"/>
                <w:highlight w:val="none"/>
              </w:rPr>
            </w:pPr>
            <w:r>
              <w:rPr>
                <w:rFonts w:ascii="宋体" w:hAnsi="宋体"/>
                <w:color w:val="auto"/>
                <w:highlight w:val="none"/>
              </w:rPr>
              <w:t>4</w:t>
            </w:r>
          </w:p>
        </w:tc>
        <w:tc>
          <w:tcPr>
            <w:tcW w:w="3458" w:type="dxa"/>
            <w:tcBorders>
              <w:top w:val="single" w:color="auto" w:sz="4" w:space="0"/>
              <w:left w:val="nil"/>
              <w:bottom w:val="single" w:color="auto" w:sz="4" w:space="0"/>
              <w:right w:val="single" w:color="auto" w:sz="4" w:space="0"/>
            </w:tcBorders>
            <w:noWrap w:val="0"/>
            <w:vAlign w:val="center"/>
          </w:tcPr>
          <w:p w14:paraId="59B3236B">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1362EAF9">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540D855E">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0886A9E5">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04758158">
            <w:pPr>
              <w:rPr>
                <w:rFonts w:ascii="宋体"/>
                <w:color w:val="auto"/>
                <w:highlight w:val="none"/>
              </w:rPr>
            </w:pPr>
          </w:p>
        </w:tc>
      </w:tr>
      <w:tr w14:paraId="4FB0BCD3">
        <w:tblPrEx>
          <w:tblCellMar>
            <w:top w:w="0" w:type="dxa"/>
            <w:left w:w="108" w:type="dxa"/>
            <w:bottom w:w="0" w:type="dxa"/>
            <w:right w:w="108" w:type="dxa"/>
          </w:tblCellMar>
        </w:tblPrEx>
        <w:trPr>
          <w:trHeight w:val="1055"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DCA9131">
            <w:pPr>
              <w:jc w:val="center"/>
              <w:rPr>
                <w:rFonts w:ascii="宋体"/>
                <w:color w:val="auto"/>
                <w:highlight w:val="none"/>
              </w:rPr>
            </w:pPr>
            <w:r>
              <w:rPr>
                <w:rFonts w:ascii="宋体" w:hAnsi="宋体"/>
                <w:color w:val="auto"/>
                <w:highlight w:val="none"/>
              </w:rPr>
              <w:t>5</w:t>
            </w:r>
          </w:p>
        </w:tc>
        <w:tc>
          <w:tcPr>
            <w:tcW w:w="3458" w:type="dxa"/>
            <w:tcBorders>
              <w:top w:val="single" w:color="auto" w:sz="4" w:space="0"/>
              <w:left w:val="nil"/>
              <w:bottom w:val="single" w:color="auto" w:sz="4" w:space="0"/>
              <w:right w:val="single" w:color="auto" w:sz="4" w:space="0"/>
            </w:tcBorders>
            <w:noWrap w:val="0"/>
            <w:vAlign w:val="center"/>
          </w:tcPr>
          <w:p w14:paraId="0231B87F">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7D004EC6">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41BFE571">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23E2858E">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68F9EE12">
            <w:pPr>
              <w:rPr>
                <w:rFonts w:ascii="宋体"/>
                <w:color w:val="auto"/>
                <w:highlight w:val="none"/>
              </w:rPr>
            </w:pPr>
          </w:p>
        </w:tc>
      </w:tr>
      <w:tr w14:paraId="234CDB13">
        <w:tblPrEx>
          <w:tblCellMar>
            <w:top w:w="0" w:type="dxa"/>
            <w:left w:w="108" w:type="dxa"/>
            <w:bottom w:w="0" w:type="dxa"/>
            <w:right w:w="108" w:type="dxa"/>
          </w:tblCellMar>
        </w:tblPrEx>
        <w:trPr>
          <w:trHeight w:val="1074"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27CD1EBF">
            <w:pPr>
              <w:jc w:val="center"/>
              <w:rPr>
                <w:rFonts w:ascii="宋体"/>
                <w:color w:val="auto"/>
                <w:highlight w:val="none"/>
              </w:rPr>
            </w:pPr>
            <w:r>
              <w:rPr>
                <w:rFonts w:ascii="宋体" w:hAnsi="宋体"/>
                <w:color w:val="auto"/>
                <w:highlight w:val="none"/>
              </w:rPr>
              <w:t>6</w:t>
            </w:r>
          </w:p>
        </w:tc>
        <w:tc>
          <w:tcPr>
            <w:tcW w:w="3458" w:type="dxa"/>
            <w:tcBorders>
              <w:top w:val="single" w:color="auto" w:sz="4" w:space="0"/>
              <w:left w:val="nil"/>
              <w:bottom w:val="single" w:color="auto" w:sz="4" w:space="0"/>
              <w:right w:val="single" w:color="auto" w:sz="4" w:space="0"/>
            </w:tcBorders>
            <w:noWrap w:val="0"/>
            <w:vAlign w:val="center"/>
          </w:tcPr>
          <w:p w14:paraId="61519B2B">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2705E117">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6CF4A4D6">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4B8B162A">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6877E65F">
            <w:pPr>
              <w:rPr>
                <w:rFonts w:ascii="宋体"/>
                <w:color w:val="auto"/>
                <w:highlight w:val="none"/>
              </w:rPr>
            </w:pPr>
          </w:p>
        </w:tc>
      </w:tr>
      <w:tr w14:paraId="7B17FA2A">
        <w:tblPrEx>
          <w:tblCellMar>
            <w:top w:w="0" w:type="dxa"/>
            <w:left w:w="108" w:type="dxa"/>
            <w:bottom w:w="0" w:type="dxa"/>
            <w:right w:w="108" w:type="dxa"/>
          </w:tblCellMar>
        </w:tblPrEx>
        <w:trPr>
          <w:trHeight w:val="1140"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4ADEFD1">
            <w:pPr>
              <w:jc w:val="center"/>
              <w:rPr>
                <w:rFonts w:ascii="宋体" w:hAnsi="宋体"/>
                <w:color w:val="auto"/>
                <w:highlight w:val="none"/>
              </w:rPr>
            </w:pPr>
            <w:r>
              <w:rPr>
                <w:rFonts w:hint="eastAsia" w:ascii="宋体" w:hAnsi="宋体"/>
                <w:color w:val="auto"/>
                <w:highlight w:val="none"/>
              </w:rPr>
              <w:t>7</w:t>
            </w:r>
          </w:p>
        </w:tc>
        <w:tc>
          <w:tcPr>
            <w:tcW w:w="3458" w:type="dxa"/>
            <w:tcBorders>
              <w:top w:val="single" w:color="auto" w:sz="4" w:space="0"/>
              <w:left w:val="nil"/>
              <w:bottom w:val="single" w:color="auto" w:sz="4" w:space="0"/>
              <w:right w:val="single" w:color="auto" w:sz="4" w:space="0"/>
            </w:tcBorders>
            <w:noWrap w:val="0"/>
            <w:vAlign w:val="center"/>
          </w:tcPr>
          <w:p w14:paraId="2E119E4F">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2E35439D">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14483FA6">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26056E9A">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51AFD05E">
            <w:pPr>
              <w:rPr>
                <w:rFonts w:ascii="宋体"/>
                <w:color w:val="auto"/>
                <w:highlight w:val="none"/>
              </w:rPr>
            </w:pPr>
          </w:p>
        </w:tc>
      </w:tr>
      <w:tr w14:paraId="0C3C4A84">
        <w:trPr>
          <w:trHeight w:val="1140"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44BC7D1D">
            <w:pPr>
              <w:jc w:val="center"/>
              <w:rPr>
                <w:rFonts w:ascii="宋体" w:hAnsi="宋体"/>
                <w:color w:val="auto"/>
                <w:highlight w:val="none"/>
              </w:rPr>
            </w:pPr>
            <w:r>
              <w:rPr>
                <w:rFonts w:hint="eastAsia" w:ascii="宋体" w:hAnsi="宋体"/>
                <w:color w:val="auto"/>
                <w:highlight w:val="none"/>
              </w:rPr>
              <w:t>8</w:t>
            </w:r>
          </w:p>
        </w:tc>
        <w:tc>
          <w:tcPr>
            <w:tcW w:w="3458" w:type="dxa"/>
            <w:tcBorders>
              <w:top w:val="single" w:color="auto" w:sz="4" w:space="0"/>
              <w:left w:val="nil"/>
              <w:bottom w:val="single" w:color="auto" w:sz="4" w:space="0"/>
              <w:right w:val="single" w:color="auto" w:sz="4" w:space="0"/>
            </w:tcBorders>
            <w:noWrap w:val="0"/>
            <w:vAlign w:val="center"/>
          </w:tcPr>
          <w:p w14:paraId="2E7D0F30">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38CBCAD3">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0A3D48EF">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5F0D7AA4">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6A5A05B2">
            <w:pPr>
              <w:rPr>
                <w:rFonts w:ascii="宋体"/>
                <w:color w:val="auto"/>
                <w:highlight w:val="none"/>
              </w:rPr>
            </w:pPr>
          </w:p>
        </w:tc>
      </w:tr>
      <w:tr w14:paraId="69049285">
        <w:tblPrEx>
          <w:tblCellMar>
            <w:top w:w="0" w:type="dxa"/>
            <w:left w:w="108" w:type="dxa"/>
            <w:bottom w:w="0" w:type="dxa"/>
            <w:right w:w="108" w:type="dxa"/>
          </w:tblCellMar>
        </w:tblPrEx>
        <w:trPr>
          <w:trHeight w:val="1140"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7E4C9E30">
            <w:pPr>
              <w:jc w:val="center"/>
              <w:rPr>
                <w:rFonts w:ascii="宋体" w:hAnsi="宋体"/>
                <w:color w:val="auto"/>
                <w:highlight w:val="none"/>
              </w:rPr>
            </w:pPr>
            <w:r>
              <w:rPr>
                <w:rFonts w:hint="eastAsia" w:ascii="宋体" w:hAnsi="宋体"/>
                <w:color w:val="auto"/>
                <w:highlight w:val="none"/>
              </w:rPr>
              <w:t>9</w:t>
            </w:r>
          </w:p>
        </w:tc>
        <w:tc>
          <w:tcPr>
            <w:tcW w:w="3458" w:type="dxa"/>
            <w:tcBorders>
              <w:top w:val="single" w:color="auto" w:sz="4" w:space="0"/>
              <w:left w:val="nil"/>
              <w:bottom w:val="single" w:color="auto" w:sz="4" w:space="0"/>
              <w:right w:val="single" w:color="auto" w:sz="4" w:space="0"/>
            </w:tcBorders>
            <w:noWrap w:val="0"/>
            <w:vAlign w:val="center"/>
          </w:tcPr>
          <w:p w14:paraId="07026524">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31E458CB">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3E184F12">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5EB0CC2F">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04FF9C74">
            <w:pPr>
              <w:rPr>
                <w:rFonts w:ascii="宋体"/>
                <w:color w:val="auto"/>
                <w:highlight w:val="none"/>
              </w:rPr>
            </w:pPr>
          </w:p>
        </w:tc>
      </w:tr>
      <w:tr w14:paraId="36A691AF">
        <w:tblPrEx>
          <w:tblCellMar>
            <w:top w:w="0" w:type="dxa"/>
            <w:left w:w="108" w:type="dxa"/>
            <w:bottom w:w="0" w:type="dxa"/>
            <w:right w:w="108" w:type="dxa"/>
          </w:tblCellMar>
        </w:tblPrEx>
        <w:trPr>
          <w:trHeight w:val="1140" w:hRule="atLeast"/>
        </w:trPr>
        <w:tc>
          <w:tcPr>
            <w:tcW w:w="888" w:type="dxa"/>
            <w:tcBorders>
              <w:top w:val="single" w:color="auto" w:sz="4" w:space="0"/>
              <w:left w:val="single" w:color="auto" w:sz="4" w:space="0"/>
              <w:bottom w:val="single" w:color="auto" w:sz="4" w:space="0"/>
              <w:right w:val="single" w:color="auto" w:sz="4" w:space="0"/>
            </w:tcBorders>
            <w:noWrap w:val="0"/>
            <w:vAlign w:val="center"/>
          </w:tcPr>
          <w:p w14:paraId="1498888D">
            <w:pPr>
              <w:jc w:val="center"/>
              <w:rPr>
                <w:rFonts w:ascii="宋体"/>
                <w:color w:val="auto"/>
                <w:highlight w:val="none"/>
              </w:rPr>
            </w:pPr>
            <w:r>
              <w:rPr>
                <w:rFonts w:hint="eastAsia" w:ascii="宋体" w:hAnsi="宋体"/>
                <w:color w:val="auto"/>
                <w:highlight w:val="none"/>
              </w:rPr>
              <w:t>10</w:t>
            </w:r>
          </w:p>
        </w:tc>
        <w:tc>
          <w:tcPr>
            <w:tcW w:w="3458" w:type="dxa"/>
            <w:tcBorders>
              <w:top w:val="single" w:color="auto" w:sz="4" w:space="0"/>
              <w:left w:val="nil"/>
              <w:bottom w:val="single" w:color="auto" w:sz="4" w:space="0"/>
              <w:right w:val="single" w:color="auto" w:sz="4" w:space="0"/>
            </w:tcBorders>
            <w:noWrap w:val="0"/>
            <w:vAlign w:val="center"/>
          </w:tcPr>
          <w:p w14:paraId="20F1B8E7">
            <w:pPr>
              <w:jc w:val="center"/>
              <w:rPr>
                <w:rFonts w:ascii="宋体"/>
                <w:color w:val="auto"/>
                <w:highlight w:val="none"/>
              </w:rPr>
            </w:pPr>
          </w:p>
        </w:tc>
        <w:tc>
          <w:tcPr>
            <w:tcW w:w="735" w:type="dxa"/>
            <w:tcBorders>
              <w:top w:val="single" w:color="auto" w:sz="4" w:space="0"/>
              <w:left w:val="nil"/>
              <w:bottom w:val="single" w:color="auto" w:sz="4" w:space="0"/>
              <w:right w:val="single" w:color="auto" w:sz="4" w:space="0"/>
            </w:tcBorders>
            <w:noWrap w:val="0"/>
            <w:vAlign w:val="center"/>
          </w:tcPr>
          <w:p w14:paraId="4D48F574">
            <w:pPr>
              <w:jc w:val="center"/>
              <w:rPr>
                <w:rFonts w:ascii="宋体"/>
                <w:color w:val="auto"/>
                <w:highlight w:val="none"/>
              </w:rPr>
            </w:pPr>
          </w:p>
        </w:tc>
        <w:tc>
          <w:tcPr>
            <w:tcW w:w="1260" w:type="dxa"/>
            <w:tcBorders>
              <w:top w:val="single" w:color="auto" w:sz="4" w:space="0"/>
              <w:left w:val="nil"/>
              <w:bottom w:val="single" w:color="auto" w:sz="4" w:space="0"/>
              <w:right w:val="single" w:color="auto" w:sz="4" w:space="0"/>
            </w:tcBorders>
            <w:noWrap w:val="0"/>
            <w:vAlign w:val="center"/>
          </w:tcPr>
          <w:p w14:paraId="09176C6F">
            <w:pPr>
              <w:jc w:val="center"/>
              <w:rPr>
                <w:rFonts w:ascii="宋体"/>
                <w:color w:val="auto"/>
                <w:highlight w:val="none"/>
              </w:rPr>
            </w:pPr>
          </w:p>
        </w:tc>
        <w:tc>
          <w:tcPr>
            <w:tcW w:w="1155" w:type="dxa"/>
            <w:tcBorders>
              <w:top w:val="single" w:color="auto" w:sz="4" w:space="0"/>
              <w:left w:val="nil"/>
              <w:bottom w:val="single" w:color="auto" w:sz="4" w:space="0"/>
              <w:right w:val="single" w:color="auto" w:sz="4" w:space="0"/>
            </w:tcBorders>
            <w:noWrap w:val="0"/>
            <w:vAlign w:val="top"/>
          </w:tcPr>
          <w:p w14:paraId="23EC38FA">
            <w:pPr>
              <w:rPr>
                <w:rFonts w:ascii="宋体"/>
                <w:color w:val="auto"/>
                <w:highlight w:val="none"/>
              </w:rPr>
            </w:pPr>
          </w:p>
        </w:tc>
        <w:tc>
          <w:tcPr>
            <w:tcW w:w="2415" w:type="dxa"/>
            <w:tcBorders>
              <w:top w:val="single" w:color="auto" w:sz="4" w:space="0"/>
              <w:left w:val="nil"/>
              <w:bottom w:val="single" w:color="auto" w:sz="4" w:space="0"/>
              <w:right w:val="single" w:color="auto" w:sz="4" w:space="0"/>
            </w:tcBorders>
            <w:noWrap w:val="0"/>
            <w:vAlign w:val="top"/>
          </w:tcPr>
          <w:p w14:paraId="6027802B">
            <w:pPr>
              <w:rPr>
                <w:rFonts w:ascii="宋体"/>
                <w:color w:val="auto"/>
                <w:highlight w:val="none"/>
              </w:rPr>
            </w:pPr>
          </w:p>
        </w:tc>
      </w:tr>
    </w:tbl>
    <w:p w14:paraId="69BFC543">
      <w:pPr>
        <w:jc w:val="center"/>
        <w:rPr>
          <w:rFonts w:hint="eastAsia"/>
          <w:color w:val="auto"/>
          <w:highlight w:val="none"/>
          <w:lang w:val="en-US" w:eastAsia="zh-CN"/>
        </w:rPr>
      </w:pPr>
    </w:p>
    <w:p w14:paraId="70D34F68">
      <w:pPr>
        <w:jc w:val="both"/>
        <w:rPr>
          <w:rFonts w:hint="eastAsia" w:ascii="宋体" w:hAnsi="宋体"/>
          <w:b/>
          <w:bCs/>
          <w:color w:val="auto"/>
          <w:sz w:val="28"/>
          <w:szCs w:val="28"/>
          <w:highlight w:val="none"/>
          <w:lang w:val="en-US" w:eastAsia="zh-CN"/>
        </w:rPr>
      </w:pPr>
    </w:p>
    <w:p w14:paraId="454CFF5D">
      <w:pPr>
        <w:jc w:val="both"/>
        <w:rPr>
          <w:rFonts w:hint="eastAsia" w:ascii="宋体" w:hAnsi="宋体"/>
          <w:b/>
          <w:bCs/>
          <w:color w:val="auto"/>
          <w:sz w:val="28"/>
          <w:szCs w:val="28"/>
          <w:highlight w:val="none"/>
        </w:rPr>
      </w:pPr>
      <w:r>
        <w:rPr>
          <w:rFonts w:hint="eastAsia" w:ascii="宋体" w:hAnsi="宋体"/>
          <w:b/>
          <w:bCs/>
          <w:color w:val="auto"/>
          <w:sz w:val="28"/>
          <w:szCs w:val="28"/>
          <w:highlight w:val="none"/>
          <w:lang w:val="en-US" w:eastAsia="zh-CN"/>
        </w:rPr>
        <w:t>附件4-2-3</w:t>
      </w:r>
    </w:p>
    <w:p w14:paraId="59D51003">
      <w:pPr>
        <w:ind w:firstLine="1687" w:firstLineChars="600"/>
        <w:jc w:val="both"/>
        <w:rPr>
          <w:rFonts w:ascii="Calibri" w:hAnsi="宋体"/>
          <w:color w:val="auto"/>
          <w:sz w:val="28"/>
          <w:szCs w:val="28"/>
          <w:highlight w:val="none"/>
        </w:rPr>
      </w:pPr>
      <w:r>
        <w:rPr>
          <w:rFonts w:hint="eastAsia" w:ascii="宋体" w:hAnsi="宋体"/>
          <w:b/>
          <w:bCs/>
          <w:color w:val="auto"/>
          <w:sz w:val="28"/>
          <w:szCs w:val="28"/>
          <w:highlight w:val="none"/>
        </w:rPr>
        <w:t>南宁市石门公园绿化养护月度检查考核评分表</w:t>
      </w:r>
    </w:p>
    <w:p w14:paraId="6B2D15DF">
      <w:pPr>
        <w:jc w:val="left"/>
        <w:rPr>
          <w:b/>
          <w:bCs/>
          <w:color w:val="auto"/>
          <w:sz w:val="15"/>
          <w:szCs w:val="15"/>
          <w:highlight w:val="none"/>
        </w:rPr>
      </w:pPr>
    </w:p>
    <w:tbl>
      <w:tblPr>
        <w:tblStyle w:val="22"/>
        <w:tblW w:w="9450" w:type="dxa"/>
        <w:tblInd w:w="318" w:type="dxa"/>
        <w:tblLayout w:type="fixed"/>
        <w:tblCellMar>
          <w:top w:w="0" w:type="dxa"/>
          <w:left w:w="108" w:type="dxa"/>
          <w:bottom w:w="0" w:type="dxa"/>
          <w:right w:w="108" w:type="dxa"/>
        </w:tblCellMar>
      </w:tblPr>
      <w:tblGrid>
        <w:gridCol w:w="420"/>
        <w:gridCol w:w="788"/>
        <w:gridCol w:w="3544"/>
        <w:gridCol w:w="850"/>
        <w:gridCol w:w="593"/>
        <w:gridCol w:w="210"/>
        <w:gridCol w:w="48"/>
        <w:gridCol w:w="162"/>
        <w:gridCol w:w="315"/>
        <w:gridCol w:w="1365"/>
        <w:gridCol w:w="1155"/>
      </w:tblGrid>
      <w:tr w14:paraId="41E61086">
        <w:trPr>
          <w:cantSplit/>
          <w:trHeight w:val="452" w:hRule="atLeast"/>
        </w:trPr>
        <w:tc>
          <w:tcPr>
            <w:tcW w:w="420" w:type="dxa"/>
            <w:tcBorders>
              <w:top w:val="single" w:color="auto" w:sz="4" w:space="0"/>
              <w:left w:val="single" w:color="auto" w:sz="4" w:space="0"/>
              <w:bottom w:val="single" w:color="auto" w:sz="4" w:space="0"/>
              <w:right w:val="single" w:color="auto" w:sz="4" w:space="0"/>
            </w:tcBorders>
            <w:noWrap w:val="0"/>
            <w:vAlign w:val="center"/>
          </w:tcPr>
          <w:p w14:paraId="76018BA3">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项目</w:t>
            </w:r>
          </w:p>
        </w:tc>
        <w:tc>
          <w:tcPr>
            <w:tcW w:w="788" w:type="dxa"/>
            <w:tcBorders>
              <w:top w:val="single" w:color="auto" w:sz="4" w:space="0"/>
              <w:left w:val="nil"/>
              <w:bottom w:val="single" w:color="auto" w:sz="4" w:space="0"/>
              <w:right w:val="single" w:color="auto" w:sz="4" w:space="0"/>
            </w:tcBorders>
            <w:noWrap w:val="0"/>
            <w:vAlign w:val="center"/>
          </w:tcPr>
          <w:p w14:paraId="669DE760">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条款</w:t>
            </w:r>
          </w:p>
        </w:tc>
        <w:tc>
          <w:tcPr>
            <w:tcW w:w="3544" w:type="dxa"/>
            <w:tcBorders>
              <w:top w:val="single" w:color="auto" w:sz="4" w:space="0"/>
              <w:left w:val="nil"/>
              <w:bottom w:val="single" w:color="auto" w:sz="4" w:space="0"/>
              <w:right w:val="single" w:color="auto" w:sz="4" w:space="0"/>
            </w:tcBorders>
            <w:noWrap w:val="0"/>
            <w:vAlign w:val="center"/>
          </w:tcPr>
          <w:p w14:paraId="6D9D6A83">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内</w:t>
            </w:r>
            <w:r>
              <w:rPr>
                <w:b/>
                <w:bCs/>
                <w:color w:val="auto"/>
                <w:sz w:val="18"/>
                <w:szCs w:val="18"/>
                <w:highlight w:val="none"/>
              </w:rPr>
              <w:t> </w:t>
            </w:r>
            <w:r>
              <w:rPr>
                <w:rFonts w:hint="eastAsia" w:ascii="宋体" w:hAnsi="宋体"/>
                <w:b/>
                <w:bCs/>
                <w:color w:val="auto"/>
                <w:sz w:val="18"/>
                <w:szCs w:val="18"/>
                <w:highlight w:val="none"/>
              </w:rPr>
              <w:t>容</w:t>
            </w:r>
          </w:p>
        </w:tc>
        <w:tc>
          <w:tcPr>
            <w:tcW w:w="850" w:type="dxa"/>
            <w:tcBorders>
              <w:top w:val="single" w:color="auto" w:sz="4" w:space="0"/>
              <w:left w:val="nil"/>
              <w:bottom w:val="single" w:color="auto" w:sz="4" w:space="0"/>
              <w:right w:val="single" w:color="auto" w:sz="4" w:space="0"/>
            </w:tcBorders>
            <w:noWrap w:val="0"/>
            <w:vAlign w:val="center"/>
          </w:tcPr>
          <w:p w14:paraId="5440D1F1">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单位</w:t>
            </w:r>
          </w:p>
        </w:tc>
        <w:tc>
          <w:tcPr>
            <w:tcW w:w="2693" w:type="dxa"/>
            <w:gridSpan w:val="6"/>
            <w:tcBorders>
              <w:top w:val="single" w:color="auto" w:sz="4" w:space="0"/>
              <w:left w:val="nil"/>
              <w:bottom w:val="single" w:color="auto" w:sz="4" w:space="0"/>
              <w:right w:val="single" w:color="auto" w:sz="4" w:space="0"/>
            </w:tcBorders>
            <w:noWrap w:val="0"/>
            <w:vAlign w:val="center"/>
          </w:tcPr>
          <w:p w14:paraId="0796C8FA">
            <w:pPr>
              <w:spacing w:line="240" w:lineRule="exact"/>
              <w:jc w:val="center"/>
              <w:rPr>
                <w:rFonts w:ascii="Calibri" w:hAnsi="Calibri"/>
                <w:b/>
                <w:bCs/>
                <w:color w:val="auto"/>
                <w:sz w:val="18"/>
                <w:szCs w:val="18"/>
                <w:highlight w:val="none"/>
              </w:rPr>
            </w:pPr>
            <w:r>
              <w:rPr>
                <w:rFonts w:hint="eastAsia" w:ascii="宋体" w:hAnsi="宋体"/>
                <w:b/>
                <w:bCs/>
                <w:color w:val="auto"/>
                <w:sz w:val="18"/>
                <w:szCs w:val="18"/>
                <w:highlight w:val="none"/>
              </w:rPr>
              <w:t>扣分标准</w:t>
            </w:r>
          </w:p>
        </w:tc>
        <w:tc>
          <w:tcPr>
            <w:tcW w:w="1155" w:type="dxa"/>
            <w:tcBorders>
              <w:top w:val="single" w:color="auto" w:sz="4" w:space="0"/>
              <w:left w:val="nil"/>
              <w:bottom w:val="single" w:color="auto" w:sz="4" w:space="0"/>
              <w:right w:val="single" w:color="auto" w:sz="4" w:space="0"/>
            </w:tcBorders>
            <w:noWrap w:val="0"/>
            <w:vAlign w:val="center"/>
          </w:tcPr>
          <w:p w14:paraId="6727B7DD">
            <w:pPr>
              <w:spacing w:line="240" w:lineRule="exact"/>
              <w:jc w:val="center"/>
              <w:rPr>
                <w:rFonts w:ascii="宋体"/>
                <w:b/>
                <w:bCs/>
                <w:color w:val="auto"/>
                <w:sz w:val="18"/>
                <w:szCs w:val="18"/>
                <w:highlight w:val="none"/>
              </w:rPr>
            </w:pPr>
            <w:r>
              <w:rPr>
                <w:rFonts w:hint="eastAsia" w:ascii="宋体" w:hAnsi="宋体"/>
                <w:b/>
                <w:bCs/>
                <w:color w:val="auto"/>
                <w:sz w:val="18"/>
                <w:szCs w:val="18"/>
                <w:highlight w:val="none"/>
              </w:rPr>
              <w:t>扣分</w:t>
            </w:r>
          </w:p>
        </w:tc>
      </w:tr>
      <w:tr w14:paraId="5A4031DD">
        <w:tblPrEx>
          <w:tblCellMar>
            <w:top w:w="0" w:type="dxa"/>
            <w:left w:w="108" w:type="dxa"/>
            <w:bottom w:w="0" w:type="dxa"/>
            <w:right w:w="108" w:type="dxa"/>
          </w:tblCellMar>
        </w:tblPrEx>
        <w:trPr>
          <w:cantSplit/>
          <w:trHeight w:val="452" w:hRule="atLeast"/>
        </w:trPr>
        <w:tc>
          <w:tcPr>
            <w:tcW w:w="420" w:type="dxa"/>
            <w:vMerge w:val="restart"/>
            <w:tcBorders>
              <w:top w:val="nil"/>
              <w:left w:val="single" w:color="auto" w:sz="4" w:space="0"/>
              <w:bottom w:val="single" w:color="auto" w:sz="4" w:space="0"/>
              <w:right w:val="single" w:color="auto" w:sz="4" w:space="0"/>
            </w:tcBorders>
            <w:noWrap w:val="0"/>
            <w:vAlign w:val="center"/>
          </w:tcPr>
          <w:p w14:paraId="21582BD2">
            <w:pPr>
              <w:spacing w:line="240" w:lineRule="exact"/>
              <w:rPr>
                <w:rFonts w:ascii="宋体"/>
                <w:color w:val="auto"/>
                <w:sz w:val="18"/>
                <w:szCs w:val="18"/>
                <w:highlight w:val="none"/>
              </w:rPr>
            </w:pPr>
            <w:r>
              <w:rPr>
                <w:rFonts w:hint="eastAsia" w:ascii="宋体" w:hAnsi="宋体"/>
                <w:color w:val="auto"/>
                <w:sz w:val="18"/>
                <w:szCs w:val="18"/>
                <w:highlight w:val="none"/>
              </w:rPr>
              <w:t>一</w:t>
            </w:r>
          </w:p>
          <w:p w14:paraId="09FB3BA7">
            <w:pPr>
              <w:spacing w:line="240" w:lineRule="exact"/>
              <w:rPr>
                <w:rFonts w:ascii="宋体"/>
                <w:color w:val="auto"/>
                <w:sz w:val="18"/>
                <w:szCs w:val="18"/>
                <w:highlight w:val="none"/>
              </w:rPr>
            </w:pPr>
          </w:p>
          <w:p w14:paraId="0FB2E672">
            <w:pPr>
              <w:spacing w:line="240" w:lineRule="exact"/>
              <w:rPr>
                <w:rFonts w:ascii="Calibri" w:hAnsi="Calibri"/>
                <w:color w:val="auto"/>
                <w:sz w:val="18"/>
                <w:szCs w:val="18"/>
                <w:highlight w:val="none"/>
              </w:rPr>
            </w:pPr>
            <w:r>
              <w:rPr>
                <w:rFonts w:hint="eastAsia" w:ascii="宋体" w:hAnsi="宋体"/>
                <w:color w:val="auto"/>
                <w:sz w:val="18"/>
                <w:szCs w:val="18"/>
                <w:highlight w:val="none"/>
              </w:rPr>
              <w:t>人力、物力投入和管理</w:t>
            </w:r>
          </w:p>
        </w:tc>
        <w:tc>
          <w:tcPr>
            <w:tcW w:w="788" w:type="dxa"/>
            <w:tcBorders>
              <w:top w:val="single" w:color="auto" w:sz="4" w:space="0"/>
              <w:left w:val="nil"/>
              <w:bottom w:val="single" w:color="auto" w:sz="4" w:space="0"/>
              <w:right w:val="single" w:color="auto" w:sz="4" w:space="0"/>
            </w:tcBorders>
            <w:noWrap w:val="0"/>
            <w:vAlign w:val="center"/>
          </w:tcPr>
          <w:p w14:paraId="13EF866B">
            <w:pPr>
              <w:spacing w:line="240" w:lineRule="exact"/>
              <w:jc w:val="center"/>
              <w:rPr>
                <w:rFonts w:ascii="Calibri" w:hAnsi="Calibri"/>
                <w:b/>
                <w:bCs/>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w:t>
            </w:r>
          </w:p>
        </w:tc>
        <w:tc>
          <w:tcPr>
            <w:tcW w:w="3544" w:type="dxa"/>
            <w:tcBorders>
              <w:top w:val="single" w:color="auto" w:sz="4" w:space="0"/>
              <w:left w:val="nil"/>
              <w:bottom w:val="single" w:color="auto" w:sz="4" w:space="0"/>
              <w:right w:val="single" w:color="auto" w:sz="4" w:space="0"/>
            </w:tcBorders>
            <w:noWrap w:val="0"/>
            <w:vAlign w:val="center"/>
          </w:tcPr>
          <w:p w14:paraId="0CD23641">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全月一线养护人员总出工数未按投标文件的要求到位或人员数量弄虚作假</w:t>
            </w:r>
            <w:r>
              <w:rPr>
                <w:color w:val="auto"/>
                <w:sz w:val="18"/>
                <w:szCs w:val="18"/>
                <w:highlight w:val="none"/>
              </w:rPr>
              <w:t> </w:t>
            </w:r>
          </w:p>
        </w:tc>
        <w:tc>
          <w:tcPr>
            <w:tcW w:w="850" w:type="dxa"/>
            <w:tcBorders>
              <w:top w:val="single" w:color="auto" w:sz="4" w:space="0"/>
              <w:left w:val="nil"/>
              <w:bottom w:val="single" w:color="auto" w:sz="4" w:space="0"/>
              <w:right w:val="single" w:color="auto" w:sz="4" w:space="0"/>
            </w:tcBorders>
            <w:noWrap w:val="0"/>
            <w:vAlign w:val="center"/>
          </w:tcPr>
          <w:p w14:paraId="4A1C1B6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每工日</w:t>
            </w:r>
          </w:p>
        </w:tc>
        <w:tc>
          <w:tcPr>
            <w:tcW w:w="2693" w:type="dxa"/>
            <w:gridSpan w:val="6"/>
            <w:tcBorders>
              <w:top w:val="single" w:color="auto" w:sz="4" w:space="0"/>
              <w:left w:val="nil"/>
              <w:bottom w:val="single" w:color="auto" w:sz="4" w:space="0"/>
              <w:right w:val="single" w:color="auto" w:sz="4" w:space="0"/>
            </w:tcBorders>
            <w:noWrap w:val="0"/>
            <w:vAlign w:val="center"/>
          </w:tcPr>
          <w:p w14:paraId="3DB494EE">
            <w:pPr>
              <w:spacing w:line="240" w:lineRule="exact"/>
              <w:jc w:val="center"/>
              <w:rPr>
                <w:color w:val="auto"/>
                <w:sz w:val="18"/>
                <w:szCs w:val="18"/>
                <w:highlight w:val="none"/>
              </w:rPr>
            </w:pPr>
            <w:r>
              <w:rPr>
                <w:rFonts w:hint="eastAsia" w:ascii="宋体" w:hAnsi="宋体"/>
                <w:color w:val="auto"/>
                <w:sz w:val="18"/>
                <w:szCs w:val="18"/>
                <w:highlight w:val="none"/>
              </w:rPr>
              <w:t>每少1工日扣</w:t>
            </w:r>
            <w:r>
              <w:rPr>
                <w:color w:val="auto"/>
                <w:sz w:val="18"/>
                <w:szCs w:val="18"/>
                <w:highlight w:val="none"/>
              </w:rPr>
              <w:t>0</w:t>
            </w:r>
            <w:r>
              <w:rPr>
                <w:rFonts w:hint="eastAsia"/>
                <w:color w:val="auto"/>
                <w:sz w:val="18"/>
                <w:szCs w:val="18"/>
                <w:highlight w:val="none"/>
              </w:rPr>
              <w:t>.3分，每作假1工日扣0.5分。（此分值适用岗位20人左右的公园）</w:t>
            </w:r>
          </w:p>
        </w:tc>
        <w:tc>
          <w:tcPr>
            <w:tcW w:w="1155" w:type="dxa"/>
            <w:tcBorders>
              <w:top w:val="single" w:color="auto" w:sz="4" w:space="0"/>
              <w:left w:val="nil"/>
              <w:bottom w:val="single" w:color="auto" w:sz="4" w:space="0"/>
              <w:right w:val="single" w:color="auto" w:sz="4" w:space="0"/>
            </w:tcBorders>
            <w:noWrap w:val="0"/>
            <w:vAlign w:val="center"/>
          </w:tcPr>
          <w:p w14:paraId="62F01DCB">
            <w:pPr>
              <w:spacing w:line="240" w:lineRule="exact"/>
              <w:jc w:val="center"/>
              <w:rPr>
                <w:rFonts w:ascii="宋体"/>
                <w:color w:val="auto"/>
                <w:sz w:val="18"/>
                <w:szCs w:val="18"/>
                <w:highlight w:val="none"/>
              </w:rPr>
            </w:pPr>
          </w:p>
        </w:tc>
      </w:tr>
      <w:tr w14:paraId="4B5B6B09">
        <w:tblPrEx>
          <w:tblCellMar>
            <w:top w:w="0" w:type="dxa"/>
            <w:left w:w="108" w:type="dxa"/>
            <w:bottom w:w="0" w:type="dxa"/>
            <w:right w:w="108" w:type="dxa"/>
          </w:tblCellMar>
        </w:tblPrEx>
        <w:trPr>
          <w:cantSplit/>
          <w:trHeight w:val="452"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03F70179">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77577CC5">
            <w:pPr>
              <w:spacing w:line="240" w:lineRule="exact"/>
              <w:jc w:val="center"/>
              <w:rPr>
                <w:rFonts w:ascii="Calibri" w:hAnsi="Calibri"/>
                <w:b/>
                <w:bCs/>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w:t>
            </w:r>
          </w:p>
        </w:tc>
        <w:tc>
          <w:tcPr>
            <w:tcW w:w="3544" w:type="dxa"/>
            <w:tcBorders>
              <w:top w:val="single" w:color="auto" w:sz="4" w:space="0"/>
              <w:left w:val="nil"/>
              <w:bottom w:val="single" w:color="auto" w:sz="4" w:space="0"/>
              <w:right w:val="single" w:color="auto" w:sz="4" w:space="0"/>
            </w:tcBorders>
            <w:noWrap w:val="0"/>
            <w:vAlign w:val="center"/>
          </w:tcPr>
          <w:p w14:paraId="6A5A6190">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管理层人员和技术人员总出工数未按投标文件的要求到位</w:t>
            </w:r>
            <w:r>
              <w:rPr>
                <w:color w:val="auto"/>
                <w:sz w:val="18"/>
                <w:szCs w:val="18"/>
                <w:highlight w:val="none"/>
              </w:rPr>
              <w:t> </w:t>
            </w:r>
            <w:r>
              <w:rPr>
                <w:rFonts w:hint="eastAsia"/>
                <w:color w:val="auto"/>
                <w:sz w:val="18"/>
                <w:szCs w:val="18"/>
                <w:highlight w:val="none"/>
              </w:rPr>
              <w:t>（此项扣分不高上限）</w:t>
            </w:r>
          </w:p>
        </w:tc>
        <w:tc>
          <w:tcPr>
            <w:tcW w:w="850" w:type="dxa"/>
            <w:tcBorders>
              <w:top w:val="single" w:color="auto" w:sz="4" w:space="0"/>
              <w:left w:val="nil"/>
              <w:bottom w:val="single" w:color="auto" w:sz="4" w:space="0"/>
              <w:right w:val="single" w:color="auto" w:sz="4" w:space="0"/>
            </w:tcBorders>
            <w:noWrap w:val="0"/>
            <w:vAlign w:val="center"/>
          </w:tcPr>
          <w:p w14:paraId="42BE0DF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每工日</w:t>
            </w:r>
          </w:p>
        </w:tc>
        <w:tc>
          <w:tcPr>
            <w:tcW w:w="2693" w:type="dxa"/>
            <w:gridSpan w:val="6"/>
            <w:tcBorders>
              <w:top w:val="single" w:color="auto" w:sz="4" w:space="0"/>
              <w:left w:val="nil"/>
              <w:bottom w:val="single" w:color="auto" w:sz="4" w:space="0"/>
              <w:right w:val="single" w:color="auto" w:sz="4" w:space="0"/>
            </w:tcBorders>
            <w:noWrap w:val="0"/>
            <w:vAlign w:val="center"/>
          </w:tcPr>
          <w:p w14:paraId="54EA860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6BCF5A3">
            <w:pPr>
              <w:spacing w:line="240" w:lineRule="exact"/>
              <w:jc w:val="center"/>
              <w:rPr>
                <w:rFonts w:ascii="宋体"/>
                <w:color w:val="auto"/>
                <w:sz w:val="18"/>
                <w:szCs w:val="18"/>
                <w:highlight w:val="none"/>
              </w:rPr>
            </w:pPr>
          </w:p>
        </w:tc>
      </w:tr>
      <w:tr w14:paraId="38D86AB8">
        <w:tblPrEx>
          <w:tblCellMar>
            <w:top w:w="0" w:type="dxa"/>
            <w:left w:w="108" w:type="dxa"/>
            <w:bottom w:w="0" w:type="dxa"/>
            <w:right w:w="108" w:type="dxa"/>
          </w:tblCellMar>
        </w:tblPrEx>
        <w:trPr>
          <w:cantSplit/>
          <w:trHeight w:val="452"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137510AA">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59B422F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4</w:t>
            </w:r>
          </w:p>
        </w:tc>
        <w:tc>
          <w:tcPr>
            <w:tcW w:w="3544" w:type="dxa"/>
            <w:tcBorders>
              <w:top w:val="single" w:color="auto" w:sz="4" w:space="0"/>
              <w:left w:val="nil"/>
              <w:bottom w:val="single" w:color="auto" w:sz="4" w:space="0"/>
              <w:right w:val="single" w:color="auto" w:sz="4" w:space="0"/>
            </w:tcBorders>
            <w:noWrap w:val="0"/>
            <w:vAlign w:val="center"/>
          </w:tcPr>
          <w:p w14:paraId="3A71BD9A">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无正当理由，不能按照养护工作计划开展养护工作，人力、物力投入量与计划量严重脱离。</w:t>
            </w:r>
          </w:p>
        </w:tc>
        <w:tc>
          <w:tcPr>
            <w:tcW w:w="850" w:type="dxa"/>
            <w:tcBorders>
              <w:top w:val="single" w:color="auto" w:sz="4" w:space="0"/>
              <w:left w:val="nil"/>
              <w:bottom w:val="single" w:color="auto" w:sz="4" w:space="0"/>
              <w:right w:val="single" w:color="auto" w:sz="4" w:space="0"/>
            </w:tcBorders>
            <w:noWrap w:val="0"/>
            <w:vAlign w:val="center"/>
          </w:tcPr>
          <w:p w14:paraId="41E35CB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2693" w:type="dxa"/>
            <w:gridSpan w:val="6"/>
            <w:tcBorders>
              <w:top w:val="single" w:color="auto" w:sz="4" w:space="0"/>
              <w:left w:val="nil"/>
              <w:bottom w:val="single" w:color="auto" w:sz="4" w:space="0"/>
              <w:right w:val="single" w:color="auto" w:sz="4" w:space="0"/>
            </w:tcBorders>
            <w:noWrap w:val="0"/>
            <w:vAlign w:val="center"/>
          </w:tcPr>
          <w:p w14:paraId="3BCC086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rFonts w:hint="eastAsia"/>
                <w:color w:val="auto"/>
                <w:sz w:val="18"/>
                <w:szCs w:val="18"/>
                <w:highlight w:val="none"/>
              </w:rPr>
              <w:t>0.5-3</w:t>
            </w:r>
            <w:r>
              <w:rPr>
                <w:rFonts w:hint="eastAsia" w:ascii="宋体" w:hAnsi="宋体"/>
                <w:color w:val="auto"/>
                <w:sz w:val="18"/>
                <w:szCs w:val="18"/>
                <w:highlight w:val="none"/>
              </w:rPr>
              <w:t>分，涉及养护成效的全面施肥、松土、修剪等工作，扣3-10分。</w:t>
            </w:r>
          </w:p>
        </w:tc>
        <w:tc>
          <w:tcPr>
            <w:tcW w:w="1155" w:type="dxa"/>
            <w:tcBorders>
              <w:top w:val="single" w:color="auto" w:sz="4" w:space="0"/>
              <w:left w:val="nil"/>
              <w:bottom w:val="single" w:color="auto" w:sz="4" w:space="0"/>
              <w:right w:val="single" w:color="auto" w:sz="4" w:space="0"/>
            </w:tcBorders>
            <w:noWrap w:val="0"/>
            <w:vAlign w:val="center"/>
          </w:tcPr>
          <w:p w14:paraId="008A59C0">
            <w:pPr>
              <w:spacing w:line="240" w:lineRule="exact"/>
              <w:jc w:val="center"/>
              <w:rPr>
                <w:rFonts w:ascii="宋体"/>
                <w:color w:val="auto"/>
                <w:sz w:val="18"/>
                <w:szCs w:val="18"/>
                <w:highlight w:val="none"/>
              </w:rPr>
            </w:pPr>
          </w:p>
        </w:tc>
      </w:tr>
      <w:tr w14:paraId="598DBA64">
        <w:tblPrEx>
          <w:tblCellMar>
            <w:top w:w="0" w:type="dxa"/>
            <w:left w:w="108" w:type="dxa"/>
            <w:bottom w:w="0" w:type="dxa"/>
            <w:right w:w="108" w:type="dxa"/>
          </w:tblCellMar>
        </w:tblPrEx>
        <w:trPr>
          <w:cantSplit/>
          <w:trHeight w:val="260"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7993FFD8">
            <w:pPr>
              <w:widowControl/>
              <w:spacing w:line="240" w:lineRule="exact"/>
              <w:jc w:val="left"/>
              <w:rPr>
                <w:rFonts w:ascii="Calibri" w:hAnsi="Calibri"/>
                <w:color w:val="auto"/>
                <w:sz w:val="18"/>
                <w:szCs w:val="18"/>
                <w:highlight w:val="none"/>
              </w:rPr>
            </w:pPr>
          </w:p>
        </w:tc>
        <w:tc>
          <w:tcPr>
            <w:tcW w:w="788" w:type="dxa"/>
            <w:vMerge w:val="restart"/>
            <w:tcBorders>
              <w:top w:val="nil"/>
              <w:left w:val="nil"/>
              <w:bottom w:val="single" w:color="auto" w:sz="4" w:space="0"/>
              <w:right w:val="single" w:color="auto" w:sz="4" w:space="0"/>
            </w:tcBorders>
            <w:noWrap w:val="0"/>
            <w:vAlign w:val="center"/>
          </w:tcPr>
          <w:p w14:paraId="5DE7E1A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5</w:t>
            </w:r>
          </w:p>
        </w:tc>
        <w:tc>
          <w:tcPr>
            <w:tcW w:w="3544" w:type="dxa"/>
            <w:vMerge w:val="restart"/>
            <w:tcBorders>
              <w:top w:val="nil"/>
              <w:left w:val="nil"/>
              <w:bottom w:val="single" w:color="auto" w:sz="4" w:space="0"/>
              <w:right w:val="single" w:color="auto" w:sz="4" w:space="0"/>
            </w:tcBorders>
            <w:noWrap w:val="0"/>
            <w:vAlign w:val="center"/>
          </w:tcPr>
          <w:p w14:paraId="483AA603">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未按合同约定或与公园约定，投入使用园林机械及车辆、设备等</w:t>
            </w:r>
          </w:p>
        </w:tc>
        <w:tc>
          <w:tcPr>
            <w:tcW w:w="850" w:type="dxa"/>
            <w:vMerge w:val="restart"/>
            <w:tcBorders>
              <w:top w:val="nil"/>
              <w:left w:val="nil"/>
              <w:bottom w:val="single" w:color="auto" w:sz="4" w:space="0"/>
              <w:right w:val="single" w:color="auto" w:sz="4" w:space="0"/>
            </w:tcBorders>
            <w:noWrap w:val="0"/>
            <w:vAlign w:val="center"/>
          </w:tcPr>
          <w:p w14:paraId="49AF554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1013" w:type="dxa"/>
            <w:gridSpan w:val="4"/>
            <w:tcBorders>
              <w:top w:val="single" w:color="auto" w:sz="4" w:space="0"/>
              <w:left w:val="nil"/>
              <w:bottom w:val="single" w:color="auto" w:sz="4" w:space="0"/>
              <w:right w:val="single" w:color="auto" w:sz="4" w:space="0"/>
            </w:tcBorders>
            <w:noWrap w:val="0"/>
            <w:vAlign w:val="center"/>
          </w:tcPr>
          <w:p w14:paraId="753D17B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园林机械</w:t>
            </w:r>
          </w:p>
        </w:tc>
        <w:tc>
          <w:tcPr>
            <w:tcW w:w="1680" w:type="dxa"/>
            <w:gridSpan w:val="2"/>
            <w:tcBorders>
              <w:top w:val="single" w:color="auto" w:sz="4" w:space="0"/>
              <w:left w:val="nil"/>
              <w:bottom w:val="single" w:color="auto" w:sz="4" w:space="0"/>
              <w:right w:val="single" w:color="auto" w:sz="4" w:space="0"/>
            </w:tcBorders>
            <w:noWrap w:val="0"/>
            <w:vAlign w:val="center"/>
          </w:tcPr>
          <w:p w14:paraId="0A739A6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D202BD3">
            <w:pPr>
              <w:spacing w:line="240" w:lineRule="exact"/>
              <w:jc w:val="center"/>
              <w:rPr>
                <w:rFonts w:ascii="宋体"/>
                <w:color w:val="auto"/>
                <w:sz w:val="18"/>
                <w:szCs w:val="18"/>
                <w:highlight w:val="none"/>
              </w:rPr>
            </w:pPr>
          </w:p>
        </w:tc>
      </w:tr>
      <w:tr w14:paraId="69CA1822">
        <w:tblPrEx>
          <w:tblCellMar>
            <w:top w:w="0" w:type="dxa"/>
            <w:left w:w="108" w:type="dxa"/>
            <w:bottom w:w="0" w:type="dxa"/>
            <w:right w:w="108" w:type="dxa"/>
          </w:tblCellMar>
        </w:tblPrEx>
        <w:trPr>
          <w:cantSplit/>
          <w:trHeight w:val="270"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5861460F">
            <w:pPr>
              <w:widowControl/>
              <w:spacing w:line="240" w:lineRule="exact"/>
              <w:jc w:val="left"/>
              <w:rPr>
                <w:rFonts w:ascii="Calibri" w:hAnsi="Calibri"/>
                <w:color w:val="auto"/>
                <w:sz w:val="18"/>
                <w:szCs w:val="18"/>
                <w:highlight w:val="none"/>
              </w:rPr>
            </w:pPr>
          </w:p>
        </w:tc>
        <w:tc>
          <w:tcPr>
            <w:tcW w:w="788" w:type="dxa"/>
            <w:vMerge w:val="continue"/>
            <w:tcBorders>
              <w:top w:val="nil"/>
              <w:left w:val="nil"/>
              <w:bottom w:val="single" w:color="auto" w:sz="4" w:space="0"/>
              <w:right w:val="single" w:color="auto" w:sz="4" w:space="0"/>
            </w:tcBorders>
            <w:noWrap w:val="0"/>
            <w:vAlign w:val="center"/>
          </w:tcPr>
          <w:p w14:paraId="5EF0E613">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6862B71D">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50AA7819">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center"/>
          </w:tcPr>
          <w:p w14:paraId="6AA0E8A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生产、管理用车</w:t>
            </w:r>
          </w:p>
        </w:tc>
        <w:tc>
          <w:tcPr>
            <w:tcW w:w="1680" w:type="dxa"/>
            <w:gridSpan w:val="2"/>
            <w:tcBorders>
              <w:top w:val="single" w:color="auto" w:sz="4" w:space="0"/>
              <w:left w:val="nil"/>
              <w:bottom w:val="single" w:color="auto" w:sz="4" w:space="0"/>
              <w:right w:val="single" w:color="auto" w:sz="4" w:space="0"/>
            </w:tcBorders>
            <w:noWrap w:val="0"/>
            <w:vAlign w:val="center"/>
          </w:tcPr>
          <w:p w14:paraId="6FD67F1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CBD523A">
            <w:pPr>
              <w:spacing w:line="240" w:lineRule="exact"/>
              <w:jc w:val="center"/>
              <w:rPr>
                <w:rFonts w:ascii="宋体"/>
                <w:color w:val="auto"/>
                <w:sz w:val="18"/>
                <w:szCs w:val="18"/>
                <w:highlight w:val="none"/>
              </w:rPr>
            </w:pPr>
          </w:p>
        </w:tc>
      </w:tr>
      <w:tr w14:paraId="2A138E03">
        <w:tblPrEx>
          <w:tblCellMar>
            <w:top w:w="0" w:type="dxa"/>
            <w:left w:w="108" w:type="dxa"/>
            <w:bottom w:w="0" w:type="dxa"/>
            <w:right w:w="108" w:type="dxa"/>
          </w:tblCellMar>
        </w:tblPrEx>
        <w:trPr>
          <w:cantSplit/>
          <w:trHeight w:val="452"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5328DEFA">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165214F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6</w:t>
            </w:r>
          </w:p>
        </w:tc>
        <w:tc>
          <w:tcPr>
            <w:tcW w:w="3544" w:type="dxa"/>
            <w:tcBorders>
              <w:top w:val="single" w:color="auto" w:sz="4" w:space="0"/>
              <w:left w:val="nil"/>
              <w:bottom w:val="single" w:color="auto" w:sz="4" w:space="0"/>
              <w:right w:val="single" w:color="auto" w:sz="4" w:space="0"/>
            </w:tcBorders>
            <w:noWrap w:val="0"/>
            <w:vAlign w:val="center"/>
          </w:tcPr>
          <w:p w14:paraId="344C40BF">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服务及时性差，未按合同约定或与公园约定。</w:t>
            </w:r>
          </w:p>
        </w:tc>
        <w:tc>
          <w:tcPr>
            <w:tcW w:w="850" w:type="dxa"/>
            <w:tcBorders>
              <w:top w:val="single" w:color="auto" w:sz="4" w:space="0"/>
              <w:left w:val="nil"/>
              <w:bottom w:val="single" w:color="auto" w:sz="4" w:space="0"/>
              <w:right w:val="single" w:color="auto" w:sz="4" w:space="0"/>
            </w:tcBorders>
            <w:noWrap w:val="0"/>
            <w:vAlign w:val="center"/>
          </w:tcPr>
          <w:p w14:paraId="7BAFE2D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2693" w:type="dxa"/>
            <w:gridSpan w:val="6"/>
            <w:tcBorders>
              <w:top w:val="single" w:color="auto" w:sz="4" w:space="0"/>
              <w:left w:val="nil"/>
              <w:bottom w:val="single" w:color="auto" w:sz="4" w:space="0"/>
              <w:right w:val="single" w:color="auto" w:sz="4" w:space="0"/>
            </w:tcBorders>
            <w:noWrap w:val="0"/>
            <w:vAlign w:val="center"/>
          </w:tcPr>
          <w:p w14:paraId="09881C3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0.1-0.3</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633F1E86">
            <w:pPr>
              <w:spacing w:line="240" w:lineRule="exact"/>
              <w:jc w:val="center"/>
              <w:rPr>
                <w:rFonts w:ascii="宋体"/>
                <w:color w:val="auto"/>
                <w:sz w:val="18"/>
                <w:szCs w:val="18"/>
                <w:highlight w:val="none"/>
              </w:rPr>
            </w:pPr>
          </w:p>
        </w:tc>
      </w:tr>
      <w:tr w14:paraId="3CCCC6C3">
        <w:tblPrEx>
          <w:tblCellMar>
            <w:top w:w="0" w:type="dxa"/>
            <w:left w:w="108" w:type="dxa"/>
            <w:bottom w:w="0" w:type="dxa"/>
            <w:right w:w="108" w:type="dxa"/>
          </w:tblCellMar>
        </w:tblPrEx>
        <w:trPr>
          <w:cantSplit/>
          <w:trHeight w:val="452"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347F0329">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701F0FF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7</w:t>
            </w:r>
          </w:p>
        </w:tc>
        <w:tc>
          <w:tcPr>
            <w:tcW w:w="3544" w:type="dxa"/>
            <w:tcBorders>
              <w:top w:val="single" w:color="auto" w:sz="4" w:space="0"/>
              <w:left w:val="nil"/>
              <w:bottom w:val="single" w:color="auto" w:sz="4" w:space="0"/>
              <w:right w:val="single" w:color="auto" w:sz="4" w:space="0"/>
            </w:tcBorders>
            <w:noWrap w:val="0"/>
            <w:vAlign w:val="center"/>
          </w:tcPr>
          <w:p w14:paraId="72FB8817">
            <w:pPr>
              <w:spacing w:line="240" w:lineRule="exact"/>
              <w:jc w:val="left"/>
              <w:rPr>
                <w:rFonts w:ascii="Calibri" w:hAnsi="Calibri"/>
                <w:color w:val="auto"/>
                <w:sz w:val="18"/>
                <w:szCs w:val="18"/>
                <w:highlight w:val="none"/>
              </w:rPr>
            </w:pPr>
            <w:r>
              <w:rPr>
                <w:rFonts w:hint="eastAsia" w:ascii="宋体" w:hAnsi="宋体"/>
                <w:color w:val="auto"/>
                <w:sz w:val="18"/>
                <w:szCs w:val="18"/>
                <w:highlight w:val="none"/>
              </w:rPr>
              <w:t>未按投标响应条件合理配置办公用品。</w:t>
            </w:r>
          </w:p>
        </w:tc>
        <w:tc>
          <w:tcPr>
            <w:tcW w:w="850" w:type="dxa"/>
            <w:tcBorders>
              <w:top w:val="single" w:color="auto" w:sz="4" w:space="0"/>
              <w:left w:val="nil"/>
              <w:bottom w:val="single" w:color="auto" w:sz="4" w:space="0"/>
              <w:right w:val="single" w:color="auto" w:sz="4" w:space="0"/>
            </w:tcBorders>
            <w:noWrap w:val="0"/>
            <w:vAlign w:val="center"/>
          </w:tcPr>
          <w:p w14:paraId="258DB39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每件次</w:t>
            </w:r>
          </w:p>
        </w:tc>
        <w:tc>
          <w:tcPr>
            <w:tcW w:w="2693" w:type="dxa"/>
            <w:gridSpan w:val="6"/>
            <w:tcBorders>
              <w:top w:val="single" w:color="auto" w:sz="4" w:space="0"/>
              <w:left w:val="nil"/>
              <w:bottom w:val="single" w:color="auto" w:sz="4" w:space="0"/>
              <w:right w:val="single" w:color="auto" w:sz="4" w:space="0"/>
            </w:tcBorders>
            <w:noWrap w:val="0"/>
            <w:vAlign w:val="center"/>
          </w:tcPr>
          <w:p w14:paraId="0C3ED58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636E9D6">
            <w:pPr>
              <w:spacing w:line="240" w:lineRule="exact"/>
              <w:jc w:val="center"/>
              <w:rPr>
                <w:rFonts w:ascii="宋体"/>
                <w:color w:val="auto"/>
                <w:sz w:val="18"/>
                <w:szCs w:val="18"/>
                <w:highlight w:val="none"/>
              </w:rPr>
            </w:pPr>
          </w:p>
        </w:tc>
      </w:tr>
      <w:tr w14:paraId="2BF96467">
        <w:tblPrEx>
          <w:tblCellMar>
            <w:top w:w="0" w:type="dxa"/>
            <w:left w:w="108" w:type="dxa"/>
            <w:bottom w:w="0" w:type="dxa"/>
            <w:right w:w="108" w:type="dxa"/>
          </w:tblCellMar>
        </w:tblPrEx>
        <w:trPr>
          <w:cantSplit/>
          <w:trHeight w:val="698" w:hRule="atLeast"/>
        </w:trPr>
        <w:tc>
          <w:tcPr>
            <w:tcW w:w="420" w:type="dxa"/>
            <w:vMerge w:val="restart"/>
            <w:tcBorders>
              <w:top w:val="nil"/>
              <w:left w:val="single" w:color="auto" w:sz="4" w:space="0"/>
              <w:bottom w:val="single" w:color="auto" w:sz="4" w:space="0"/>
              <w:right w:val="single" w:color="auto" w:sz="4" w:space="0"/>
            </w:tcBorders>
            <w:noWrap w:val="0"/>
            <w:vAlign w:val="center"/>
          </w:tcPr>
          <w:p w14:paraId="41AD8923">
            <w:pPr>
              <w:spacing w:line="240" w:lineRule="exact"/>
              <w:jc w:val="center"/>
              <w:rPr>
                <w:rFonts w:ascii="宋体"/>
                <w:color w:val="auto"/>
                <w:sz w:val="18"/>
                <w:szCs w:val="18"/>
                <w:highlight w:val="none"/>
              </w:rPr>
            </w:pPr>
            <w:r>
              <w:rPr>
                <w:rFonts w:hint="eastAsia" w:ascii="宋体" w:hAnsi="宋体"/>
                <w:color w:val="auto"/>
                <w:sz w:val="18"/>
                <w:szCs w:val="18"/>
                <w:highlight w:val="none"/>
              </w:rPr>
              <w:t>二</w:t>
            </w:r>
          </w:p>
          <w:p w14:paraId="6441BD8F">
            <w:pPr>
              <w:spacing w:line="240" w:lineRule="exact"/>
              <w:rPr>
                <w:rFonts w:ascii="宋体"/>
                <w:color w:val="auto"/>
                <w:sz w:val="18"/>
                <w:szCs w:val="18"/>
                <w:highlight w:val="none"/>
              </w:rPr>
            </w:pPr>
          </w:p>
          <w:p w14:paraId="066F6045">
            <w:pPr>
              <w:spacing w:line="240" w:lineRule="exact"/>
              <w:rPr>
                <w:rFonts w:ascii="Calibri" w:hAnsi="Calibri"/>
                <w:color w:val="auto"/>
                <w:sz w:val="18"/>
                <w:szCs w:val="18"/>
                <w:highlight w:val="none"/>
              </w:rPr>
            </w:pPr>
            <w:r>
              <w:rPr>
                <w:rFonts w:hint="eastAsia" w:ascii="宋体" w:hAnsi="宋体"/>
                <w:color w:val="auto"/>
                <w:sz w:val="18"/>
                <w:szCs w:val="18"/>
                <w:highlight w:val="none"/>
              </w:rPr>
              <w:t>安全生产</w:t>
            </w:r>
          </w:p>
        </w:tc>
        <w:tc>
          <w:tcPr>
            <w:tcW w:w="788" w:type="dxa"/>
            <w:tcBorders>
              <w:top w:val="single" w:color="auto" w:sz="4" w:space="0"/>
              <w:left w:val="nil"/>
              <w:bottom w:val="single" w:color="auto" w:sz="4" w:space="0"/>
              <w:right w:val="single" w:color="auto" w:sz="4" w:space="0"/>
            </w:tcBorders>
            <w:noWrap w:val="0"/>
            <w:vAlign w:val="center"/>
          </w:tcPr>
          <w:p w14:paraId="3AA7396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8</w:t>
            </w:r>
          </w:p>
        </w:tc>
        <w:tc>
          <w:tcPr>
            <w:tcW w:w="3544" w:type="dxa"/>
            <w:tcBorders>
              <w:top w:val="single" w:color="auto" w:sz="4" w:space="0"/>
              <w:left w:val="nil"/>
              <w:bottom w:val="single" w:color="auto" w:sz="4" w:space="0"/>
              <w:right w:val="single" w:color="auto" w:sz="4" w:space="0"/>
            </w:tcBorders>
            <w:noWrap w:val="0"/>
            <w:vAlign w:val="center"/>
          </w:tcPr>
          <w:p w14:paraId="2D1A2220">
            <w:pPr>
              <w:spacing w:line="240" w:lineRule="exact"/>
              <w:rPr>
                <w:rFonts w:ascii="Calibri" w:hAnsi="Calibri"/>
                <w:color w:val="auto"/>
                <w:sz w:val="18"/>
                <w:szCs w:val="18"/>
                <w:highlight w:val="none"/>
              </w:rPr>
            </w:pPr>
            <w:r>
              <w:rPr>
                <w:rFonts w:hint="eastAsia" w:ascii="宋体" w:hAnsi="宋体"/>
                <w:color w:val="auto"/>
                <w:sz w:val="18"/>
                <w:szCs w:val="18"/>
                <w:highlight w:val="none"/>
              </w:rPr>
              <w:t>工作人员违反公园安全生产作业规程，不按要求穿着安全防护服、防护眼镜、口罩、安全绳等安全防护用品，以及打草时不设置警示标志等。</w:t>
            </w:r>
          </w:p>
        </w:tc>
        <w:tc>
          <w:tcPr>
            <w:tcW w:w="850" w:type="dxa"/>
            <w:tcBorders>
              <w:top w:val="single" w:color="auto" w:sz="4" w:space="0"/>
              <w:left w:val="nil"/>
              <w:bottom w:val="single" w:color="auto" w:sz="4" w:space="0"/>
              <w:right w:val="single" w:color="auto" w:sz="4" w:space="0"/>
            </w:tcBorders>
            <w:noWrap w:val="0"/>
            <w:vAlign w:val="center"/>
          </w:tcPr>
          <w:p w14:paraId="0FD5750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每人次</w:t>
            </w:r>
          </w:p>
        </w:tc>
        <w:tc>
          <w:tcPr>
            <w:tcW w:w="2693" w:type="dxa"/>
            <w:gridSpan w:val="6"/>
            <w:tcBorders>
              <w:top w:val="single" w:color="auto" w:sz="4" w:space="0"/>
              <w:left w:val="nil"/>
              <w:bottom w:val="single" w:color="auto" w:sz="4" w:space="0"/>
              <w:right w:val="single" w:color="auto" w:sz="4" w:space="0"/>
            </w:tcBorders>
            <w:noWrap w:val="0"/>
            <w:vAlign w:val="center"/>
          </w:tcPr>
          <w:p w14:paraId="1788E85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2F9F619">
            <w:pPr>
              <w:spacing w:line="240" w:lineRule="exact"/>
              <w:jc w:val="center"/>
              <w:rPr>
                <w:rFonts w:ascii="宋体"/>
                <w:color w:val="auto"/>
                <w:sz w:val="18"/>
                <w:szCs w:val="18"/>
                <w:highlight w:val="none"/>
              </w:rPr>
            </w:pPr>
          </w:p>
        </w:tc>
      </w:tr>
      <w:tr w14:paraId="12B37438">
        <w:tblPrEx>
          <w:tblCellMar>
            <w:top w:w="0" w:type="dxa"/>
            <w:left w:w="108" w:type="dxa"/>
            <w:bottom w:w="0" w:type="dxa"/>
            <w:right w:w="108" w:type="dxa"/>
          </w:tblCellMar>
        </w:tblPrEx>
        <w:trPr>
          <w:cantSplit/>
          <w:trHeight w:val="512"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10B2CA99">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3ABDF04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9</w:t>
            </w:r>
          </w:p>
        </w:tc>
        <w:tc>
          <w:tcPr>
            <w:tcW w:w="3544" w:type="dxa"/>
            <w:tcBorders>
              <w:top w:val="single" w:color="auto" w:sz="4" w:space="0"/>
              <w:left w:val="nil"/>
              <w:bottom w:val="single" w:color="auto" w:sz="4" w:space="0"/>
              <w:right w:val="single" w:color="auto" w:sz="4" w:space="0"/>
            </w:tcBorders>
            <w:noWrap w:val="0"/>
            <w:vAlign w:val="center"/>
          </w:tcPr>
          <w:p w14:paraId="4DF3CFAB">
            <w:pPr>
              <w:spacing w:line="240" w:lineRule="exact"/>
              <w:rPr>
                <w:rFonts w:ascii="Calibri" w:hAnsi="Calibri"/>
                <w:color w:val="auto"/>
                <w:sz w:val="18"/>
                <w:szCs w:val="18"/>
                <w:highlight w:val="none"/>
              </w:rPr>
            </w:pPr>
            <w:r>
              <w:rPr>
                <w:rFonts w:hint="eastAsia" w:ascii="宋体" w:hAnsi="宋体"/>
                <w:color w:val="auto"/>
                <w:sz w:val="18"/>
                <w:szCs w:val="18"/>
                <w:highlight w:val="none"/>
              </w:rPr>
              <w:t>未按安全生产作业规程进行或不按安全生产作业规程要求正确摆放安全锥、警示牌等</w:t>
            </w:r>
          </w:p>
        </w:tc>
        <w:tc>
          <w:tcPr>
            <w:tcW w:w="850" w:type="dxa"/>
            <w:tcBorders>
              <w:top w:val="single" w:color="auto" w:sz="4" w:space="0"/>
              <w:left w:val="nil"/>
              <w:bottom w:val="single" w:color="auto" w:sz="4" w:space="0"/>
              <w:right w:val="single" w:color="auto" w:sz="4" w:space="0"/>
            </w:tcBorders>
            <w:noWrap w:val="0"/>
            <w:vAlign w:val="center"/>
          </w:tcPr>
          <w:p w14:paraId="04A09C1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每次</w:t>
            </w:r>
          </w:p>
        </w:tc>
        <w:tc>
          <w:tcPr>
            <w:tcW w:w="2693" w:type="dxa"/>
            <w:gridSpan w:val="6"/>
            <w:tcBorders>
              <w:top w:val="single" w:color="auto" w:sz="4" w:space="0"/>
              <w:left w:val="nil"/>
              <w:bottom w:val="single" w:color="auto" w:sz="4" w:space="0"/>
              <w:right w:val="single" w:color="auto" w:sz="4" w:space="0"/>
            </w:tcBorders>
            <w:noWrap w:val="0"/>
            <w:vAlign w:val="center"/>
          </w:tcPr>
          <w:p w14:paraId="4FF4BCB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A1F7C0E">
            <w:pPr>
              <w:spacing w:line="240" w:lineRule="exact"/>
              <w:jc w:val="center"/>
              <w:rPr>
                <w:rFonts w:ascii="宋体"/>
                <w:color w:val="auto"/>
                <w:sz w:val="18"/>
                <w:szCs w:val="18"/>
                <w:highlight w:val="none"/>
              </w:rPr>
            </w:pPr>
          </w:p>
        </w:tc>
      </w:tr>
      <w:tr w14:paraId="3118ADC0">
        <w:tblPrEx>
          <w:tblCellMar>
            <w:top w:w="0" w:type="dxa"/>
            <w:left w:w="108" w:type="dxa"/>
            <w:bottom w:w="0" w:type="dxa"/>
            <w:right w:w="108" w:type="dxa"/>
          </w:tblCellMar>
        </w:tblPrEx>
        <w:trPr>
          <w:cantSplit/>
          <w:trHeight w:val="984"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43FA705A">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4444AED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10</w:t>
            </w:r>
          </w:p>
        </w:tc>
        <w:tc>
          <w:tcPr>
            <w:tcW w:w="3544" w:type="dxa"/>
            <w:tcBorders>
              <w:top w:val="single" w:color="auto" w:sz="4" w:space="0"/>
              <w:left w:val="nil"/>
              <w:bottom w:val="single" w:color="auto" w:sz="4" w:space="0"/>
              <w:right w:val="single" w:color="auto" w:sz="4" w:space="0"/>
            </w:tcBorders>
            <w:noWrap w:val="0"/>
            <w:vAlign w:val="center"/>
          </w:tcPr>
          <w:p w14:paraId="0B4B3E4E">
            <w:pPr>
              <w:spacing w:line="240" w:lineRule="exact"/>
              <w:rPr>
                <w:rFonts w:ascii="Calibri" w:hAnsi="Calibri"/>
                <w:color w:val="auto"/>
                <w:sz w:val="18"/>
                <w:szCs w:val="18"/>
                <w:highlight w:val="none"/>
              </w:rPr>
            </w:pPr>
            <w:r>
              <w:rPr>
                <w:rFonts w:hint="eastAsia" w:ascii="宋体" w:hAnsi="宋体"/>
                <w:color w:val="auto"/>
                <w:sz w:val="18"/>
                <w:szCs w:val="18"/>
                <w:highlight w:val="none"/>
              </w:rPr>
              <w:t>绿化作业车辆违反作业规范，如安全标识不齐、安全措施不规范、以及园路漏洒绿化垃圾、泥沙、把泥土冲出路面等不文明养护行为的</w:t>
            </w:r>
          </w:p>
        </w:tc>
        <w:tc>
          <w:tcPr>
            <w:tcW w:w="850" w:type="dxa"/>
            <w:tcBorders>
              <w:top w:val="single" w:color="auto" w:sz="4" w:space="0"/>
              <w:left w:val="nil"/>
              <w:bottom w:val="single" w:color="auto" w:sz="4" w:space="0"/>
              <w:right w:val="single" w:color="auto" w:sz="4" w:space="0"/>
            </w:tcBorders>
            <w:noWrap w:val="0"/>
            <w:vAlign w:val="center"/>
          </w:tcPr>
          <w:p w14:paraId="2C8C95F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每车次</w:t>
            </w:r>
          </w:p>
        </w:tc>
        <w:tc>
          <w:tcPr>
            <w:tcW w:w="2693" w:type="dxa"/>
            <w:gridSpan w:val="6"/>
            <w:tcBorders>
              <w:top w:val="single" w:color="auto" w:sz="4" w:space="0"/>
              <w:left w:val="nil"/>
              <w:bottom w:val="single" w:color="auto" w:sz="4" w:space="0"/>
              <w:right w:val="single" w:color="auto" w:sz="4" w:space="0"/>
            </w:tcBorders>
            <w:noWrap w:val="0"/>
            <w:vAlign w:val="center"/>
          </w:tcPr>
          <w:p w14:paraId="3D5B11A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E107D3C">
            <w:pPr>
              <w:spacing w:line="240" w:lineRule="exact"/>
              <w:jc w:val="center"/>
              <w:rPr>
                <w:rFonts w:ascii="宋体"/>
                <w:color w:val="auto"/>
                <w:sz w:val="18"/>
                <w:szCs w:val="18"/>
                <w:highlight w:val="none"/>
              </w:rPr>
            </w:pPr>
          </w:p>
        </w:tc>
      </w:tr>
      <w:tr w14:paraId="7E84A8E3">
        <w:tblPrEx>
          <w:tblCellMar>
            <w:top w:w="0" w:type="dxa"/>
            <w:left w:w="108" w:type="dxa"/>
            <w:bottom w:w="0" w:type="dxa"/>
            <w:right w:w="108" w:type="dxa"/>
          </w:tblCellMar>
        </w:tblPrEx>
        <w:trPr>
          <w:cantSplit/>
          <w:trHeight w:val="219" w:hRule="atLeast"/>
        </w:trPr>
        <w:tc>
          <w:tcPr>
            <w:tcW w:w="420" w:type="dxa"/>
            <w:vMerge w:val="restart"/>
            <w:tcBorders>
              <w:top w:val="nil"/>
              <w:left w:val="single" w:color="auto" w:sz="4" w:space="0"/>
              <w:bottom w:val="single" w:color="auto" w:sz="4" w:space="0"/>
              <w:right w:val="single" w:color="auto" w:sz="4" w:space="0"/>
            </w:tcBorders>
            <w:noWrap w:val="0"/>
            <w:vAlign w:val="center"/>
          </w:tcPr>
          <w:p w14:paraId="79ACA56F">
            <w:pPr>
              <w:spacing w:line="240" w:lineRule="exact"/>
              <w:jc w:val="center"/>
              <w:rPr>
                <w:rFonts w:ascii="宋体"/>
                <w:color w:val="auto"/>
                <w:sz w:val="18"/>
                <w:szCs w:val="18"/>
                <w:highlight w:val="none"/>
              </w:rPr>
            </w:pPr>
            <w:r>
              <w:rPr>
                <w:rFonts w:hint="eastAsia" w:ascii="宋体" w:hAnsi="宋体"/>
                <w:color w:val="auto"/>
                <w:sz w:val="18"/>
                <w:szCs w:val="18"/>
                <w:highlight w:val="none"/>
              </w:rPr>
              <w:t>三</w:t>
            </w:r>
          </w:p>
          <w:p w14:paraId="379F1738">
            <w:pPr>
              <w:spacing w:line="240" w:lineRule="exact"/>
              <w:jc w:val="center"/>
              <w:rPr>
                <w:rFonts w:ascii="宋体"/>
                <w:color w:val="auto"/>
                <w:sz w:val="18"/>
                <w:szCs w:val="18"/>
                <w:highlight w:val="none"/>
              </w:rPr>
            </w:pPr>
          </w:p>
          <w:p w14:paraId="3CB36AB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绿化管理</w:t>
            </w:r>
          </w:p>
        </w:tc>
        <w:tc>
          <w:tcPr>
            <w:tcW w:w="788" w:type="dxa"/>
            <w:vMerge w:val="restart"/>
            <w:tcBorders>
              <w:top w:val="nil"/>
              <w:left w:val="nil"/>
              <w:bottom w:val="single" w:color="auto" w:sz="4" w:space="0"/>
              <w:right w:val="single" w:color="auto" w:sz="4" w:space="0"/>
            </w:tcBorders>
            <w:noWrap w:val="0"/>
            <w:vAlign w:val="center"/>
          </w:tcPr>
          <w:p w14:paraId="6655C88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11</w:t>
            </w:r>
          </w:p>
        </w:tc>
        <w:tc>
          <w:tcPr>
            <w:tcW w:w="3544" w:type="dxa"/>
            <w:vMerge w:val="restart"/>
            <w:tcBorders>
              <w:top w:val="nil"/>
              <w:left w:val="nil"/>
              <w:bottom w:val="single" w:color="auto" w:sz="4" w:space="0"/>
              <w:right w:val="single" w:color="auto" w:sz="4" w:space="0"/>
            </w:tcBorders>
            <w:noWrap w:val="0"/>
            <w:vAlign w:val="center"/>
          </w:tcPr>
          <w:p w14:paraId="5ECFD9CF">
            <w:pPr>
              <w:spacing w:line="240" w:lineRule="exact"/>
              <w:rPr>
                <w:rFonts w:ascii="Calibri" w:hAnsi="Calibri"/>
                <w:color w:val="auto"/>
                <w:sz w:val="18"/>
                <w:szCs w:val="18"/>
                <w:highlight w:val="none"/>
              </w:rPr>
            </w:pPr>
            <w:r>
              <w:rPr>
                <w:rFonts w:hint="eastAsia" w:ascii="宋体" w:hAnsi="宋体"/>
                <w:color w:val="auto"/>
                <w:sz w:val="18"/>
                <w:szCs w:val="18"/>
                <w:highlight w:val="none"/>
              </w:rPr>
              <w:t>对违法破坏绿化，未能及时发现、上报或采取措施制止的，或未按要求恢复的</w:t>
            </w:r>
          </w:p>
        </w:tc>
        <w:tc>
          <w:tcPr>
            <w:tcW w:w="850" w:type="dxa"/>
            <w:vMerge w:val="restart"/>
            <w:tcBorders>
              <w:top w:val="nil"/>
              <w:left w:val="nil"/>
              <w:bottom w:val="single" w:color="auto" w:sz="4" w:space="0"/>
              <w:right w:val="single" w:color="auto" w:sz="4" w:space="0"/>
            </w:tcBorders>
            <w:noWrap w:val="0"/>
            <w:vAlign w:val="center"/>
          </w:tcPr>
          <w:p w14:paraId="382DA39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每宗案件</w:t>
            </w:r>
          </w:p>
        </w:tc>
        <w:tc>
          <w:tcPr>
            <w:tcW w:w="1328" w:type="dxa"/>
            <w:gridSpan w:val="5"/>
            <w:tcBorders>
              <w:top w:val="single" w:color="auto" w:sz="4" w:space="0"/>
              <w:left w:val="nil"/>
              <w:bottom w:val="single" w:color="auto" w:sz="4" w:space="0"/>
              <w:right w:val="single" w:color="auto" w:sz="4" w:space="0"/>
            </w:tcBorders>
            <w:noWrap w:val="0"/>
            <w:vAlign w:val="center"/>
          </w:tcPr>
          <w:p w14:paraId="74D64EA6">
            <w:pPr>
              <w:spacing w:line="240" w:lineRule="exact"/>
              <w:jc w:val="center"/>
              <w:rPr>
                <w:rFonts w:ascii="Calibri" w:hAnsi="Calibri"/>
                <w:color w:val="auto"/>
                <w:sz w:val="18"/>
                <w:szCs w:val="18"/>
                <w:highlight w:val="none"/>
              </w:rPr>
            </w:pPr>
            <w:r>
              <w:rPr>
                <w:color w:val="auto"/>
                <w:sz w:val="18"/>
                <w:szCs w:val="18"/>
                <w:highlight w:val="none"/>
              </w:rPr>
              <w:t>1</w:t>
            </w:r>
            <w:r>
              <w:rPr>
                <w:rFonts w:hint="eastAsia" w:ascii="宋体" w:hAnsi="宋体"/>
                <w:color w:val="auto"/>
                <w:sz w:val="18"/>
                <w:szCs w:val="18"/>
                <w:highlight w:val="none"/>
              </w:rPr>
              <w:t>株乔木或</w:t>
            </w:r>
            <w:r>
              <w:rPr>
                <w:color w:val="auto"/>
                <w:sz w:val="18"/>
                <w:szCs w:val="18"/>
                <w:highlight w:val="none"/>
              </w:rPr>
              <w:t>5</w:t>
            </w:r>
            <w:r>
              <w:rPr>
                <w:rFonts w:hint="eastAsia" w:ascii="宋体" w:hAnsi="宋体"/>
                <w:color w:val="auto"/>
                <w:sz w:val="18"/>
                <w:szCs w:val="18"/>
                <w:highlight w:val="none"/>
              </w:rPr>
              <w:t>㎡以内绿地</w:t>
            </w:r>
          </w:p>
        </w:tc>
        <w:tc>
          <w:tcPr>
            <w:tcW w:w="1365" w:type="dxa"/>
            <w:tcBorders>
              <w:top w:val="single" w:color="auto" w:sz="4" w:space="0"/>
              <w:left w:val="nil"/>
              <w:bottom w:val="single" w:color="auto" w:sz="4" w:space="0"/>
              <w:right w:val="single" w:color="auto" w:sz="4" w:space="0"/>
            </w:tcBorders>
            <w:noWrap w:val="0"/>
            <w:vAlign w:val="center"/>
          </w:tcPr>
          <w:p w14:paraId="51E5372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D76006E">
            <w:pPr>
              <w:spacing w:line="240" w:lineRule="exact"/>
              <w:jc w:val="center"/>
              <w:rPr>
                <w:rFonts w:ascii="宋体"/>
                <w:color w:val="auto"/>
                <w:sz w:val="18"/>
                <w:szCs w:val="18"/>
                <w:highlight w:val="none"/>
              </w:rPr>
            </w:pPr>
          </w:p>
        </w:tc>
      </w:tr>
      <w:tr w14:paraId="772FEF67">
        <w:tblPrEx>
          <w:tblCellMar>
            <w:top w:w="0" w:type="dxa"/>
            <w:left w:w="108" w:type="dxa"/>
            <w:bottom w:w="0" w:type="dxa"/>
            <w:right w:w="108" w:type="dxa"/>
          </w:tblCellMar>
        </w:tblPrEx>
        <w:trPr>
          <w:cantSplit/>
          <w:trHeight w:val="195"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0B73A6CB">
            <w:pPr>
              <w:widowControl/>
              <w:spacing w:line="240" w:lineRule="exact"/>
              <w:jc w:val="left"/>
              <w:rPr>
                <w:rFonts w:ascii="Calibri" w:hAnsi="Calibri"/>
                <w:color w:val="auto"/>
                <w:sz w:val="18"/>
                <w:szCs w:val="18"/>
                <w:highlight w:val="none"/>
              </w:rPr>
            </w:pPr>
          </w:p>
        </w:tc>
        <w:tc>
          <w:tcPr>
            <w:tcW w:w="788" w:type="dxa"/>
            <w:vMerge w:val="continue"/>
            <w:tcBorders>
              <w:top w:val="nil"/>
              <w:left w:val="nil"/>
              <w:bottom w:val="single" w:color="auto" w:sz="4" w:space="0"/>
              <w:right w:val="single" w:color="auto" w:sz="4" w:space="0"/>
            </w:tcBorders>
            <w:noWrap w:val="0"/>
            <w:vAlign w:val="center"/>
          </w:tcPr>
          <w:p w14:paraId="7C3DDBAD">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4F7AD40E">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466DFDF9">
            <w:pPr>
              <w:widowControl/>
              <w:spacing w:line="240" w:lineRule="exact"/>
              <w:jc w:val="left"/>
              <w:rPr>
                <w:rFonts w:ascii="Calibri" w:hAnsi="Calibri"/>
                <w:color w:val="auto"/>
                <w:sz w:val="18"/>
                <w:szCs w:val="18"/>
                <w:highlight w:val="none"/>
              </w:rPr>
            </w:pPr>
          </w:p>
        </w:tc>
        <w:tc>
          <w:tcPr>
            <w:tcW w:w="1328" w:type="dxa"/>
            <w:gridSpan w:val="5"/>
            <w:tcBorders>
              <w:top w:val="single" w:color="auto" w:sz="4" w:space="0"/>
              <w:left w:val="nil"/>
              <w:bottom w:val="single" w:color="auto" w:sz="4" w:space="0"/>
              <w:right w:val="single" w:color="auto" w:sz="4" w:space="0"/>
            </w:tcBorders>
            <w:noWrap w:val="0"/>
            <w:vAlign w:val="center"/>
          </w:tcPr>
          <w:p w14:paraId="564ED9F2">
            <w:pPr>
              <w:spacing w:line="240" w:lineRule="exact"/>
              <w:jc w:val="center"/>
              <w:rPr>
                <w:rFonts w:ascii="Calibri" w:hAnsi="Calibri"/>
                <w:color w:val="auto"/>
                <w:sz w:val="18"/>
                <w:szCs w:val="18"/>
                <w:highlight w:val="none"/>
              </w:rPr>
            </w:pPr>
            <w:r>
              <w:rPr>
                <w:color w:val="auto"/>
                <w:sz w:val="18"/>
                <w:szCs w:val="18"/>
                <w:highlight w:val="none"/>
              </w:rPr>
              <w:t>2-10</w:t>
            </w:r>
            <w:r>
              <w:rPr>
                <w:rFonts w:hint="eastAsia" w:ascii="宋体" w:hAnsi="宋体"/>
                <w:color w:val="auto"/>
                <w:sz w:val="18"/>
                <w:szCs w:val="18"/>
                <w:highlight w:val="none"/>
              </w:rPr>
              <w:t>株乔木或</w:t>
            </w:r>
            <w:r>
              <w:rPr>
                <w:color w:val="auto"/>
                <w:sz w:val="18"/>
                <w:szCs w:val="18"/>
                <w:highlight w:val="none"/>
              </w:rPr>
              <w:t>5-50</w:t>
            </w:r>
            <w:r>
              <w:rPr>
                <w:rFonts w:hint="eastAsia" w:ascii="宋体" w:hAnsi="宋体"/>
                <w:color w:val="auto"/>
                <w:sz w:val="18"/>
                <w:szCs w:val="18"/>
                <w:highlight w:val="none"/>
              </w:rPr>
              <w:t>㎡绿地</w:t>
            </w:r>
          </w:p>
        </w:tc>
        <w:tc>
          <w:tcPr>
            <w:tcW w:w="1365" w:type="dxa"/>
            <w:tcBorders>
              <w:top w:val="single" w:color="auto" w:sz="4" w:space="0"/>
              <w:left w:val="nil"/>
              <w:bottom w:val="single" w:color="auto" w:sz="4" w:space="0"/>
              <w:right w:val="single" w:color="auto" w:sz="4" w:space="0"/>
            </w:tcBorders>
            <w:noWrap w:val="0"/>
            <w:vAlign w:val="center"/>
          </w:tcPr>
          <w:p w14:paraId="566AADD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7C57828">
            <w:pPr>
              <w:spacing w:line="240" w:lineRule="exact"/>
              <w:jc w:val="center"/>
              <w:rPr>
                <w:rFonts w:ascii="宋体"/>
                <w:color w:val="auto"/>
                <w:sz w:val="18"/>
                <w:szCs w:val="18"/>
                <w:highlight w:val="none"/>
              </w:rPr>
            </w:pPr>
          </w:p>
        </w:tc>
      </w:tr>
      <w:tr w14:paraId="5B20606A">
        <w:tblPrEx>
          <w:tblCellMar>
            <w:top w:w="0" w:type="dxa"/>
            <w:left w:w="108" w:type="dxa"/>
            <w:bottom w:w="0" w:type="dxa"/>
            <w:right w:w="108" w:type="dxa"/>
          </w:tblCellMar>
        </w:tblPrEx>
        <w:trPr>
          <w:cantSplit/>
          <w:trHeight w:val="210"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2ECB8DB2">
            <w:pPr>
              <w:widowControl/>
              <w:spacing w:line="240" w:lineRule="exact"/>
              <w:jc w:val="left"/>
              <w:rPr>
                <w:rFonts w:ascii="Calibri" w:hAnsi="Calibri"/>
                <w:color w:val="auto"/>
                <w:sz w:val="18"/>
                <w:szCs w:val="18"/>
                <w:highlight w:val="none"/>
              </w:rPr>
            </w:pPr>
          </w:p>
        </w:tc>
        <w:tc>
          <w:tcPr>
            <w:tcW w:w="788" w:type="dxa"/>
            <w:vMerge w:val="continue"/>
            <w:tcBorders>
              <w:top w:val="nil"/>
              <w:left w:val="nil"/>
              <w:bottom w:val="single" w:color="auto" w:sz="4" w:space="0"/>
              <w:right w:val="single" w:color="auto" w:sz="4" w:space="0"/>
            </w:tcBorders>
            <w:noWrap w:val="0"/>
            <w:vAlign w:val="center"/>
          </w:tcPr>
          <w:p w14:paraId="21DB2902">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7F7C1412">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46212AD7">
            <w:pPr>
              <w:widowControl/>
              <w:spacing w:line="240" w:lineRule="exact"/>
              <w:jc w:val="left"/>
              <w:rPr>
                <w:rFonts w:ascii="Calibri" w:hAnsi="Calibri"/>
                <w:color w:val="auto"/>
                <w:sz w:val="18"/>
                <w:szCs w:val="18"/>
                <w:highlight w:val="none"/>
              </w:rPr>
            </w:pPr>
          </w:p>
        </w:tc>
        <w:tc>
          <w:tcPr>
            <w:tcW w:w="1328" w:type="dxa"/>
            <w:gridSpan w:val="5"/>
            <w:tcBorders>
              <w:top w:val="single" w:color="auto" w:sz="4" w:space="0"/>
              <w:left w:val="nil"/>
              <w:bottom w:val="single" w:color="auto" w:sz="4" w:space="0"/>
              <w:right w:val="single" w:color="auto" w:sz="4" w:space="0"/>
            </w:tcBorders>
            <w:noWrap w:val="0"/>
            <w:vAlign w:val="center"/>
          </w:tcPr>
          <w:p w14:paraId="4E88FF71">
            <w:pPr>
              <w:spacing w:line="240" w:lineRule="exact"/>
              <w:jc w:val="center"/>
              <w:rPr>
                <w:rFonts w:ascii="Calibri" w:hAnsi="Calibri"/>
                <w:color w:val="auto"/>
                <w:sz w:val="18"/>
                <w:szCs w:val="18"/>
                <w:highlight w:val="none"/>
              </w:rPr>
            </w:pPr>
            <w:r>
              <w:rPr>
                <w:color w:val="auto"/>
                <w:sz w:val="18"/>
                <w:szCs w:val="18"/>
                <w:highlight w:val="none"/>
              </w:rPr>
              <w:t>10</w:t>
            </w:r>
            <w:r>
              <w:rPr>
                <w:rFonts w:hint="eastAsia" w:ascii="宋体" w:hAnsi="宋体"/>
                <w:color w:val="auto"/>
                <w:sz w:val="18"/>
                <w:szCs w:val="18"/>
                <w:highlight w:val="none"/>
              </w:rPr>
              <w:t>株以上乔木或</w:t>
            </w:r>
            <w:r>
              <w:rPr>
                <w:color w:val="auto"/>
                <w:sz w:val="18"/>
                <w:szCs w:val="18"/>
                <w:highlight w:val="none"/>
              </w:rPr>
              <w:t>50</w:t>
            </w:r>
            <w:r>
              <w:rPr>
                <w:rFonts w:hint="eastAsia" w:ascii="宋体" w:hAnsi="宋体"/>
                <w:color w:val="auto"/>
                <w:sz w:val="18"/>
                <w:szCs w:val="18"/>
                <w:highlight w:val="none"/>
              </w:rPr>
              <w:t>㎡以上绿地</w:t>
            </w:r>
          </w:p>
        </w:tc>
        <w:tc>
          <w:tcPr>
            <w:tcW w:w="1365" w:type="dxa"/>
            <w:tcBorders>
              <w:top w:val="single" w:color="auto" w:sz="4" w:space="0"/>
              <w:left w:val="nil"/>
              <w:bottom w:val="single" w:color="auto" w:sz="4" w:space="0"/>
              <w:right w:val="single" w:color="auto" w:sz="4" w:space="0"/>
            </w:tcBorders>
            <w:noWrap w:val="0"/>
            <w:vAlign w:val="center"/>
          </w:tcPr>
          <w:p w14:paraId="6F70C73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2-5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DD2B8FA">
            <w:pPr>
              <w:spacing w:line="240" w:lineRule="exact"/>
              <w:jc w:val="center"/>
              <w:rPr>
                <w:rFonts w:ascii="宋体"/>
                <w:color w:val="auto"/>
                <w:sz w:val="18"/>
                <w:szCs w:val="18"/>
                <w:highlight w:val="none"/>
              </w:rPr>
            </w:pPr>
          </w:p>
        </w:tc>
      </w:tr>
      <w:tr w14:paraId="0E403AB0">
        <w:tblPrEx>
          <w:tblCellMar>
            <w:top w:w="0" w:type="dxa"/>
            <w:left w:w="108" w:type="dxa"/>
            <w:bottom w:w="0" w:type="dxa"/>
            <w:right w:w="108" w:type="dxa"/>
          </w:tblCellMar>
        </w:tblPrEx>
        <w:trPr>
          <w:cantSplit/>
          <w:trHeight w:val="450"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7427B52C">
            <w:pPr>
              <w:widowControl/>
              <w:spacing w:line="240" w:lineRule="exact"/>
              <w:jc w:val="left"/>
              <w:rPr>
                <w:rFonts w:ascii="Calibri" w:hAnsi="Calibri"/>
                <w:color w:val="auto"/>
                <w:sz w:val="18"/>
                <w:szCs w:val="18"/>
                <w:highlight w:val="none"/>
              </w:rPr>
            </w:pPr>
          </w:p>
        </w:tc>
        <w:tc>
          <w:tcPr>
            <w:tcW w:w="788" w:type="dxa"/>
            <w:vMerge w:val="restart"/>
            <w:tcBorders>
              <w:top w:val="nil"/>
              <w:left w:val="nil"/>
              <w:bottom w:val="single" w:color="auto" w:sz="4" w:space="0"/>
              <w:right w:val="single" w:color="auto" w:sz="4" w:space="0"/>
            </w:tcBorders>
            <w:noWrap w:val="0"/>
            <w:vAlign w:val="center"/>
          </w:tcPr>
          <w:p w14:paraId="39E2420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12</w:t>
            </w:r>
          </w:p>
        </w:tc>
        <w:tc>
          <w:tcPr>
            <w:tcW w:w="3544" w:type="dxa"/>
            <w:vMerge w:val="restart"/>
            <w:tcBorders>
              <w:top w:val="nil"/>
              <w:left w:val="nil"/>
              <w:bottom w:val="single" w:color="auto" w:sz="4" w:space="0"/>
              <w:right w:val="single" w:color="auto" w:sz="4" w:space="0"/>
            </w:tcBorders>
            <w:noWrap w:val="0"/>
            <w:vAlign w:val="center"/>
          </w:tcPr>
          <w:p w14:paraId="2DBDC5F5">
            <w:pPr>
              <w:spacing w:line="240" w:lineRule="exact"/>
              <w:rPr>
                <w:rFonts w:ascii="Calibri" w:hAnsi="Calibri"/>
                <w:color w:val="auto"/>
                <w:sz w:val="18"/>
                <w:szCs w:val="18"/>
                <w:highlight w:val="none"/>
              </w:rPr>
            </w:pPr>
            <w:r>
              <w:rPr>
                <w:rFonts w:hint="eastAsia" w:ascii="宋体" w:hAnsi="宋体"/>
                <w:color w:val="auto"/>
                <w:sz w:val="18"/>
                <w:szCs w:val="18"/>
                <w:highlight w:val="none"/>
              </w:rPr>
              <w:t>社会投诉、网上信访、市长热线投诉、数字化城管平台一般案件直接由中标人自行整改，整改不及时致使案件超期完成的</w:t>
            </w:r>
          </w:p>
        </w:tc>
        <w:tc>
          <w:tcPr>
            <w:tcW w:w="850" w:type="dxa"/>
            <w:vMerge w:val="restart"/>
            <w:tcBorders>
              <w:top w:val="nil"/>
              <w:left w:val="nil"/>
              <w:bottom w:val="single" w:color="auto" w:sz="4" w:space="0"/>
              <w:right w:val="single" w:color="auto" w:sz="4" w:space="0"/>
            </w:tcBorders>
            <w:noWrap w:val="0"/>
            <w:vAlign w:val="center"/>
          </w:tcPr>
          <w:p w14:paraId="586918B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每宗案件</w:t>
            </w:r>
          </w:p>
        </w:tc>
        <w:tc>
          <w:tcPr>
            <w:tcW w:w="1328" w:type="dxa"/>
            <w:gridSpan w:val="5"/>
            <w:tcBorders>
              <w:top w:val="single" w:color="auto" w:sz="4" w:space="0"/>
              <w:left w:val="nil"/>
              <w:bottom w:val="single" w:color="auto" w:sz="4" w:space="0"/>
              <w:right w:val="single" w:color="auto" w:sz="4" w:space="0"/>
            </w:tcBorders>
            <w:noWrap w:val="0"/>
            <w:vAlign w:val="center"/>
          </w:tcPr>
          <w:p w14:paraId="3843B73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不及时</w:t>
            </w:r>
          </w:p>
        </w:tc>
        <w:tc>
          <w:tcPr>
            <w:tcW w:w="1365" w:type="dxa"/>
            <w:tcBorders>
              <w:top w:val="nil"/>
              <w:left w:val="nil"/>
              <w:bottom w:val="single" w:color="auto" w:sz="4" w:space="0"/>
              <w:right w:val="single" w:color="auto" w:sz="4" w:space="0"/>
            </w:tcBorders>
            <w:noWrap w:val="0"/>
            <w:vAlign w:val="center"/>
          </w:tcPr>
          <w:p w14:paraId="1475686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0.2-1</w:t>
            </w:r>
            <w:r>
              <w:rPr>
                <w:rFonts w:hint="eastAsia" w:ascii="宋体" w:hAnsi="宋体"/>
                <w:color w:val="auto"/>
                <w:sz w:val="18"/>
                <w:szCs w:val="18"/>
                <w:highlight w:val="none"/>
              </w:rPr>
              <w:t>分</w:t>
            </w:r>
          </w:p>
        </w:tc>
        <w:tc>
          <w:tcPr>
            <w:tcW w:w="1155" w:type="dxa"/>
            <w:tcBorders>
              <w:top w:val="nil"/>
              <w:left w:val="nil"/>
              <w:bottom w:val="single" w:color="auto" w:sz="4" w:space="0"/>
              <w:right w:val="single" w:color="auto" w:sz="4" w:space="0"/>
            </w:tcBorders>
            <w:noWrap w:val="0"/>
            <w:vAlign w:val="center"/>
          </w:tcPr>
          <w:p w14:paraId="087D29CA">
            <w:pPr>
              <w:spacing w:line="240" w:lineRule="exact"/>
              <w:jc w:val="center"/>
              <w:rPr>
                <w:rFonts w:ascii="宋体"/>
                <w:color w:val="auto"/>
                <w:sz w:val="18"/>
                <w:szCs w:val="18"/>
                <w:highlight w:val="none"/>
              </w:rPr>
            </w:pPr>
          </w:p>
        </w:tc>
      </w:tr>
      <w:tr w14:paraId="14B39A86">
        <w:tblPrEx>
          <w:tblCellMar>
            <w:top w:w="0" w:type="dxa"/>
            <w:left w:w="108" w:type="dxa"/>
            <w:bottom w:w="0" w:type="dxa"/>
            <w:right w:w="108" w:type="dxa"/>
          </w:tblCellMar>
        </w:tblPrEx>
        <w:trPr>
          <w:cantSplit/>
          <w:trHeight w:val="352"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4AA32556">
            <w:pPr>
              <w:widowControl/>
              <w:spacing w:line="240" w:lineRule="exact"/>
              <w:jc w:val="left"/>
              <w:rPr>
                <w:rFonts w:ascii="Calibri" w:hAnsi="Calibri"/>
                <w:color w:val="auto"/>
                <w:sz w:val="18"/>
                <w:szCs w:val="18"/>
                <w:highlight w:val="none"/>
              </w:rPr>
            </w:pPr>
          </w:p>
        </w:tc>
        <w:tc>
          <w:tcPr>
            <w:tcW w:w="788" w:type="dxa"/>
            <w:vMerge w:val="continue"/>
            <w:tcBorders>
              <w:top w:val="nil"/>
              <w:left w:val="nil"/>
              <w:bottom w:val="single" w:color="auto" w:sz="4" w:space="0"/>
              <w:right w:val="single" w:color="auto" w:sz="4" w:space="0"/>
            </w:tcBorders>
            <w:noWrap w:val="0"/>
            <w:vAlign w:val="center"/>
          </w:tcPr>
          <w:p w14:paraId="0BBFD308">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02C56FCC">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349F5BD0">
            <w:pPr>
              <w:widowControl/>
              <w:spacing w:line="240" w:lineRule="exact"/>
              <w:jc w:val="left"/>
              <w:rPr>
                <w:rFonts w:ascii="Calibri" w:hAnsi="Calibri"/>
                <w:color w:val="auto"/>
                <w:sz w:val="18"/>
                <w:szCs w:val="18"/>
                <w:highlight w:val="none"/>
              </w:rPr>
            </w:pPr>
          </w:p>
        </w:tc>
        <w:tc>
          <w:tcPr>
            <w:tcW w:w="1328" w:type="dxa"/>
            <w:gridSpan w:val="5"/>
            <w:tcBorders>
              <w:top w:val="single" w:color="auto" w:sz="4" w:space="0"/>
              <w:left w:val="nil"/>
              <w:bottom w:val="single" w:color="auto" w:sz="4" w:space="0"/>
              <w:right w:val="single" w:color="auto" w:sz="4" w:space="0"/>
            </w:tcBorders>
            <w:noWrap w:val="0"/>
            <w:vAlign w:val="center"/>
          </w:tcPr>
          <w:p w14:paraId="046FDF0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假结案</w:t>
            </w:r>
          </w:p>
        </w:tc>
        <w:tc>
          <w:tcPr>
            <w:tcW w:w="1365" w:type="dxa"/>
            <w:tcBorders>
              <w:top w:val="single" w:color="auto" w:sz="4" w:space="0"/>
              <w:left w:val="nil"/>
              <w:bottom w:val="nil"/>
              <w:right w:val="single" w:color="auto" w:sz="4" w:space="0"/>
            </w:tcBorders>
            <w:noWrap w:val="0"/>
            <w:vAlign w:val="center"/>
          </w:tcPr>
          <w:p w14:paraId="09D9847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10</w:t>
            </w:r>
            <w:r>
              <w:rPr>
                <w:rFonts w:hint="eastAsia" w:ascii="宋体" w:hAnsi="宋体"/>
                <w:color w:val="auto"/>
                <w:sz w:val="18"/>
                <w:szCs w:val="18"/>
                <w:highlight w:val="none"/>
              </w:rPr>
              <w:t>分</w:t>
            </w:r>
          </w:p>
        </w:tc>
        <w:tc>
          <w:tcPr>
            <w:tcW w:w="1155" w:type="dxa"/>
            <w:tcBorders>
              <w:top w:val="single" w:color="auto" w:sz="4" w:space="0"/>
              <w:left w:val="nil"/>
              <w:bottom w:val="nil"/>
              <w:right w:val="single" w:color="auto" w:sz="4" w:space="0"/>
            </w:tcBorders>
            <w:noWrap w:val="0"/>
            <w:vAlign w:val="center"/>
          </w:tcPr>
          <w:p w14:paraId="26C69E76">
            <w:pPr>
              <w:spacing w:line="240" w:lineRule="exact"/>
              <w:jc w:val="center"/>
              <w:rPr>
                <w:rFonts w:ascii="宋体"/>
                <w:color w:val="auto"/>
                <w:sz w:val="18"/>
                <w:szCs w:val="18"/>
                <w:highlight w:val="none"/>
              </w:rPr>
            </w:pPr>
          </w:p>
        </w:tc>
      </w:tr>
      <w:tr w14:paraId="6D314E19">
        <w:tblPrEx>
          <w:tblCellMar>
            <w:top w:w="0" w:type="dxa"/>
            <w:left w:w="108" w:type="dxa"/>
            <w:bottom w:w="0" w:type="dxa"/>
            <w:right w:w="108" w:type="dxa"/>
          </w:tblCellMar>
        </w:tblPrEx>
        <w:trPr>
          <w:cantSplit/>
          <w:trHeight w:val="540"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3FB1A1FB">
            <w:pPr>
              <w:widowControl/>
              <w:spacing w:line="240" w:lineRule="exact"/>
              <w:jc w:val="left"/>
              <w:rPr>
                <w:rFonts w:ascii="Calibri" w:hAnsi="Calibri"/>
                <w:color w:val="auto"/>
                <w:sz w:val="18"/>
                <w:szCs w:val="18"/>
                <w:highlight w:val="none"/>
              </w:rPr>
            </w:pPr>
          </w:p>
        </w:tc>
        <w:tc>
          <w:tcPr>
            <w:tcW w:w="788" w:type="dxa"/>
            <w:vMerge w:val="restart"/>
            <w:tcBorders>
              <w:top w:val="nil"/>
              <w:left w:val="nil"/>
              <w:bottom w:val="single" w:color="auto" w:sz="4" w:space="0"/>
              <w:right w:val="single" w:color="auto" w:sz="4" w:space="0"/>
            </w:tcBorders>
            <w:noWrap w:val="0"/>
            <w:vAlign w:val="center"/>
          </w:tcPr>
          <w:p w14:paraId="564F773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13</w:t>
            </w:r>
          </w:p>
        </w:tc>
        <w:tc>
          <w:tcPr>
            <w:tcW w:w="3544" w:type="dxa"/>
            <w:vMerge w:val="restart"/>
            <w:tcBorders>
              <w:top w:val="nil"/>
              <w:left w:val="nil"/>
              <w:bottom w:val="single" w:color="auto" w:sz="4" w:space="0"/>
              <w:right w:val="single" w:color="auto" w:sz="4" w:space="0"/>
            </w:tcBorders>
            <w:noWrap w:val="0"/>
            <w:vAlign w:val="center"/>
          </w:tcPr>
          <w:p w14:paraId="2BA0F14E">
            <w:pPr>
              <w:spacing w:line="240" w:lineRule="exact"/>
              <w:rPr>
                <w:rFonts w:ascii="Calibri" w:hAnsi="Calibri"/>
                <w:color w:val="auto"/>
                <w:sz w:val="18"/>
                <w:szCs w:val="18"/>
                <w:highlight w:val="none"/>
              </w:rPr>
            </w:pPr>
            <w:r>
              <w:rPr>
                <w:rFonts w:hint="eastAsia" w:ascii="宋体" w:hAnsi="宋体"/>
                <w:color w:val="auto"/>
                <w:sz w:val="18"/>
                <w:szCs w:val="18"/>
                <w:highlight w:val="none"/>
              </w:rPr>
              <w:t>接到媒体曝光、“美丽南宁”案件以及被有关部门督办等情况，经园容科核实无误，未按规定时限处理的</w:t>
            </w:r>
          </w:p>
        </w:tc>
        <w:tc>
          <w:tcPr>
            <w:tcW w:w="850" w:type="dxa"/>
            <w:vMerge w:val="restart"/>
            <w:tcBorders>
              <w:top w:val="nil"/>
              <w:left w:val="nil"/>
              <w:bottom w:val="single" w:color="auto" w:sz="4" w:space="0"/>
              <w:right w:val="single" w:color="auto" w:sz="4" w:space="0"/>
            </w:tcBorders>
            <w:noWrap w:val="0"/>
            <w:vAlign w:val="center"/>
          </w:tcPr>
          <w:p w14:paraId="4420D6A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每次</w:t>
            </w:r>
          </w:p>
        </w:tc>
        <w:tc>
          <w:tcPr>
            <w:tcW w:w="2693" w:type="dxa"/>
            <w:gridSpan w:val="6"/>
            <w:tcBorders>
              <w:top w:val="single" w:color="auto" w:sz="4" w:space="0"/>
              <w:left w:val="nil"/>
              <w:bottom w:val="single" w:color="auto" w:sz="4" w:space="0"/>
              <w:right w:val="single" w:color="auto" w:sz="4" w:space="0"/>
            </w:tcBorders>
            <w:noWrap w:val="0"/>
            <w:vAlign w:val="center"/>
          </w:tcPr>
          <w:p w14:paraId="5E74C1D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4839CD53">
            <w:pPr>
              <w:spacing w:line="240" w:lineRule="exact"/>
              <w:jc w:val="center"/>
              <w:rPr>
                <w:rFonts w:ascii="宋体"/>
                <w:color w:val="auto"/>
                <w:sz w:val="18"/>
                <w:szCs w:val="18"/>
                <w:highlight w:val="none"/>
              </w:rPr>
            </w:pPr>
          </w:p>
        </w:tc>
      </w:tr>
      <w:tr w14:paraId="10469532">
        <w:tblPrEx>
          <w:tblCellMar>
            <w:top w:w="0" w:type="dxa"/>
            <w:left w:w="108" w:type="dxa"/>
            <w:bottom w:w="0" w:type="dxa"/>
            <w:right w:w="108" w:type="dxa"/>
          </w:tblCellMar>
        </w:tblPrEx>
        <w:trPr>
          <w:cantSplit/>
          <w:trHeight w:val="262"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18CD33D1">
            <w:pPr>
              <w:widowControl/>
              <w:spacing w:line="240" w:lineRule="exact"/>
              <w:jc w:val="left"/>
              <w:rPr>
                <w:rFonts w:ascii="Calibri" w:hAnsi="Calibri"/>
                <w:color w:val="auto"/>
                <w:sz w:val="18"/>
                <w:szCs w:val="18"/>
                <w:highlight w:val="none"/>
              </w:rPr>
            </w:pPr>
          </w:p>
        </w:tc>
        <w:tc>
          <w:tcPr>
            <w:tcW w:w="788" w:type="dxa"/>
            <w:vMerge w:val="continue"/>
            <w:tcBorders>
              <w:top w:val="nil"/>
              <w:left w:val="nil"/>
              <w:bottom w:val="single" w:color="auto" w:sz="4" w:space="0"/>
              <w:right w:val="single" w:color="auto" w:sz="4" w:space="0"/>
            </w:tcBorders>
            <w:noWrap w:val="0"/>
            <w:vAlign w:val="center"/>
          </w:tcPr>
          <w:p w14:paraId="6BD4734B">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5ACCF4B7">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64211C8D">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center"/>
          </w:tcPr>
          <w:p w14:paraId="5F5F44A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假结案</w:t>
            </w:r>
          </w:p>
        </w:tc>
        <w:tc>
          <w:tcPr>
            <w:tcW w:w="1680" w:type="dxa"/>
            <w:gridSpan w:val="2"/>
            <w:tcBorders>
              <w:top w:val="single" w:color="auto" w:sz="4" w:space="0"/>
              <w:left w:val="nil"/>
              <w:bottom w:val="single" w:color="auto" w:sz="4" w:space="0"/>
              <w:right w:val="single" w:color="auto" w:sz="4" w:space="0"/>
            </w:tcBorders>
            <w:noWrap w:val="0"/>
            <w:vAlign w:val="center"/>
          </w:tcPr>
          <w:p w14:paraId="644067C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10</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6C3B367">
            <w:pPr>
              <w:spacing w:line="240" w:lineRule="exact"/>
              <w:jc w:val="center"/>
              <w:rPr>
                <w:rFonts w:ascii="宋体"/>
                <w:color w:val="auto"/>
                <w:sz w:val="18"/>
                <w:szCs w:val="18"/>
                <w:highlight w:val="none"/>
              </w:rPr>
            </w:pPr>
          </w:p>
        </w:tc>
      </w:tr>
      <w:tr w14:paraId="56CB53F2">
        <w:tblPrEx>
          <w:tblCellMar>
            <w:top w:w="0" w:type="dxa"/>
            <w:left w:w="108" w:type="dxa"/>
            <w:bottom w:w="0" w:type="dxa"/>
            <w:right w:w="108" w:type="dxa"/>
          </w:tblCellMar>
        </w:tblPrEx>
        <w:trPr>
          <w:cantSplit/>
          <w:trHeight w:val="579" w:hRule="atLeast"/>
        </w:trPr>
        <w:tc>
          <w:tcPr>
            <w:tcW w:w="420" w:type="dxa"/>
            <w:vMerge w:val="restart"/>
            <w:tcBorders>
              <w:left w:val="single" w:color="auto" w:sz="4" w:space="0"/>
              <w:right w:val="single" w:color="auto" w:sz="4" w:space="0"/>
            </w:tcBorders>
            <w:noWrap w:val="0"/>
            <w:vAlign w:val="center"/>
          </w:tcPr>
          <w:p w14:paraId="0320D9A1">
            <w:pPr>
              <w:spacing w:line="240" w:lineRule="exact"/>
              <w:jc w:val="center"/>
              <w:rPr>
                <w:rFonts w:ascii="宋体"/>
                <w:color w:val="auto"/>
                <w:sz w:val="18"/>
                <w:szCs w:val="18"/>
                <w:highlight w:val="none"/>
              </w:rPr>
            </w:pPr>
            <w:r>
              <w:rPr>
                <w:rFonts w:hint="eastAsia" w:ascii="宋体" w:hAnsi="宋体"/>
                <w:color w:val="auto"/>
                <w:sz w:val="18"/>
                <w:szCs w:val="18"/>
                <w:highlight w:val="none"/>
              </w:rPr>
              <w:t>四</w:t>
            </w:r>
          </w:p>
          <w:p w14:paraId="579BA789">
            <w:pPr>
              <w:spacing w:line="240" w:lineRule="exact"/>
              <w:jc w:val="center"/>
              <w:rPr>
                <w:rFonts w:ascii="宋体"/>
                <w:color w:val="auto"/>
                <w:sz w:val="18"/>
                <w:szCs w:val="18"/>
                <w:highlight w:val="none"/>
              </w:rPr>
            </w:pPr>
          </w:p>
          <w:p w14:paraId="67ABB36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养护管理</w:t>
            </w:r>
          </w:p>
        </w:tc>
        <w:tc>
          <w:tcPr>
            <w:tcW w:w="788" w:type="dxa"/>
            <w:tcBorders>
              <w:top w:val="single" w:color="auto" w:sz="4" w:space="0"/>
              <w:left w:val="single" w:color="auto" w:sz="4" w:space="0"/>
              <w:bottom w:val="single" w:color="auto" w:sz="4" w:space="0"/>
              <w:right w:val="single" w:color="auto" w:sz="4" w:space="0"/>
            </w:tcBorders>
            <w:noWrap w:val="0"/>
            <w:vAlign w:val="center"/>
          </w:tcPr>
          <w:p w14:paraId="62F75A9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14</w:t>
            </w:r>
          </w:p>
        </w:tc>
        <w:tc>
          <w:tcPr>
            <w:tcW w:w="3544" w:type="dxa"/>
            <w:tcBorders>
              <w:top w:val="single" w:color="auto" w:sz="4" w:space="0"/>
              <w:left w:val="nil"/>
              <w:bottom w:val="single" w:color="auto" w:sz="4" w:space="0"/>
              <w:right w:val="single" w:color="auto" w:sz="4" w:space="0"/>
            </w:tcBorders>
            <w:noWrap w:val="0"/>
            <w:vAlign w:val="center"/>
          </w:tcPr>
          <w:p w14:paraId="5F0DD969">
            <w:pPr>
              <w:spacing w:line="240" w:lineRule="exact"/>
              <w:rPr>
                <w:rFonts w:ascii="Calibri" w:hAnsi="Calibri"/>
                <w:color w:val="auto"/>
                <w:sz w:val="18"/>
                <w:szCs w:val="18"/>
                <w:highlight w:val="none"/>
              </w:rPr>
            </w:pPr>
            <w:r>
              <w:rPr>
                <w:rFonts w:hint="eastAsia" w:ascii="宋体" w:hAnsi="宋体"/>
                <w:color w:val="auto"/>
                <w:sz w:val="18"/>
                <w:szCs w:val="18"/>
                <w:highlight w:val="none"/>
              </w:rPr>
              <w:t>未按要求进行松土、做树盘、做边线的，甚至造成土壤板结的</w:t>
            </w:r>
          </w:p>
        </w:tc>
        <w:tc>
          <w:tcPr>
            <w:tcW w:w="850" w:type="dxa"/>
            <w:tcBorders>
              <w:top w:val="single" w:color="auto" w:sz="4" w:space="0"/>
              <w:left w:val="nil"/>
              <w:bottom w:val="single" w:color="auto" w:sz="4" w:space="0"/>
              <w:right w:val="single" w:color="auto" w:sz="4" w:space="0"/>
            </w:tcBorders>
            <w:noWrap w:val="0"/>
            <w:vAlign w:val="center"/>
          </w:tcPr>
          <w:p w14:paraId="243D3CA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2693" w:type="dxa"/>
            <w:gridSpan w:val="6"/>
            <w:tcBorders>
              <w:top w:val="single" w:color="auto" w:sz="4" w:space="0"/>
              <w:left w:val="nil"/>
              <w:bottom w:val="single" w:color="auto" w:sz="4" w:space="0"/>
              <w:right w:val="single" w:color="auto" w:sz="4" w:space="0"/>
            </w:tcBorders>
            <w:noWrap w:val="0"/>
            <w:vAlign w:val="center"/>
          </w:tcPr>
          <w:p w14:paraId="1A00E56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E2AFD25">
            <w:pPr>
              <w:spacing w:line="240" w:lineRule="exact"/>
              <w:jc w:val="center"/>
              <w:rPr>
                <w:rFonts w:ascii="宋体"/>
                <w:color w:val="auto"/>
                <w:sz w:val="18"/>
                <w:szCs w:val="18"/>
                <w:highlight w:val="none"/>
              </w:rPr>
            </w:pPr>
          </w:p>
        </w:tc>
      </w:tr>
      <w:tr w14:paraId="7B65FF3A">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C55A135">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right w:val="single" w:color="auto" w:sz="4" w:space="0"/>
            </w:tcBorders>
            <w:noWrap w:val="0"/>
            <w:vAlign w:val="center"/>
          </w:tcPr>
          <w:p w14:paraId="4B35124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15</w:t>
            </w:r>
          </w:p>
        </w:tc>
        <w:tc>
          <w:tcPr>
            <w:tcW w:w="3544" w:type="dxa"/>
            <w:vMerge w:val="restart"/>
            <w:tcBorders>
              <w:top w:val="nil"/>
              <w:left w:val="nil"/>
              <w:right w:val="single" w:color="auto" w:sz="4" w:space="0"/>
            </w:tcBorders>
            <w:noWrap w:val="0"/>
            <w:vAlign w:val="center"/>
          </w:tcPr>
          <w:p w14:paraId="1EA89967">
            <w:pPr>
              <w:spacing w:line="240" w:lineRule="exact"/>
              <w:rPr>
                <w:rFonts w:ascii="Calibri" w:hAnsi="Calibri"/>
                <w:color w:val="auto"/>
                <w:sz w:val="18"/>
                <w:szCs w:val="18"/>
                <w:highlight w:val="none"/>
              </w:rPr>
            </w:pPr>
            <w:r>
              <w:rPr>
                <w:rFonts w:hint="eastAsia" w:ascii="宋体" w:hAnsi="宋体"/>
                <w:color w:val="auto"/>
                <w:sz w:val="18"/>
                <w:szCs w:val="18"/>
                <w:highlight w:val="none"/>
              </w:rPr>
              <w:t>未按要求除杂，杂草明显的。</w:t>
            </w:r>
          </w:p>
        </w:tc>
        <w:tc>
          <w:tcPr>
            <w:tcW w:w="850" w:type="dxa"/>
            <w:vMerge w:val="restart"/>
            <w:tcBorders>
              <w:top w:val="nil"/>
              <w:left w:val="nil"/>
              <w:bottom w:val="single" w:color="auto" w:sz="4" w:space="0"/>
              <w:right w:val="single" w:color="auto" w:sz="4" w:space="0"/>
            </w:tcBorders>
            <w:noWrap w:val="0"/>
            <w:vAlign w:val="center"/>
          </w:tcPr>
          <w:p w14:paraId="7A15DD9A">
            <w:pPr>
              <w:spacing w:line="240" w:lineRule="exact"/>
              <w:rPr>
                <w:rFonts w:ascii="Calibri" w:hAnsi="Calibri"/>
                <w:color w:val="auto"/>
                <w:sz w:val="18"/>
                <w:szCs w:val="18"/>
                <w:highlight w:val="none"/>
              </w:rPr>
            </w:pPr>
            <w:r>
              <w:rPr>
                <w:rFonts w:hint="eastAsia"/>
                <w:color w:val="auto"/>
                <w:sz w:val="18"/>
                <w:szCs w:val="18"/>
                <w:highlight w:val="none"/>
              </w:rPr>
              <w:t>每处</w:t>
            </w:r>
            <w:r>
              <w:rPr>
                <w:color w:val="auto"/>
                <w:sz w:val="18"/>
                <w:szCs w:val="18"/>
                <w:highlight w:val="none"/>
              </w:rPr>
              <w:t>100</w:t>
            </w:r>
            <w:r>
              <w:rPr>
                <w:rFonts w:hint="eastAsia" w:ascii="宋体" w:hAnsi="宋体"/>
                <w:color w:val="auto"/>
                <w:sz w:val="18"/>
                <w:szCs w:val="18"/>
                <w:highlight w:val="none"/>
              </w:rPr>
              <w:t>㎡以内</w:t>
            </w:r>
          </w:p>
        </w:tc>
        <w:tc>
          <w:tcPr>
            <w:tcW w:w="803" w:type="dxa"/>
            <w:gridSpan w:val="2"/>
            <w:tcBorders>
              <w:top w:val="single" w:color="auto" w:sz="4" w:space="0"/>
              <w:left w:val="nil"/>
              <w:bottom w:val="single" w:color="auto" w:sz="4" w:space="0"/>
              <w:right w:val="single" w:color="auto" w:sz="4" w:space="0"/>
            </w:tcBorders>
            <w:noWrap w:val="0"/>
            <w:vAlign w:val="center"/>
          </w:tcPr>
          <w:p w14:paraId="497D370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1890" w:type="dxa"/>
            <w:gridSpan w:val="4"/>
            <w:tcBorders>
              <w:top w:val="single" w:color="auto" w:sz="4" w:space="0"/>
              <w:left w:val="nil"/>
              <w:bottom w:val="single" w:color="auto" w:sz="4" w:space="0"/>
              <w:right w:val="single" w:color="auto" w:sz="4" w:space="0"/>
            </w:tcBorders>
            <w:noWrap w:val="0"/>
            <w:vAlign w:val="center"/>
          </w:tcPr>
          <w:p w14:paraId="1A8D652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42A47871">
            <w:pPr>
              <w:spacing w:line="240" w:lineRule="exact"/>
              <w:jc w:val="center"/>
              <w:rPr>
                <w:rFonts w:ascii="宋体"/>
                <w:color w:val="auto"/>
                <w:sz w:val="18"/>
                <w:szCs w:val="18"/>
                <w:highlight w:val="none"/>
              </w:rPr>
            </w:pPr>
          </w:p>
        </w:tc>
      </w:tr>
      <w:tr w14:paraId="623B90B5">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76C4CFF3">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29FD91C3">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7117E801">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5D7CB8D7">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7135711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二级</w:t>
            </w:r>
          </w:p>
        </w:tc>
        <w:tc>
          <w:tcPr>
            <w:tcW w:w="1890" w:type="dxa"/>
            <w:gridSpan w:val="4"/>
            <w:tcBorders>
              <w:top w:val="single" w:color="auto" w:sz="4" w:space="0"/>
              <w:left w:val="nil"/>
              <w:bottom w:val="single" w:color="auto" w:sz="4" w:space="0"/>
              <w:right w:val="single" w:color="auto" w:sz="4" w:space="0"/>
            </w:tcBorders>
            <w:noWrap w:val="0"/>
            <w:vAlign w:val="center"/>
          </w:tcPr>
          <w:p w14:paraId="4C64C30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24B09D4">
            <w:pPr>
              <w:spacing w:line="240" w:lineRule="exact"/>
              <w:jc w:val="center"/>
              <w:rPr>
                <w:rFonts w:ascii="宋体"/>
                <w:color w:val="auto"/>
                <w:sz w:val="18"/>
                <w:szCs w:val="18"/>
                <w:highlight w:val="none"/>
              </w:rPr>
            </w:pPr>
          </w:p>
        </w:tc>
      </w:tr>
      <w:tr w14:paraId="144C73C4">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1629FBBA">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5FB10661">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55A53456">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1E12B5DA">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1E3DCF2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三级</w:t>
            </w:r>
          </w:p>
        </w:tc>
        <w:tc>
          <w:tcPr>
            <w:tcW w:w="1890" w:type="dxa"/>
            <w:gridSpan w:val="4"/>
            <w:tcBorders>
              <w:top w:val="single" w:color="auto" w:sz="4" w:space="0"/>
              <w:left w:val="nil"/>
              <w:bottom w:val="single" w:color="auto" w:sz="4" w:space="0"/>
              <w:right w:val="single" w:color="auto" w:sz="4" w:space="0"/>
            </w:tcBorders>
            <w:noWrap w:val="0"/>
            <w:vAlign w:val="center"/>
          </w:tcPr>
          <w:p w14:paraId="5EC0D20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07E3738">
            <w:pPr>
              <w:spacing w:line="240" w:lineRule="exact"/>
              <w:jc w:val="center"/>
              <w:rPr>
                <w:rFonts w:ascii="宋体"/>
                <w:color w:val="auto"/>
                <w:sz w:val="18"/>
                <w:szCs w:val="18"/>
                <w:highlight w:val="none"/>
              </w:rPr>
            </w:pPr>
          </w:p>
        </w:tc>
      </w:tr>
      <w:tr w14:paraId="39C4ED9E">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5993FC35">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5FE8F5CE">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5DACF671">
            <w:pPr>
              <w:widowControl/>
              <w:spacing w:line="240" w:lineRule="exact"/>
              <w:jc w:val="left"/>
              <w:rPr>
                <w:rFonts w:ascii="Calibri" w:hAnsi="Calibri"/>
                <w:color w:val="auto"/>
                <w:sz w:val="18"/>
                <w:szCs w:val="18"/>
                <w:highlight w:val="none"/>
              </w:rPr>
            </w:pPr>
          </w:p>
        </w:tc>
        <w:tc>
          <w:tcPr>
            <w:tcW w:w="850" w:type="dxa"/>
            <w:vMerge w:val="restart"/>
            <w:tcBorders>
              <w:top w:val="nil"/>
              <w:left w:val="nil"/>
              <w:bottom w:val="single" w:color="auto" w:sz="4" w:space="0"/>
              <w:right w:val="single" w:color="auto" w:sz="4" w:space="0"/>
            </w:tcBorders>
            <w:noWrap w:val="0"/>
            <w:vAlign w:val="center"/>
          </w:tcPr>
          <w:p w14:paraId="02D1ED79">
            <w:pPr>
              <w:spacing w:line="240" w:lineRule="exact"/>
              <w:rPr>
                <w:rFonts w:ascii="Calibri" w:hAnsi="Calibri"/>
                <w:color w:val="auto"/>
                <w:sz w:val="18"/>
                <w:szCs w:val="18"/>
                <w:highlight w:val="none"/>
              </w:rPr>
            </w:pPr>
            <w:r>
              <w:rPr>
                <w:rFonts w:hint="eastAsia"/>
                <w:color w:val="auto"/>
                <w:sz w:val="18"/>
                <w:szCs w:val="18"/>
                <w:highlight w:val="none"/>
              </w:rPr>
              <w:t>每处</w:t>
            </w:r>
            <w:r>
              <w:rPr>
                <w:color w:val="auto"/>
                <w:sz w:val="18"/>
                <w:szCs w:val="18"/>
                <w:highlight w:val="none"/>
              </w:rPr>
              <w:t>100-1000</w:t>
            </w:r>
            <w:r>
              <w:rPr>
                <w:rFonts w:hint="eastAsia" w:ascii="宋体" w:hAnsi="宋体"/>
                <w:color w:val="auto"/>
                <w:sz w:val="18"/>
                <w:szCs w:val="18"/>
                <w:highlight w:val="none"/>
              </w:rPr>
              <w:t>㎡</w:t>
            </w:r>
          </w:p>
        </w:tc>
        <w:tc>
          <w:tcPr>
            <w:tcW w:w="803" w:type="dxa"/>
            <w:gridSpan w:val="2"/>
            <w:tcBorders>
              <w:top w:val="single" w:color="auto" w:sz="4" w:space="0"/>
              <w:left w:val="nil"/>
              <w:bottom w:val="single" w:color="auto" w:sz="4" w:space="0"/>
              <w:right w:val="single" w:color="auto" w:sz="4" w:space="0"/>
            </w:tcBorders>
            <w:noWrap w:val="0"/>
            <w:vAlign w:val="center"/>
          </w:tcPr>
          <w:p w14:paraId="7FB941A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1890" w:type="dxa"/>
            <w:gridSpan w:val="4"/>
            <w:tcBorders>
              <w:top w:val="single" w:color="auto" w:sz="4" w:space="0"/>
              <w:left w:val="nil"/>
              <w:bottom w:val="single" w:color="auto" w:sz="4" w:space="0"/>
              <w:right w:val="single" w:color="auto" w:sz="4" w:space="0"/>
            </w:tcBorders>
            <w:noWrap w:val="0"/>
            <w:vAlign w:val="center"/>
          </w:tcPr>
          <w:p w14:paraId="724626C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1-1.5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AE41FA7">
            <w:pPr>
              <w:spacing w:line="240" w:lineRule="exact"/>
              <w:jc w:val="center"/>
              <w:rPr>
                <w:rFonts w:ascii="宋体"/>
                <w:color w:val="auto"/>
                <w:sz w:val="18"/>
                <w:szCs w:val="18"/>
                <w:highlight w:val="none"/>
              </w:rPr>
            </w:pPr>
          </w:p>
        </w:tc>
      </w:tr>
      <w:tr w14:paraId="6ED06163">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779A5EFC">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5E59234D">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7CB4B406">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34121117">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14547FC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二级</w:t>
            </w:r>
          </w:p>
        </w:tc>
        <w:tc>
          <w:tcPr>
            <w:tcW w:w="1890" w:type="dxa"/>
            <w:gridSpan w:val="4"/>
            <w:tcBorders>
              <w:top w:val="single" w:color="auto" w:sz="4" w:space="0"/>
              <w:left w:val="nil"/>
              <w:bottom w:val="single" w:color="auto" w:sz="4" w:space="0"/>
              <w:right w:val="single" w:color="auto" w:sz="4" w:space="0"/>
            </w:tcBorders>
            <w:noWrap w:val="0"/>
            <w:vAlign w:val="center"/>
          </w:tcPr>
          <w:p w14:paraId="3C7192D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0.5-0.8</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6C56865">
            <w:pPr>
              <w:spacing w:line="240" w:lineRule="exact"/>
              <w:jc w:val="center"/>
              <w:rPr>
                <w:rFonts w:ascii="宋体"/>
                <w:color w:val="auto"/>
                <w:sz w:val="18"/>
                <w:szCs w:val="18"/>
                <w:highlight w:val="none"/>
              </w:rPr>
            </w:pPr>
          </w:p>
        </w:tc>
      </w:tr>
      <w:tr w14:paraId="7D30EF85">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38938DB4">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31A87565">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0C8A3013">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297A2F4E">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4C23763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三级</w:t>
            </w:r>
          </w:p>
        </w:tc>
        <w:tc>
          <w:tcPr>
            <w:tcW w:w="1890" w:type="dxa"/>
            <w:gridSpan w:val="4"/>
            <w:tcBorders>
              <w:top w:val="single" w:color="auto" w:sz="4" w:space="0"/>
              <w:left w:val="nil"/>
              <w:bottom w:val="single" w:color="auto" w:sz="4" w:space="0"/>
              <w:right w:val="single" w:color="auto" w:sz="4" w:space="0"/>
            </w:tcBorders>
            <w:noWrap w:val="0"/>
            <w:vAlign w:val="center"/>
          </w:tcPr>
          <w:p w14:paraId="1F501A8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2373344">
            <w:pPr>
              <w:spacing w:line="240" w:lineRule="exact"/>
              <w:jc w:val="center"/>
              <w:rPr>
                <w:rFonts w:ascii="宋体"/>
                <w:color w:val="auto"/>
                <w:sz w:val="18"/>
                <w:szCs w:val="18"/>
                <w:highlight w:val="none"/>
              </w:rPr>
            </w:pPr>
          </w:p>
        </w:tc>
      </w:tr>
      <w:tr w14:paraId="6B4BA6BF">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031E8D9A">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74B774C6">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7D475E1C">
            <w:pPr>
              <w:widowControl/>
              <w:spacing w:line="240" w:lineRule="exact"/>
              <w:jc w:val="left"/>
              <w:rPr>
                <w:rFonts w:ascii="Calibri" w:hAnsi="Calibri"/>
                <w:color w:val="auto"/>
                <w:sz w:val="18"/>
                <w:szCs w:val="18"/>
                <w:highlight w:val="none"/>
              </w:rPr>
            </w:pPr>
          </w:p>
        </w:tc>
        <w:tc>
          <w:tcPr>
            <w:tcW w:w="850" w:type="dxa"/>
            <w:vMerge w:val="restart"/>
            <w:tcBorders>
              <w:top w:val="nil"/>
              <w:left w:val="nil"/>
              <w:bottom w:val="single" w:color="auto" w:sz="4" w:space="0"/>
              <w:right w:val="single" w:color="auto" w:sz="4" w:space="0"/>
            </w:tcBorders>
            <w:noWrap w:val="0"/>
            <w:vAlign w:val="center"/>
          </w:tcPr>
          <w:p w14:paraId="40A286DB">
            <w:pPr>
              <w:spacing w:line="240" w:lineRule="exact"/>
              <w:rPr>
                <w:rFonts w:ascii="Calibri" w:hAnsi="Calibri"/>
                <w:color w:val="auto"/>
                <w:sz w:val="18"/>
                <w:szCs w:val="18"/>
                <w:highlight w:val="none"/>
              </w:rPr>
            </w:pPr>
            <w:r>
              <w:rPr>
                <w:rFonts w:hint="eastAsia"/>
                <w:color w:val="auto"/>
                <w:sz w:val="18"/>
                <w:szCs w:val="18"/>
                <w:highlight w:val="none"/>
              </w:rPr>
              <w:t>每处</w:t>
            </w:r>
            <w:r>
              <w:rPr>
                <w:color w:val="auto"/>
                <w:sz w:val="18"/>
                <w:szCs w:val="18"/>
                <w:highlight w:val="none"/>
              </w:rPr>
              <w:t>1000</w:t>
            </w:r>
            <w:r>
              <w:rPr>
                <w:rFonts w:hint="eastAsia" w:ascii="宋体" w:hAnsi="宋体"/>
                <w:color w:val="auto"/>
                <w:sz w:val="18"/>
                <w:szCs w:val="18"/>
                <w:highlight w:val="none"/>
              </w:rPr>
              <w:t>㎡以上</w:t>
            </w:r>
          </w:p>
        </w:tc>
        <w:tc>
          <w:tcPr>
            <w:tcW w:w="803" w:type="dxa"/>
            <w:gridSpan w:val="2"/>
            <w:tcBorders>
              <w:top w:val="single" w:color="auto" w:sz="4" w:space="0"/>
              <w:left w:val="nil"/>
              <w:bottom w:val="single" w:color="auto" w:sz="4" w:space="0"/>
              <w:right w:val="single" w:color="auto" w:sz="4" w:space="0"/>
            </w:tcBorders>
            <w:noWrap w:val="0"/>
            <w:vAlign w:val="center"/>
          </w:tcPr>
          <w:p w14:paraId="1E67F1A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1890" w:type="dxa"/>
            <w:gridSpan w:val="4"/>
            <w:tcBorders>
              <w:top w:val="single" w:color="auto" w:sz="4" w:space="0"/>
              <w:left w:val="nil"/>
              <w:bottom w:val="single" w:color="auto" w:sz="4" w:space="0"/>
              <w:right w:val="single" w:color="auto" w:sz="4" w:space="0"/>
            </w:tcBorders>
            <w:noWrap w:val="0"/>
            <w:vAlign w:val="center"/>
          </w:tcPr>
          <w:p w14:paraId="60FB352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8846497">
            <w:pPr>
              <w:spacing w:line="240" w:lineRule="exact"/>
              <w:jc w:val="center"/>
              <w:rPr>
                <w:rFonts w:ascii="宋体"/>
                <w:color w:val="auto"/>
                <w:sz w:val="18"/>
                <w:szCs w:val="18"/>
                <w:highlight w:val="none"/>
              </w:rPr>
            </w:pPr>
          </w:p>
        </w:tc>
      </w:tr>
      <w:tr w14:paraId="04DE95CB">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23847D98">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4FFCFACF">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6C025121">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1F720CC0">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3F23C03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二级</w:t>
            </w:r>
          </w:p>
        </w:tc>
        <w:tc>
          <w:tcPr>
            <w:tcW w:w="1890" w:type="dxa"/>
            <w:gridSpan w:val="4"/>
            <w:tcBorders>
              <w:top w:val="single" w:color="auto" w:sz="4" w:space="0"/>
              <w:left w:val="nil"/>
              <w:bottom w:val="single" w:color="auto" w:sz="4" w:space="0"/>
              <w:right w:val="single" w:color="auto" w:sz="4" w:space="0"/>
            </w:tcBorders>
            <w:noWrap w:val="0"/>
            <w:vAlign w:val="center"/>
          </w:tcPr>
          <w:p w14:paraId="32480E4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1-3</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6256A9FD">
            <w:pPr>
              <w:spacing w:line="240" w:lineRule="exact"/>
              <w:jc w:val="center"/>
              <w:rPr>
                <w:rFonts w:ascii="宋体"/>
                <w:color w:val="auto"/>
                <w:sz w:val="18"/>
                <w:szCs w:val="18"/>
                <w:highlight w:val="none"/>
              </w:rPr>
            </w:pPr>
          </w:p>
        </w:tc>
      </w:tr>
      <w:tr w14:paraId="56D88382">
        <w:tblPrEx>
          <w:tblCellMar>
            <w:top w:w="0" w:type="dxa"/>
            <w:left w:w="108" w:type="dxa"/>
            <w:bottom w:w="0" w:type="dxa"/>
            <w:right w:w="108" w:type="dxa"/>
          </w:tblCellMar>
        </w:tblPrEx>
        <w:trPr>
          <w:cantSplit/>
          <w:trHeight w:val="350" w:hRule="atLeast"/>
        </w:trPr>
        <w:tc>
          <w:tcPr>
            <w:tcW w:w="420" w:type="dxa"/>
            <w:vMerge w:val="continue"/>
            <w:tcBorders>
              <w:left w:val="single" w:color="auto" w:sz="4" w:space="0"/>
              <w:right w:val="single" w:color="auto" w:sz="4" w:space="0"/>
            </w:tcBorders>
            <w:noWrap w:val="0"/>
            <w:vAlign w:val="center"/>
          </w:tcPr>
          <w:p w14:paraId="36FECD35">
            <w:pPr>
              <w:widowControl/>
              <w:spacing w:line="240" w:lineRule="exact"/>
              <w:jc w:val="left"/>
              <w:rPr>
                <w:rFonts w:ascii="Calibri" w:hAnsi="Calibri"/>
                <w:color w:val="auto"/>
                <w:sz w:val="18"/>
                <w:szCs w:val="18"/>
                <w:highlight w:val="none"/>
              </w:rPr>
            </w:pPr>
          </w:p>
        </w:tc>
        <w:tc>
          <w:tcPr>
            <w:tcW w:w="788" w:type="dxa"/>
            <w:vMerge w:val="continue"/>
            <w:tcBorders>
              <w:left w:val="single" w:color="auto" w:sz="4" w:space="0"/>
              <w:right w:val="single" w:color="auto" w:sz="4" w:space="0"/>
            </w:tcBorders>
            <w:noWrap w:val="0"/>
            <w:vAlign w:val="center"/>
          </w:tcPr>
          <w:p w14:paraId="552A82F4">
            <w:pPr>
              <w:widowControl/>
              <w:spacing w:line="240" w:lineRule="exact"/>
              <w:jc w:val="left"/>
              <w:rPr>
                <w:rFonts w:ascii="Calibri" w:hAnsi="Calibri"/>
                <w:color w:val="auto"/>
                <w:sz w:val="18"/>
                <w:szCs w:val="18"/>
                <w:highlight w:val="none"/>
              </w:rPr>
            </w:pPr>
          </w:p>
        </w:tc>
        <w:tc>
          <w:tcPr>
            <w:tcW w:w="3544" w:type="dxa"/>
            <w:vMerge w:val="continue"/>
            <w:tcBorders>
              <w:left w:val="nil"/>
              <w:right w:val="single" w:color="auto" w:sz="4" w:space="0"/>
            </w:tcBorders>
            <w:noWrap w:val="0"/>
            <w:vAlign w:val="center"/>
          </w:tcPr>
          <w:p w14:paraId="0EF1F04B">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239DDE05">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327F8C2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三级</w:t>
            </w:r>
          </w:p>
        </w:tc>
        <w:tc>
          <w:tcPr>
            <w:tcW w:w="1890" w:type="dxa"/>
            <w:gridSpan w:val="4"/>
            <w:tcBorders>
              <w:top w:val="single" w:color="auto" w:sz="4" w:space="0"/>
              <w:left w:val="nil"/>
              <w:bottom w:val="single" w:color="auto" w:sz="4" w:space="0"/>
              <w:right w:val="single" w:color="auto" w:sz="4" w:space="0"/>
            </w:tcBorders>
            <w:noWrap w:val="0"/>
            <w:vAlign w:val="center"/>
          </w:tcPr>
          <w:p w14:paraId="2A7BE2B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ADCE4BC">
            <w:pPr>
              <w:spacing w:line="240" w:lineRule="exact"/>
              <w:jc w:val="center"/>
              <w:rPr>
                <w:rFonts w:ascii="宋体"/>
                <w:color w:val="auto"/>
                <w:sz w:val="18"/>
                <w:szCs w:val="18"/>
                <w:highlight w:val="none"/>
              </w:rPr>
            </w:pPr>
          </w:p>
        </w:tc>
      </w:tr>
      <w:tr w14:paraId="1DF92BB3">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7095A1F">
            <w:pPr>
              <w:widowControl/>
              <w:spacing w:line="240" w:lineRule="exact"/>
              <w:jc w:val="left"/>
              <w:rPr>
                <w:rFonts w:ascii="Calibri" w:hAnsi="Calibri"/>
                <w:color w:val="auto"/>
                <w:sz w:val="18"/>
                <w:szCs w:val="18"/>
                <w:highlight w:val="none"/>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5883E48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16</w:t>
            </w:r>
          </w:p>
        </w:tc>
        <w:tc>
          <w:tcPr>
            <w:tcW w:w="3544" w:type="dxa"/>
            <w:tcBorders>
              <w:top w:val="single" w:color="auto" w:sz="4" w:space="0"/>
              <w:left w:val="nil"/>
              <w:bottom w:val="single" w:color="auto" w:sz="4" w:space="0"/>
              <w:right w:val="single" w:color="auto" w:sz="4" w:space="0"/>
            </w:tcBorders>
            <w:noWrap w:val="0"/>
            <w:vAlign w:val="center"/>
          </w:tcPr>
          <w:p w14:paraId="2040C1DF">
            <w:pPr>
              <w:spacing w:line="240" w:lineRule="exact"/>
              <w:rPr>
                <w:rFonts w:ascii="Calibri" w:hAnsi="Calibri"/>
                <w:color w:val="auto"/>
                <w:sz w:val="18"/>
                <w:szCs w:val="18"/>
                <w:highlight w:val="none"/>
              </w:rPr>
            </w:pPr>
            <w:r>
              <w:rPr>
                <w:rFonts w:hint="eastAsia" w:ascii="宋体" w:hAnsi="宋体"/>
                <w:color w:val="auto"/>
                <w:sz w:val="18"/>
                <w:szCs w:val="18"/>
                <w:highlight w:val="none"/>
              </w:rPr>
              <w:t>植物未按要求适时修剪的，或因修剪不当而造成景观损失或安全隐患的（若出现恶劣后果的，按扣分标准上限翻倍扣罚）</w:t>
            </w:r>
          </w:p>
        </w:tc>
        <w:tc>
          <w:tcPr>
            <w:tcW w:w="850" w:type="dxa"/>
            <w:tcBorders>
              <w:top w:val="single" w:color="auto" w:sz="4" w:space="0"/>
              <w:left w:val="nil"/>
              <w:bottom w:val="single" w:color="auto" w:sz="4" w:space="0"/>
              <w:right w:val="single" w:color="auto" w:sz="4" w:space="0"/>
            </w:tcBorders>
            <w:noWrap w:val="0"/>
            <w:vAlign w:val="center"/>
          </w:tcPr>
          <w:p w14:paraId="252BD39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2693" w:type="dxa"/>
            <w:gridSpan w:val="6"/>
            <w:tcBorders>
              <w:top w:val="single" w:color="auto" w:sz="4" w:space="0"/>
              <w:left w:val="nil"/>
              <w:bottom w:val="single" w:color="auto" w:sz="4" w:space="0"/>
              <w:right w:val="single" w:color="auto" w:sz="4" w:space="0"/>
            </w:tcBorders>
            <w:noWrap w:val="0"/>
            <w:vAlign w:val="center"/>
          </w:tcPr>
          <w:p w14:paraId="3E17C76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2821A45">
            <w:pPr>
              <w:spacing w:line="240" w:lineRule="exact"/>
              <w:jc w:val="center"/>
              <w:rPr>
                <w:rFonts w:ascii="宋体"/>
                <w:color w:val="auto"/>
                <w:sz w:val="18"/>
                <w:szCs w:val="18"/>
                <w:highlight w:val="none"/>
              </w:rPr>
            </w:pPr>
          </w:p>
        </w:tc>
      </w:tr>
      <w:tr w14:paraId="0ADC4536">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A08FDB9">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14CC0D6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17</w:t>
            </w:r>
          </w:p>
        </w:tc>
        <w:tc>
          <w:tcPr>
            <w:tcW w:w="3544" w:type="dxa"/>
            <w:vMerge w:val="restart"/>
            <w:tcBorders>
              <w:top w:val="nil"/>
              <w:left w:val="nil"/>
              <w:bottom w:val="single" w:color="auto" w:sz="4" w:space="0"/>
              <w:right w:val="single" w:color="auto" w:sz="4" w:space="0"/>
            </w:tcBorders>
            <w:noWrap w:val="0"/>
            <w:vAlign w:val="center"/>
          </w:tcPr>
          <w:p w14:paraId="1593EDEF">
            <w:pPr>
              <w:spacing w:line="240" w:lineRule="exact"/>
              <w:rPr>
                <w:rFonts w:ascii="Calibri" w:hAnsi="Calibri"/>
                <w:color w:val="auto"/>
                <w:sz w:val="18"/>
                <w:szCs w:val="18"/>
                <w:highlight w:val="none"/>
              </w:rPr>
            </w:pPr>
            <w:r>
              <w:rPr>
                <w:rFonts w:hint="eastAsia" w:ascii="宋体" w:hAnsi="宋体"/>
                <w:color w:val="auto"/>
                <w:sz w:val="18"/>
                <w:szCs w:val="18"/>
                <w:highlight w:val="none"/>
              </w:rPr>
              <w:t>乔木未按规范和相关要求进行整形修剪低垂枝、萌蘖枝、病虫枝、伤残枝、</w:t>
            </w:r>
            <w:r>
              <w:rPr>
                <w:rFonts w:hint="eastAsia" w:ascii="宋体" w:hAnsi="宋体"/>
                <w:color w:val="auto"/>
                <w:sz w:val="18"/>
                <w:szCs w:val="18"/>
                <w:highlight w:val="none"/>
                <w:lang w:val="en-US" w:eastAsia="zh-CN"/>
              </w:rPr>
              <w:t>内</w:t>
            </w:r>
            <w:r>
              <w:rPr>
                <w:rFonts w:hint="eastAsia" w:ascii="宋体" w:hAnsi="宋体"/>
                <w:color w:val="auto"/>
                <w:sz w:val="18"/>
                <w:szCs w:val="18"/>
                <w:highlight w:val="none"/>
              </w:rPr>
              <w:t>膛枝干枯枝等需要清除的枝条</w:t>
            </w:r>
          </w:p>
        </w:tc>
        <w:tc>
          <w:tcPr>
            <w:tcW w:w="850" w:type="dxa"/>
            <w:vMerge w:val="restart"/>
            <w:tcBorders>
              <w:top w:val="nil"/>
              <w:left w:val="nil"/>
              <w:bottom w:val="single" w:color="auto" w:sz="4" w:space="0"/>
              <w:right w:val="single" w:color="auto" w:sz="4" w:space="0"/>
            </w:tcBorders>
            <w:noWrap w:val="0"/>
            <w:vAlign w:val="center"/>
          </w:tcPr>
          <w:p w14:paraId="712169B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803" w:type="dxa"/>
            <w:gridSpan w:val="2"/>
            <w:tcBorders>
              <w:top w:val="single" w:color="auto" w:sz="4" w:space="0"/>
              <w:left w:val="nil"/>
              <w:bottom w:val="single" w:color="auto" w:sz="4" w:space="0"/>
              <w:right w:val="single" w:color="auto" w:sz="4" w:space="0"/>
            </w:tcBorders>
            <w:noWrap w:val="0"/>
            <w:vAlign w:val="center"/>
          </w:tcPr>
          <w:p w14:paraId="2823DDDA">
            <w:pPr>
              <w:spacing w:line="240" w:lineRule="exact"/>
              <w:rPr>
                <w:rFonts w:ascii="Calibri" w:hAnsi="Calibri"/>
                <w:color w:val="auto"/>
                <w:sz w:val="18"/>
                <w:szCs w:val="18"/>
                <w:highlight w:val="none"/>
              </w:rPr>
            </w:pPr>
            <w:r>
              <w:rPr>
                <w:color w:val="auto"/>
                <w:sz w:val="18"/>
                <w:szCs w:val="18"/>
                <w:highlight w:val="none"/>
              </w:rPr>
              <w:t>10</w:t>
            </w:r>
            <w:r>
              <w:rPr>
                <w:rFonts w:hint="eastAsia" w:ascii="宋体" w:hAnsi="宋体"/>
                <w:color w:val="auto"/>
                <w:sz w:val="18"/>
                <w:szCs w:val="18"/>
                <w:highlight w:val="none"/>
              </w:rPr>
              <w:t>株以内</w:t>
            </w:r>
          </w:p>
        </w:tc>
        <w:tc>
          <w:tcPr>
            <w:tcW w:w="1890" w:type="dxa"/>
            <w:gridSpan w:val="4"/>
            <w:tcBorders>
              <w:top w:val="single" w:color="auto" w:sz="4" w:space="0"/>
              <w:left w:val="nil"/>
              <w:bottom w:val="single" w:color="auto" w:sz="4" w:space="0"/>
              <w:right w:val="single" w:color="auto" w:sz="4" w:space="0"/>
            </w:tcBorders>
            <w:noWrap w:val="0"/>
            <w:vAlign w:val="center"/>
          </w:tcPr>
          <w:p w14:paraId="4B7E5215">
            <w:pPr>
              <w:spacing w:line="240" w:lineRule="exact"/>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D445A70">
            <w:pPr>
              <w:spacing w:line="240" w:lineRule="exact"/>
              <w:rPr>
                <w:rFonts w:ascii="宋体"/>
                <w:color w:val="auto"/>
                <w:sz w:val="18"/>
                <w:szCs w:val="18"/>
                <w:highlight w:val="none"/>
              </w:rPr>
            </w:pPr>
          </w:p>
        </w:tc>
      </w:tr>
      <w:tr w14:paraId="35DC9F6D">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380CCECA">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34CA365D">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00700DBB">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1538DB2C">
            <w:pPr>
              <w:widowControl/>
              <w:spacing w:line="240" w:lineRule="exact"/>
              <w:jc w:val="center"/>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231BC4CF">
            <w:pPr>
              <w:spacing w:line="240" w:lineRule="exact"/>
              <w:jc w:val="center"/>
              <w:rPr>
                <w:rFonts w:ascii="Calibri" w:hAnsi="Calibri"/>
                <w:color w:val="auto"/>
                <w:sz w:val="18"/>
                <w:szCs w:val="18"/>
                <w:highlight w:val="none"/>
              </w:rPr>
            </w:pPr>
            <w:r>
              <w:rPr>
                <w:color w:val="auto"/>
                <w:sz w:val="18"/>
                <w:szCs w:val="18"/>
                <w:highlight w:val="none"/>
              </w:rPr>
              <w:t>10-100</w:t>
            </w:r>
            <w:r>
              <w:rPr>
                <w:rFonts w:hint="eastAsia" w:ascii="宋体" w:hAnsi="宋体"/>
                <w:color w:val="auto"/>
                <w:sz w:val="18"/>
                <w:szCs w:val="18"/>
                <w:highlight w:val="none"/>
              </w:rPr>
              <w:t>株</w:t>
            </w:r>
          </w:p>
        </w:tc>
        <w:tc>
          <w:tcPr>
            <w:tcW w:w="1890" w:type="dxa"/>
            <w:gridSpan w:val="4"/>
            <w:tcBorders>
              <w:top w:val="single" w:color="auto" w:sz="4" w:space="0"/>
              <w:left w:val="nil"/>
              <w:bottom w:val="single" w:color="auto" w:sz="4" w:space="0"/>
              <w:right w:val="single" w:color="auto" w:sz="4" w:space="0"/>
            </w:tcBorders>
            <w:noWrap w:val="0"/>
            <w:vAlign w:val="center"/>
          </w:tcPr>
          <w:p w14:paraId="3EF77245">
            <w:pPr>
              <w:spacing w:line="240" w:lineRule="exact"/>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1A4D650">
            <w:pPr>
              <w:spacing w:line="240" w:lineRule="exact"/>
              <w:rPr>
                <w:rFonts w:ascii="宋体"/>
                <w:color w:val="auto"/>
                <w:sz w:val="18"/>
                <w:szCs w:val="18"/>
                <w:highlight w:val="none"/>
              </w:rPr>
            </w:pPr>
          </w:p>
        </w:tc>
      </w:tr>
      <w:tr w14:paraId="533BF188">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ACD8871">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739E58CE">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6F4E6240">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4900267F">
            <w:pPr>
              <w:widowControl/>
              <w:spacing w:line="240" w:lineRule="exact"/>
              <w:jc w:val="center"/>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61569406">
            <w:pPr>
              <w:spacing w:line="240" w:lineRule="exact"/>
              <w:jc w:val="center"/>
              <w:rPr>
                <w:rFonts w:ascii="Calibri" w:hAnsi="Calibri"/>
                <w:color w:val="auto"/>
                <w:sz w:val="18"/>
                <w:szCs w:val="18"/>
                <w:highlight w:val="none"/>
              </w:rPr>
            </w:pPr>
            <w:r>
              <w:rPr>
                <w:color w:val="auto"/>
                <w:sz w:val="18"/>
                <w:szCs w:val="18"/>
                <w:highlight w:val="none"/>
              </w:rPr>
              <w:t>100</w:t>
            </w:r>
            <w:r>
              <w:rPr>
                <w:rFonts w:hint="eastAsia" w:ascii="宋体" w:hAnsi="宋体"/>
                <w:color w:val="auto"/>
                <w:sz w:val="18"/>
                <w:szCs w:val="18"/>
                <w:highlight w:val="none"/>
              </w:rPr>
              <w:t>株以上</w:t>
            </w:r>
          </w:p>
        </w:tc>
        <w:tc>
          <w:tcPr>
            <w:tcW w:w="1890" w:type="dxa"/>
            <w:gridSpan w:val="4"/>
            <w:tcBorders>
              <w:top w:val="single" w:color="auto" w:sz="4" w:space="0"/>
              <w:left w:val="nil"/>
              <w:bottom w:val="single" w:color="auto" w:sz="4" w:space="0"/>
              <w:right w:val="single" w:color="auto" w:sz="4" w:space="0"/>
            </w:tcBorders>
            <w:noWrap w:val="0"/>
            <w:vAlign w:val="center"/>
          </w:tcPr>
          <w:p w14:paraId="13097BAA">
            <w:pPr>
              <w:spacing w:line="240" w:lineRule="exact"/>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91825F3">
            <w:pPr>
              <w:spacing w:line="240" w:lineRule="exact"/>
              <w:rPr>
                <w:rFonts w:ascii="宋体"/>
                <w:color w:val="auto"/>
                <w:sz w:val="18"/>
                <w:szCs w:val="18"/>
                <w:highlight w:val="none"/>
              </w:rPr>
            </w:pPr>
          </w:p>
        </w:tc>
      </w:tr>
      <w:tr w14:paraId="51C3349B">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39C137F2">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16798A9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18</w:t>
            </w:r>
          </w:p>
        </w:tc>
        <w:tc>
          <w:tcPr>
            <w:tcW w:w="3544" w:type="dxa"/>
            <w:vMerge w:val="restart"/>
            <w:tcBorders>
              <w:top w:val="nil"/>
              <w:left w:val="nil"/>
              <w:bottom w:val="single" w:color="auto" w:sz="4" w:space="0"/>
              <w:right w:val="single" w:color="auto" w:sz="4" w:space="0"/>
            </w:tcBorders>
            <w:noWrap w:val="0"/>
            <w:vAlign w:val="center"/>
          </w:tcPr>
          <w:p w14:paraId="77F66BD2">
            <w:pPr>
              <w:spacing w:line="240" w:lineRule="exact"/>
              <w:rPr>
                <w:rFonts w:ascii="Calibri" w:hAnsi="Calibri"/>
                <w:color w:val="auto"/>
                <w:sz w:val="18"/>
                <w:szCs w:val="18"/>
                <w:highlight w:val="none"/>
              </w:rPr>
            </w:pPr>
            <w:r>
              <w:rPr>
                <w:rFonts w:hint="eastAsia" w:ascii="宋体" w:hAnsi="宋体"/>
                <w:color w:val="auto"/>
                <w:sz w:val="18"/>
                <w:szCs w:val="18"/>
                <w:highlight w:val="none"/>
              </w:rPr>
              <w:t>草坪根据生长情况进行打草，高度控制在合理高度，要求打草；草坪色块交界处未按要求进行切边。</w:t>
            </w:r>
          </w:p>
        </w:tc>
        <w:tc>
          <w:tcPr>
            <w:tcW w:w="850" w:type="dxa"/>
            <w:vMerge w:val="restart"/>
            <w:tcBorders>
              <w:top w:val="nil"/>
              <w:left w:val="nil"/>
              <w:bottom w:val="single" w:color="auto" w:sz="4" w:space="0"/>
              <w:right w:val="single" w:color="auto" w:sz="4" w:space="0"/>
            </w:tcBorders>
            <w:noWrap w:val="0"/>
            <w:vAlign w:val="center"/>
          </w:tcPr>
          <w:p w14:paraId="7C14742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803" w:type="dxa"/>
            <w:gridSpan w:val="2"/>
            <w:tcBorders>
              <w:top w:val="single" w:color="auto" w:sz="4" w:space="0"/>
              <w:left w:val="nil"/>
              <w:bottom w:val="single" w:color="auto" w:sz="4" w:space="0"/>
              <w:right w:val="single" w:color="auto" w:sz="4" w:space="0"/>
            </w:tcBorders>
            <w:noWrap w:val="0"/>
            <w:vAlign w:val="center"/>
          </w:tcPr>
          <w:p w14:paraId="78BD9D8F">
            <w:pPr>
              <w:spacing w:line="240" w:lineRule="exact"/>
              <w:rPr>
                <w:rFonts w:ascii="Calibri" w:hAnsi="Calibri"/>
                <w:color w:val="auto"/>
                <w:sz w:val="18"/>
                <w:szCs w:val="18"/>
                <w:highlight w:val="none"/>
              </w:rPr>
            </w:pPr>
            <w:r>
              <w:rPr>
                <w:color w:val="auto"/>
                <w:sz w:val="18"/>
                <w:szCs w:val="18"/>
                <w:highlight w:val="none"/>
              </w:rPr>
              <w:t>100</w:t>
            </w:r>
            <w:r>
              <w:rPr>
                <w:rFonts w:hint="eastAsia" w:ascii="宋体" w:hAnsi="宋体"/>
                <w:color w:val="auto"/>
                <w:sz w:val="18"/>
                <w:szCs w:val="18"/>
                <w:highlight w:val="none"/>
              </w:rPr>
              <w:t>㎡以内</w:t>
            </w:r>
          </w:p>
        </w:tc>
        <w:tc>
          <w:tcPr>
            <w:tcW w:w="1890" w:type="dxa"/>
            <w:gridSpan w:val="4"/>
            <w:tcBorders>
              <w:top w:val="single" w:color="auto" w:sz="4" w:space="0"/>
              <w:left w:val="nil"/>
              <w:bottom w:val="single" w:color="auto" w:sz="4" w:space="0"/>
              <w:right w:val="single" w:color="auto" w:sz="4" w:space="0"/>
            </w:tcBorders>
            <w:noWrap w:val="0"/>
            <w:vAlign w:val="center"/>
          </w:tcPr>
          <w:p w14:paraId="163692E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ADC3C74">
            <w:pPr>
              <w:spacing w:line="240" w:lineRule="exact"/>
              <w:jc w:val="center"/>
              <w:rPr>
                <w:rFonts w:ascii="宋体"/>
                <w:color w:val="auto"/>
                <w:sz w:val="18"/>
                <w:szCs w:val="18"/>
                <w:highlight w:val="none"/>
              </w:rPr>
            </w:pPr>
          </w:p>
        </w:tc>
      </w:tr>
      <w:tr w14:paraId="409F4E18">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3AB49B22">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0E8C0160">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1C5033BE">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72950517">
            <w:pPr>
              <w:widowControl/>
              <w:spacing w:line="240" w:lineRule="exact"/>
              <w:jc w:val="center"/>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0B92DE4E">
            <w:pPr>
              <w:spacing w:line="240" w:lineRule="exact"/>
              <w:jc w:val="center"/>
              <w:rPr>
                <w:rFonts w:ascii="Calibri" w:hAnsi="Calibri"/>
                <w:color w:val="auto"/>
                <w:sz w:val="18"/>
                <w:szCs w:val="18"/>
                <w:highlight w:val="none"/>
              </w:rPr>
            </w:pPr>
            <w:r>
              <w:rPr>
                <w:color w:val="auto"/>
                <w:sz w:val="18"/>
                <w:szCs w:val="18"/>
                <w:highlight w:val="none"/>
              </w:rPr>
              <w:t>100-1000</w:t>
            </w:r>
            <w:r>
              <w:rPr>
                <w:rFonts w:hint="eastAsia" w:ascii="宋体" w:hAnsi="宋体"/>
                <w:color w:val="auto"/>
                <w:sz w:val="18"/>
                <w:szCs w:val="18"/>
                <w:highlight w:val="none"/>
              </w:rPr>
              <w:t>㎡</w:t>
            </w:r>
          </w:p>
        </w:tc>
        <w:tc>
          <w:tcPr>
            <w:tcW w:w="1890" w:type="dxa"/>
            <w:gridSpan w:val="4"/>
            <w:tcBorders>
              <w:top w:val="single" w:color="auto" w:sz="4" w:space="0"/>
              <w:left w:val="nil"/>
              <w:bottom w:val="single" w:color="auto" w:sz="4" w:space="0"/>
              <w:right w:val="single" w:color="auto" w:sz="4" w:space="0"/>
            </w:tcBorders>
            <w:noWrap w:val="0"/>
            <w:vAlign w:val="center"/>
          </w:tcPr>
          <w:p w14:paraId="61F4FA3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2C9EC86">
            <w:pPr>
              <w:spacing w:line="240" w:lineRule="exact"/>
              <w:jc w:val="center"/>
              <w:rPr>
                <w:rFonts w:ascii="宋体"/>
                <w:color w:val="auto"/>
                <w:sz w:val="18"/>
                <w:szCs w:val="18"/>
                <w:highlight w:val="none"/>
              </w:rPr>
            </w:pPr>
          </w:p>
        </w:tc>
      </w:tr>
      <w:tr w14:paraId="3E1B690F">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586DFD3A">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2EAA67D8">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6CEB2D35">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12EA2C39">
            <w:pPr>
              <w:widowControl/>
              <w:spacing w:line="240" w:lineRule="exact"/>
              <w:jc w:val="center"/>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2D96DBE4">
            <w:pPr>
              <w:spacing w:line="240" w:lineRule="exact"/>
              <w:jc w:val="center"/>
              <w:rPr>
                <w:rFonts w:ascii="Calibri" w:hAnsi="Calibri"/>
                <w:color w:val="auto"/>
                <w:sz w:val="18"/>
                <w:szCs w:val="18"/>
                <w:highlight w:val="none"/>
              </w:rPr>
            </w:pPr>
            <w:r>
              <w:rPr>
                <w:color w:val="auto"/>
                <w:sz w:val="18"/>
                <w:szCs w:val="18"/>
                <w:highlight w:val="none"/>
              </w:rPr>
              <w:t>1000</w:t>
            </w:r>
            <w:r>
              <w:rPr>
                <w:rFonts w:hint="eastAsia" w:ascii="宋体" w:hAnsi="宋体"/>
                <w:color w:val="auto"/>
                <w:sz w:val="18"/>
                <w:szCs w:val="18"/>
                <w:highlight w:val="none"/>
              </w:rPr>
              <w:t>㎡以上</w:t>
            </w:r>
          </w:p>
        </w:tc>
        <w:tc>
          <w:tcPr>
            <w:tcW w:w="1890" w:type="dxa"/>
            <w:gridSpan w:val="4"/>
            <w:tcBorders>
              <w:top w:val="single" w:color="auto" w:sz="4" w:space="0"/>
              <w:left w:val="nil"/>
              <w:bottom w:val="single" w:color="auto" w:sz="4" w:space="0"/>
              <w:right w:val="single" w:color="auto" w:sz="4" w:space="0"/>
            </w:tcBorders>
            <w:noWrap w:val="0"/>
            <w:vAlign w:val="center"/>
          </w:tcPr>
          <w:p w14:paraId="6C6B94E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0.3-3</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10ECF84">
            <w:pPr>
              <w:spacing w:line="240" w:lineRule="exact"/>
              <w:jc w:val="center"/>
              <w:rPr>
                <w:rFonts w:ascii="宋体"/>
                <w:color w:val="auto"/>
                <w:sz w:val="18"/>
                <w:szCs w:val="18"/>
                <w:highlight w:val="none"/>
              </w:rPr>
            </w:pPr>
          </w:p>
        </w:tc>
      </w:tr>
      <w:tr w14:paraId="09FA6BAF">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37DC33C">
            <w:pPr>
              <w:widowControl/>
              <w:spacing w:line="240" w:lineRule="exact"/>
              <w:jc w:val="left"/>
              <w:rPr>
                <w:rFonts w:ascii="Calibri" w:hAnsi="Calibri"/>
                <w:color w:val="auto"/>
                <w:sz w:val="18"/>
                <w:szCs w:val="18"/>
                <w:highlight w:val="none"/>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34B1694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19</w:t>
            </w:r>
          </w:p>
        </w:tc>
        <w:tc>
          <w:tcPr>
            <w:tcW w:w="3544" w:type="dxa"/>
            <w:tcBorders>
              <w:top w:val="single" w:color="auto" w:sz="4" w:space="0"/>
              <w:left w:val="nil"/>
              <w:bottom w:val="single" w:color="auto" w:sz="4" w:space="0"/>
              <w:right w:val="single" w:color="auto" w:sz="4" w:space="0"/>
            </w:tcBorders>
            <w:noWrap w:val="0"/>
            <w:vAlign w:val="center"/>
          </w:tcPr>
          <w:p w14:paraId="4516E4E3">
            <w:pPr>
              <w:spacing w:line="240" w:lineRule="exact"/>
              <w:rPr>
                <w:rFonts w:ascii="Calibri" w:hAnsi="Calibri"/>
                <w:color w:val="auto"/>
                <w:sz w:val="18"/>
                <w:szCs w:val="18"/>
                <w:highlight w:val="none"/>
              </w:rPr>
            </w:pPr>
            <w:r>
              <w:rPr>
                <w:rFonts w:hint="eastAsia" w:ascii="宋体" w:hAnsi="宋体"/>
                <w:color w:val="auto"/>
                <w:sz w:val="18"/>
                <w:szCs w:val="18"/>
                <w:highlight w:val="none"/>
              </w:rPr>
              <w:t>未按招标文件淋水要求次数进行淋水</w:t>
            </w:r>
          </w:p>
        </w:tc>
        <w:tc>
          <w:tcPr>
            <w:tcW w:w="850" w:type="dxa"/>
            <w:tcBorders>
              <w:top w:val="single" w:color="auto" w:sz="4" w:space="0"/>
              <w:left w:val="nil"/>
              <w:bottom w:val="single" w:color="auto" w:sz="4" w:space="0"/>
              <w:right w:val="single" w:color="auto" w:sz="4" w:space="0"/>
            </w:tcBorders>
            <w:noWrap w:val="0"/>
            <w:vAlign w:val="center"/>
          </w:tcPr>
          <w:p w14:paraId="789C935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每次</w:t>
            </w:r>
          </w:p>
        </w:tc>
        <w:tc>
          <w:tcPr>
            <w:tcW w:w="2693" w:type="dxa"/>
            <w:gridSpan w:val="6"/>
            <w:tcBorders>
              <w:top w:val="single" w:color="auto" w:sz="4" w:space="0"/>
              <w:left w:val="nil"/>
              <w:bottom w:val="single" w:color="auto" w:sz="4" w:space="0"/>
              <w:right w:val="single" w:color="auto" w:sz="4" w:space="0"/>
            </w:tcBorders>
            <w:noWrap w:val="0"/>
            <w:vAlign w:val="center"/>
          </w:tcPr>
          <w:p w14:paraId="4F83906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00907F1">
            <w:pPr>
              <w:spacing w:line="240" w:lineRule="exact"/>
              <w:jc w:val="center"/>
              <w:rPr>
                <w:rFonts w:ascii="宋体"/>
                <w:color w:val="auto"/>
                <w:sz w:val="18"/>
                <w:szCs w:val="18"/>
                <w:highlight w:val="none"/>
              </w:rPr>
            </w:pPr>
          </w:p>
        </w:tc>
      </w:tr>
      <w:tr w14:paraId="1E221622">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835977E">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1C13A82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20</w:t>
            </w:r>
          </w:p>
        </w:tc>
        <w:tc>
          <w:tcPr>
            <w:tcW w:w="3544" w:type="dxa"/>
            <w:vMerge w:val="restart"/>
            <w:tcBorders>
              <w:top w:val="nil"/>
              <w:left w:val="nil"/>
              <w:bottom w:val="single" w:color="auto" w:sz="4" w:space="0"/>
              <w:right w:val="single" w:color="auto" w:sz="4" w:space="0"/>
            </w:tcBorders>
            <w:noWrap w:val="0"/>
            <w:vAlign w:val="center"/>
          </w:tcPr>
          <w:p w14:paraId="65712F66">
            <w:pPr>
              <w:spacing w:line="240" w:lineRule="exact"/>
              <w:rPr>
                <w:rFonts w:ascii="Calibri" w:hAnsi="Calibri"/>
                <w:color w:val="auto"/>
                <w:sz w:val="18"/>
                <w:szCs w:val="18"/>
                <w:highlight w:val="none"/>
              </w:rPr>
            </w:pPr>
            <w:r>
              <w:rPr>
                <w:rFonts w:hint="eastAsia" w:ascii="宋体" w:hAnsi="宋体"/>
                <w:color w:val="auto"/>
                <w:sz w:val="18"/>
                <w:szCs w:val="18"/>
                <w:highlight w:val="none"/>
              </w:rPr>
              <w:t>植物出现干旱缺水迹象明显</w:t>
            </w:r>
          </w:p>
          <w:p w14:paraId="1751D5F9">
            <w:pPr>
              <w:spacing w:line="240" w:lineRule="exact"/>
              <w:rPr>
                <w:rFonts w:ascii="Calibri" w:hAnsi="Calibri"/>
                <w:color w:val="auto"/>
                <w:sz w:val="18"/>
                <w:szCs w:val="18"/>
                <w:highlight w:val="none"/>
              </w:rPr>
            </w:pPr>
            <w:r>
              <w:rPr>
                <w:rFonts w:hint="eastAsia" w:ascii="宋体" w:hAnsi="宋体"/>
                <w:color w:val="auto"/>
                <w:sz w:val="18"/>
                <w:szCs w:val="18"/>
                <w:highlight w:val="none"/>
              </w:rPr>
              <w:t>（其中出现明显的萎蔫枯黄按扣分标准上限扣除；出现死亡的现象按扣分标准上限翻倍扣除）</w:t>
            </w:r>
          </w:p>
        </w:tc>
        <w:tc>
          <w:tcPr>
            <w:tcW w:w="850" w:type="dxa"/>
            <w:vMerge w:val="restart"/>
            <w:tcBorders>
              <w:top w:val="nil"/>
              <w:left w:val="nil"/>
              <w:bottom w:val="single" w:color="auto" w:sz="4" w:space="0"/>
              <w:right w:val="single" w:color="auto" w:sz="4" w:space="0"/>
            </w:tcBorders>
            <w:noWrap w:val="0"/>
            <w:vAlign w:val="center"/>
          </w:tcPr>
          <w:p w14:paraId="70F7EFF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每宗案件</w:t>
            </w:r>
          </w:p>
        </w:tc>
        <w:tc>
          <w:tcPr>
            <w:tcW w:w="1013" w:type="dxa"/>
            <w:gridSpan w:val="4"/>
            <w:tcBorders>
              <w:top w:val="single" w:color="auto" w:sz="4" w:space="0"/>
              <w:left w:val="nil"/>
              <w:bottom w:val="single" w:color="auto" w:sz="4" w:space="0"/>
              <w:right w:val="single" w:color="auto" w:sz="4" w:space="0"/>
            </w:tcBorders>
            <w:noWrap w:val="0"/>
            <w:vAlign w:val="top"/>
          </w:tcPr>
          <w:p w14:paraId="58352FC8">
            <w:pPr>
              <w:spacing w:line="240" w:lineRule="exact"/>
              <w:rPr>
                <w:rFonts w:ascii="Calibri" w:hAnsi="Calibri"/>
                <w:color w:val="auto"/>
                <w:sz w:val="18"/>
                <w:szCs w:val="18"/>
                <w:highlight w:val="none"/>
              </w:rPr>
            </w:pPr>
            <w:r>
              <w:rPr>
                <w:color w:val="auto"/>
                <w:sz w:val="18"/>
                <w:szCs w:val="18"/>
                <w:highlight w:val="none"/>
              </w:rPr>
              <w:t>10</w:t>
            </w:r>
            <w:r>
              <w:rPr>
                <w:rFonts w:hint="eastAsia" w:ascii="宋体" w:hAnsi="宋体"/>
                <w:color w:val="auto"/>
                <w:sz w:val="18"/>
                <w:szCs w:val="18"/>
                <w:highlight w:val="none"/>
              </w:rPr>
              <w:t>株乔木以下或</w:t>
            </w:r>
            <w:r>
              <w:rPr>
                <w:color w:val="auto"/>
                <w:sz w:val="18"/>
                <w:szCs w:val="18"/>
                <w:highlight w:val="none"/>
              </w:rPr>
              <w:t>50</w:t>
            </w:r>
            <w:r>
              <w:rPr>
                <w:rFonts w:hint="eastAsia" w:ascii="宋体" w:hAnsi="宋体"/>
                <w:color w:val="auto"/>
                <w:sz w:val="18"/>
                <w:szCs w:val="18"/>
                <w:highlight w:val="none"/>
              </w:rPr>
              <w:t>㎡以内绿地</w:t>
            </w:r>
          </w:p>
        </w:tc>
        <w:tc>
          <w:tcPr>
            <w:tcW w:w="1680" w:type="dxa"/>
            <w:gridSpan w:val="2"/>
            <w:tcBorders>
              <w:top w:val="single" w:color="auto" w:sz="4" w:space="0"/>
              <w:left w:val="nil"/>
              <w:bottom w:val="single" w:color="auto" w:sz="4" w:space="0"/>
              <w:right w:val="single" w:color="auto" w:sz="4" w:space="0"/>
            </w:tcBorders>
            <w:noWrap w:val="0"/>
            <w:vAlign w:val="center"/>
          </w:tcPr>
          <w:p w14:paraId="6941B47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0.5-1.0</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112944A">
            <w:pPr>
              <w:spacing w:line="240" w:lineRule="exact"/>
              <w:jc w:val="center"/>
              <w:rPr>
                <w:rFonts w:ascii="宋体"/>
                <w:color w:val="auto"/>
                <w:sz w:val="18"/>
                <w:szCs w:val="18"/>
                <w:highlight w:val="none"/>
              </w:rPr>
            </w:pPr>
          </w:p>
        </w:tc>
      </w:tr>
      <w:tr w14:paraId="0B2A18DE">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1236300A">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6397BA1D">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4E1146DF">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4C471A48">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top"/>
          </w:tcPr>
          <w:p w14:paraId="1FE49C29">
            <w:pPr>
              <w:spacing w:line="240" w:lineRule="exact"/>
              <w:rPr>
                <w:rFonts w:ascii="Calibri" w:hAnsi="Calibri"/>
                <w:color w:val="auto"/>
                <w:sz w:val="18"/>
                <w:szCs w:val="18"/>
                <w:highlight w:val="none"/>
              </w:rPr>
            </w:pPr>
            <w:r>
              <w:rPr>
                <w:color w:val="auto"/>
                <w:sz w:val="18"/>
                <w:szCs w:val="18"/>
                <w:highlight w:val="none"/>
              </w:rPr>
              <w:t>10-100</w:t>
            </w:r>
            <w:r>
              <w:rPr>
                <w:rFonts w:hint="eastAsia" w:ascii="宋体" w:hAnsi="宋体"/>
                <w:color w:val="auto"/>
                <w:sz w:val="18"/>
                <w:szCs w:val="18"/>
                <w:highlight w:val="none"/>
              </w:rPr>
              <w:t>株乔木或</w:t>
            </w:r>
            <w:r>
              <w:rPr>
                <w:color w:val="auto"/>
                <w:sz w:val="18"/>
                <w:szCs w:val="18"/>
                <w:highlight w:val="none"/>
              </w:rPr>
              <w:t>50-500</w:t>
            </w:r>
            <w:r>
              <w:rPr>
                <w:rFonts w:hint="eastAsia" w:ascii="宋体" w:hAnsi="宋体"/>
                <w:color w:val="auto"/>
                <w:sz w:val="18"/>
                <w:szCs w:val="18"/>
                <w:highlight w:val="none"/>
              </w:rPr>
              <w:t>㎡绿地</w:t>
            </w:r>
          </w:p>
        </w:tc>
        <w:tc>
          <w:tcPr>
            <w:tcW w:w="1680" w:type="dxa"/>
            <w:gridSpan w:val="2"/>
            <w:tcBorders>
              <w:top w:val="single" w:color="auto" w:sz="4" w:space="0"/>
              <w:left w:val="nil"/>
              <w:bottom w:val="single" w:color="auto" w:sz="4" w:space="0"/>
              <w:right w:val="single" w:color="auto" w:sz="4" w:space="0"/>
            </w:tcBorders>
            <w:noWrap w:val="0"/>
            <w:vAlign w:val="center"/>
          </w:tcPr>
          <w:p w14:paraId="25C70C4E">
            <w:pPr>
              <w:spacing w:line="240" w:lineRule="exact"/>
              <w:ind w:firstLine="180" w:firstLineChars="100"/>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E338FA1">
            <w:pPr>
              <w:spacing w:line="240" w:lineRule="exact"/>
              <w:ind w:firstLine="180" w:firstLineChars="100"/>
              <w:rPr>
                <w:rFonts w:ascii="宋体"/>
                <w:color w:val="auto"/>
                <w:sz w:val="18"/>
                <w:szCs w:val="18"/>
                <w:highlight w:val="none"/>
              </w:rPr>
            </w:pPr>
          </w:p>
        </w:tc>
      </w:tr>
      <w:tr w14:paraId="56EE9273">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262511F">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3841ADF5">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2D451CE5">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6F7EA35F">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top"/>
          </w:tcPr>
          <w:p w14:paraId="37D65387">
            <w:pPr>
              <w:spacing w:line="240" w:lineRule="exact"/>
              <w:rPr>
                <w:rFonts w:ascii="Calibri" w:hAnsi="Calibri"/>
                <w:color w:val="auto"/>
                <w:sz w:val="18"/>
                <w:szCs w:val="18"/>
                <w:highlight w:val="none"/>
              </w:rPr>
            </w:pPr>
            <w:r>
              <w:rPr>
                <w:color w:val="auto"/>
                <w:sz w:val="18"/>
                <w:szCs w:val="18"/>
                <w:highlight w:val="none"/>
              </w:rPr>
              <w:t>100</w:t>
            </w:r>
            <w:r>
              <w:rPr>
                <w:rFonts w:hint="eastAsia" w:ascii="宋体" w:hAnsi="宋体"/>
                <w:color w:val="auto"/>
                <w:sz w:val="18"/>
                <w:szCs w:val="18"/>
                <w:highlight w:val="none"/>
              </w:rPr>
              <w:t>株乔木以上或</w:t>
            </w:r>
            <w:r>
              <w:rPr>
                <w:color w:val="auto"/>
                <w:sz w:val="18"/>
                <w:szCs w:val="18"/>
                <w:highlight w:val="none"/>
              </w:rPr>
              <w:t>500</w:t>
            </w:r>
            <w:r>
              <w:rPr>
                <w:rFonts w:hint="eastAsia" w:ascii="宋体" w:hAnsi="宋体"/>
                <w:color w:val="auto"/>
                <w:sz w:val="18"/>
                <w:szCs w:val="18"/>
                <w:highlight w:val="none"/>
              </w:rPr>
              <w:t>㎡以上绿地</w:t>
            </w:r>
          </w:p>
        </w:tc>
        <w:tc>
          <w:tcPr>
            <w:tcW w:w="1680" w:type="dxa"/>
            <w:gridSpan w:val="2"/>
            <w:tcBorders>
              <w:top w:val="single" w:color="auto" w:sz="4" w:space="0"/>
              <w:left w:val="nil"/>
              <w:bottom w:val="single" w:color="auto" w:sz="4" w:space="0"/>
              <w:right w:val="single" w:color="auto" w:sz="4" w:space="0"/>
            </w:tcBorders>
            <w:noWrap w:val="0"/>
            <w:vAlign w:val="center"/>
          </w:tcPr>
          <w:p w14:paraId="144EAF41">
            <w:pPr>
              <w:spacing w:line="240" w:lineRule="exact"/>
              <w:ind w:firstLine="180" w:firstLineChars="100"/>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2-5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46400AB9">
            <w:pPr>
              <w:spacing w:line="240" w:lineRule="exact"/>
              <w:ind w:firstLine="180" w:firstLineChars="100"/>
              <w:rPr>
                <w:rFonts w:ascii="宋体"/>
                <w:color w:val="auto"/>
                <w:sz w:val="18"/>
                <w:szCs w:val="18"/>
                <w:highlight w:val="none"/>
              </w:rPr>
            </w:pPr>
          </w:p>
        </w:tc>
      </w:tr>
      <w:tr w14:paraId="4069F727">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33D11846">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30CB3BA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22</w:t>
            </w:r>
          </w:p>
        </w:tc>
        <w:tc>
          <w:tcPr>
            <w:tcW w:w="3544" w:type="dxa"/>
            <w:vMerge w:val="restart"/>
            <w:tcBorders>
              <w:top w:val="nil"/>
              <w:left w:val="nil"/>
              <w:bottom w:val="single" w:color="auto" w:sz="4" w:space="0"/>
              <w:right w:val="single" w:color="auto" w:sz="4" w:space="0"/>
            </w:tcBorders>
            <w:noWrap w:val="0"/>
            <w:vAlign w:val="center"/>
          </w:tcPr>
          <w:p w14:paraId="7F611995">
            <w:pPr>
              <w:spacing w:line="240" w:lineRule="exact"/>
              <w:rPr>
                <w:rFonts w:ascii="Calibri" w:hAnsi="Calibri"/>
                <w:color w:val="auto"/>
                <w:sz w:val="18"/>
                <w:szCs w:val="18"/>
                <w:highlight w:val="none"/>
              </w:rPr>
            </w:pPr>
            <w:r>
              <w:rPr>
                <w:rFonts w:hint="eastAsia" w:ascii="宋体" w:hAnsi="宋体"/>
                <w:color w:val="auto"/>
                <w:sz w:val="18"/>
                <w:szCs w:val="18"/>
                <w:highlight w:val="none"/>
              </w:rPr>
              <w:t>植物明显的生长不良，有缺肥症状，未及时施肥的；或因施肥不当、浇灌工作不及时造成肥害现象的</w:t>
            </w:r>
          </w:p>
        </w:tc>
        <w:tc>
          <w:tcPr>
            <w:tcW w:w="850" w:type="dxa"/>
            <w:vMerge w:val="restart"/>
            <w:tcBorders>
              <w:top w:val="nil"/>
              <w:left w:val="nil"/>
              <w:bottom w:val="single" w:color="auto" w:sz="4" w:space="0"/>
              <w:right w:val="single" w:color="auto" w:sz="4" w:space="0"/>
            </w:tcBorders>
            <w:noWrap w:val="0"/>
            <w:vAlign w:val="center"/>
          </w:tcPr>
          <w:p w14:paraId="18C2F08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每宗案件</w:t>
            </w:r>
          </w:p>
        </w:tc>
        <w:tc>
          <w:tcPr>
            <w:tcW w:w="1013" w:type="dxa"/>
            <w:gridSpan w:val="4"/>
            <w:tcBorders>
              <w:top w:val="single" w:color="auto" w:sz="4" w:space="0"/>
              <w:left w:val="nil"/>
              <w:bottom w:val="single" w:color="auto" w:sz="4" w:space="0"/>
              <w:right w:val="single" w:color="auto" w:sz="4" w:space="0"/>
            </w:tcBorders>
            <w:noWrap w:val="0"/>
            <w:vAlign w:val="top"/>
          </w:tcPr>
          <w:p w14:paraId="53C6A67F">
            <w:pPr>
              <w:spacing w:line="240" w:lineRule="exact"/>
              <w:rPr>
                <w:rFonts w:ascii="Calibri" w:hAnsi="Calibri"/>
                <w:color w:val="auto"/>
                <w:sz w:val="18"/>
                <w:szCs w:val="18"/>
                <w:highlight w:val="none"/>
              </w:rPr>
            </w:pPr>
            <w:r>
              <w:rPr>
                <w:color w:val="auto"/>
                <w:sz w:val="18"/>
                <w:szCs w:val="18"/>
                <w:highlight w:val="none"/>
              </w:rPr>
              <w:t>10</w:t>
            </w:r>
            <w:r>
              <w:rPr>
                <w:rFonts w:hint="eastAsia" w:ascii="宋体" w:hAnsi="宋体"/>
                <w:color w:val="auto"/>
                <w:sz w:val="18"/>
                <w:szCs w:val="18"/>
                <w:highlight w:val="none"/>
              </w:rPr>
              <w:t>株乔木以下或</w:t>
            </w:r>
            <w:r>
              <w:rPr>
                <w:color w:val="auto"/>
                <w:sz w:val="18"/>
                <w:szCs w:val="18"/>
                <w:highlight w:val="none"/>
              </w:rPr>
              <w:t>50</w:t>
            </w:r>
            <w:r>
              <w:rPr>
                <w:rFonts w:hint="eastAsia" w:ascii="宋体" w:hAnsi="宋体"/>
                <w:color w:val="auto"/>
                <w:sz w:val="18"/>
                <w:szCs w:val="18"/>
                <w:highlight w:val="none"/>
              </w:rPr>
              <w:t>㎡以内绿地</w:t>
            </w:r>
          </w:p>
        </w:tc>
        <w:tc>
          <w:tcPr>
            <w:tcW w:w="1680" w:type="dxa"/>
            <w:gridSpan w:val="2"/>
            <w:tcBorders>
              <w:top w:val="single" w:color="auto" w:sz="4" w:space="0"/>
              <w:left w:val="nil"/>
              <w:bottom w:val="single" w:color="auto" w:sz="4" w:space="0"/>
              <w:right w:val="single" w:color="auto" w:sz="4" w:space="0"/>
            </w:tcBorders>
            <w:noWrap w:val="0"/>
            <w:vAlign w:val="center"/>
          </w:tcPr>
          <w:p w14:paraId="501818A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0.5-1.0</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FEBE4FD">
            <w:pPr>
              <w:spacing w:line="240" w:lineRule="exact"/>
              <w:jc w:val="center"/>
              <w:rPr>
                <w:rFonts w:ascii="宋体"/>
                <w:color w:val="auto"/>
                <w:sz w:val="18"/>
                <w:szCs w:val="18"/>
                <w:highlight w:val="none"/>
              </w:rPr>
            </w:pPr>
          </w:p>
        </w:tc>
      </w:tr>
      <w:tr w14:paraId="360B8FA1">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2318769B">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192093D1">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6E82A307">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45224C87">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top"/>
          </w:tcPr>
          <w:p w14:paraId="28DB54B3">
            <w:pPr>
              <w:spacing w:line="240" w:lineRule="exact"/>
              <w:jc w:val="center"/>
              <w:rPr>
                <w:rFonts w:ascii="Calibri" w:hAnsi="Calibri"/>
                <w:color w:val="auto"/>
                <w:sz w:val="18"/>
                <w:szCs w:val="18"/>
                <w:highlight w:val="none"/>
              </w:rPr>
            </w:pPr>
            <w:r>
              <w:rPr>
                <w:color w:val="auto"/>
                <w:sz w:val="18"/>
                <w:szCs w:val="18"/>
                <w:highlight w:val="none"/>
              </w:rPr>
              <w:t>10-100</w:t>
            </w:r>
            <w:r>
              <w:rPr>
                <w:rFonts w:hint="eastAsia" w:ascii="宋体" w:hAnsi="宋体"/>
                <w:color w:val="auto"/>
                <w:sz w:val="18"/>
                <w:szCs w:val="18"/>
                <w:highlight w:val="none"/>
              </w:rPr>
              <w:t>株乔木或</w:t>
            </w:r>
            <w:r>
              <w:rPr>
                <w:color w:val="auto"/>
                <w:sz w:val="18"/>
                <w:szCs w:val="18"/>
                <w:highlight w:val="none"/>
              </w:rPr>
              <w:t>50-500</w:t>
            </w:r>
            <w:r>
              <w:rPr>
                <w:rFonts w:hint="eastAsia" w:ascii="宋体" w:hAnsi="宋体"/>
                <w:color w:val="auto"/>
                <w:sz w:val="18"/>
                <w:szCs w:val="18"/>
                <w:highlight w:val="none"/>
              </w:rPr>
              <w:t>㎡绿地</w:t>
            </w:r>
          </w:p>
        </w:tc>
        <w:tc>
          <w:tcPr>
            <w:tcW w:w="1680" w:type="dxa"/>
            <w:gridSpan w:val="2"/>
            <w:tcBorders>
              <w:top w:val="single" w:color="auto" w:sz="4" w:space="0"/>
              <w:left w:val="nil"/>
              <w:bottom w:val="single" w:color="auto" w:sz="4" w:space="0"/>
              <w:right w:val="single" w:color="auto" w:sz="4" w:space="0"/>
            </w:tcBorders>
            <w:noWrap w:val="0"/>
            <w:vAlign w:val="center"/>
          </w:tcPr>
          <w:p w14:paraId="2785B1C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41E37DB">
            <w:pPr>
              <w:spacing w:line="240" w:lineRule="exact"/>
              <w:jc w:val="center"/>
              <w:rPr>
                <w:rFonts w:ascii="宋体"/>
                <w:color w:val="auto"/>
                <w:sz w:val="18"/>
                <w:szCs w:val="18"/>
                <w:highlight w:val="none"/>
              </w:rPr>
            </w:pPr>
          </w:p>
        </w:tc>
      </w:tr>
      <w:tr w14:paraId="5661CE40">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22756B6F">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6AD6A230">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2F0E9EAA">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359930F7">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top"/>
          </w:tcPr>
          <w:p w14:paraId="4F9C70EF">
            <w:pPr>
              <w:spacing w:line="240" w:lineRule="exact"/>
              <w:jc w:val="center"/>
              <w:rPr>
                <w:rFonts w:ascii="Calibri" w:hAnsi="Calibri"/>
                <w:color w:val="auto"/>
                <w:sz w:val="18"/>
                <w:szCs w:val="18"/>
                <w:highlight w:val="none"/>
              </w:rPr>
            </w:pPr>
            <w:r>
              <w:rPr>
                <w:color w:val="auto"/>
                <w:sz w:val="18"/>
                <w:szCs w:val="18"/>
                <w:highlight w:val="none"/>
              </w:rPr>
              <w:t>100</w:t>
            </w:r>
            <w:r>
              <w:rPr>
                <w:rFonts w:hint="eastAsia" w:ascii="宋体" w:hAnsi="宋体"/>
                <w:color w:val="auto"/>
                <w:sz w:val="18"/>
                <w:szCs w:val="18"/>
                <w:highlight w:val="none"/>
              </w:rPr>
              <w:t>株乔木以上或</w:t>
            </w:r>
            <w:r>
              <w:rPr>
                <w:color w:val="auto"/>
                <w:sz w:val="18"/>
                <w:szCs w:val="18"/>
                <w:highlight w:val="none"/>
              </w:rPr>
              <w:t>500</w:t>
            </w:r>
            <w:r>
              <w:rPr>
                <w:rFonts w:hint="eastAsia" w:ascii="宋体" w:hAnsi="宋体"/>
                <w:color w:val="auto"/>
                <w:sz w:val="18"/>
                <w:szCs w:val="18"/>
                <w:highlight w:val="none"/>
              </w:rPr>
              <w:t>㎡以上绿地</w:t>
            </w:r>
          </w:p>
        </w:tc>
        <w:tc>
          <w:tcPr>
            <w:tcW w:w="1680" w:type="dxa"/>
            <w:gridSpan w:val="2"/>
            <w:tcBorders>
              <w:top w:val="single" w:color="auto" w:sz="4" w:space="0"/>
              <w:left w:val="nil"/>
              <w:bottom w:val="single" w:color="auto" w:sz="4" w:space="0"/>
              <w:right w:val="single" w:color="auto" w:sz="4" w:space="0"/>
            </w:tcBorders>
            <w:noWrap w:val="0"/>
            <w:vAlign w:val="center"/>
          </w:tcPr>
          <w:p w14:paraId="699539C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2-5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A1F63EE">
            <w:pPr>
              <w:spacing w:line="240" w:lineRule="exact"/>
              <w:jc w:val="center"/>
              <w:rPr>
                <w:rFonts w:ascii="宋体"/>
                <w:color w:val="auto"/>
                <w:sz w:val="18"/>
                <w:szCs w:val="18"/>
                <w:highlight w:val="none"/>
              </w:rPr>
            </w:pPr>
          </w:p>
        </w:tc>
      </w:tr>
      <w:tr w14:paraId="757D6652">
        <w:tblPrEx>
          <w:tblCellMar>
            <w:top w:w="0" w:type="dxa"/>
            <w:left w:w="108" w:type="dxa"/>
            <w:bottom w:w="0" w:type="dxa"/>
            <w:right w:w="108" w:type="dxa"/>
          </w:tblCellMar>
        </w:tblPrEx>
        <w:trPr>
          <w:cantSplit/>
          <w:trHeight w:val="262" w:hRule="atLeast"/>
        </w:trPr>
        <w:tc>
          <w:tcPr>
            <w:tcW w:w="420" w:type="dxa"/>
            <w:vMerge w:val="continue"/>
            <w:tcBorders>
              <w:left w:val="single" w:color="auto" w:sz="4" w:space="0"/>
              <w:right w:val="single" w:color="auto" w:sz="4" w:space="0"/>
            </w:tcBorders>
            <w:noWrap w:val="0"/>
            <w:vAlign w:val="center"/>
          </w:tcPr>
          <w:p w14:paraId="66CB5CF5">
            <w:pPr>
              <w:widowControl/>
              <w:spacing w:line="240" w:lineRule="exact"/>
              <w:jc w:val="left"/>
              <w:rPr>
                <w:rFonts w:ascii="Calibri" w:hAnsi="Calibri"/>
                <w:color w:val="auto"/>
                <w:sz w:val="18"/>
                <w:szCs w:val="18"/>
                <w:highlight w:val="none"/>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0F50004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23</w:t>
            </w:r>
          </w:p>
        </w:tc>
        <w:tc>
          <w:tcPr>
            <w:tcW w:w="3544" w:type="dxa"/>
            <w:tcBorders>
              <w:top w:val="single" w:color="auto" w:sz="4" w:space="0"/>
              <w:left w:val="nil"/>
              <w:bottom w:val="single" w:color="auto" w:sz="4" w:space="0"/>
              <w:right w:val="single" w:color="auto" w:sz="4" w:space="0"/>
            </w:tcBorders>
            <w:noWrap w:val="0"/>
            <w:vAlign w:val="center"/>
          </w:tcPr>
          <w:p w14:paraId="15B77960">
            <w:pPr>
              <w:spacing w:line="240" w:lineRule="exact"/>
              <w:rPr>
                <w:rFonts w:ascii="Calibri" w:hAnsi="Calibri"/>
                <w:color w:val="auto"/>
                <w:sz w:val="18"/>
                <w:szCs w:val="18"/>
                <w:highlight w:val="none"/>
              </w:rPr>
            </w:pPr>
            <w:r>
              <w:rPr>
                <w:rFonts w:hint="eastAsia" w:ascii="宋体" w:hAnsi="宋体"/>
                <w:color w:val="auto"/>
                <w:sz w:val="18"/>
                <w:szCs w:val="18"/>
                <w:highlight w:val="none"/>
              </w:rPr>
              <w:t>未能严格按照要求及指导施肥，施肥数量与施肥计划不符</w:t>
            </w:r>
          </w:p>
        </w:tc>
        <w:tc>
          <w:tcPr>
            <w:tcW w:w="850" w:type="dxa"/>
            <w:tcBorders>
              <w:top w:val="single" w:color="auto" w:sz="4" w:space="0"/>
              <w:left w:val="nil"/>
              <w:bottom w:val="single" w:color="auto" w:sz="4" w:space="0"/>
              <w:right w:val="single" w:color="auto" w:sz="4" w:space="0"/>
            </w:tcBorders>
            <w:noWrap w:val="0"/>
            <w:vAlign w:val="center"/>
          </w:tcPr>
          <w:p w14:paraId="3BC94EC9">
            <w:pPr>
              <w:spacing w:line="240" w:lineRule="exact"/>
              <w:ind w:firstLine="180" w:firstLineChars="100"/>
              <w:rPr>
                <w:rFonts w:ascii="Calibri" w:hAnsi="Calibri"/>
                <w:color w:val="auto"/>
                <w:sz w:val="18"/>
                <w:szCs w:val="18"/>
                <w:highlight w:val="none"/>
              </w:rPr>
            </w:pPr>
            <w:r>
              <w:rPr>
                <w:rFonts w:hint="eastAsia" w:ascii="宋体" w:hAnsi="宋体"/>
                <w:color w:val="auto"/>
                <w:sz w:val="18"/>
                <w:szCs w:val="18"/>
                <w:highlight w:val="none"/>
              </w:rPr>
              <w:t>每次</w:t>
            </w:r>
          </w:p>
        </w:tc>
        <w:tc>
          <w:tcPr>
            <w:tcW w:w="2693" w:type="dxa"/>
            <w:gridSpan w:val="6"/>
            <w:tcBorders>
              <w:top w:val="single" w:color="auto" w:sz="4" w:space="0"/>
              <w:left w:val="nil"/>
              <w:bottom w:val="single" w:color="auto" w:sz="4" w:space="0"/>
              <w:right w:val="single" w:color="auto" w:sz="4" w:space="0"/>
            </w:tcBorders>
            <w:noWrap w:val="0"/>
            <w:vAlign w:val="center"/>
          </w:tcPr>
          <w:p w14:paraId="579BC66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6C27BBA">
            <w:pPr>
              <w:spacing w:line="240" w:lineRule="exact"/>
              <w:jc w:val="center"/>
              <w:rPr>
                <w:rFonts w:ascii="宋体"/>
                <w:color w:val="auto"/>
                <w:sz w:val="18"/>
                <w:szCs w:val="18"/>
                <w:highlight w:val="none"/>
              </w:rPr>
            </w:pPr>
          </w:p>
        </w:tc>
      </w:tr>
      <w:tr w14:paraId="55C672BA">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2B75283C">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4361FC4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25</w:t>
            </w:r>
          </w:p>
        </w:tc>
        <w:tc>
          <w:tcPr>
            <w:tcW w:w="3544" w:type="dxa"/>
            <w:vMerge w:val="restart"/>
            <w:tcBorders>
              <w:top w:val="nil"/>
              <w:left w:val="nil"/>
              <w:bottom w:val="single" w:color="auto" w:sz="4" w:space="0"/>
              <w:right w:val="single" w:color="auto" w:sz="4" w:space="0"/>
            </w:tcBorders>
            <w:noWrap w:val="0"/>
            <w:vAlign w:val="center"/>
          </w:tcPr>
          <w:p w14:paraId="3DFC9631">
            <w:pPr>
              <w:spacing w:line="240" w:lineRule="exact"/>
              <w:rPr>
                <w:rFonts w:ascii="Calibri" w:hAnsi="Calibri"/>
                <w:color w:val="auto"/>
                <w:sz w:val="18"/>
                <w:szCs w:val="18"/>
                <w:highlight w:val="none"/>
              </w:rPr>
            </w:pPr>
            <w:r>
              <w:rPr>
                <w:rFonts w:hint="eastAsia" w:ascii="宋体" w:hAnsi="宋体"/>
                <w:color w:val="auto"/>
                <w:sz w:val="18"/>
                <w:szCs w:val="18"/>
                <w:highlight w:val="none"/>
              </w:rPr>
              <w:t>绿化垃圾未及时清运的、未按规范处理，区域内焚烧树叶杂物等</w:t>
            </w:r>
          </w:p>
        </w:tc>
        <w:tc>
          <w:tcPr>
            <w:tcW w:w="850" w:type="dxa"/>
            <w:vMerge w:val="restart"/>
            <w:tcBorders>
              <w:top w:val="nil"/>
              <w:left w:val="nil"/>
              <w:bottom w:val="single" w:color="auto" w:sz="4" w:space="0"/>
              <w:right w:val="single" w:color="auto" w:sz="4" w:space="0"/>
            </w:tcBorders>
            <w:noWrap w:val="0"/>
            <w:vAlign w:val="center"/>
          </w:tcPr>
          <w:p w14:paraId="321C958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每堆</w:t>
            </w:r>
          </w:p>
        </w:tc>
        <w:tc>
          <w:tcPr>
            <w:tcW w:w="593" w:type="dxa"/>
            <w:tcBorders>
              <w:top w:val="single" w:color="auto" w:sz="4" w:space="0"/>
              <w:left w:val="nil"/>
              <w:bottom w:val="single" w:color="auto" w:sz="4" w:space="0"/>
              <w:right w:val="single" w:color="auto" w:sz="4" w:space="0"/>
            </w:tcBorders>
            <w:noWrap w:val="0"/>
            <w:vAlign w:val="center"/>
          </w:tcPr>
          <w:p w14:paraId="23992DA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2100" w:type="dxa"/>
            <w:gridSpan w:val="5"/>
            <w:tcBorders>
              <w:top w:val="single" w:color="auto" w:sz="4" w:space="0"/>
              <w:left w:val="nil"/>
              <w:bottom w:val="single" w:color="auto" w:sz="4" w:space="0"/>
              <w:right w:val="single" w:color="auto" w:sz="4" w:space="0"/>
            </w:tcBorders>
            <w:noWrap w:val="0"/>
            <w:vAlign w:val="center"/>
          </w:tcPr>
          <w:p w14:paraId="1008F11A">
            <w:pPr>
              <w:spacing w:line="240" w:lineRule="exact"/>
              <w:ind w:firstLine="180" w:firstLineChars="100"/>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7B3120C">
            <w:pPr>
              <w:spacing w:line="240" w:lineRule="exact"/>
              <w:ind w:firstLine="180" w:firstLineChars="100"/>
              <w:rPr>
                <w:rFonts w:ascii="宋体"/>
                <w:color w:val="auto"/>
                <w:sz w:val="18"/>
                <w:szCs w:val="18"/>
                <w:highlight w:val="none"/>
              </w:rPr>
            </w:pPr>
          </w:p>
        </w:tc>
      </w:tr>
      <w:tr w14:paraId="6B142965">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30D09975">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3C037238">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6E375E66">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0E7BA122">
            <w:pPr>
              <w:widowControl/>
              <w:spacing w:line="240" w:lineRule="exact"/>
              <w:jc w:val="left"/>
              <w:rPr>
                <w:rFonts w:ascii="Calibri" w:hAnsi="Calibri"/>
                <w:color w:val="auto"/>
                <w:sz w:val="18"/>
                <w:szCs w:val="18"/>
                <w:highlight w:val="none"/>
              </w:rPr>
            </w:pPr>
          </w:p>
        </w:tc>
        <w:tc>
          <w:tcPr>
            <w:tcW w:w="593" w:type="dxa"/>
            <w:tcBorders>
              <w:top w:val="single" w:color="auto" w:sz="4" w:space="0"/>
              <w:left w:val="nil"/>
              <w:bottom w:val="single" w:color="auto" w:sz="4" w:space="0"/>
              <w:right w:val="single" w:color="auto" w:sz="4" w:space="0"/>
            </w:tcBorders>
            <w:noWrap w:val="0"/>
            <w:vAlign w:val="center"/>
          </w:tcPr>
          <w:p w14:paraId="3A5C448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二级</w:t>
            </w:r>
          </w:p>
        </w:tc>
        <w:tc>
          <w:tcPr>
            <w:tcW w:w="2100" w:type="dxa"/>
            <w:gridSpan w:val="5"/>
            <w:tcBorders>
              <w:top w:val="single" w:color="auto" w:sz="4" w:space="0"/>
              <w:left w:val="nil"/>
              <w:bottom w:val="single" w:color="auto" w:sz="4" w:space="0"/>
              <w:right w:val="single" w:color="auto" w:sz="4" w:space="0"/>
            </w:tcBorders>
            <w:noWrap w:val="0"/>
            <w:vAlign w:val="center"/>
          </w:tcPr>
          <w:p w14:paraId="441D7310">
            <w:pPr>
              <w:spacing w:line="240" w:lineRule="exact"/>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2FFF5A8">
            <w:pPr>
              <w:spacing w:line="240" w:lineRule="exact"/>
              <w:rPr>
                <w:rFonts w:ascii="宋体"/>
                <w:color w:val="auto"/>
                <w:sz w:val="18"/>
                <w:szCs w:val="18"/>
                <w:highlight w:val="none"/>
              </w:rPr>
            </w:pPr>
          </w:p>
        </w:tc>
      </w:tr>
      <w:tr w14:paraId="41267D34">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240B6122">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6C37BC3E">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1E1EB769">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40A8801A">
            <w:pPr>
              <w:widowControl/>
              <w:spacing w:line="240" w:lineRule="exact"/>
              <w:jc w:val="left"/>
              <w:rPr>
                <w:rFonts w:ascii="Calibri" w:hAnsi="Calibri"/>
                <w:color w:val="auto"/>
                <w:sz w:val="18"/>
                <w:szCs w:val="18"/>
                <w:highlight w:val="none"/>
              </w:rPr>
            </w:pPr>
          </w:p>
        </w:tc>
        <w:tc>
          <w:tcPr>
            <w:tcW w:w="593" w:type="dxa"/>
            <w:tcBorders>
              <w:top w:val="single" w:color="auto" w:sz="4" w:space="0"/>
              <w:left w:val="nil"/>
              <w:bottom w:val="single" w:color="auto" w:sz="4" w:space="0"/>
              <w:right w:val="single" w:color="auto" w:sz="4" w:space="0"/>
            </w:tcBorders>
            <w:noWrap w:val="0"/>
            <w:vAlign w:val="center"/>
          </w:tcPr>
          <w:p w14:paraId="2C78093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三级</w:t>
            </w:r>
          </w:p>
        </w:tc>
        <w:tc>
          <w:tcPr>
            <w:tcW w:w="2100" w:type="dxa"/>
            <w:gridSpan w:val="5"/>
            <w:tcBorders>
              <w:top w:val="single" w:color="auto" w:sz="4" w:space="0"/>
              <w:left w:val="nil"/>
              <w:bottom w:val="single" w:color="auto" w:sz="4" w:space="0"/>
              <w:right w:val="single" w:color="auto" w:sz="4" w:space="0"/>
            </w:tcBorders>
            <w:noWrap w:val="0"/>
            <w:vAlign w:val="center"/>
          </w:tcPr>
          <w:p w14:paraId="4E4A1650">
            <w:pPr>
              <w:spacing w:line="240" w:lineRule="exact"/>
              <w:ind w:firstLine="180" w:firstLineChars="100"/>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62302E3">
            <w:pPr>
              <w:spacing w:line="240" w:lineRule="exact"/>
              <w:ind w:firstLine="180" w:firstLineChars="100"/>
              <w:rPr>
                <w:rFonts w:ascii="宋体"/>
                <w:color w:val="auto"/>
                <w:sz w:val="18"/>
                <w:szCs w:val="18"/>
                <w:highlight w:val="none"/>
              </w:rPr>
            </w:pPr>
          </w:p>
        </w:tc>
      </w:tr>
      <w:tr w14:paraId="1C85FEE7">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785A52C1">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7F1BCD3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26</w:t>
            </w:r>
          </w:p>
        </w:tc>
        <w:tc>
          <w:tcPr>
            <w:tcW w:w="3544" w:type="dxa"/>
            <w:vMerge w:val="restart"/>
            <w:tcBorders>
              <w:top w:val="nil"/>
              <w:left w:val="nil"/>
              <w:bottom w:val="single" w:color="auto" w:sz="4" w:space="0"/>
              <w:right w:val="single" w:color="auto" w:sz="4" w:space="0"/>
            </w:tcBorders>
            <w:noWrap w:val="0"/>
            <w:vAlign w:val="center"/>
          </w:tcPr>
          <w:p w14:paraId="28C4B5BB">
            <w:pPr>
              <w:spacing w:line="240" w:lineRule="exact"/>
              <w:rPr>
                <w:rFonts w:ascii="Calibri" w:hAnsi="Calibri"/>
                <w:color w:val="auto"/>
                <w:sz w:val="18"/>
                <w:szCs w:val="18"/>
                <w:highlight w:val="none"/>
              </w:rPr>
            </w:pPr>
            <w:r>
              <w:rPr>
                <w:rFonts w:hint="eastAsia" w:ascii="宋体" w:hAnsi="宋体"/>
                <w:color w:val="auto"/>
                <w:sz w:val="18"/>
                <w:szCs w:val="18"/>
                <w:highlight w:val="none"/>
              </w:rPr>
              <w:t>绿地内工具使用或存放点管理不规范，影响景观的</w:t>
            </w:r>
          </w:p>
        </w:tc>
        <w:tc>
          <w:tcPr>
            <w:tcW w:w="850" w:type="dxa"/>
            <w:vMerge w:val="restart"/>
            <w:tcBorders>
              <w:top w:val="nil"/>
              <w:left w:val="nil"/>
              <w:bottom w:val="single" w:color="auto" w:sz="4" w:space="0"/>
              <w:right w:val="single" w:color="auto" w:sz="4" w:space="0"/>
            </w:tcBorders>
            <w:noWrap w:val="0"/>
            <w:vAlign w:val="center"/>
          </w:tcPr>
          <w:p w14:paraId="461389F2">
            <w:pPr>
              <w:spacing w:line="240" w:lineRule="exact"/>
              <w:rPr>
                <w:rFonts w:ascii="Calibri" w:hAnsi="Calibri"/>
                <w:color w:val="auto"/>
                <w:sz w:val="18"/>
                <w:szCs w:val="18"/>
                <w:highlight w:val="none"/>
              </w:rPr>
            </w:pPr>
            <w:r>
              <w:rPr>
                <w:rFonts w:hint="eastAsia" w:ascii="宋体" w:hAnsi="宋体"/>
                <w:color w:val="auto"/>
                <w:sz w:val="18"/>
                <w:szCs w:val="18"/>
                <w:highlight w:val="none"/>
              </w:rPr>
              <w:t>每处</w:t>
            </w:r>
          </w:p>
        </w:tc>
        <w:tc>
          <w:tcPr>
            <w:tcW w:w="593" w:type="dxa"/>
            <w:tcBorders>
              <w:top w:val="single" w:color="auto" w:sz="4" w:space="0"/>
              <w:left w:val="nil"/>
              <w:bottom w:val="single" w:color="auto" w:sz="4" w:space="0"/>
              <w:right w:val="single" w:color="auto" w:sz="4" w:space="0"/>
            </w:tcBorders>
            <w:noWrap w:val="0"/>
            <w:vAlign w:val="center"/>
          </w:tcPr>
          <w:p w14:paraId="6DDADCC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2100" w:type="dxa"/>
            <w:gridSpan w:val="5"/>
            <w:tcBorders>
              <w:top w:val="single" w:color="auto" w:sz="4" w:space="0"/>
              <w:left w:val="nil"/>
              <w:bottom w:val="single" w:color="auto" w:sz="4" w:space="0"/>
              <w:right w:val="single" w:color="auto" w:sz="4" w:space="0"/>
            </w:tcBorders>
            <w:noWrap w:val="0"/>
            <w:vAlign w:val="center"/>
          </w:tcPr>
          <w:p w14:paraId="18FA330F">
            <w:pPr>
              <w:spacing w:line="240" w:lineRule="exact"/>
              <w:ind w:firstLine="180" w:firstLineChars="100"/>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0577FC2">
            <w:pPr>
              <w:spacing w:line="240" w:lineRule="exact"/>
              <w:ind w:firstLine="180" w:firstLineChars="100"/>
              <w:rPr>
                <w:rFonts w:ascii="宋体"/>
                <w:color w:val="auto"/>
                <w:sz w:val="18"/>
                <w:szCs w:val="18"/>
                <w:highlight w:val="none"/>
              </w:rPr>
            </w:pPr>
          </w:p>
        </w:tc>
      </w:tr>
      <w:tr w14:paraId="2D17644F">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2A5F6FBB">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7BB2864F">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5EFCA6A6">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6B436EB1">
            <w:pPr>
              <w:widowControl/>
              <w:spacing w:line="240" w:lineRule="exact"/>
              <w:jc w:val="left"/>
              <w:rPr>
                <w:rFonts w:ascii="Calibri" w:hAnsi="Calibri"/>
                <w:color w:val="auto"/>
                <w:sz w:val="18"/>
                <w:szCs w:val="18"/>
                <w:highlight w:val="none"/>
              </w:rPr>
            </w:pPr>
          </w:p>
        </w:tc>
        <w:tc>
          <w:tcPr>
            <w:tcW w:w="593" w:type="dxa"/>
            <w:tcBorders>
              <w:top w:val="single" w:color="auto" w:sz="4" w:space="0"/>
              <w:left w:val="nil"/>
              <w:bottom w:val="single" w:color="auto" w:sz="4" w:space="0"/>
              <w:right w:val="single" w:color="auto" w:sz="4" w:space="0"/>
            </w:tcBorders>
            <w:noWrap w:val="0"/>
            <w:vAlign w:val="center"/>
          </w:tcPr>
          <w:p w14:paraId="33D3857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二级</w:t>
            </w:r>
          </w:p>
        </w:tc>
        <w:tc>
          <w:tcPr>
            <w:tcW w:w="2100" w:type="dxa"/>
            <w:gridSpan w:val="5"/>
            <w:tcBorders>
              <w:top w:val="single" w:color="auto" w:sz="4" w:space="0"/>
              <w:left w:val="nil"/>
              <w:bottom w:val="single" w:color="auto" w:sz="4" w:space="0"/>
              <w:right w:val="single" w:color="auto" w:sz="4" w:space="0"/>
            </w:tcBorders>
            <w:noWrap w:val="0"/>
            <w:vAlign w:val="center"/>
          </w:tcPr>
          <w:p w14:paraId="14DD9FA7">
            <w:pPr>
              <w:spacing w:line="240" w:lineRule="exact"/>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36D31D6">
            <w:pPr>
              <w:spacing w:line="240" w:lineRule="exact"/>
              <w:rPr>
                <w:rFonts w:ascii="宋体"/>
                <w:color w:val="auto"/>
                <w:sz w:val="18"/>
                <w:szCs w:val="18"/>
                <w:highlight w:val="none"/>
              </w:rPr>
            </w:pPr>
          </w:p>
        </w:tc>
      </w:tr>
      <w:tr w14:paraId="2EF9CEE6">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61D55A47">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590F15E4">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4979F646">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5D8D9FB2">
            <w:pPr>
              <w:widowControl/>
              <w:spacing w:line="240" w:lineRule="exact"/>
              <w:jc w:val="left"/>
              <w:rPr>
                <w:rFonts w:ascii="Calibri" w:hAnsi="Calibri"/>
                <w:color w:val="auto"/>
                <w:sz w:val="18"/>
                <w:szCs w:val="18"/>
                <w:highlight w:val="none"/>
              </w:rPr>
            </w:pPr>
          </w:p>
        </w:tc>
        <w:tc>
          <w:tcPr>
            <w:tcW w:w="593" w:type="dxa"/>
            <w:tcBorders>
              <w:top w:val="single" w:color="auto" w:sz="4" w:space="0"/>
              <w:left w:val="nil"/>
              <w:bottom w:val="single" w:color="auto" w:sz="4" w:space="0"/>
              <w:right w:val="single" w:color="auto" w:sz="4" w:space="0"/>
            </w:tcBorders>
            <w:noWrap w:val="0"/>
            <w:vAlign w:val="center"/>
          </w:tcPr>
          <w:p w14:paraId="01DCF6E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三级</w:t>
            </w:r>
          </w:p>
        </w:tc>
        <w:tc>
          <w:tcPr>
            <w:tcW w:w="2100" w:type="dxa"/>
            <w:gridSpan w:val="5"/>
            <w:tcBorders>
              <w:top w:val="single" w:color="auto" w:sz="4" w:space="0"/>
              <w:left w:val="nil"/>
              <w:bottom w:val="single" w:color="auto" w:sz="4" w:space="0"/>
              <w:right w:val="single" w:color="auto" w:sz="4" w:space="0"/>
            </w:tcBorders>
            <w:noWrap w:val="0"/>
            <w:vAlign w:val="center"/>
          </w:tcPr>
          <w:p w14:paraId="1D86CFC8">
            <w:pPr>
              <w:spacing w:line="240" w:lineRule="exact"/>
              <w:ind w:firstLine="180" w:firstLineChars="100"/>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4EA3A93A">
            <w:pPr>
              <w:spacing w:line="240" w:lineRule="exact"/>
              <w:ind w:firstLine="180" w:firstLineChars="100"/>
              <w:rPr>
                <w:rFonts w:ascii="宋体"/>
                <w:color w:val="auto"/>
                <w:sz w:val="18"/>
                <w:szCs w:val="18"/>
                <w:highlight w:val="none"/>
              </w:rPr>
            </w:pPr>
          </w:p>
        </w:tc>
      </w:tr>
      <w:tr w14:paraId="588F0D4A">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3BD5DBB0">
            <w:pPr>
              <w:widowControl/>
              <w:spacing w:line="240" w:lineRule="exact"/>
              <w:jc w:val="left"/>
              <w:rPr>
                <w:rFonts w:ascii="Calibri" w:hAnsi="Calibri"/>
                <w:color w:val="auto"/>
                <w:sz w:val="18"/>
                <w:szCs w:val="18"/>
                <w:highlight w:val="none"/>
              </w:rPr>
            </w:pPr>
          </w:p>
        </w:tc>
        <w:tc>
          <w:tcPr>
            <w:tcW w:w="788" w:type="dxa"/>
            <w:tcBorders>
              <w:top w:val="single" w:color="auto" w:sz="4" w:space="0"/>
              <w:left w:val="single" w:color="auto" w:sz="4" w:space="0"/>
              <w:bottom w:val="single" w:color="auto" w:sz="4" w:space="0"/>
              <w:right w:val="single" w:color="auto" w:sz="4" w:space="0"/>
            </w:tcBorders>
            <w:noWrap w:val="0"/>
            <w:vAlign w:val="top"/>
          </w:tcPr>
          <w:p w14:paraId="2C56EF13">
            <w:pPr>
              <w:spacing w:line="240" w:lineRule="exac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27</w:t>
            </w:r>
          </w:p>
        </w:tc>
        <w:tc>
          <w:tcPr>
            <w:tcW w:w="3544" w:type="dxa"/>
            <w:tcBorders>
              <w:top w:val="single" w:color="auto" w:sz="4" w:space="0"/>
              <w:left w:val="nil"/>
              <w:bottom w:val="single" w:color="auto" w:sz="4" w:space="0"/>
              <w:right w:val="single" w:color="auto" w:sz="4" w:space="0"/>
            </w:tcBorders>
            <w:noWrap w:val="0"/>
            <w:vAlign w:val="center"/>
          </w:tcPr>
          <w:p w14:paraId="5D5BAC63">
            <w:pPr>
              <w:spacing w:line="240" w:lineRule="exact"/>
              <w:rPr>
                <w:rFonts w:ascii="Calibri" w:hAnsi="Calibri"/>
                <w:color w:val="auto"/>
                <w:sz w:val="18"/>
                <w:szCs w:val="18"/>
                <w:highlight w:val="none"/>
              </w:rPr>
            </w:pPr>
            <w:r>
              <w:rPr>
                <w:rFonts w:hint="eastAsia" w:ascii="宋体" w:hAnsi="宋体"/>
                <w:color w:val="auto"/>
                <w:sz w:val="18"/>
                <w:szCs w:val="18"/>
                <w:highlight w:val="none"/>
              </w:rPr>
              <w:t>绿地积水，未按要求及时处理的</w:t>
            </w:r>
          </w:p>
        </w:tc>
        <w:tc>
          <w:tcPr>
            <w:tcW w:w="850" w:type="dxa"/>
            <w:tcBorders>
              <w:top w:val="single" w:color="auto" w:sz="4" w:space="0"/>
              <w:left w:val="nil"/>
              <w:bottom w:val="single" w:color="auto" w:sz="4" w:space="0"/>
              <w:right w:val="single" w:color="auto" w:sz="4" w:space="0"/>
            </w:tcBorders>
            <w:noWrap w:val="0"/>
            <w:vAlign w:val="center"/>
          </w:tcPr>
          <w:p w14:paraId="3D85DA02">
            <w:pPr>
              <w:spacing w:line="240" w:lineRule="exact"/>
              <w:rPr>
                <w:rFonts w:ascii="Calibri" w:hAnsi="Calibri"/>
                <w:color w:val="auto"/>
                <w:sz w:val="18"/>
                <w:szCs w:val="18"/>
                <w:highlight w:val="none"/>
              </w:rPr>
            </w:pPr>
            <w:r>
              <w:rPr>
                <w:rFonts w:hint="eastAsia" w:ascii="宋体" w:hAnsi="宋体"/>
                <w:color w:val="auto"/>
                <w:sz w:val="18"/>
                <w:szCs w:val="18"/>
                <w:highlight w:val="none"/>
              </w:rPr>
              <w:t>每处</w:t>
            </w:r>
          </w:p>
        </w:tc>
        <w:tc>
          <w:tcPr>
            <w:tcW w:w="2693" w:type="dxa"/>
            <w:gridSpan w:val="6"/>
            <w:tcBorders>
              <w:top w:val="single" w:color="auto" w:sz="4" w:space="0"/>
              <w:left w:val="nil"/>
              <w:bottom w:val="single" w:color="auto" w:sz="4" w:space="0"/>
              <w:right w:val="single" w:color="auto" w:sz="4" w:space="0"/>
            </w:tcBorders>
            <w:noWrap w:val="0"/>
            <w:vAlign w:val="center"/>
          </w:tcPr>
          <w:p w14:paraId="5C94C67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D67F148">
            <w:pPr>
              <w:spacing w:line="240" w:lineRule="exact"/>
              <w:jc w:val="center"/>
              <w:rPr>
                <w:rFonts w:ascii="宋体"/>
                <w:color w:val="auto"/>
                <w:sz w:val="18"/>
                <w:szCs w:val="18"/>
                <w:highlight w:val="none"/>
              </w:rPr>
            </w:pPr>
          </w:p>
        </w:tc>
      </w:tr>
      <w:tr w14:paraId="0A65FD7A">
        <w:trPr>
          <w:cantSplit/>
          <w:trHeight w:val="306" w:hRule="atLeast"/>
        </w:trPr>
        <w:tc>
          <w:tcPr>
            <w:tcW w:w="420" w:type="dxa"/>
            <w:vMerge w:val="continue"/>
            <w:tcBorders>
              <w:left w:val="single" w:color="auto" w:sz="4" w:space="0"/>
              <w:right w:val="single" w:color="auto" w:sz="4" w:space="0"/>
            </w:tcBorders>
            <w:noWrap w:val="0"/>
            <w:vAlign w:val="center"/>
          </w:tcPr>
          <w:p w14:paraId="077316FA">
            <w:pPr>
              <w:widowControl/>
              <w:spacing w:line="240" w:lineRule="exact"/>
              <w:jc w:val="left"/>
              <w:rPr>
                <w:rFonts w:ascii="Calibri" w:hAnsi="Calibri"/>
                <w:color w:val="auto"/>
                <w:sz w:val="18"/>
                <w:szCs w:val="18"/>
                <w:highlight w:val="none"/>
              </w:rPr>
            </w:pPr>
          </w:p>
        </w:tc>
        <w:tc>
          <w:tcPr>
            <w:tcW w:w="788" w:type="dxa"/>
            <w:tcBorders>
              <w:top w:val="single" w:color="auto" w:sz="4" w:space="0"/>
              <w:left w:val="single" w:color="auto" w:sz="4" w:space="0"/>
              <w:bottom w:val="single" w:color="auto" w:sz="4" w:space="0"/>
              <w:right w:val="single" w:color="auto" w:sz="4" w:space="0"/>
            </w:tcBorders>
            <w:noWrap w:val="0"/>
            <w:vAlign w:val="top"/>
          </w:tcPr>
          <w:p w14:paraId="41869E6F">
            <w:pPr>
              <w:spacing w:line="240" w:lineRule="exac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28</w:t>
            </w:r>
          </w:p>
        </w:tc>
        <w:tc>
          <w:tcPr>
            <w:tcW w:w="3544" w:type="dxa"/>
            <w:tcBorders>
              <w:top w:val="single" w:color="auto" w:sz="4" w:space="0"/>
              <w:left w:val="nil"/>
              <w:bottom w:val="single" w:color="auto" w:sz="4" w:space="0"/>
              <w:right w:val="single" w:color="auto" w:sz="4" w:space="0"/>
            </w:tcBorders>
            <w:noWrap w:val="0"/>
            <w:vAlign w:val="center"/>
          </w:tcPr>
          <w:p w14:paraId="52D90FFF">
            <w:pPr>
              <w:spacing w:line="240" w:lineRule="exact"/>
              <w:rPr>
                <w:rFonts w:ascii="Calibri" w:hAnsi="Calibri"/>
                <w:color w:val="auto"/>
                <w:sz w:val="18"/>
                <w:szCs w:val="18"/>
                <w:highlight w:val="none"/>
              </w:rPr>
            </w:pPr>
            <w:r>
              <w:rPr>
                <w:rFonts w:hint="eastAsia" w:ascii="宋体" w:hAnsi="宋体"/>
                <w:color w:val="auto"/>
                <w:sz w:val="18"/>
                <w:szCs w:val="18"/>
                <w:highlight w:val="none"/>
              </w:rPr>
              <w:t>植物黄叶、钉挂物，未按要求及时处理的</w:t>
            </w:r>
          </w:p>
        </w:tc>
        <w:tc>
          <w:tcPr>
            <w:tcW w:w="850" w:type="dxa"/>
            <w:tcBorders>
              <w:top w:val="single" w:color="auto" w:sz="4" w:space="0"/>
              <w:left w:val="nil"/>
              <w:bottom w:val="single" w:color="auto" w:sz="4" w:space="0"/>
              <w:right w:val="single" w:color="auto" w:sz="4" w:space="0"/>
            </w:tcBorders>
            <w:noWrap w:val="0"/>
            <w:vAlign w:val="center"/>
          </w:tcPr>
          <w:p w14:paraId="79FB997B">
            <w:pPr>
              <w:spacing w:line="240" w:lineRule="exact"/>
              <w:rPr>
                <w:rFonts w:ascii="Calibri" w:hAnsi="Calibri"/>
                <w:color w:val="auto"/>
                <w:sz w:val="18"/>
                <w:szCs w:val="18"/>
                <w:highlight w:val="none"/>
              </w:rPr>
            </w:pPr>
            <w:r>
              <w:rPr>
                <w:rFonts w:hint="eastAsia" w:ascii="宋体" w:hAnsi="宋体"/>
                <w:color w:val="auto"/>
                <w:sz w:val="18"/>
                <w:szCs w:val="18"/>
                <w:highlight w:val="none"/>
              </w:rPr>
              <w:t>每处</w:t>
            </w:r>
          </w:p>
        </w:tc>
        <w:tc>
          <w:tcPr>
            <w:tcW w:w="2693" w:type="dxa"/>
            <w:gridSpan w:val="6"/>
            <w:tcBorders>
              <w:top w:val="single" w:color="auto" w:sz="4" w:space="0"/>
              <w:left w:val="nil"/>
              <w:bottom w:val="single" w:color="auto" w:sz="4" w:space="0"/>
              <w:right w:val="single" w:color="auto" w:sz="4" w:space="0"/>
            </w:tcBorders>
            <w:noWrap w:val="0"/>
            <w:vAlign w:val="center"/>
          </w:tcPr>
          <w:p w14:paraId="077E4BE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0.01-2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19F921F">
            <w:pPr>
              <w:spacing w:line="240" w:lineRule="exact"/>
              <w:jc w:val="center"/>
              <w:rPr>
                <w:rFonts w:ascii="宋体"/>
                <w:color w:val="auto"/>
                <w:sz w:val="18"/>
                <w:szCs w:val="18"/>
                <w:highlight w:val="none"/>
              </w:rPr>
            </w:pPr>
          </w:p>
        </w:tc>
      </w:tr>
      <w:tr w14:paraId="18047B62">
        <w:tblPrEx>
          <w:tblCellMar>
            <w:top w:w="0" w:type="dxa"/>
            <w:left w:w="108" w:type="dxa"/>
            <w:bottom w:w="0" w:type="dxa"/>
            <w:right w:w="108" w:type="dxa"/>
          </w:tblCellMar>
        </w:tblPrEx>
        <w:trPr>
          <w:cantSplit/>
          <w:trHeight w:val="290" w:hRule="atLeast"/>
        </w:trPr>
        <w:tc>
          <w:tcPr>
            <w:tcW w:w="420" w:type="dxa"/>
            <w:vMerge w:val="continue"/>
            <w:tcBorders>
              <w:left w:val="single" w:color="auto" w:sz="4" w:space="0"/>
              <w:right w:val="single" w:color="auto" w:sz="4" w:space="0"/>
            </w:tcBorders>
            <w:noWrap w:val="0"/>
            <w:vAlign w:val="center"/>
          </w:tcPr>
          <w:p w14:paraId="7314FDFC">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top"/>
          </w:tcPr>
          <w:p w14:paraId="2B883C47">
            <w:pPr>
              <w:spacing w:line="240" w:lineRule="exact"/>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29</w:t>
            </w:r>
          </w:p>
        </w:tc>
        <w:tc>
          <w:tcPr>
            <w:tcW w:w="3544" w:type="dxa"/>
            <w:vMerge w:val="restart"/>
            <w:tcBorders>
              <w:top w:val="nil"/>
              <w:left w:val="nil"/>
              <w:bottom w:val="single" w:color="auto" w:sz="4" w:space="0"/>
              <w:right w:val="single" w:color="auto" w:sz="4" w:space="0"/>
            </w:tcBorders>
            <w:noWrap w:val="0"/>
            <w:vAlign w:val="center"/>
          </w:tcPr>
          <w:p w14:paraId="684BA72A">
            <w:pPr>
              <w:spacing w:line="240" w:lineRule="exact"/>
              <w:rPr>
                <w:rFonts w:ascii="Calibri" w:hAnsi="Calibri"/>
                <w:color w:val="auto"/>
                <w:sz w:val="18"/>
                <w:szCs w:val="18"/>
                <w:highlight w:val="none"/>
              </w:rPr>
            </w:pPr>
            <w:r>
              <w:rPr>
                <w:rFonts w:hint="eastAsia" w:ascii="宋体" w:hAnsi="宋体"/>
                <w:color w:val="auto"/>
                <w:sz w:val="18"/>
                <w:szCs w:val="18"/>
                <w:highlight w:val="none"/>
              </w:rPr>
              <w:t>园林植物受病虫害及有害生物侵害明显，打药不及时，不彻底或造成药害的，或违反农药管理规定的</w:t>
            </w:r>
          </w:p>
        </w:tc>
        <w:tc>
          <w:tcPr>
            <w:tcW w:w="850" w:type="dxa"/>
            <w:vMerge w:val="restart"/>
            <w:tcBorders>
              <w:top w:val="nil"/>
              <w:left w:val="nil"/>
              <w:bottom w:val="single" w:color="auto" w:sz="4" w:space="0"/>
              <w:right w:val="single" w:color="auto" w:sz="4" w:space="0"/>
            </w:tcBorders>
            <w:noWrap w:val="0"/>
            <w:vAlign w:val="center"/>
          </w:tcPr>
          <w:p w14:paraId="409DFDD1">
            <w:pPr>
              <w:spacing w:line="240" w:lineRule="exact"/>
              <w:rPr>
                <w:rFonts w:ascii="Calibri" w:hAnsi="Calibri"/>
                <w:color w:val="auto"/>
                <w:sz w:val="18"/>
                <w:szCs w:val="18"/>
                <w:highlight w:val="none"/>
              </w:rPr>
            </w:pPr>
            <w:r>
              <w:rPr>
                <w:rFonts w:hint="eastAsia" w:ascii="宋体" w:hAnsi="宋体"/>
                <w:color w:val="auto"/>
                <w:sz w:val="18"/>
                <w:szCs w:val="18"/>
                <w:highlight w:val="none"/>
              </w:rPr>
              <w:t>每处</w:t>
            </w:r>
          </w:p>
        </w:tc>
        <w:tc>
          <w:tcPr>
            <w:tcW w:w="803" w:type="dxa"/>
            <w:gridSpan w:val="2"/>
            <w:tcBorders>
              <w:top w:val="single" w:color="auto" w:sz="4" w:space="0"/>
              <w:left w:val="nil"/>
              <w:bottom w:val="single" w:color="auto" w:sz="4" w:space="0"/>
              <w:right w:val="single" w:color="auto" w:sz="4" w:space="0"/>
            </w:tcBorders>
            <w:noWrap w:val="0"/>
            <w:vAlign w:val="center"/>
          </w:tcPr>
          <w:p w14:paraId="2F093CBC">
            <w:pPr>
              <w:spacing w:line="240" w:lineRule="exact"/>
              <w:rPr>
                <w:rFonts w:ascii="Calibri" w:hAnsi="Calibri"/>
                <w:color w:val="auto"/>
                <w:sz w:val="18"/>
                <w:szCs w:val="18"/>
                <w:highlight w:val="none"/>
              </w:rPr>
            </w:pPr>
            <w:r>
              <w:rPr>
                <w:color w:val="auto"/>
                <w:sz w:val="18"/>
                <w:szCs w:val="18"/>
                <w:highlight w:val="none"/>
              </w:rPr>
              <w:t>100</w:t>
            </w:r>
            <w:r>
              <w:rPr>
                <w:rFonts w:hint="eastAsia" w:ascii="宋体" w:hAnsi="宋体"/>
                <w:color w:val="auto"/>
                <w:sz w:val="18"/>
                <w:szCs w:val="18"/>
                <w:highlight w:val="none"/>
              </w:rPr>
              <w:t>㎡以内</w:t>
            </w:r>
          </w:p>
        </w:tc>
        <w:tc>
          <w:tcPr>
            <w:tcW w:w="1890" w:type="dxa"/>
            <w:gridSpan w:val="4"/>
            <w:tcBorders>
              <w:top w:val="single" w:color="auto" w:sz="4" w:space="0"/>
              <w:left w:val="nil"/>
              <w:bottom w:val="single" w:color="auto" w:sz="4" w:space="0"/>
              <w:right w:val="single" w:color="auto" w:sz="4" w:space="0"/>
            </w:tcBorders>
            <w:noWrap w:val="0"/>
            <w:vAlign w:val="center"/>
          </w:tcPr>
          <w:p w14:paraId="1455B66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4F2A49AF">
            <w:pPr>
              <w:spacing w:line="240" w:lineRule="exact"/>
              <w:jc w:val="center"/>
              <w:rPr>
                <w:rFonts w:ascii="宋体"/>
                <w:color w:val="auto"/>
                <w:sz w:val="18"/>
                <w:szCs w:val="18"/>
                <w:highlight w:val="none"/>
              </w:rPr>
            </w:pPr>
          </w:p>
        </w:tc>
      </w:tr>
      <w:tr w14:paraId="0EAAF514">
        <w:tblPrEx>
          <w:tblCellMar>
            <w:top w:w="0" w:type="dxa"/>
            <w:left w:w="108" w:type="dxa"/>
            <w:bottom w:w="0" w:type="dxa"/>
            <w:right w:w="108" w:type="dxa"/>
          </w:tblCellMar>
        </w:tblPrEx>
        <w:trPr>
          <w:cantSplit/>
          <w:trHeight w:val="307" w:hRule="atLeast"/>
        </w:trPr>
        <w:tc>
          <w:tcPr>
            <w:tcW w:w="420" w:type="dxa"/>
            <w:vMerge w:val="continue"/>
            <w:tcBorders>
              <w:left w:val="single" w:color="auto" w:sz="4" w:space="0"/>
              <w:right w:val="single" w:color="auto" w:sz="4" w:space="0"/>
            </w:tcBorders>
            <w:noWrap w:val="0"/>
            <w:vAlign w:val="center"/>
          </w:tcPr>
          <w:p w14:paraId="4F75D82F">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2FB8CED3">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63D52B5D">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5F65FEA2">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44CCABD9">
            <w:pPr>
              <w:spacing w:line="240" w:lineRule="exact"/>
              <w:jc w:val="center"/>
              <w:rPr>
                <w:rFonts w:ascii="Calibri" w:hAnsi="Calibri"/>
                <w:color w:val="auto"/>
                <w:sz w:val="18"/>
                <w:szCs w:val="18"/>
                <w:highlight w:val="none"/>
              </w:rPr>
            </w:pPr>
            <w:r>
              <w:rPr>
                <w:color w:val="auto"/>
                <w:sz w:val="18"/>
                <w:szCs w:val="18"/>
                <w:highlight w:val="none"/>
              </w:rPr>
              <w:t>100-1000</w:t>
            </w:r>
            <w:r>
              <w:rPr>
                <w:rFonts w:hint="eastAsia" w:ascii="宋体" w:hAnsi="宋体"/>
                <w:color w:val="auto"/>
                <w:sz w:val="18"/>
                <w:szCs w:val="18"/>
                <w:highlight w:val="none"/>
              </w:rPr>
              <w:t>㎡</w:t>
            </w:r>
          </w:p>
        </w:tc>
        <w:tc>
          <w:tcPr>
            <w:tcW w:w="1890" w:type="dxa"/>
            <w:gridSpan w:val="4"/>
            <w:tcBorders>
              <w:top w:val="single" w:color="auto" w:sz="4" w:space="0"/>
              <w:left w:val="nil"/>
              <w:bottom w:val="single" w:color="auto" w:sz="4" w:space="0"/>
              <w:right w:val="single" w:color="auto" w:sz="4" w:space="0"/>
            </w:tcBorders>
            <w:noWrap w:val="0"/>
            <w:vAlign w:val="center"/>
          </w:tcPr>
          <w:p w14:paraId="75A97CD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F2446E4">
            <w:pPr>
              <w:spacing w:line="240" w:lineRule="exact"/>
              <w:jc w:val="center"/>
              <w:rPr>
                <w:rFonts w:ascii="宋体"/>
                <w:color w:val="auto"/>
                <w:sz w:val="18"/>
                <w:szCs w:val="18"/>
                <w:highlight w:val="none"/>
              </w:rPr>
            </w:pPr>
          </w:p>
        </w:tc>
      </w:tr>
      <w:tr w14:paraId="1E68CF78">
        <w:tblPrEx>
          <w:tblCellMar>
            <w:top w:w="0" w:type="dxa"/>
            <w:left w:w="108" w:type="dxa"/>
            <w:bottom w:w="0" w:type="dxa"/>
            <w:right w:w="108" w:type="dxa"/>
          </w:tblCellMar>
        </w:tblPrEx>
        <w:trPr>
          <w:cantSplit/>
          <w:trHeight w:val="297" w:hRule="atLeast"/>
        </w:trPr>
        <w:tc>
          <w:tcPr>
            <w:tcW w:w="420" w:type="dxa"/>
            <w:vMerge w:val="continue"/>
            <w:tcBorders>
              <w:left w:val="single" w:color="auto" w:sz="4" w:space="0"/>
              <w:right w:val="single" w:color="auto" w:sz="4" w:space="0"/>
            </w:tcBorders>
            <w:noWrap w:val="0"/>
            <w:vAlign w:val="center"/>
          </w:tcPr>
          <w:p w14:paraId="7F77DCA5">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17BA44B1">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3D904E10">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0318C908">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45E4F51E">
            <w:pPr>
              <w:spacing w:line="240" w:lineRule="exact"/>
              <w:jc w:val="center"/>
              <w:rPr>
                <w:rFonts w:ascii="Calibri" w:hAnsi="Calibri"/>
                <w:color w:val="auto"/>
                <w:sz w:val="18"/>
                <w:szCs w:val="18"/>
                <w:highlight w:val="none"/>
              </w:rPr>
            </w:pPr>
            <w:r>
              <w:rPr>
                <w:color w:val="auto"/>
                <w:sz w:val="18"/>
                <w:szCs w:val="18"/>
                <w:highlight w:val="none"/>
              </w:rPr>
              <w:t>1000</w:t>
            </w:r>
            <w:r>
              <w:rPr>
                <w:rFonts w:hint="eastAsia" w:ascii="宋体" w:hAnsi="宋体"/>
                <w:color w:val="auto"/>
                <w:sz w:val="18"/>
                <w:szCs w:val="18"/>
                <w:highlight w:val="none"/>
              </w:rPr>
              <w:t>㎡以上</w:t>
            </w:r>
          </w:p>
        </w:tc>
        <w:tc>
          <w:tcPr>
            <w:tcW w:w="1890" w:type="dxa"/>
            <w:gridSpan w:val="4"/>
            <w:tcBorders>
              <w:top w:val="single" w:color="auto" w:sz="4" w:space="0"/>
              <w:left w:val="nil"/>
              <w:bottom w:val="single" w:color="auto" w:sz="4" w:space="0"/>
              <w:right w:val="single" w:color="auto" w:sz="4" w:space="0"/>
            </w:tcBorders>
            <w:noWrap w:val="0"/>
            <w:vAlign w:val="center"/>
          </w:tcPr>
          <w:p w14:paraId="77895CF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748DC5B">
            <w:pPr>
              <w:spacing w:line="240" w:lineRule="exact"/>
              <w:jc w:val="center"/>
              <w:rPr>
                <w:rFonts w:ascii="宋体"/>
                <w:color w:val="auto"/>
                <w:sz w:val="18"/>
                <w:szCs w:val="18"/>
                <w:highlight w:val="none"/>
              </w:rPr>
            </w:pPr>
          </w:p>
        </w:tc>
      </w:tr>
      <w:tr w14:paraId="05473EE8">
        <w:tblPrEx>
          <w:tblCellMar>
            <w:top w:w="0" w:type="dxa"/>
            <w:left w:w="108" w:type="dxa"/>
            <w:bottom w:w="0" w:type="dxa"/>
            <w:right w:w="108" w:type="dxa"/>
          </w:tblCellMar>
        </w:tblPrEx>
        <w:trPr>
          <w:cantSplit/>
          <w:trHeight w:val="297" w:hRule="atLeast"/>
        </w:trPr>
        <w:tc>
          <w:tcPr>
            <w:tcW w:w="420" w:type="dxa"/>
            <w:vMerge w:val="continue"/>
            <w:tcBorders>
              <w:left w:val="single" w:color="auto" w:sz="4" w:space="0"/>
              <w:right w:val="single" w:color="auto" w:sz="4" w:space="0"/>
            </w:tcBorders>
            <w:noWrap w:val="0"/>
            <w:vAlign w:val="center"/>
          </w:tcPr>
          <w:p w14:paraId="2F5517E1">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5865507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30</w:t>
            </w:r>
          </w:p>
        </w:tc>
        <w:tc>
          <w:tcPr>
            <w:tcW w:w="3544" w:type="dxa"/>
            <w:vMerge w:val="restart"/>
            <w:tcBorders>
              <w:top w:val="nil"/>
              <w:left w:val="nil"/>
              <w:bottom w:val="single" w:color="auto" w:sz="4" w:space="0"/>
              <w:right w:val="single" w:color="auto" w:sz="4" w:space="0"/>
            </w:tcBorders>
            <w:noWrap w:val="0"/>
            <w:vAlign w:val="center"/>
          </w:tcPr>
          <w:p w14:paraId="0495E117">
            <w:pPr>
              <w:spacing w:line="240" w:lineRule="exact"/>
              <w:rPr>
                <w:rFonts w:ascii="Calibri" w:hAnsi="Calibri"/>
                <w:color w:val="auto"/>
                <w:sz w:val="18"/>
                <w:szCs w:val="18"/>
                <w:highlight w:val="none"/>
              </w:rPr>
            </w:pPr>
            <w:r>
              <w:rPr>
                <w:rFonts w:hint="eastAsia" w:ascii="宋体" w:hAnsi="宋体"/>
                <w:color w:val="auto"/>
                <w:sz w:val="18"/>
                <w:szCs w:val="18"/>
                <w:highlight w:val="none"/>
              </w:rPr>
              <w:t>防寒防冻工作不及时，或方法不正确，造成植物受到冷害或冻害的</w:t>
            </w:r>
          </w:p>
        </w:tc>
        <w:tc>
          <w:tcPr>
            <w:tcW w:w="850" w:type="dxa"/>
            <w:vMerge w:val="restart"/>
            <w:tcBorders>
              <w:top w:val="nil"/>
              <w:left w:val="nil"/>
              <w:bottom w:val="single" w:color="auto" w:sz="4" w:space="0"/>
              <w:right w:val="single" w:color="auto" w:sz="4" w:space="0"/>
            </w:tcBorders>
            <w:noWrap w:val="0"/>
            <w:vAlign w:val="center"/>
          </w:tcPr>
          <w:p w14:paraId="4E5DD417">
            <w:pPr>
              <w:spacing w:line="240" w:lineRule="exact"/>
              <w:rPr>
                <w:rFonts w:ascii="Calibri" w:hAnsi="Calibri"/>
                <w:color w:val="auto"/>
                <w:sz w:val="18"/>
                <w:szCs w:val="18"/>
                <w:highlight w:val="none"/>
              </w:rPr>
            </w:pPr>
            <w:r>
              <w:rPr>
                <w:rFonts w:hint="eastAsia" w:ascii="宋体" w:hAnsi="宋体"/>
                <w:color w:val="auto"/>
                <w:sz w:val="18"/>
                <w:szCs w:val="18"/>
                <w:highlight w:val="none"/>
              </w:rPr>
              <w:t>每处</w:t>
            </w:r>
          </w:p>
        </w:tc>
        <w:tc>
          <w:tcPr>
            <w:tcW w:w="803" w:type="dxa"/>
            <w:gridSpan w:val="2"/>
            <w:tcBorders>
              <w:top w:val="single" w:color="auto" w:sz="4" w:space="0"/>
              <w:left w:val="nil"/>
              <w:bottom w:val="single" w:color="auto" w:sz="4" w:space="0"/>
              <w:right w:val="single" w:color="auto" w:sz="4" w:space="0"/>
            </w:tcBorders>
            <w:noWrap w:val="0"/>
            <w:vAlign w:val="center"/>
          </w:tcPr>
          <w:p w14:paraId="30D3FBA3">
            <w:pPr>
              <w:spacing w:line="240" w:lineRule="exact"/>
              <w:rPr>
                <w:rFonts w:ascii="Calibri" w:hAnsi="Calibri"/>
                <w:color w:val="auto"/>
                <w:sz w:val="18"/>
                <w:szCs w:val="18"/>
                <w:highlight w:val="none"/>
              </w:rPr>
            </w:pPr>
            <w:r>
              <w:rPr>
                <w:color w:val="auto"/>
                <w:sz w:val="18"/>
                <w:szCs w:val="18"/>
                <w:highlight w:val="none"/>
              </w:rPr>
              <w:t>100</w:t>
            </w:r>
            <w:r>
              <w:rPr>
                <w:rFonts w:hint="eastAsia" w:ascii="宋体" w:hAnsi="宋体"/>
                <w:color w:val="auto"/>
                <w:sz w:val="18"/>
                <w:szCs w:val="18"/>
                <w:highlight w:val="none"/>
              </w:rPr>
              <w:t>㎡以内</w:t>
            </w:r>
          </w:p>
        </w:tc>
        <w:tc>
          <w:tcPr>
            <w:tcW w:w="1890" w:type="dxa"/>
            <w:gridSpan w:val="4"/>
            <w:tcBorders>
              <w:top w:val="single" w:color="auto" w:sz="4" w:space="0"/>
              <w:left w:val="nil"/>
              <w:bottom w:val="single" w:color="auto" w:sz="4" w:space="0"/>
              <w:right w:val="single" w:color="auto" w:sz="4" w:space="0"/>
            </w:tcBorders>
            <w:noWrap w:val="0"/>
            <w:vAlign w:val="center"/>
          </w:tcPr>
          <w:p w14:paraId="351F82A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AF0899A">
            <w:pPr>
              <w:spacing w:line="240" w:lineRule="exact"/>
              <w:jc w:val="center"/>
              <w:rPr>
                <w:rFonts w:ascii="宋体"/>
                <w:color w:val="auto"/>
                <w:sz w:val="18"/>
                <w:szCs w:val="18"/>
                <w:highlight w:val="none"/>
              </w:rPr>
            </w:pPr>
          </w:p>
        </w:tc>
      </w:tr>
      <w:tr w14:paraId="356ACAB0">
        <w:tblPrEx>
          <w:tblCellMar>
            <w:top w:w="0" w:type="dxa"/>
            <w:left w:w="108" w:type="dxa"/>
            <w:bottom w:w="0" w:type="dxa"/>
            <w:right w:w="108" w:type="dxa"/>
          </w:tblCellMar>
        </w:tblPrEx>
        <w:trPr>
          <w:cantSplit/>
          <w:trHeight w:val="297" w:hRule="atLeast"/>
        </w:trPr>
        <w:tc>
          <w:tcPr>
            <w:tcW w:w="420" w:type="dxa"/>
            <w:vMerge w:val="continue"/>
            <w:tcBorders>
              <w:left w:val="single" w:color="auto" w:sz="4" w:space="0"/>
              <w:right w:val="single" w:color="auto" w:sz="4" w:space="0"/>
            </w:tcBorders>
            <w:noWrap w:val="0"/>
            <w:vAlign w:val="center"/>
          </w:tcPr>
          <w:p w14:paraId="2B402D49">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124A8B0E">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24D590F2">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1323F5E6">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40B87D61">
            <w:pPr>
              <w:spacing w:line="240" w:lineRule="exact"/>
              <w:jc w:val="center"/>
              <w:rPr>
                <w:rFonts w:ascii="Calibri" w:hAnsi="Calibri"/>
                <w:color w:val="auto"/>
                <w:sz w:val="18"/>
                <w:szCs w:val="18"/>
                <w:highlight w:val="none"/>
              </w:rPr>
            </w:pPr>
            <w:r>
              <w:rPr>
                <w:color w:val="auto"/>
                <w:sz w:val="18"/>
                <w:szCs w:val="18"/>
                <w:highlight w:val="none"/>
              </w:rPr>
              <w:t>100-1000</w:t>
            </w:r>
            <w:r>
              <w:rPr>
                <w:rFonts w:hint="eastAsia" w:ascii="宋体" w:hAnsi="宋体"/>
                <w:color w:val="auto"/>
                <w:sz w:val="18"/>
                <w:szCs w:val="18"/>
                <w:highlight w:val="none"/>
              </w:rPr>
              <w:t>㎡</w:t>
            </w:r>
          </w:p>
        </w:tc>
        <w:tc>
          <w:tcPr>
            <w:tcW w:w="1890" w:type="dxa"/>
            <w:gridSpan w:val="4"/>
            <w:tcBorders>
              <w:top w:val="single" w:color="auto" w:sz="4" w:space="0"/>
              <w:left w:val="nil"/>
              <w:bottom w:val="single" w:color="auto" w:sz="4" w:space="0"/>
              <w:right w:val="single" w:color="auto" w:sz="4" w:space="0"/>
            </w:tcBorders>
            <w:noWrap w:val="0"/>
            <w:vAlign w:val="center"/>
          </w:tcPr>
          <w:p w14:paraId="018127A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6321BAEE">
            <w:pPr>
              <w:spacing w:line="240" w:lineRule="exact"/>
              <w:jc w:val="center"/>
              <w:rPr>
                <w:rFonts w:ascii="宋体"/>
                <w:color w:val="auto"/>
                <w:sz w:val="18"/>
                <w:szCs w:val="18"/>
                <w:highlight w:val="none"/>
              </w:rPr>
            </w:pPr>
          </w:p>
        </w:tc>
      </w:tr>
      <w:tr w14:paraId="6CB5270B">
        <w:tblPrEx>
          <w:tblCellMar>
            <w:top w:w="0" w:type="dxa"/>
            <w:left w:w="108" w:type="dxa"/>
            <w:bottom w:w="0" w:type="dxa"/>
            <w:right w:w="108" w:type="dxa"/>
          </w:tblCellMar>
        </w:tblPrEx>
        <w:trPr>
          <w:cantSplit/>
          <w:trHeight w:val="297" w:hRule="atLeast"/>
        </w:trPr>
        <w:tc>
          <w:tcPr>
            <w:tcW w:w="420" w:type="dxa"/>
            <w:vMerge w:val="continue"/>
            <w:tcBorders>
              <w:left w:val="single" w:color="auto" w:sz="4" w:space="0"/>
              <w:right w:val="single" w:color="auto" w:sz="4" w:space="0"/>
            </w:tcBorders>
            <w:noWrap w:val="0"/>
            <w:vAlign w:val="center"/>
          </w:tcPr>
          <w:p w14:paraId="243313F3">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526A3017">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0C09A0F2">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15E371EA">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5DEC41D6">
            <w:pPr>
              <w:spacing w:line="240" w:lineRule="exact"/>
              <w:jc w:val="center"/>
              <w:rPr>
                <w:rFonts w:ascii="Calibri" w:hAnsi="Calibri"/>
                <w:color w:val="auto"/>
                <w:sz w:val="18"/>
                <w:szCs w:val="18"/>
                <w:highlight w:val="none"/>
              </w:rPr>
            </w:pPr>
            <w:r>
              <w:rPr>
                <w:color w:val="auto"/>
                <w:sz w:val="18"/>
                <w:szCs w:val="18"/>
                <w:highlight w:val="none"/>
              </w:rPr>
              <w:t>1000</w:t>
            </w:r>
            <w:r>
              <w:rPr>
                <w:rFonts w:hint="eastAsia" w:ascii="宋体" w:hAnsi="宋体"/>
                <w:color w:val="auto"/>
                <w:sz w:val="18"/>
                <w:szCs w:val="18"/>
                <w:highlight w:val="none"/>
              </w:rPr>
              <w:t>㎡以上</w:t>
            </w:r>
          </w:p>
        </w:tc>
        <w:tc>
          <w:tcPr>
            <w:tcW w:w="1890" w:type="dxa"/>
            <w:gridSpan w:val="4"/>
            <w:tcBorders>
              <w:top w:val="single" w:color="auto" w:sz="4" w:space="0"/>
              <w:left w:val="nil"/>
              <w:bottom w:val="single" w:color="auto" w:sz="4" w:space="0"/>
              <w:right w:val="single" w:color="auto" w:sz="4" w:space="0"/>
            </w:tcBorders>
            <w:noWrap w:val="0"/>
            <w:vAlign w:val="center"/>
          </w:tcPr>
          <w:p w14:paraId="329B299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0.3-3</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46C53BF">
            <w:pPr>
              <w:spacing w:line="240" w:lineRule="exact"/>
              <w:jc w:val="center"/>
              <w:rPr>
                <w:rFonts w:ascii="宋体"/>
                <w:color w:val="auto"/>
                <w:sz w:val="18"/>
                <w:szCs w:val="18"/>
                <w:highlight w:val="none"/>
              </w:rPr>
            </w:pPr>
          </w:p>
        </w:tc>
      </w:tr>
      <w:tr w14:paraId="68EDF1F4">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13BBA8C4">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2191D9F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31</w:t>
            </w:r>
          </w:p>
        </w:tc>
        <w:tc>
          <w:tcPr>
            <w:tcW w:w="3544" w:type="dxa"/>
            <w:vMerge w:val="restart"/>
            <w:tcBorders>
              <w:top w:val="nil"/>
              <w:left w:val="nil"/>
              <w:bottom w:val="single" w:color="auto" w:sz="4" w:space="0"/>
              <w:right w:val="single" w:color="auto" w:sz="4" w:space="0"/>
            </w:tcBorders>
            <w:noWrap w:val="0"/>
            <w:vAlign w:val="center"/>
          </w:tcPr>
          <w:p w14:paraId="3D4F0D6C">
            <w:pPr>
              <w:spacing w:line="240" w:lineRule="exact"/>
              <w:rPr>
                <w:rFonts w:ascii="Calibri" w:hAnsi="Calibri"/>
                <w:color w:val="auto"/>
                <w:sz w:val="18"/>
                <w:szCs w:val="18"/>
                <w:highlight w:val="none"/>
              </w:rPr>
            </w:pPr>
            <w:r>
              <w:rPr>
                <w:rFonts w:hint="eastAsia" w:ascii="宋体" w:hAnsi="宋体"/>
                <w:color w:val="auto"/>
                <w:sz w:val="18"/>
                <w:szCs w:val="18"/>
                <w:highlight w:val="none"/>
              </w:rPr>
              <w:t>倒树或断枝未及时处理、歪斜树木未及时扶正和加固的按扣分标准最高上限扣除</w:t>
            </w:r>
          </w:p>
        </w:tc>
        <w:tc>
          <w:tcPr>
            <w:tcW w:w="850" w:type="dxa"/>
            <w:vMerge w:val="restart"/>
            <w:tcBorders>
              <w:top w:val="nil"/>
              <w:left w:val="nil"/>
              <w:bottom w:val="single" w:color="auto" w:sz="4" w:space="0"/>
              <w:right w:val="single" w:color="auto" w:sz="4" w:space="0"/>
            </w:tcBorders>
            <w:noWrap w:val="0"/>
            <w:vAlign w:val="center"/>
          </w:tcPr>
          <w:p w14:paraId="07876CB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每株</w:t>
            </w:r>
          </w:p>
        </w:tc>
        <w:tc>
          <w:tcPr>
            <w:tcW w:w="803" w:type="dxa"/>
            <w:gridSpan w:val="2"/>
            <w:tcBorders>
              <w:top w:val="single" w:color="auto" w:sz="4" w:space="0"/>
              <w:left w:val="nil"/>
              <w:bottom w:val="single" w:color="auto" w:sz="4" w:space="0"/>
              <w:right w:val="single" w:color="auto" w:sz="4" w:space="0"/>
            </w:tcBorders>
            <w:noWrap w:val="0"/>
            <w:vAlign w:val="center"/>
          </w:tcPr>
          <w:p w14:paraId="6C002EF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断枝</w:t>
            </w:r>
          </w:p>
        </w:tc>
        <w:tc>
          <w:tcPr>
            <w:tcW w:w="1890" w:type="dxa"/>
            <w:gridSpan w:val="4"/>
            <w:tcBorders>
              <w:top w:val="single" w:color="auto" w:sz="4" w:space="0"/>
              <w:left w:val="nil"/>
              <w:bottom w:val="single" w:color="auto" w:sz="4" w:space="0"/>
              <w:right w:val="single" w:color="auto" w:sz="4" w:space="0"/>
            </w:tcBorders>
            <w:noWrap w:val="0"/>
            <w:vAlign w:val="center"/>
          </w:tcPr>
          <w:p w14:paraId="180FF81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8621DEF">
            <w:pPr>
              <w:spacing w:line="240" w:lineRule="exact"/>
              <w:jc w:val="center"/>
              <w:rPr>
                <w:rFonts w:ascii="宋体"/>
                <w:color w:val="auto"/>
                <w:sz w:val="18"/>
                <w:szCs w:val="18"/>
                <w:highlight w:val="none"/>
              </w:rPr>
            </w:pPr>
          </w:p>
        </w:tc>
      </w:tr>
      <w:tr w14:paraId="389C5859">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737F2441">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04E7D2B5">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298AC900">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086D86F1">
            <w:pPr>
              <w:widowControl/>
              <w:spacing w:line="240" w:lineRule="exact"/>
              <w:jc w:val="left"/>
              <w:rPr>
                <w:rFonts w:ascii="Calibri" w:hAnsi="Calibri"/>
                <w:color w:val="auto"/>
                <w:sz w:val="18"/>
                <w:szCs w:val="18"/>
                <w:highlight w:val="none"/>
              </w:rPr>
            </w:pPr>
          </w:p>
        </w:tc>
        <w:tc>
          <w:tcPr>
            <w:tcW w:w="803" w:type="dxa"/>
            <w:gridSpan w:val="2"/>
            <w:tcBorders>
              <w:top w:val="single" w:color="auto" w:sz="4" w:space="0"/>
              <w:left w:val="nil"/>
              <w:bottom w:val="single" w:color="auto" w:sz="4" w:space="0"/>
              <w:right w:val="single" w:color="auto" w:sz="4" w:space="0"/>
            </w:tcBorders>
            <w:noWrap w:val="0"/>
            <w:vAlign w:val="center"/>
          </w:tcPr>
          <w:p w14:paraId="4AB0801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倒树</w:t>
            </w:r>
          </w:p>
        </w:tc>
        <w:tc>
          <w:tcPr>
            <w:tcW w:w="1890" w:type="dxa"/>
            <w:gridSpan w:val="4"/>
            <w:tcBorders>
              <w:top w:val="single" w:color="auto" w:sz="4" w:space="0"/>
              <w:left w:val="nil"/>
              <w:bottom w:val="single" w:color="auto" w:sz="4" w:space="0"/>
              <w:right w:val="single" w:color="auto" w:sz="4" w:space="0"/>
            </w:tcBorders>
            <w:noWrap w:val="0"/>
            <w:vAlign w:val="center"/>
          </w:tcPr>
          <w:p w14:paraId="07DFA03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5D5A66E1">
            <w:pPr>
              <w:spacing w:line="240" w:lineRule="exact"/>
              <w:jc w:val="center"/>
              <w:rPr>
                <w:rFonts w:ascii="宋体"/>
                <w:color w:val="auto"/>
                <w:sz w:val="18"/>
                <w:szCs w:val="18"/>
                <w:highlight w:val="none"/>
              </w:rPr>
            </w:pPr>
          </w:p>
        </w:tc>
      </w:tr>
      <w:tr w14:paraId="5308C442">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38AF1B35">
            <w:pPr>
              <w:widowControl/>
              <w:spacing w:line="240" w:lineRule="exact"/>
              <w:jc w:val="left"/>
              <w:rPr>
                <w:rFonts w:ascii="Calibri" w:hAnsi="Calibri"/>
                <w:color w:val="auto"/>
                <w:sz w:val="18"/>
                <w:szCs w:val="18"/>
                <w:highlight w:val="none"/>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399F87D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32</w:t>
            </w:r>
          </w:p>
        </w:tc>
        <w:tc>
          <w:tcPr>
            <w:tcW w:w="3544" w:type="dxa"/>
            <w:tcBorders>
              <w:top w:val="single" w:color="auto" w:sz="4" w:space="0"/>
              <w:left w:val="nil"/>
              <w:bottom w:val="single" w:color="auto" w:sz="4" w:space="0"/>
              <w:right w:val="single" w:color="auto" w:sz="4" w:space="0"/>
            </w:tcBorders>
            <w:noWrap w:val="0"/>
            <w:vAlign w:val="center"/>
          </w:tcPr>
          <w:p w14:paraId="6FBE2844">
            <w:pPr>
              <w:spacing w:line="240" w:lineRule="exact"/>
              <w:rPr>
                <w:rFonts w:ascii="Calibri" w:hAnsi="Calibri"/>
                <w:color w:val="auto"/>
                <w:sz w:val="18"/>
                <w:szCs w:val="18"/>
                <w:highlight w:val="none"/>
              </w:rPr>
            </w:pPr>
            <w:r>
              <w:rPr>
                <w:rFonts w:hint="eastAsia" w:ascii="宋体" w:hAnsi="宋体"/>
                <w:color w:val="auto"/>
                <w:sz w:val="18"/>
                <w:szCs w:val="18"/>
                <w:highlight w:val="none"/>
              </w:rPr>
              <w:t>未定期巡查危树或未按要求及时处理危树</w:t>
            </w:r>
          </w:p>
        </w:tc>
        <w:tc>
          <w:tcPr>
            <w:tcW w:w="850" w:type="dxa"/>
            <w:tcBorders>
              <w:top w:val="single" w:color="auto" w:sz="4" w:space="0"/>
              <w:left w:val="nil"/>
              <w:bottom w:val="single" w:color="auto" w:sz="4" w:space="0"/>
              <w:right w:val="single" w:color="auto" w:sz="4" w:space="0"/>
            </w:tcBorders>
            <w:noWrap w:val="0"/>
            <w:vAlign w:val="center"/>
          </w:tcPr>
          <w:p w14:paraId="6D3F88C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每株</w:t>
            </w:r>
          </w:p>
        </w:tc>
        <w:tc>
          <w:tcPr>
            <w:tcW w:w="2693" w:type="dxa"/>
            <w:gridSpan w:val="6"/>
            <w:tcBorders>
              <w:top w:val="single" w:color="auto" w:sz="4" w:space="0"/>
              <w:left w:val="nil"/>
              <w:bottom w:val="single" w:color="auto" w:sz="4" w:space="0"/>
              <w:right w:val="single" w:color="auto" w:sz="4" w:space="0"/>
            </w:tcBorders>
            <w:noWrap w:val="0"/>
            <w:vAlign w:val="center"/>
          </w:tcPr>
          <w:p w14:paraId="5AD8A5C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14922A8">
            <w:pPr>
              <w:spacing w:line="240" w:lineRule="exact"/>
              <w:jc w:val="center"/>
              <w:rPr>
                <w:rFonts w:ascii="宋体"/>
                <w:color w:val="auto"/>
                <w:sz w:val="18"/>
                <w:szCs w:val="18"/>
                <w:highlight w:val="none"/>
              </w:rPr>
            </w:pPr>
          </w:p>
        </w:tc>
      </w:tr>
      <w:tr w14:paraId="4402ED66">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547F6848">
            <w:pPr>
              <w:widowControl/>
              <w:spacing w:line="240" w:lineRule="exact"/>
              <w:jc w:val="left"/>
              <w:rPr>
                <w:rFonts w:ascii="Calibri" w:hAnsi="Calibri"/>
                <w:color w:val="auto"/>
                <w:sz w:val="18"/>
                <w:szCs w:val="18"/>
                <w:highlight w:val="none"/>
              </w:rPr>
            </w:pPr>
          </w:p>
        </w:tc>
        <w:tc>
          <w:tcPr>
            <w:tcW w:w="788" w:type="dxa"/>
            <w:tcBorders>
              <w:top w:val="single" w:color="auto" w:sz="4" w:space="0"/>
              <w:left w:val="single" w:color="auto" w:sz="4" w:space="0"/>
              <w:bottom w:val="single" w:color="auto" w:sz="4" w:space="0"/>
              <w:right w:val="single" w:color="auto" w:sz="4" w:space="0"/>
            </w:tcBorders>
            <w:noWrap w:val="0"/>
            <w:vAlign w:val="center"/>
          </w:tcPr>
          <w:p w14:paraId="0B5B077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33</w:t>
            </w:r>
          </w:p>
        </w:tc>
        <w:tc>
          <w:tcPr>
            <w:tcW w:w="3544" w:type="dxa"/>
            <w:tcBorders>
              <w:top w:val="single" w:color="auto" w:sz="4" w:space="0"/>
              <w:left w:val="nil"/>
              <w:bottom w:val="single" w:color="auto" w:sz="4" w:space="0"/>
              <w:right w:val="single" w:color="auto" w:sz="4" w:space="0"/>
            </w:tcBorders>
            <w:noWrap w:val="0"/>
            <w:vAlign w:val="center"/>
          </w:tcPr>
          <w:p w14:paraId="0C5759B2">
            <w:pPr>
              <w:spacing w:line="240" w:lineRule="exact"/>
              <w:rPr>
                <w:rFonts w:ascii="Calibri" w:hAnsi="Calibri"/>
                <w:color w:val="auto"/>
                <w:sz w:val="18"/>
                <w:szCs w:val="18"/>
                <w:highlight w:val="none"/>
              </w:rPr>
            </w:pPr>
            <w:r>
              <w:rPr>
                <w:rFonts w:hint="eastAsia" w:ascii="宋体" w:hAnsi="宋体"/>
                <w:color w:val="auto"/>
                <w:sz w:val="18"/>
                <w:szCs w:val="18"/>
                <w:highlight w:val="none"/>
              </w:rPr>
              <w:t>乔灌木缺株、死树和树桩未处理</w:t>
            </w:r>
          </w:p>
        </w:tc>
        <w:tc>
          <w:tcPr>
            <w:tcW w:w="850" w:type="dxa"/>
            <w:tcBorders>
              <w:top w:val="single" w:color="auto" w:sz="4" w:space="0"/>
              <w:left w:val="nil"/>
              <w:bottom w:val="single" w:color="auto" w:sz="4" w:space="0"/>
              <w:right w:val="single" w:color="auto" w:sz="4" w:space="0"/>
            </w:tcBorders>
            <w:noWrap w:val="0"/>
            <w:vAlign w:val="center"/>
          </w:tcPr>
          <w:p w14:paraId="6F49077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每株</w:t>
            </w:r>
          </w:p>
        </w:tc>
        <w:tc>
          <w:tcPr>
            <w:tcW w:w="2693" w:type="dxa"/>
            <w:gridSpan w:val="6"/>
            <w:tcBorders>
              <w:top w:val="single" w:color="auto" w:sz="4" w:space="0"/>
              <w:left w:val="nil"/>
              <w:bottom w:val="single" w:color="auto" w:sz="4" w:space="0"/>
              <w:right w:val="single" w:color="auto" w:sz="4" w:space="0"/>
            </w:tcBorders>
            <w:noWrap w:val="0"/>
            <w:vAlign w:val="center"/>
          </w:tcPr>
          <w:p w14:paraId="2E7D3F6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28C21AC">
            <w:pPr>
              <w:spacing w:line="240" w:lineRule="exact"/>
              <w:jc w:val="center"/>
              <w:rPr>
                <w:rFonts w:ascii="宋体"/>
                <w:color w:val="auto"/>
                <w:sz w:val="18"/>
                <w:szCs w:val="18"/>
                <w:highlight w:val="none"/>
              </w:rPr>
            </w:pPr>
          </w:p>
        </w:tc>
      </w:tr>
      <w:tr w14:paraId="0E4D9499">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512565FF">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71B7CB5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34</w:t>
            </w:r>
          </w:p>
        </w:tc>
        <w:tc>
          <w:tcPr>
            <w:tcW w:w="3544" w:type="dxa"/>
            <w:vMerge w:val="restart"/>
            <w:tcBorders>
              <w:top w:val="nil"/>
              <w:left w:val="nil"/>
              <w:bottom w:val="single" w:color="auto" w:sz="4" w:space="0"/>
              <w:right w:val="single" w:color="auto" w:sz="4" w:space="0"/>
            </w:tcBorders>
            <w:noWrap w:val="0"/>
            <w:vAlign w:val="center"/>
          </w:tcPr>
          <w:p w14:paraId="47274F6A">
            <w:pPr>
              <w:spacing w:line="240" w:lineRule="exact"/>
              <w:rPr>
                <w:rFonts w:ascii="Calibri" w:hAnsi="Calibri"/>
                <w:color w:val="auto"/>
                <w:sz w:val="18"/>
                <w:szCs w:val="18"/>
                <w:highlight w:val="none"/>
              </w:rPr>
            </w:pPr>
            <w:r>
              <w:rPr>
                <w:rFonts w:hint="eastAsia" w:ascii="宋体" w:hAnsi="宋体"/>
                <w:color w:val="auto"/>
                <w:sz w:val="18"/>
                <w:szCs w:val="18"/>
                <w:highlight w:val="none"/>
              </w:rPr>
              <w:t>植物缺损，造成黄土裸露现象</w:t>
            </w:r>
          </w:p>
        </w:tc>
        <w:tc>
          <w:tcPr>
            <w:tcW w:w="850" w:type="dxa"/>
            <w:vMerge w:val="restart"/>
            <w:tcBorders>
              <w:top w:val="nil"/>
              <w:left w:val="nil"/>
              <w:bottom w:val="single" w:color="auto" w:sz="4" w:space="0"/>
              <w:right w:val="single" w:color="auto" w:sz="4" w:space="0"/>
            </w:tcBorders>
            <w:noWrap w:val="0"/>
            <w:vAlign w:val="center"/>
          </w:tcPr>
          <w:p w14:paraId="1DCEEBF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851" w:type="dxa"/>
            <w:gridSpan w:val="3"/>
            <w:tcBorders>
              <w:top w:val="single" w:color="auto" w:sz="4" w:space="0"/>
              <w:left w:val="nil"/>
              <w:bottom w:val="single" w:color="auto" w:sz="4" w:space="0"/>
              <w:right w:val="single" w:color="auto" w:sz="4" w:space="0"/>
            </w:tcBorders>
            <w:noWrap w:val="0"/>
            <w:vAlign w:val="center"/>
          </w:tcPr>
          <w:p w14:paraId="7D1CB54C">
            <w:pPr>
              <w:spacing w:line="240" w:lineRule="exact"/>
              <w:jc w:val="center"/>
              <w:rPr>
                <w:rFonts w:ascii="Calibri" w:hAnsi="Calibri"/>
                <w:color w:val="auto"/>
                <w:sz w:val="18"/>
                <w:szCs w:val="18"/>
                <w:highlight w:val="none"/>
              </w:rPr>
            </w:pPr>
            <w:r>
              <w:rPr>
                <w:color w:val="auto"/>
                <w:sz w:val="18"/>
                <w:szCs w:val="18"/>
                <w:highlight w:val="none"/>
              </w:rPr>
              <w:t>1-3</w:t>
            </w:r>
            <w:r>
              <w:rPr>
                <w:rFonts w:hint="eastAsia" w:ascii="宋体" w:hAnsi="宋体"/>
                <w:color w:val="auto"/>
                <w:sz w:val="18"/>
                <w:szCs w:val="18"/>
                <w:highlight w:val="none"/>
              </w:rPr>
              <w:t>㎡</w:t>
            </w:r>
          </w:p>
        </w:tc>
        <w:tc>
          <w:tcPr>
            <w:tcW w:w="1842" w:type="dxa"/>
            <w:gridSpan w:val="3"/>
            <w:tcBorders>
              <w:top w:val="single" w:color="auto" w:sz="4" w:space="0"/>
              <w:left w:val="nil"/>
              <w:bottom w:val="single" w:color="auto" w:sz="4" w:space="0"/>
              <w:right w:val="single" w:color="auto" w:sz="4" w:space="0"/>
            </w:tcBorders>
            <w:noWrap w:val="0"/>
            <w:vAlign w:val="center"/>
          </w:tcPr>
          <w:p w14:paraId="645E91A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47A1B6C0">
            <w:pPr>
              <w:spacing w:line="240" w:lineRule="exact"/>
              <w:jc w:val="center"/>
              <w:rPr>
                <w:rFonts w:ascii="宋体"/>
                <w:color w:val="auto"/>
                <w:sz w:val="18"/>
                <w:szCs w:val="18"/>
                <w:highlight w:val="none"/>
              </w:rPr>
            </w:pPr>
          </w:p>
        </w:tc>
      </w:tr>
      <w:tr w14:paraId="6C55A827">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602E15A7">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7FCE022C">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59D03492">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7035031E">
            <w:pPr>
              <w:widowControl/>
              <w:spacing w:line="240" w:lineRule="exact"/>
              <w:jc w:val="left"/>
              <w:rPr>
                <w:rFonts w:ascii="Calibri" w:hAnsi="Calibri"/>
                <w:color w:val="auto"/>
                <w:sz w:val="18"/>
                <w:szCs w:val="18"/>
                <w:highlight w:val="none"/>
              </w:rPr>
            </w:pPr>
          </w:p>
        </w:tc>
        <w:tc>
          <w:tcPr>
            <w:tcW w:w="851" w:type="dxa"/>
            <w:gridSpan w:val="3"/>
            <w:tcBorders>
              <w:top w:val="single" w:color="auto" w:sz="4" w:space="0"/>
              <w:left w:val="nil"/>
              <w:bottom w:val="single" w:color="auto" w:sz="4" w:space="0"/>
              <w:right w:val="single" w:color="auto" w:sz="4" w:space="0"/>
            </w:tcBorders>
            <w:noWrap w:val="0"/>
            <w:vAlign w:val="center"/>
          </w:tcPr>
          <w:p w14:paraId="5F6C8CD6">
            <w:pPr>
              <w:spacing w:line="240" w:lineRule="exact"/>
              <w:jc w:val="center"/>
              <w:rPr>
                <w:rFonts w:ascii="Calibri" w:hAnsi="Calibri"/>
                <w:color w:val="auto"/>
                <w:sz w:val="18"/>
                <w:szCs w:val="18"/>
                <w:highlight w:val="none"/>
              </w:rPr>
            </w:pPr>
            <w:r>
              <w:rPr>
                <w:color w:val="auto"/>
                <w:sz w:val="18"/>
                <w:szCs w:val="18"/>
                <w:highlight w:val="none"/>
              </w:rPr>
              <w:t>3</w:t>
            </w:r>
            <w:r>
              <w:rPr>
                <w:rFonts w:hint="eastAsia" w:ascii="宋体" w:hAnsi="宋体"/>
                <w:color w:val="auto"/>
                <w:sz w:val="18"/>
                <w:szCs w:val="18"/>
                <w:highlight w:val="none"/>
              </w:rPr>
              <w:t>㎡以上</w:t>
            </w:r>
          </w:p>
        </w:tc>
        <w:tc>
          <w:tcPr>
            <w:tcW w:w="1842" w:type="dxa"/>
            <w:gridSpan w:val="3"/>
            <w:tcBorders>
              <w:top w:val="single" w:color="auto" w:sz="4" w:space="0"/>
              <w:left w:val="nil"/>
              <w:bottom w:val="single" w:color="auto" w:sz="4" w:space="0"/>
              <w:right w:val="single" w:color="auto" w:sz="4" w:space="0"/>
            </w:tcBorders>
            <w:noWrap w:val="0"/>
            <w:vAlign w:val="center"/>
          </w:tcPr>
          <w:p w14:paraId="7279B34E">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2BEADD0">
            <w:pPr>
              <w:spacing w:line="240" w:lineRule="exact"/>
              <w:jc w:val="center"/>
              <w:rPr>
                <w:rFonts w:ascii="宋体"/>
                <w:color w:val="auto"/>
                <w:sz w:val="18"/>
                <w:szCs w:val="18"/>
                <w:highlight w:val="none"/>
              </w:rPr>
            </w:pPr>
          </w:p>
        </w:tc>
      </w:tr>
      <w:tr w14:paraId="01C972AF">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0A560BC6">
            <w:pPr>
              <w:widowControl/>
              <w:spacing w:line="240" w:lineRule="exact"/>
              <w:jc w:val="left"/>
              <w:rPr>
                <w:rFonts w:ascii="Calibri" w:hAnsi="Calibri"/>
                <w:color w:val="auto"/>
                <w:sz w:val="18"/>
                <w:szCs w:val="18"/>
                <w:highlight w:val="none"/>
              </w:rPr>
            </w:pPr>
          </w:p>
        </w:tc>
        <w:tc>
          <w:tcPr>
            <w:tcW w:w="788" w:type="dxa"/>
            <w:vMerge w:val="restart"/>
            <w:tcBorders>
              <w:top w:val="nil"/>
              <w:left w:val="single" w:color="auto" w:sz="4" w:space="0"/>
              <w:bottom w:val="single" w:color="auto" w:sz="4" w:space="0"/>
              <w:right w:val="single" w:color="auto" w:sz="4" w:space="0"/>
            </w:tcBorders>
            <w:noWrap w:val="0"/>
            <w:vAlign w:val="center"/>
          </w:tcPr>
          <w:p w14:paraId="162B81A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35</w:t>
            </w:r>
          </w:p>
        </w:tc>
        <w:tc>
          <w:tcPr>
            <w:tcW w:w="3544" w:type="dxa"/>
            <w:vMerge w:val="restart"/>
            <w:tcBorders>
              <w:top w:val="nil"/>
              <w:left w:val="nil"/>
              <w:bottom w:val="single" w:color="auto" w:sz="4" w:space="0"/>
              <w:right w:val="single" w:color="auto" w:sz="4" w:space="0"/>
            </w:tcBorders>
            <w:noWrap w:val="0"/>
            <w:vAlign w:val="center"/>
          </w:tcPr>
          <w:p w14:paraId="72F8B1A2">
            <w:pPr>
              <w:spacing w:line="240" w:lineRule="exact"/>
              <w:rPr>
                <w:rFonts w:ascii="Calibri" w:hAnsi="Calibri"/>
                <w:color w:val="auto"/>
                <w:sz w:val="18"/>
                <w:szCs w:val="18"/>
                <w:highlight w:val="none"/>
              </w:rPr>
            </w:pPr>
            <w:r>
              <w:rPr>
                <w:rFonts w:hint="eastAsia" w:ascii="宋体" w:hAnsi="宋体"/>
                <w:color w:val="auto"/>
                <w:sz w:val="18"/>
                <w:szCs w:val="18"/>
                <w:highlight w:val="none"/>
              </w:rPr>
              <w:t>补植苗木规格、数量、种植规范等不符合要求的</w:t>
            </w:r>
          </w:p>
        </w:tc>
        <w:tc>
          <w:tcPr>
            <w:tcW w:w="850" w:type="dxa"/>
            <w:vMerge w:val="restart"/>
            <w:tcBorders>
              <w:top w:val="nil"/>
              <w:left w:val="nil"/>
              <w:bottom w:val="single" w:color="auto" w:sz="4" w:space="0"/>
              <w:right w:val="single" w:color="auto" w:sz="4" w:space="0"/>
            </w:tcBorders>
            <w:noWrap w:val="0"/>
            <w:vAlign w:val="center"/>
          </w:tcPr>
          <w:p w14:paraId="59555AEE">
            <w:pPr>
              <w:spacing w:line="240" w:lineRule="exact"/>
              <w:rPr>
                <w:rFonts w:ascii="Calibri" w:hAnsi="Calibri"/>
                <w:color w:val="auto"/>
                <w:sz w:val="18"/>
                <w:szCs w:val="18"/>
                <w:highlight w:val="none"/>
              </w:rPr>
            </w:pPr>
            <w:r>
              <w:rPr>
                <w:rFonts w:hint="eastAsia" w:ascii="宋体" w:hAnsi="宋体"/>
                <w:color w:val="auto"/>
                <w:sz w:val="18"/>
                <w:szCs w:val="18"/>
                <w:highlight w:val="none"/>
              </w:rPr>
              <w:t>每株或每</w:t>
            </w:r>
            <w:r>
              <w:rPr>
                <w:color w:val="auto"/>
                <w:sz w:val="18"/>
                <w:szCs w:val="18"/>
                <w:highlight w:val="none"/>
              </w:rPr>
              <w:t>10</w:t>
            </w:r>
            <w:r>
              <w:rPr>
                <w:rFonts w:hint="eastAsia" w:ascii="宋体" w:hAnsi="宋体"/>
                <w:color w:val="auto"/>
                <w:sz w:val="18"/>
                <w:szCs w:val="18"/>
                <w:highlight w:val="none"/>
              </w:rPr>
              <w:t>㎡</w:t>
            </w:r>
          </w:p>
        </w:tc>
        <w:tc>
          <w:tcPr>
            <w:tcW w:w="851" w:type="dxa"/>
            <w:gridSpan w:val="3"/>
            <w:tcBorders>
              <w:top w:val="single" w:color="auto" w:sz="4" w:space="0"/>
              <w:left w:val="nil"/>
              <w:bottom w:val="single" w:color="auto" w:sz="4" w:space="0"/>
              <w:right w:val="single" w:color="auto" w:sz="4" w:space="0"/>
            </w:tcBorders>
            <w:noWrap w:val="0"/>
            <w:vAlign w:val="center"/>
          </w:tcPr>
          <w:p w14:paraId="4CCEB45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1842" w:type="dxa"/>
            <w:gridSpan w:val="3"/>
            <w:tcBorders>
              <w:top w:val="single" w:color="auto" w:sz="4" w:space="0"/>
              <w:left w:val="nil"/>
              <w:bottom w:val="single" w:color="auto" w:sz="4" w:space="0"/>
              <w:right w:val="single" w:color="auto" w:sz="4" w:space="0"/>
            </w:tcBorders>
            <w:noWrap w:val="0"/>
            <w:vAlign w:val="center"/>
          </w:tcPr>
          <w:p w14:paraId="5AFC88A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3D56C633">
            <w:pPr>
              <w:spacing w:line="240" w:lineRule="exact"/>
              <w:jc w:val="center"/>
              <w:rPr>
                <w:rFonts w:ascii="宋体"/>
                <w:color w:val="auto"/>
                <w:sz w:val="18"/>
                <w:szCs w:val="18"/>
                <w:highlight w:val="none"/>
              </w:rPr>
            </w:pPr>
          </w:p>
        </w:tc>
      </w:tr>
      <w:tr w14:paraId="5970282E">
        <w:trPr>
          <w:cantSplit/>
        </w:trPr>
        <w:tc>
          <w:tcPr>
            <w:tcW w:w="420" w:type="dxa"/>
            <w:vMerge w:val="continue"/>
            <w:tcBorders>
              <w:left w:val="single" w:color="auto" w:sz="4" w:space="0"/>
              <w:right w:val="single" w:color="auto" w:sz="4" w:space="0"/>
            </w:tcBorders>
            <w:noWrap w:val="0"/>
            <w:vAlign w:val="center"/>
          </w:tcPr>
          <w:p w14:paraId="20020049">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7C86A34D">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36697301">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62D8BC59">
            <w:pPr>
              <w:widowControl/>
              <w:spacing w:line="240" w:lineRule="exact"/>
              <w:jc w:val="left"/>
              <w:rPr>
                <w:rFonts w:ascii="Calibri" w:hAnsi="Calibri"/>
                <w:color w:val="auto"/>
                <w:sz w:val="18"/>
                <w:szCs w:val="18"/>
                <w:highlight w:val="none"/>
              </w:rPr>
            </w:pPr>
          </w:p>
        </w:tc>
        <w:tc>
          <w:tcPr>
            <w:tcW w:w="851" w:type="dxa"/>
            <w:gridSpan w:val="3"/>
            <w:tcBorders>
              <w:top w:val="single" w:color="auto" w:sz="4" w:space="0"/>
              <w:left w:val="nil"/>
              <w:bottom w:val="single" w:color="auto" w:sz="4" w:space="0"/>
              <w:right w:val="single" w:color="auto" w:sz="4" w:space="0"/>
            </w:tcBorders>
            <w:noWrap w:val="0"/>
            <w:vAlign w:val="center"/>
          </w:tcPr>
          <w:p w14:paraId="0D947205">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二级</w:t>
            </w:r>
          </w:p>
        </w:tc>
        <w:tc>
          <w:tcPr>
            <w:tcW w:w="1842" w:type="dxa"/>
            <w:gridSpan w:val="3"/>
            <w:tcBorders>
              <w:top w:val="single" w:color="auto" w:sz="4" w:space="0"/>
              <w:left w:val="nil"/>
              <w:bottom w:val="single" w:color="auto" w:sz="4" w:space="0"/>
              <w:right w:val="single" w:color="auto" w:sz="4" w:space="0"/>
            </w:tcBorders>
            <w:noWrap w:val="0"/>
            <w:vAlign w:val="center"/>
          </w:tcPr>
          <w:p w14:paraId="09D23A4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0. 05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325E167">
            <w:pPr>
              <w:spacing w:line="240" w:lineRule="exact"/>
              <w:jc w:val="center"/>
              <w:rPr>
                <w:rFonts w:ascii="宋体"/>
                <w:color w:val="auto"/>
                <w:sz w:val="18"/>
                <w:szCs w:val="18"/>
                <w:highlight w:val="none"/>
              </w:rPr>
            </w:pPr>
          </w:p>
        </w:tc>
      </w:tr>
      <w:tr w14:paraId="630B2358">
        <w:tblPrEx>
          <w:tblCellMar>
            <w:top w:w="0" w:type="dxa"/>
            <w:left w:w="108" w:type="dxa"/>
            <w:bottom w:w="0" w:type="dxa"/>
            <w:right w:w="108" w:type="dxa"/>
          </w:tblCellMar>
        </w:tblPrEx>
        <w:trPr>
          <w:cantSplit/>
        </w:trPr>
        <w:tc>
          <w:tcPr>
            <w:tcW w:w="420" w:type="dxa"/>
            <w:vMerge w:val="continue"/>
            <w:tcBorders>
              <w:left w:val="single" w:color="auto" w:sz="4" w:space="0"/>
              <w:right w:val="single" w:color="auto" w:sz="4" w:space="0"/>
            </w:tcBorders>
            <w:noWrap w:val="0"/>
            <w:vAlign w:val="center"/>
          </w:tcPr>
          <w:p w14:paraId="3CE902B4">
            <w:pPr>
              <w:widowControl/>
              <w:spacing w:line="240" w:lineRule="exact"/>
              <w:jc w:val="left"/>
              <w:rPr>
                <w:rFonts w:ascii="Calibri" w:hAnsi="Calibri"/>
                <w:color w:val="auto"/>
                <w:sz w:val="18"/>
                <w:szCs w:val="18"/>
                <w:highlight w:val="none"/>
              </w:rPr>
            </w:pPr>
          </w:p>
        </w:tc>
        <w:tc>
          <w:tcPr>
            <w:tcW w:w="788" w:type="dxa"/>
            <w:vMerge w:val="continue"/>
            <w:tcBorders>
              <w:top w:val="nil"/>
              <w:left w:val="single" w:color="auto" w:sz="4" w:space="0"/>
              <w:bottom w:val="single" w:color="auto" w:sz="4" w:space="0"/>
              <w:right w:val="single" w:color="auto" w:sz="4" w:space="0"/>
            </w:tcBorders>
            <w:noWrap w:val="0"/>
            <w:vAlign w:val="center"/>
          </w:tcPr>
          <w:p w14:paraId="73F34363">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4F599BC1">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646F3BA2">
            <w:pPr>
              <w:widowControl/>
              <w:spacing w:line="240" w:lineRule="exact"/>
              <w:jc w:val="left"/>
              <w:rPr>
                <w:rFonts w:ascii="Calibri" w:hAnsi="Calibri"/>
                <w:color w:val="auto"/>
                <w:sz w:val="18"/>
                <w:szCs w:val="18"/>
                <w:highlight w:val="none"/>
              </w:rPr>
            </w:pPr>
          </w:p>
        </w:tc>
        <w:tc>
          <w:tcPr>
            <w:tcW w:w="851" w:type="dxa"/>
            <w:gridSpan w:val="3"/>
            <w:tcBorders>
              <w:top w:val="single" w:color="auto" w:sz="4" w:space="0"/>
              <w:left w:val="nil"/>
              <w:bottom w:val="single" w:color="auto" w:sz="4" w:space="0"/>
              <w:right w:val="single" w:color="auto" w:sz="4" w:space="0"/>
            </w:tcBorders>
            <w:noWrap w:val="0"/>
            <w:vAlign w:val="center"/>
          </w:tcPr>
          <w:p w14:paraId="000128C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三级</w:t>
            </w:r>
          </w:p>
        </w:tc>
        <w:tc>
          <w:tcPr>
            <w:tcW w:w="1842" w:type="dxa"/>
            <w:gridSpan w:val="3"/>
            <w:tcBorders>
              <w:top w:val="single" w:color="auto" w:sz="4" w:space="0"/>
              <w:left w:val="nil"/>
              <w:bottom w:val="single" w:color="auto" w:sz="4" w:space="0"/>
              <w:right w:val="single" w:color="auto" w:sz="4" w:space="0"/>
            </w:tcBorders>
            <w:noWrap w:val="0"/>
            <w:vAlign w:val="center"/>
          </w:tcPr>
          <w:p w14:paraId="1955DB9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0. 02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DD8F1E2">
            <w:pPr>
              <w:spacing w:line="240" w:lineRule="exact"/>
              <w:jc w:val="center"/>
              <w:rPr>
                <w:rFonts w:ascii="宋体"/>
                <w:color w:val="auto"/>
                <w:sz w:val="18"/>
                <w:szCs w:val="18"/>
                <w:highlight w:val="none"/>
              </w:rPr>
            </w:pPr>
          </w:p>
        </w:tc>
      </w:tr>
      <w:tr w14:paraId="6F9E03E4">
        <w:tblPrEx>
          <w:tblCellMar>
            <w:top w:w="0" w:type="dxa"/>
            <w:left w:w="108" w:type="dxa"/>
            <w:bottom w:w="0" w:type="dxa"/>
            <w:right w:w="108" w:type="dxa"/>
          </w:tblCellMar>
        </w:tblPrEx>
        <w:trPr>
          <w:cantSplit/>
        </w:trPr>
        <w:tc>
          <w:tcPr>
            <w:tcW w:w="420" w:type="dxa"/>
            <w:vMerge w:val="restart"/>
            <w:tcBorders>
              <w:top w:val="nil"/>
              <w:left w:val="single" w:color="auto" w:sz="4" w:space="0"/>
              <w:right w:val="single" w:color="auto" w:sz="4" w:space="0"/>
            </w:tcBorders>
            <w:noWrap w:val="0"/>
            <w:vAlign w:val="center"/>
          </w:tcPr>
          <w:p w14:paraId="70FF1FC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五</w:t>
            </w:r>
          </w:p>
          <w:p w14:paraId="195B0843">
            <w:pPr>
              <w:spacing w:line="240" w:lineRule="exact"/>
              <w:jc w:val="center"/>
              <w:rPr>
                <w:rFonts w:ascii="宋体"/>
                <w:color w:val="auto"/>
                <w:sz w:val="18"/>
                <w:szCs w:val="18"/>
                <w:highlight w:val="none"/>
              </w:rPr>
            </w:pPr>
          </w:p>
          <w:p w14:paraId="3C2DB73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设施维护（含绿地内绿道设施）</w:t>
            </w:r>
          </w:p>
        </w:tc>
        <w:tc>
          <w:tcPr>
            <w:tcW w:w="788" w:type="dxa"/>
            <w:vMerge w:val="restart"/>
            <w:tcBorders>
              <w:top w:val="nil"/>
              <w:left w:val="nil"/>
              <w:right w:val="single" w:color="auto" w:sz="4" w:space="0"/>
            </w:tcBorders>
            <w:noWrap w:val="0"/>
            <w:vAlign w:val="center"/>
          </w:tcPr>
          <w:p w14:paraId="4B158A1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36</w:t>
            </w:r>
          </w:p>
        </w:tc>
        <w:tc>
          <w:tcPr>
            <w:tcW w:w="3544" w:type="dxa"/>
            <w:vMerge w:val="restart"/>
            <w:tcBorders>
              <w:top w:val="nil"/>
              <w:left w:val="nil"/>
              <w:bottom w:val="single" w:color="auto" w:sz="4" w:space="0"/>
              <w:right w:val="single" w:color="auto" w:sz="4" w:space="0"/>
            </w:tcBorders>
            <w:noWrap w:val="0"/>
            <w:vAlign w:val="center"/>
          </w:tcPr>
          <w:p w14:paraId="3E21B306">
            <w:pPr>
              <w:spacing w:line="240" w:lineRule="exact"/>
              <w:rPr>
                <w:rFonts w:ascii="Calibri" w:hAnsi="Calibri"/>
                <w:color w:val="auto"/>
                <w:sz w:val="18"/>
                <w:szCs w:val="18"/>
                <w:highlight w:val="none"/>
              </w:rPr>
            </w:pPr>
            <w:r>
              <w:rPr>
                <w:rFonts w:hint="eastAsia" w:ascii="宋体" w:hAnsi="宋体"/>
                <w:color w:val="auto"/>
                <w:sz w:val="18"/>
                <w:szCs w:val="18"/>
                <w:highlight w:val="none"/>
              </w:rPr>
              <w:t>园林设施、园林小品以及各项绿化配套设施损坏后未及时汇报的</w:t>
            </w:r>
          </w:p>
        </w:tc>
        <w:tc>
          <w:tcPr>
            <w:tcW w:w="850" w:type="dxa"/>
            <w:vMerge w:val="restart"/>
            <w:tcBorders>
              <w:top w:val="nil"/>
              <w:left w:val="nil"/>
              <w:bottom w:val="single" w:color="auto" w:sz="4" w:space="0"/>
              <w:right w:val="single" w:color="auto" w:sz="4" w:space="0"/>
            </w:tcBorders>
            <w:noWrap w:val="0"/>
            <w:vAlign w:val="center"/>
          </w:tcPr>
          <w:p w14:paraId="287B99A6">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851" w:type="dxa"/>
            <w:gridSpan w:val="3"/>
            <w:tcBorders>
              <w:top w:val="single" w:color="auto" w:sz="4" w:space="0"/>
              <w:left w:val="nil"/>
              <w:bottom w:val="single" w:color="auto" w:sz="4" w:space="0"/>
              <w:right w:val="single" w:color="auto" w:sz="4" w:space="0"/>
            </w:tcBorders>
            <w:noWrap w:val="0"/>
            <w:vAlign w:val="center"/>
          </w:tcPr>
          <w:p w14:paraId="6E40F93D">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一级</w:t>
            </w:r>
          </w:p>
        </w:tc>
        <w:tc>
          <w:tcPr>
            <w:tcW w:w="1842" w:type="dxa"/>
            <w:gridSpan w:val="3"/>
            <w:tcBorders>
              <w:top w:val="single" w:color="auto" w:sz="4" w:space="0"/>
              <w:left w:val="nil"/>
              <w:bottom w:val="single" w:color="auto" w:sz="4" w:space="0"/>
              <w:right w:val="single" w:color="auto" w:sz="4" w:space="0"/>
            </w:tcBorders>
            <w:noWrap w:val="0"/>
            <w:vAlign w:val="center"/>
          </w:tcPr>
          <w:p w14:paraId="6F7A2CE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1</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7EA0D069">
            <w:pPr>
              <w:spacing w:line="240" w:lineRule="exact"/>
              <w:jc w:val="center"/>
              <w:rPr>
                <w:rFonts w:ascii="宋体"/>
                <w:color w:val="auto"/>
                <w:sz w:val="18"/>
                <w:szCs w:val="18"/>
                <w:highlight w:val="none"/>
              </w:rPr>
            </w:pPr>
          </w:p>
        </w:tc>
      </w:tr>
      <w:tr w14:paraId="5F436DCC">
        <w:tblPrEx>
          <w:tblCellMar>
            <w:top w:w="0" w:type="dxa"/>
            <w:left w:w="108" w:type="dxa"/>
            <w:bottom w:w="0" w:type="dxa"/>
            <w:right w:w="108" w:type="dxa"/>
          </w:tblCellMar>
        </w:tblPrEx>
        <w:trPr>
          <w:cantSplit/>
        </w:trPr>
        <w:tc>
          <w:tcPr>
            <w:tcW w:w="420" w:type="dxa"/>
            <w:vMerge w:val="continue"/>
            <w:tcBorders>
              <w:top w:val="nil"/>
              <w:left w:val="single" w:color="auto" w:sz="4" w:space="0"/>
              <w:right w:val="single" w:color="auto" w:sz="4" w:space="0"/>
            </w:tcBorders>
            <w:noWrap w:val="0"/>
            <w:vAlign w:val="center"/>
          </w:tcPr>
          <w:p w14:paraId="4885FD43">
            <w:pPr>
              <w:widowControl/>
              <w:spacing w:line="240" w:lineRule="exact"/>
              <w:jc w:val="left"/>
              <w:rPr>
                <w:rFonts w:ascii="Calibri" w:hAnsi="Calibri"/>
                <w:color w:val="auto"/>
                <w:sz w:val="18"/>
                <w:szCs w:val="18"/>
                <w:highlight w:val="none"/>
              </w:rPr>
            </w:pPr>
          </w:p>
        </w:tc>
        <w:tc>
          <w:tcPr>
            <w:tcW w:w="788" w:type="dxa"/>
            <w:vMerge w:val="continue"/>
            <w:tcBorders>
              <w:top w:val="nil"/>
              <w:left w:val="nil"/>
              <w:right w:val="single" w:color="auto" w:sz="4" w:space="0"/>
            </w:tcBorders>
            <w:noWrap w:val="0"/>
            <w:vAlign w:val="center"/>
          </w:tcPr>
          <w:p w14:paraId="757409D5">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16242B96">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0AFCE8EC">
            <w:pPr>
              <w:widowControl/>
              <w:spacing w:line="240" w:lineRule="exact"/>
              <w:jc w:val="center"/>
              <w:rPr>
                <w:rFonts w:ascii="Calibri" w:hAnsi="Calibri"/>
                <w:color w:val="auto"/>
                <w:sz w:val="18"/>
                <w:szCs w:val="18"/>
                <w:highlight w:val="none"/>
              </w:rPr>
            </w:pPr>
          </w:p>
        </w:tc>
        <w:tc>
          <w:tcPr>
            <w:tcW w:w="851" w:type="dxa"/>
            <w:gridSpan w:val="3"/>
            <w:tcBorders>
              <w:top w:val="single" w:color="auto" w:sz="4" w:space="0"/>
              <w:left w:val="nil"/>
              <w:bottom w:val="single" w:color="auto" w:sz="4" w:space="0"/>
              <w:right w:val="single" w:color="auto" w:sz="4" w:space="0"/>
            </w:tcBorders>
            <w:noWrap w:val="0"/>
            <w:vAlign w:val="center"/>
          </w:tcPr>
          <w:p w14:paraId="49A6D3CB">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二级</w:t>
            </w:r>
          </w:p>
        </w:tc>
        <w:tc>
          <w:tcPr>
            <w:tcW w:w="1842" w:type="dxa"/>
            <w:gridSpan w:val="3"/>
            <w:tcBorders>
              <w:top w:val="single" w:color="auto" w:sz="4" w:space="0"/>
              <w:left w:val="nil"/>
              <w:bottom w:val="single" w:color="auto" w:sz="4" w:space="0"/>
              <w:right w:val="single" w:color="auto" w:sz="4" w:space="0"/>
            </w:tcBorders>
            <w:noWrap w:val="0"/>
            <w:vAlign w:val="center"/>
          </w:tcPr>
          <w:p w14:paraId="5A8E6A2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6C48AA92">
            <w:pPr>
              <w:spacing w:line="240" w:lineRule="exact"/>
              <w:jc w:val="center"/>
              <w:rPr>
                <w:rFonts w:ascii="宋体"/>
                <w:color w:val="auto"/>
                <w:sz w:val="18"/>
                <w:szCs w:val="18"/>
                <w:highlight w:val="none"/>
              </w:rPr>
            </w:pPr>
          </w:p>
        </w:tc>
      </w:tr>
      <w:tr w14:paraId="1EC23247">
        <w:trPr>
          <w:cantSplit/>
        </w:trPr>
        <w:tc>
          <w:tcPr>
            <w:tcW w:w="420" w:type="dxa"/>
            <w:vMerge w:val="continue"/>
            <w:tcBorders>
              <w:top w:val="nil"/>
              <w:left w:val="single" w:color="auto" w:sz="4" w:space="0"/>
              <w:right w:val="single" w:color="auto" w:sz="4" w:space="0"/>
            </w:tcBorders>
            <w:noWrap w:val="0"/>
            <w:vAlign w:val="center"/>
          </w:tcPr>
          <w:p w14:paraId="1AAD8814">
            <w:pPr>
              <w:widowControl/>
              <w:spacing w:line="240" w:lineRule="exact"/>
              <w:jc w:val="left"/>
              <w:rPr>
                <w:rFonts w:ascii="Calibri" w:hAnsi="Calibri"/>
                <w:color w:val="auto"/>
                <w:sz w:val="18"/>
                <w:szCs w:val="18"/>
                <w:highlight w:val="none"/>
              </w:rPr>
            </w:pPr>
          </w:p>
        </w:tc>
        <w:tc>
          <w:tcPr>
            <w:tcW w:w="788" w:type="dxa"/>
            <w:vMerge w:val="continue"/>
            <w:tcBorders>
              <w:top w:val="nil"/>
              <w:left w:val="nil"/>
              <w:right w:val="single" w:color="auto" w:sz="4" w:space="0"/>
            </w:tcBorders>
            <w:noWrap w:val="0"/>
            <w:vAlign w:val="center"/>
          </w:tcPr>
          <w:p w14:paraId="49CBA180">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7C0B4A09">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50A9D902">
            <w:pPr>
              <w:widowControl/>
              <w:spacing w:line="240" w:lineRule="exact"/>
              <w:jc w:val="center"/>
              <w:rPr>
                <w:rFonts w:ascii="Calibri" w:hAnsi="Calibri"/>
                <w:color w:val="auto"/>
                <w:sz w:val="18"/>
                <w:szCs w:val="18"/>
                <w:highlight w:val="none"/>
              </w:rPr>
            </w:pPr>
          </w:p>
        </w:tc>
        <w:tc>
          <w:tcPr>
            <w:tcW w:w="851" w:type="dxa"/>
            <w:gridSpan w:val="3"/>
            <w:tcBorders>
              <w:top w:val="single" w:color="auto" w:sz="4" w:space="0"/>
              <w:left w:val="nil"/>
              <w:bottom w:val="single" w:color="auto" w:sz="4" w:space="0"/>
              <w:right w:val="single" w:color="auto" w:sz="4" w:space="0"/>
            </w:tcBorders>
            <w:noWrap w:val="0"/>
            <w:vAlign w:val="center"/>
          </w:tcPr>
          <w:p w14:paraId="13D1EC9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三级</w:t>
            </w:r>
          </w:p>
        </w:tc>
        <w:tc>
          <w:tcPr>
            <w:tcW w:w="1842" w:type="dxa"/>
            <w:gridSpan w:val="3"/>
            <w:tcBorders>
              <w:top w:val="single" w:color="auto" w:sz="4" w:space="0"/>
              <w:left w:val="nil"/>
              <w:bottom w:val="single" w:color="auto" w:sz="4" w:space="0"/>
              <w:right w:val="single" w:color="auto" w:sz="4" w:space="0"/>
            </w:tcBorders>
            <w:noWrap w:val="0"/>
            <w:vAlign w:val="center"/>
          </w:tcPr>
          <w:p w14:paraId="16346B8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4A566DFF">
            <w:pPr>
              <w:spacing w:line="240" w:lineRule="exact"/>
              <w:jc w:val="center"/>
              <w:rPr>
                <w:rFonts w:ascii="宋体"/>
                <w:color w:val="auto"/>
                <w:sz w:val="18"/>
                <w:szCs w:val="18"/>
                <w:highlight w:val="none"/>
              </w:rPr>
            </w:pPr>
          </w:p>
        </w:tc>
      </w:tr>
      <w:tr w14:paraId="2C97A118">
        <w:tblPrEx>
          <w:tblCellMar>
            <w:top w:w="0" w:type="dxa"/>
            <w:left w:w="108" w:type="dxa"/>
            <w:bottom w:w="0" w:type="dxa"/>
            <w:right w:w="108" w:type="dxa"/>
          </w:tblCellMar>
        </w:tblPrEx>
        <w:trPr>
          <w:cantSplit/>
        </w:trPr>
        <w:tc>
          <w:tcPr>
            <w:tcW w:w="420" w:type="dxa"/>
            <w:vMerge w:val="continue"/>
            <w:tcBorders>
              <w:top w:val="nil"/>
              <w:left w:val="single" w:color="auto" w:sz="4" w:space="0"/>
              <w:right w:val="single" w:color="auto" w:sz="4" w:space="0"/>
            </w:tcBorders>
            <w:noWrap w:val="0"/>
            <w:vAlign w:val="center"/>
          </w:tcPr>
          <w:p w14:paraId="5DCBC978">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32DDB08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37</w:t>
            </w:r>
          </w:p>
        </w:tc>
        <w:tc>
          <w:tcPr>
            <w:tcW w:w="3544" w:type="dxa"/>
            <w:tcBorders>
              <w:top w:val="single" w:color="auto" w:sz="4" w:space="0"/>
              <w:left w:val="nil"/>
              <w:bottom w:val="single" w:color="auto" w:sz="4" w:space="0"/>
              <w:right w:val="single" w:color="auto" w:sz="4" w:space="0"/>
            </w:tcBorders>
            <w:noWrap w:val="0"/>
            <w:vAlign w:val="center"/>
          </w:tcPr>
          <w:p w14:paraId="0A843F40">
            <w:pPr>
              <w:spacing w:line="240" w:lineRule="exact"/>
              <w:rPr>
                <w:rFonts w:ascii="Calibri" w:hAnsi="Calibri"/>
                <w:color w:val="auto"/>
                <w:sz w:val="18"/>
                <w:szCs w:val="18"/>
                <w:highlight w:val="none"/>
              </w:rPr>
            </w:pPr>
            <w:r>
              <w:rPr>
                <w:rFonts w:hint="eastAsia" w:ascii="宋体" w:hAnsi="宋体"/>
                <w:color w:val="auto"/>
                <w:sz w:val="18"/>
                <w:szCs w:val="18"/>
                <w:highlight w:val="none"/>
              </w:rPr>
              <w:t>水电等设施管理不善造成浪费、损坏未及时修复或造成不良影响的</w:t>
            </w:r>
          </w:p>
        </w:tc>
        <w:tc>
          <w:tcPr>
            <w:tcW w:w="850" w:type="dxa"/>
            <w:tcBorders>
              <w:top w:val="single" w:color="auto" w:sz="4" w:space="0"/>
              <w:left w:val="nil"/>
              <w:bottom w:val="single" w:color="auto" w:sz="4" w:space="0"/>
              <w:right w:val="single" w:color="auto" w:sz="4" w:space="0"/>
            </w:tcBorders>
            <w:noWrap w:val="0"/>
            <w:vAlign w:val="center"/>
          </w:tcPr>
          <w:p w14:paraId="7DCC3A1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2693" w:type="dxa"/>
            <w:gridSpan w:val="6"/>
            <w:tcBorders>
              <w:top w:val="single" w:color="auto" w:sz="4" w:space="0"/>
              <w:left w:val="nil"/>
              <w:bottom w:val="single" w:color="auto" w:sz="4" w:space="0"/>
              <w:right w:val="single" w:color="auto" w:sz="4" w:space="0"/>
            </w:tcBorders>
            <w:noWrap w:val="0"/>
            <w:vAlign w:val="center"/>
          </w:tcPr>
          <w:p w14:paraId="241D0699">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4CAEBF4">
            <w:pPr>
              <w:spacing w:line="240" w:lineRule="exact"/>
              <w:jc w:val="center"/>
              <w:rPr>
                <w:rFonts w:ascii="宋体"/>
                <w:color w:val="auto"/>
                <w:sz w:val="18"/>
                <w:szCs w:val="18"/>
                <w:highlight w:val="none"/>
              </w:rPr>
            </w:pPr>
          </w:p>
        </w:tc>
      </w:tr>
      <w:tr w14:paraId="6756D94A">
        <w:tblPrEx>
          <w:tblCellMar>
            <w:top w:w="0" w:type="dxa"/>
            <w:left w:w="108" w:type="dxa"/>
            <w:bottom w:w="0" w:type="dxa"/>
            <w:right w:w="108" w:type="dxa"/>
          </w:tblCellMar>
        </w:tblPrEx>
        <w:trPr>
          <w:cantSplit/>
          <w:trHeight w:val="525" w:hRule="atLeast"/>
        </w:trPr>
        <w:tc>
          <w:tcPr>
            <w:tcW w:w="420" w:type="dxa"/>
            <w:vMerge w:val="restart"/>
            <w:tcBorders>
              <w:top w:val="nil"/>
              <w:left w:val="single" w:color="auto" w:sz="4" w:space="0"/>
              <w:bottom w:val="single" w:color="auto" w:sz="4" w:space="0"/>
              <w:right w:val="single" w:color="auto" w:sz="4" w:space="0"/>
            </w:tcBorders>
            <w:noWrap w:val="0"/>
            <w:vAlign w:val="center"/>
          </w:tcPr>
          <w:p w14:paraId="20F11A03">
            <w:pPr>
              <w:spacing w:line="240" w:lineRule="exact"/>
              <w:jc w:val="center"/>
              <w:rPr>
                <w:rFonts w:ascii="宋体"/>
                <w:color w:val="auto"/>
                <w:sz w:val="18"/>
                <w:szCs w:val="18"/>
                <w:highlight w:val="none"/>
              </w:rPr>
            </w:pPr>
            <w:r>
              <w:rPr>
                <w:rFonts w:hint="eastAsia" w:ascii="宋体" w:hAnsi="宋体"/>
                <w:color w:val="auto"/>
                <w:sz w:val="18"/>
                <w:szCs w:val="18"/>
                <w:highlight w:val="none"/>
              </w:rPr>
              <w:t>六</w:t>
            </w:r>
          </w:p>
          <w:p w14:paraId="325FBC98">
            <w:pPr>
              <w:spacing w:line="240" w:lineRule="exact"/>
              <w:rPr>
                <w:rFonts w:ascii="Calibri" w:hAnsi="Calibri"/>
                <w:color w:val="auto"/>
                <w:sz w:val="18"/>
                <w:szCs w:val="18"/>
                <w:highlight w:val="none"/>
              </w:rPr>
            </w:pPr>
            <w:r>
              <w:rPr>
                <w:rFonts w:hint="eastAsia" w:ascii="宋体" w:hAnsi="宋体"/>
                <w:color w:val="auto"/>
                <w:sz w:val="18"/>
                <w:szCs w:val="18"/>
                <w:highlight w:val="none"/>
              </w:rPr>
              <w:t>专项工作考核</w:t>
            </w:r>
          </w:p>
        </w:tc>
        <w:tc>
          <w:tcPr>
            <w:tcW w:w="788" w:type="dxa"/>
            <w:vMerge w:val="restart"/>
            <w:tcBorders>
              <w:top w:val="nil"/>
              <w:left w:val="nil"/>
              <w:bottom w:val="single" w:color="auto" w:sz="4" w:space="0"/>
              <w:right w:val="single" w:color="auto" w:sz="4" w:space="0"/>
            </w:tcBorders>
            <w:noWrap w:val="0"/>
            <w:vAlign w:val="center"/>
          </w:tcPr>
          <w:p w14:paraId="5DECFC77">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38</w:t>
            </w:r>
          </w:p>
        </w:tc>
        <w:tc>
          <w:tcPr>
            <w:tcW w:w="3544" w:type="dxa"/>
            <w:vMerge w:val="restart"/>
            <w:tcBorders>
              <w:top w:val="nil"/>
              <w:left w:val="nil"/>
              <w:bottom w:val="single" w:color="auto" w:sz="4" w:space="0"/>
              <w:right w:val="single" w:color="auto" w:sz="4" w:space="0"/>
            </w:tcBorders>
            <w:noWrap w:val="0"/>
            <w:vAlign w:val="center"/>
          </w:tcPr>
          <w:p w14:paraId="60578EEC">
            <w:pPr>
              <w:spacing w:line="240" w:lineRule="exact"/>
              <w:rPr>
                <w:rFonts w:ascii="Calibri" w:hAnsi="Calibri"/>
                <w:color w:val="auto"/>
                <w:sz w:val="18"/>
                <w:szCs w:val="18"/>
                <w:highlight w:val="none"/>
              </w:rPr>
            </w:pPr>
            <w:r>
              <w:rPr>
                <w:rFonts w:hint="eastAsia" w:ascii="宋体" w:hAnsi="宋体"/>
                <w:color w:val="auto"/>
                <w:sz w:val="18"/>
                <w:szCs w:val="18"/>
                <w:highlight w:val="none"/>
              </w:rPr>
              <w:t>未按公园下达的各种专项、临时性的养护任务的</w:t>
            </w:r>
          </w:p>
        </w:tc>
        <w:tc>
          <w:tcPr>
            <w:tcW w:w="850" w:type="dxa"/>
            <w:vMerge w:val="restart"/>
            <w:tcBorders>
              <w:top w:val="nil"/>
              <w:left w:val="nil"/>
              <w:bottom w:val="single" w:color="auto" w:sz="4" w:space="0"/>
              <w:right w:val="single" w:color="auto" w:sz="4" w:space="0"/>
            </w:tcBorders>
            <w:noWrap w:val="0"/>
            <w:vAlign w:val="center"/>
          </w:tcPr>
          <w:p w14:paraId="214C6B0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每处</w:t>
            </w:r>
          </w:p>
        </w:tc>
        <w:tc>
          <w:tcPr>
            <w:tcW w:w="1013" w:type="dxa"/>
            <w:gridSpan w:val="4"/>
            <w:tcBorders>
              <w:top w:val="single" w:color="auto" w:sz="4" w:space="0"/>
              <w:left w:val="nil"/>
              <w:bottom w:val="single" w:color="auto" w:sz="4" w:space="0"/>
              <w:right w:val="single" w:color="auto" w:sz="4" w:space="0"/>
            </w:tcBorders>
            <w:noWrap w:val="0"/>
            <w:vAlign w:val="center"/>
          </w:tcPr>
          <w:p w14:paraId="41B643AF">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情节较轻，影响较少</w:t>
            </w:r>
          </w:p>
        </w:tc>
        <w:tc>
          <w:tcPr>
            <w:tcW w:w="1680" w:type="dxa"/>
            <w:gridSpan w:val="2"/>
            <w:tcBorders>
              <w:top w:val="single" w:color="auto" w:sz="4" w:space="0"/>
              <w:left w:val="nil"/>
              <w:bottom w:val="single" w:color="auto" w:sz="4" w:space="0"/>
              <w:right w:val="single" w:color="auto" w:sz="4" w:space="0"/>
            </w:tcBorders>
            <w:noWrap w:val="0"/>
            <w:vAlign w:val="center"/>
          </w:tcPr>
          <w:p w14:paraId="1B685F9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0.5-2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C12F95F">
            <w:pPr>
              <w:spacing w:line="240" w:lineRule="exact"/>
              <w:jc w:val="center"/>
              <w:rPr>
                <w:rFonts w:ascii="宋体"/>
                <w:color w:val="auto"/>
                <w:sz w:val="18"/>
                <w:szCs w:val="18"/>
                <w:highlight w:val="none"/>
              </w:rPr>
            </w:pPr>
          </w:p>
        </w:tc>
      </w:tr>
      <w:tr w14:paraId="6B32E312">
        <w:trPr>
          <w:cantSplit/>
          <w:trHeight w:val="555"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60C52FD8">
            <w:pPr>
              <w:widowControl/>
              <w:spacing w:line="240" w:lineRule="exact"/>
              <w:jc w:val="left"/>
              <w:rPr>
                <w:rFonts w:ascii="Calibri" w:hAnsi="Calibri"/>
                <w:color w:val="auto"/>
                <w:sz w:val="18"/>
                <w:szCs w:val="18"/>
                <w:highlight w:val="none"/>
              </w:rPr>
            </w:pPr>
          </w:p>
        </w:tc>
        <w:tc>
          <w:tcPr>
            <w:tcW w:w="788" w:type="dxa"/>
            <w:vMerge w:val="continue"/>
            <w:tcBorders>
              <w:top w:val="nil"/>
              <w:left w:val="nil"/>
              <w:bottom w:val="single" w:color="auto" w:sz="4" w:space="0"/>
              <w:right w:val="single" w:color="auto" w:sz="4" w:space="0"/>
            </w:tcBorders>
            <w:noWrap w:val="0"/>
            <w:vAlign w:val="center"/>
          </w:tcPr>
          <w:p w14:paraId="2CA3993D">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103CC32F">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09C76450">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center"/>
          </w:tcPr>
          <w:p w14:paraId="52EA1B73">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情节较重，影响较大</w:t>
            </w:r>
          </w:p>
        </w:tc>
        <w:tc>
          <w:tcPr>
            <w:tcW w:w="1680" w:type="dxa"/>
            <w:gridSpan w:val="2"/>
            <w:tcBorders>
              <w:top w:val="single" w:color="auto" w:sz="4" w:space="0"/>
              <w:left w:val="nil"/>
              <w:bottom w:val="single" w:color="auto" w:sz="4" w:space="0"/>
              <w:right w:val="single" w:color="auto" w:sz="4" w:space="0"/>
            </w:tcBorders>
            <w:noWrap w:val="0"/>
            <w:vAlign w:val="center"/>
          </w:tcPr>
          <w:p w14:paraId="59F6F14C">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rFonts w:hint="eastAsia"/>
                <w:color w:val="auto"/>
                <w:sz w:val="18"/>
                <w:szCs w:val="18"/>
                <w:highlight w:val="none"/>
              </w:rPr>
              <w:t>2-6</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257F39E2">
            <w:pPr>
              <w:spacing w:line="240" w:lineRule="exact"/>
              <w:jc w:val="center"/>
              <w:rPr>
                <w:rFonts w:ascii="宋体"/>
                <w:color w:val="auto"/>
                <w:sz w:val="18"/>
                <w:szCs w:val="18"/>
                <w:highlight w:val="none"/>
              </w:rPr>
            </w:pPr>
          </w:p>
        </w:tc>
      </w:tr>
      <w:tr w14:paraId="311CAA5B">
        <w:tblPrEx>
          <w:tblCellMar>
            <w:top w:w="0" w:type="dxa"/>
            <w:left w:w="108" w:type="dxa"/>
            <w:bottom w:w="0" w:type="dxa"/>
            <w:right w:w="108" w:type="dxa"/>
          </w:tblCellMar>
        </w:tblPrEx>
        <w:trPr>
          <w:cantSplit/>
          <w:trHeight w:val="555"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533D1B00">
            <w:pPr>
              <w:widowControl/>
              <w:spacing w:line="240" w:lineRule="exact"/>
              <w:jc w:val="left"/>
              <w:rPr>
                <w:rFonts w:ascii="Calibri" w:hAnsi="Calibri"/>
                <w:color w:val="auto"/>
                <w:sz w:val="18"/>
                <w:szCs w:val="18"/>
                <w:highlight w:val="none"/>
              </w:rPr>
            </w:pPr>
          </w:p>
        </w:tc>
        <w:tc>
          <w:tcPr>
            <w:tcW w:w="788" w:type="dxa"/>
            <w:vMerge w:val="continue"/>
            <w:tcBorders>
              <w:top w:val="nil"/>
              <w:left w:val="nil"/>
              <w:bottom w:val="single" w:color="auto" w:sz="4" w:space="0"/>
              <w:right w:val="single" w:color="auto" w:sz="4" w:space="0"/>
            </w:tcBorders>
            <w:noWrap w:val="0"/>
            <w:vAlign w:val="center"/>
          </w:tcPr>
          <w:p w14:paraId="39682515">
            <w:pPr>
              <w:widowControl/>
              <w:spacing w:line="240" w:lineRule="exact"/>
              <w:jc w:val="left"/>
              <w:rPr>
                <w:rFonts w:ascii="Calibri" w:hAnsi="Calibri"/>
                <w:color w:val="auto"/>
                <w:sz w:val="18"/>
                <w:szCs w:val="18"/>
                <w:highlight w:val="none"/>
              </w:rPr>
            </w:pPr>
          </w:p>
        </w:tc>
        <w:tc>
          <w:tcPr>
            <w:tcW w:w="3544" w:type="dxa"/>
            <w:vMerge w:val="continue"/>
            <w:tcBorders>
              <w:top w:val="nil"/>
              <w:left w:val="nil"/>
              <w:bottom w:val="single" w:color="auto" w:sz="4" w:space="0"/>
              <w:right w:val="single" w:color="auto" w:sz="4" w:space="0"/>
            </w:tcBorders>
            <w:noWrap w:val="0"/>
            <w:vAlign w:val="center"/>
          </w:tcPr>
          <w:p w14:paraId="10A0DB14">
            <w:pPr>
              <w:widowControl/>
              <w:spacing w:line="240" w:lineRule="exact"/>
              <w:jc w:val="left"/>
              <w:rPr>
                <w:rFonts w:ascii="Calibri" w:hAnsi="Calibri"/>
                <w:color w:val="auto"/>
                <w:sz w:val="18"/>
                <w:szCs w:val="18"/>
                <w:highlight w:val="none"/>
              </w:rPr>
            </w:pPr>
          </w:p>
        </w:tc>
        <w:tc>
          <w:tcPr>
            <w:tcW w:w="850" w:type="dxa"/>
            <w:vMerge w:val="continue"/>
            <w:tcBorders>
              <w:top w:val="nil"/>
              <w:left w:val="nil"/>
              <w:bottom w:val="single" w:color="auto" w:sz="4" w:space="0"/>
              <w:right w:val="single" w:color="auto" w:sz="4" w:space="0"/>
            </w:tcBorders>
            <w:noWrap w:val="0"/>
            <w:vAlign w:val="center"/>
          </w:tcPr>
          <w:p w14:paraId="0ECF3D45">
            <w:pPr>
              <w:widowControl/>
              <w:spacing w:line="240" w:lineRule="exact"/>
              <w:jc w:val="left"/>
              <w:rPr>
                <w:rFonts w:ascii="Calibri" w:hAnsi="Calibri"/>
                <w:color w:val="auto"/>
                <w:sz w:val="18"/>
                <w:szCs w:val="18"/>
                <w:highlight w:val="none"/>
              </w:rPr>
            </w:pPr>
          </w:p>
        </w:tc>
        <w:tc>
          <w:tcPr>
            <w:tcW w:w="1013" w:type="dxa"/>
            <w:gridSpan w:val="4"/>
            <w:tcBorders>
              <w:top w:val="single" w:color="auto" w:sz="4" w:space="0"/>
              <w:left w:val="nil"/>
              <w:bottom w:val="single" w:color="auto" w:sz="4" w:space="0"/>
              <w:right w:val="single" w:color="auto" w:sz="4" w:space="0"/>
            </w:tcBorders>
            <w:noWrap w:val="0"/>
            <w:vAlign w:val="center"/>
          </w:tcPr>
          <w:p w14:paraId="195E084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特别恶劣</w:t>
            </w:r>
          </w:p>
        </w:tc>
        <w:tc>
          <w:tcPr>
            <w:tcW w:w="1680" w:type="dxa"/>
            <w:gridSpan w:val="2"/>
            <w:tcBorders>
              <w:top w:val="single" w:color="auto" w:sz="4" w:space="0"/>
              <w:left w:val="nil"/>
              <w:bottom w:val="single" w:color="auto" w:sz="4" w:space="0"/>
              <w:right w:val="single" w:color="auto" w:sz="4" w:space="0"/>
            </w:tcBorders>
            <w:noWrap w:val="0"/>
            <w:vAlign w:val="center"/>
          </w:tcPr>
          <w:p w14:paraId="4E677441">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rFonts w:hint="eastAsia"/>
                <w:color w:val="auto"/>
                <w:sz w:val="18"/>
                <w:szCs w:val="18"/>
                <w:highlight w:val="none"/>
              </w:rPr>
              <w:t>10</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1333BB10">
            <w:pPr>
              <w:spacing w:line="240" w:lineRule="exact"/>
              <w:jc w:val="center"/>
              <w:rPr>
                <w:rFonts w:ascii="宋体"/>
                <w:color w:val="auto"/>
                <w:sz w:val="18"/>
                <w:szCs w:val="18"/>
                <w:highlight w:val="none"/>
              </w:rPr>
            </w:pPr>
          </w:p>
        </w:tc>
      </w:tr>
      <w:tr w14:paraId="41F31F3F">
        <w:tblPrEx>
          <w:tblCellMar>
            <w:top w:w="0" w:type="dxa"/>
            <w:left w:w="108" w:type="dxa"/>
            <w:bottom w:w="0" w:type="dxa"/>
            <w:right w:w="108" w:type="dxa"/>
          </w:tblCellMar>
        </w:tblPrEx>
        <w:trPr>
          <w:cantSplit/>
          <w:trHeight w:val="457" w:hRule="atLeast"/>
        </w:trPr>
        <w:tc>
          <w:tcPr>
            <w:tcW w:w="420" w:type="dxa"/>
            <w:vMerge w:val="restart"/>
            <w:tcBorders>
              <w:top w:val="nil"/>
              <w:left w:val="single" w:color="auto" w:sz="4" w:space="0"/>
              <w:bottom w:val="single" w:color="auto" w:sz="4" w:space="0"/>
              <w:right w:val="single" w:color="auto" w:sz="4" w:space="0"/>
            </w:tcBorders>
            <w:noWrap w:val="0"/>
            <w:vAlign w:val="top"/>
          </w:tcPr>
          <w:p w14:paraId="4765E8E1">
            <w:pPr>
              <w:spacing w:line="240" w:lineRule="exact"/>
              <w:jc w:val="center"/>
              <w:rPr>
                <w:rFonts w:ascii="宋体"/>
                <w:color w:val="auto"/>
                <w:sz w:val="18"/>
                <w:szCs w:val="18"/>
                <w:highlight w:val="none"/>
              </w:rPr>
            </w:pPr>
            <w:r>
              <w:rPr>
                <w:rFonts w:hint="eastAsia" w:ascii="宋体" w:hAnsi="宋体"/>
                <w:color w:val="auto"/>
                <w:sz w:val="18"/>
                <w:szCs w:val="18"/>
                <w:highlight w:val="none"/>
              </w:rPr>
              <w:t>七</w:t>
            </w:r>
          </w:p>
          <w:p w14:paraId="2300C034">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内业管理</w:t>
            </w:r>
          </w:p>
        </w:tc>
        <w:tc>
          <w:tcPr>
            <w:tcW w:w="788" w:type="dxa"/>
            <w:tcBorders>
              <w:top w:val="single" w:color="auto" w:sz="4" w:space="0"/>
              <w:left w:val="nil"/>
              <w:bottom w:val="single" w:color="auto" w:sz="4" w:space="0"/>
              <w:right w:val="single" w:color="auto" w:sz="4" w:space="0"/>
            </w:tcBorders>
            <w:noWrap w:val="0"/>
            <w:vAlign w:val="center"/>
          </w:tcPr>
          <w:p w14:paraId="3A4CED1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39</w:t>
            </w:r>
          </w:p>
        </w:tc>
        <w:tc>
          <w:tcPr>
            <w:tcW w:w="3544" w:type="dxa"/>
            <w:tcBorders>
              <w:top w:val="single" w:color="auto" w:sz="4" w:space="0"/>
              <w:left w:val="nil"/>
              <w:bottom w:val="single" w:color="auto" w:sz="4" w:space="0"/>
              <w:right w:val="single" w:color="auto" w:sz="4" w:space="0"/>
            </w:tcBorders>
            <w:noWrap w:val="0"/>
            <w:vAlign w:val="center"/>
          </w:tcPr>
          <w:p w14:paraId="76AD5DCA">
            <w:pPr>
              <w:spacing w:line="240" w:lineRule="exact"/>
              <w:rPr>
                <w:rFonts w:ascii="Calibri" w:hAnsi="Calibri"/>
                <w:color w:val="auto"/>
                <w:sz w:val="18"/>
                <w:szCs w:val="18"/>
                <w:highlight w:val="none"/>
              </w:rPr>
            </w:pPr>
            <w:r>
              <w:rPr>
                <w:rFonts w:hint="eastAsia" w:ascii="宋体" w:hAnsi="宋体"/>
                <w:color w:val="auto"/>
                <w:sz w:val="18"/>
                <w:szCs w:val="18"/>
                <w:highlight w:val="none"/>
              </w:rPr>
              <w:t>公园相关部门要求的相关资料需按时上报</w:t>
            </w:r>
          </w:p>
        </w:tc>
        <w:tc>
          <w:tcPr>
            <w:tcW w:w="850" w:type="dxa"/>
            <w:tcBorders>
              <w:top w:val="single" w:color="auto" w:sz="4" w:space="0"/>
              <w:left w:val="nil"/>
              <w:bottom w:val="single" w:color="auto" w:sz="4" w:space="0"/>
              <w:right w:val="single" w:color="auto" w:sz="4" w:space="0"/>
            </w:tcBorders>
            <w:noWrap w:val="0"/>
            <w:vAlign w:val="center"/>
          </w:tcPr>
          <w:p w14:paraId="2C2E1C9A">
            <w:pPr>
              <w:spacing w:line="240" w:lineRule="exact"/>
              <w:rPr>
                <w:rFonts w:ascii="Calibri" w:hAnsi="Calibri"/>
                <w:color w:val="auto"/>
                <w:sz w:val="18"/>
                <w:szCs w:val="18"/>
                <w:highlight w:val="none"/>
              </w:rPr>
            </w:pPr>
            <w:r>
              <w:rPr>
                <w:rFonts w:hint="eastAsia" w:ascii="宋体" w:hAnsi="宋体"/>
                <w:color w:val="auto"/>
                <w:sz w:val="18"/>
                <w:szCs w:val="18"/>
                <w:highlight w:val="none"/>
              </w:rPr>
              <w:t>每迟一天</w:t>
            </w:r>
          </w:p>
        </w:tc>
        <w:tc>
          <w:tcPr>
            <w:tcW w:w="2693" w:type="dxa"/>
            <w:gridSpan w:val="6"/>
            <w:tcBorders>
              <w:top w:val="single" w:color="auto" w:sz="4" w:space="0"/>
              <w:left w:val="nil"/>
              <w:bottom w:val="single" w:color="auto" w:sz="4" w:space="0"/>
              <w:right w:val="single" w:color="auto" w:sz="4" w:space="0"/>
            </w:tcBorders>
            <w:noWrap w:val="0"/>
            <w:vAlign w:val="center"/>
          </w:tcPr>
          <w:p w14:paraId="05BDD3F0">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0.1-0.5</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6E62B983">
            <w:pPr>
              <w:spacing w:line="240" w:lineRule="exact"/>
              <w:jc w:val="center"/>
              <w:rPr>
                <w:rFonts w:ascii="宋体"/>
                <w:color w:val="auto"/>
                <w:sz w:val="18"/>
                <w:szCs w:val="18"/>
                <w:highlight w:val="none"/>
              </w:rPr>
            </w:pPr>
          </w:p>
        </w:tc>
      </w:tr>
      <w:tr w14:paraId="0C06CBB3">
        <w:tblPrEx>
          <w:tblCellMar>
            <w:top w:w="0" w:type="dxa"/>
            <w:left w:w="108" w:type="dxa"/>
            <w:bottom w:w="0" w:type="dxa"/>
            <w:right w:w="108" w:type="dxa"/>
          </w:tblCellMar>
        </w:tblPrEx>
        <w:trPr>
          <w:cantSplit/>
          <w:trHeight w:val="530" w:hRule="atLeast"/>
        </w:trPr>
        <w:tc>
          <w:tcPr>
            <w:tcW w:w="420" w:type="dxa"/>
            <w:vMerge w:val="continue"/>
            <w:tcBorders>
              <w:top w:val="nil"/>
              <w:left w:val="single" w:color="auto" w:sz="4" w:space="0"/>
              <w:bottom w:val="single" w:color="auto" w:sz="4" w:space="0"/>
              <w:right w:val="single" w:color="auto" w:sz="4" w:space="0"/>
            </w:tcBorders>
            <w:noWrap w:val="0"/>
            <w:vAlign w:val="center"/>
          </w:tcPr>
          <w:p w14:paraId="61A37245">
            <w:pPr>
              <w:widowControl/>
              <w:spacing w:line="240" w:lineRule="exact"/>
              <w:jc w:val="left"/>
              <w:rPr>
                <w:rFonts w:ascii="Calibri" w:hAnsi="Calibri"/>
                <w:color w:val="auto"/>
                <w:sz w:val="18"/>
                <w:szCs w:val="18"/>
                <w:highlight w:val="none"/>
              </w:rPr>
            </w:pPr>
          </w:p>
        </w:tc>
        <w:tc>
          <w:tcPr>
            <w:tcW w:w="788" w:type="dxa"/>
            <w:tcBorders>
              <w:top w:val="single" w:color="auto" w:sz="4" w:space="0"/>
              <w:left w:val="nil"/>
              <w:bottom w:val="single" w:color="auto" w:sz="4" w:space="0"/>
              <w:right w:val="single" w:color="auto" w:sz="4" w:space="0"/>
            </w:tcBorders>
            <w:noWrap w:val="0"/>
            <w:vAlign w:val="center"/>
          </w:tcPr>
          <w:p w14:paraId="074BD788">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40</w:t>
            </w:r>
          </w:p>
        </w:tc>
        <w:tc>
          <w:tcPr>
            <w:tcW w:w="3544" w:type="dxa"/>
            <w:tcBorders>
              <w:top w:val="single" w:color="auto" w:sz="4" w:space="0"/>
              <w:left w:val="nil"/>
              <w:bottom w:val="single" w:color="auto" w:sz="4" w:space="0"/>
              <w:right w:val="single" w:color="auto" w:sz="4" w:space="0"/>
            </w:tcBorders>
            <w:noWrap w:val="0"/>
            <w:vAlign w:val="center"/>
          </w:tcPr>
          <w:p w14:paraId="75BF2C6E">
            <w:pPr>
              <w:spacing w:line="240" w:lineRule="exact"/>
              <w:rPr>
                <w:rFonts w:ascii="Calibri" w:hAnsi="Calibri"/>
                <w:color w:val="auto"/>
                <w:sz w:val="18"/>
                <w:szCs w:val="18"/>
                <w:highlight w:val="none"/>
              </w:rPr>
            </w:pPr>
            <w:r>
              <w:rPr>
                <w:rFonts w:hint="eastAsia" w:ascii="宋体" w:hAnsi="宋体"/>
                <w:color w:val="auto"/>
                <w:sz w:val="18"/>
                <w:szCs w:val="18"/>
                <w:highlight w:val="none"/>
              </w:rPr>
              <w:t>相关资料数据准确，内容完整且符合实际，没有错误或缺项</w:t>
            </w:r>
          </w:p>
        </w:tc>
        <w:tc>
          <w:tcPr>
            <w:tcW w:w="850" w:type="dxa"/>
            <w:tcBorders>
              <w:top w:val="single" w:color="auto" w:sz="4" w:space="0"/>
              <w:left w:val="nil"/>
              <w:bottom w:val="single" w:color="auto" w:sz="4" w:space="0"/>
              <w:right w:val="single" w:color="auto" w:sz="4" w:space="0"/>
            </w:tcBorders>
            <w:noWrap w:val="0"/>
            <w:vAlign w:val="center"/>
          </w:tcPr>
          <w:p w14:paraId="3C57E6E9">
            <w:pPr>
              <w:spacing w:line="240" w:lineRule="exact"/>
              <w:rPr>
                <w:rFonts w:ascii="Calibri" w:hAnsi="Calibri"/>
                <w:color w:val="auto"/>
                <w:sz w:val="18"/>
                <w:szCs w:val="18"/>
                <w:highlight w:val="none"/>
              </w:rPr>
            </w:pPr>
            <w:r>
              <w:rPr>
                <w:rFonts w:hint="eastAsia" w:ascii="宋体" w:hAnsi="宋体"/>
                <w:color w:val="auto"/>
                <w:sz w:val="18"/>
                <w:szCs w:val="18"/>
                <w:highlight w:val="none"/>
              </w:rPr>
              <w:t>每处</w:t>
            </w:r>
          </w:p>
        </w:tc>
        <w:tc>
          <w:tcPr>
            <w:tcW w:w="2693" w:type="dxa"/>
            <w:gridSpan w:val="6"/>
            <w:tcBorders>
              <w:top w:val="single" w:color="auto" w:sz="4" w:space="0"/>
              <w:left w:val="nil"/>
              <w:bottom w:val="single" w:color="auto" w:sz="4" w:space="0"/>
              <w:right w:val="single" w:color="auto" w:sz="4" w:space="0"/>
            </w:tcBorders>
            <w:noWrap w:val="0"/>
            <w:vAlign w:val="center"/>
          </w:tcPr>
          <w:p w14:paraId="4CB7EB32">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w:t>
            </w:r>
            <w:r>
              <w:rPr>
                <w:color w:val="auto"/>
                <w:sz w:val="18"/>
                <w:szCs w:val="18"/>
                <w:highlight w:val="none"/>
              </w:rPr>
              <w:t>0.01-0.2</w:t>
            </w:r>
            <w:r>
              <w:rPr>
                <w:rFonts w:hint="eastAsia" w:ascii="宋体" w:hAnsi="宋体"/>
                <w:color w:val="auto"/>
                <w:sz w:val="18"/>
                <w:szCs w:val="18"/>
                <w:highlight w:val="none"/>
              </w:rPr>
              <w:t>分</w:t>
            </w:r>
          </w:p>
        </w:tc>
        <w:tc>
          <w:tcPr>
            <w:tcW w:w="1155" w:type="dxa"/>
            <w:tcBorders>
              <w:top w:val="single" w:color="auto" w:sz="4" w:space="0"/>
              <w:left w:val="nil"/>
              <w:bottom w:val="single" w:color="auto" w:sz="4" w:space="0"/>
              <w:right w:val="single" w:color="auto" w:sz="4" w:space="0"/>
            </w:tcBorders>
            <w:noWrap w:val="0"/>
            <w:vAlign w:val="center"/>
          </w:tcPr>
          <w:p w14:paraId="0B91866D">
            <w:pPr>
              <w:spacing w:line="240" w:lineRule="exact"/>
              <w:jc w:val="center"/>
              <w:rPr>
                <w:rFonts w:ascii="宋体"/>
                <w:color w:val="auto"/>
                <w:sz w:val="18"/>
                <w:szCs w:val="18"/>
                <w:highlight w:val="none"/>
              </w:rPr>
            </w:pPr>
          </w:p>
        </w:tc>
      </w:tr>
      <w:tr w14:paraId="407DDE88">
        <w:tblPrEx>
          <w:tblCellMar>
            <w:top w:w="0" w:type="dxa"/>
            <w:left w:w="108" w:type="dxa"/>
            <w:bottom w:w="0" w:type="dxa"/>
            <w:right w:w="108" w:type="dxa"/>
          </w:tblCellMar>
        </w:tblPrEx>
        <w:trPr>
          <w:cantSplit/>
          <w:trHeight w:val="458" w:hRule="atLeast"/>
        </w:trPr>
        <w:tc>
          <w:tcPr>
            <w:tcW w:w="420" w:type="dxa"/>
            <w:tcBorders>
              <w:top w:val="single" w:color="auto" w:sz="4" w:space="0"/>
              <w:left w:val="single" w:color="auto" w:sz="4" w:space="0"/>
              <w:bottom w:val="single" w:color="auto" w:sz="4" w:space="0"/>
              <w:right w:val="single" w:color="auto" w:sz="4" w:space="0"/>
            </w:tcBorders>
            <w:noWrap w:val="0"/>
            <w:vAlign w:val="top"/>
          </w:tcPr>
          <w:p w14:paraId="6F9855DB">
            <w:pPr>
              <w:spacing w:line="240" w:lineRule="exact"/>
              <w:rPr>
                <w:rFonts w:ascii="Calibri" w:hAnsi="Calibri"/>
                <w:color w:val="auto"/>
                <w:sz w:val="18"/>
                <w:szCs w:val="18"/>
                <w:highlight w:val="none"/>
              </w:rPr>
            </w:pPr>
            <w:r>
              <w:rPr>
                <w:rFonts w:hint="eastAsia" w:ascii="宋体" w:hAnsi="宋体"/>
                <w:color w:val="auto"/>
                <w:sz w:val="18"/>
                <w:szCs w:val="18"/>
                <w:highlight w:val="none"/>
              </w:rPr>
              <w:t>八其他</w:t>
            </w:r>
          </w:p>
        </w:tc>
        <w:tc>
          <w:tcPr>
            <w:tcW w:w="788" w:type="dxa"/>
            <w:tcBorders>
              <w:top w:val="single" w:color="auto" w:sz="4" w:space="0"/>
              <w:left w:val="nil"/>
              <w:bottom w:val="single" w:color="auto" w:sz="4" w:space="0"/>
              <w:right w:val="single" w:color="auto" w:sz="4" w:space="0"/>
            </w:tcBorders>
            <w:noWrap w:val="0"/>
            <w:vAlign w:val="center"/>
          </w:tcPr>
          <w:p w14:paraId="7B52165A">
            <w:pPr>
              <w:spacing w:line="240" w:lineRule="exact"/>
              <w:jc w:val="center"/>
              <w:rPr>
                <w:rFonts w:ascii="Calibri" w:hAnsi="Calibri"/>
                <w:color w:val="auto"/>
                <w:sz w:val="18"/>
                <w:szCs w:val="18"/>
                <w:highlight w:val="none"/>
              </w:rPr>
            </w:pPr>
            <w:r>
              <w:rPr>
                <w:rFonts w:hint="eastAsia" w:ascii="宋体" w:hAnsi="宋体"/>
                <w:color w:val="auto"/>
                <w:sz w:val="18"/>
                <w:szCs w:val="18"/>
                <w:highlight w:val="none"/>
              </w:rPr>
              <w:t>扣则</w:t>
            </w:r>
            <w:r>
              <w:rPr>
                <w:color w:val="auto"/>
                <w:sz w:val="18"/>
                <w:szCs w:val="18"/>
                <w:highlight w:val="none"/>
              </w:rPr>
              <w:t>41</w:t>
            </w:r>
          </w:p>
        </w:tc>
        <w:tc>
          <w:tcPr>
            <w:tcW w:w="3544" w:type="dxa"/>
            <w:tcBorders>
              <w:top w:val="single" w:color="auto" w:sz="4" w:space="0"/>
              <w:left w:val="nil"/>
              <w:bottom w:val="single" w:color="auto" w:sz="4" w:space="0"/>
              <w:right w:val="single" w:color="auto" w:sz="4" w:space="0"/>
            </w:tcBorders>
            <w:noWrap w:val="0"/>
            <w:vAlign w:val="center"/>
          </w:tcPr>
          <w:p w14:paraId="3BBD1AA5">
            <w:pPr>
              <w:spacing w:line="240" w:lineRule="exact"/>
              <w:rPr>
                <w:rFonts w:ascii="Calibri" w:hAnsi="Calibri"/>
                <w:color w:val="auto"/>
                <w:sz w:val="18"/>
                <w:szCs w:val="18"/>
                <w:highlight w:val="none"/>
              </w:rPr>
            </w:pPr>
            <w:r>
              <w:rPr>
                <w:rFonts w:hint="eastAsia" w:ascii="宋体" w:hAnsi="宋体"/>
                <w:color w:val="auto"/>
                <w:sz w:val="18"/>
                <w:szCs w:val="18"/>
                <w:highlight w:val="none"/>
              </w:rPr>
              <w:t>其他未列举但涉及到安全或对园林景观有不良影响的</w:t>
            </w:r>
          </w:p>
        </w:tc>
        <w:tc>
          <w:tcPr>
            <w:tcW w:w="850" w:type="dxa"/>
            <w:tcBorders>
              <w:top w:val="single" w:color="auto" w:sz="4" w:space="0"/>
              <w:left w:val="nil"/>
              <w:bottom w:val="single" w:color="auto" w:sz="4" w:space="0"/>
              <w:right w:val="single" w:color="auto" w:sz="4" w:space="0"/>
            </w:tcBorders>
            <w:noWrap w:val="0"/>
            <w:vAlign w:val="center"/>
          </w:tcPr>
          <w:p w14:paraId="6AC6E466">
            <w:pPr>
              <w:spacing w:line="240" w:lineRule="exact"/>
              <w:rPr>
                <w:rFonts w:ascii="Calibri" w:hAnsi="Calibri"/>
                <w:color w:val="auto"/>
                <w:sz w:val="18"/>
                <w:szCs w:val="18"/>
                <w:highlight w:val="none"/>
              </w:rPr>
            </w:pPr>
          </w:p>
        </w:tc>
        <w:tc>
          <w:tcPr>
            <w:tcW w:w="2693" w:type="dxa"/>
            <w:gridSpan w:val="6"/>
            <w:tcBorders>
              <w:top w:val="single" w:color="auto" w:sz="4" w:space="0"/>
              <w:left w:val="nil"/>
              <w:bottom w:val="single" w:color="auto" w:sz="4" w:space="0"/>
              <w:right w:val="single" w:color="auto" w:sz="4" w:space="0"/>
            </w:tcBorders>
            <w:noWrap w:val="0"/>
            <w:vAlign w:val="top"/>
          </w:tcPr>
          <w:p w14:paraId="67597F65">
            <w:pPr>
              <w:spacing w:line="240" w:lineRule="exact"/>
              <w:rPr>
                <w:rFonts w:ascii="Calibri" w:hAnsi="Calibri"/>
                <w:color w:val="auto"/>
                <w:sz w:val="18"/>
                <w:szCs w:val="18"/>
                <w:highlight w:val="none"/>
              </w:rPr>
            </w:pPr>
            <w:r>
              <w:rPr>
                <w:rFonts w:hint="eastAsia" w:ascii="宋体" w:hAnsi="宋体"/>
                <w:color w:val="auto"/>
                <w:sz w:val="18"/>
                <w:szCs w:val="18"/>
                <w:highlight w:val="none"/>
              </w:rPr>
              <w:t>由养护管理科视具体内容及扣分标准现场认定</w:t>
            </w:r>
          </w:p>
        </w:tc>
        <w:tc>
          <w:tcPr>
            <w:tcW w:w="1155" w:type="dxa"/>
            <w:tcBorders>
              <w:top w:val="single" w:color="auto" w:sz="4" w:space="0"/>
              <w:left w:val="nil"/>
              <w:bottom w:val="single" w:color="auto" w:sz="4" w:space="0"/>
              <w:right w:val="single" w:color="auto" w:sz="4" w:space="0"/>
            </w:tcBorders>
            <w:noWrap w:val="0"/>
            <w:vAlign w:val="top"/>
          </w:tcPr>
          <w:p w14:paraId="5679A593">
            <w:pPr>
              <w:spacing w:line="240" w:lineRule="exact"/>
              <w:rPr>
                <w:rFonts w:ascii="宋体"/>
                <w:color w:val="auto"/>
                <w:sz w:val="18"/>
                <w:szCs w:val="18"/>
                <w:highlight w:val="none"/>
              </w:rPr>
            </w:pPr>
          </w:p>
        </w:tc>
      </w:tr>
    </w:tbl>
    <w:p w14:paraId="3A9BF61F">
      <w:pPr>
        <w:rPr>
          <w:rFonts w:ascii="Calibri" w:hAnsi="Calibri"/>
          <w:color w:val="auto"/>
          <w:highlight w:val="none"/>
        </w:rPr>
      </w:pPr>
    </w:p>
    <w:p w14:paraId="0FC558E7">
      <w:pPr>
        <w:ind w:left="945" w:hanging="945" w:hangingChars="450"/>
        <w:rPr>
          <w:rFonts w:ascii="宋体" w:hAnsi="宋体"/>
          <w:color w:val="auto"/>
          <w:highlight w:val="none"/>
        </w:rPr>
      </w:pPr>
      <w:r>
        <w:rPr>
          <w:rFonts w:hint="eastAsia" w:ascii="宋体" w:hAnsi="宋体"/>
          <w:color w:val="auto"/>
          <w:highlight w:val="none"/>
        </w:rPr>
        <w:t>说明：1.月度检查各项扣分不设上限。</w:t>
      </w:r>
    </w:p>
    <w:p w14:paraId="19CF72A2">
      <w:pPr>
        <w:ind w:left="945" w:leftChars="300" w:hanging="315" w:hangingChars="150"/>
        <w:rPr>
          <w:rFonts w:ascii="宋体" w:hAnsi="宋体"/>
          <w:color w:val="auto"/>
          <w:highlight w:val="none"/>
        </w:rPr>
      </w:pPr>
      <w:r>
        <w:rPr>
          <w:rFonts w:hint="eastAsia"/>
          <w:color w:val="auto"/>
          <w:highlight w:val="none"/>
        </w:rPr>
        <w:t>2</w:t>
      </w:r>
      <w:r>
        <w:rPr>
          <w:color w:val="auto"/>
          <w:highlight w:val="none"/>
        </w:rPr>
        <w:t xml:space="preserve">. </w:t>
      </w:r>
      <w:r>
        <w:rPr>
          <w:rFonts w:hint="eastAsia" w:ascii="宋体" w:hAnsi="宋体"/>
          <w:color w:val="auto"/>
          <w:highlight w:val="none"/>
        </w:rPr>
        <w:t>检查人员对发现问题予以扣分，对扣分项中标人应在限期内整改，整改期限后仍出现问题的，可再次扣罚，并可加倍扣罚。</w:t>
      </w:r>
    </w:p>
    <w:p w14:paraId="7BD314CC">
      <w:pPr>
        <w:rPr>
          <w:rFonts w:hint="default" w:eastAsia="等线 Light"/>
          <w:color w:val="auto"/>
          <w:highlight w:val="none"/>
          <w:lang w:val="en-US" w:eastAsia="zh-CN"/>
        </w:rPr>
      </w:pPr>
      <w:r>
        <w:rPr>
          <w:rFonts w:hint="default" w:eastAsia="等线 Light"/>
          <w:color w:val="auto"/>
          <w:highlight w:val="none"/>
          <w:lang w:val="en-US" w:eastAsia="zh-CN"/>
        </w:rPr>
        <w:br w:type="page"/>
      </w:r>
    </w:p>
    <w:p w14:paraId="282F0002">
      <w:pP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附件4-2-4</w:t>
      </w:r>
    </w:p>
    <w:p w14:paraId="0D5417D8">
      <w:pPr>
        <w:spacing w:line="400" w:lineRule="exact"/>
        <w:jc w:val="center"/>
        <w:rPr>
          <w:rFonts w:ascii="宋体" w:hAnsi="宋体"/>
          <w:b/>
          <w:bCs/>
          <w:color w:val="auto"/>
          <w:sz w:val="32"/>
          <w:szCs w:val="32"/>
          <w:highlight w:val="none"/>
        </w:rPr>
      </w:pPr>
      <w:r>
        <w:rPr>
          <w:rFonts w:hint="eastAsia" w:ascii="宋体" w:hAnsi="宋体"/>
          <w:b/>
          <w:bCs/>
          <w:color w:val="auto"/>
          <w:sz w:val="28"/>
          <w:szCs w:val="28"/>
          <w:highlight w:val="none"/>
        </w:rPr>
        <w:t>南宁市石门公园绿化养护月度考核通报表</w:t>
      </w:r>
    </w:p>
    <w:p w14:paraId="4C941037">
      <w:pPr>
        <w:rPr>
          <w:rFonts w:hint="eastAsia" w:ascii="宋体" w:hAnsi="宋体"/>
          <w:color w:val="auto"/>
          <w:kern w:val="0"/>
          <w:szCs w:val="21"/>
          <w:highlight w:val="none"/>
        </w:rPr>
      </w:pPr>
      <w:r>
        <w:rPr>
          <w:rFonts w:hint="eastAsia" w:ascii="宋体" w:hAnsi="宋体"/>
          <w:color w:val="auto"/>
          <w:kern w:val="0"/>
          <w:szCs w:val="21"/>
          <w:highlight w:val="none"/>
        </w:rPr>
        <w:t xml:space="preserve"> </w:t>
      </w:r>
    </w:p>
    <w:p w14:paraId="4283DF80">
      <w:pPr>
        <w:rPr>
          <w:rFonts w:ascii="宋体" w:hAnsi="宋体"/>
          <w:bCs/>
          <w:color w:val="auto"/>
          <w:szCs w:val="21"/>
          <w:highlight w:val="none"/>
        </w:rPr>
      </w:pPr>
      <w:r>
        <w:rPr>
          <w:rFonts w:hint="eastAsia" w:ascii="宋体" w:hAnsi="宋体"/>
          <w:color w:val="auto"/>
          <w:kern w:val="0"/>
          <w:szCs w:val="21"/>
          <w:highlight w:val="none"/>
        </w:rPr>
        <w:t xml:space="preserve"> </w:t>
      </w:r>
      <w:r>
        <w:rPr>
          <w:rFonts w:hint="eastAsia" w:ascii="宋体" w:hAnsi="宋体"/>
          <w:bCs/>
          <w:color w:val="auto"/>
          <w:szCs w:val="21"/>
          <w:highlight w:val="none"/>
        </w:rPr>
        <w:t xml:space="preserve">考核月份：20  年   月          </w:t>
      </w:r>
      <w:r>
        <w:rPr>
          <w:rFonts w:hint="eastAsia" w:ascii="宋体" w:hAnsi="宋体"/>
          <w:bCs/>
          <w:color w:val="auto"/>
          <w:szCs w:val="21"/>
          <w:highlight w:val="none"/>
          <w:lang w:val="en-US" w:eastAsia="zh-CN"/>
        </w:rPr>
        <w:t xml:space="preserve">          </w:t>
      </w:r>
      <w:r>
        <w:rPr>
          <w:rFonts w:hint="eastAsia" w:ascii="宋体" w:hAnsi="宋体"/>
          <w:bCs/>
          <w:color w:val="auto"/>
          <w:szCs w:val="21"/>
          <w:highlight w:val="none"/>
        </w:rPr>
        <w:t xml:space="preserve">    填写日期 ：    年   月   日</w:t>
      </w:r>
    </w:p>
    <w:tbl>
      <w:tblPr>
        <w:tblStyle w:val="22"/>
        <w:tblW w:w="9668" w:type="dxa"/>
        <w:tblInd w:w="100" w:type="dxa"/>
        <w:tblLayout w:type="fixed"/>
        <w:tblCellMar>
          <w:top w:w="0" w:type="dxa"/>
          <w:left w:w="108" w:type="dxa"/>
          <w:bottom w:w="0" w:type="dxa"/>
          <w:right w:w="108" w:type="dxa"/>
        </w:tblCellMar>
      </w:tblPr>
      <w:tblGrid>
        <w:gridCol w:w="660"/>
        <w:gridCol w:w="1280"/>
        <w:gridCol w:w="1280"/>
        <w:gridCol w:w="1060"/>
        <w:gridCol w:w="1060"/>
        <w:gridCol w:w="4328"/>
      </w:tblGrid>
      <w:tr w14:paraId="7D271413">
        <w:tblPrEx>
          <w:tblCellMar>
            <w:top w:w="0" w:type="dxa"/>
            <w:left w:w="108" w:type="dxa"/>
            <w:bottom w:w="0" w:type="dxa"/>
            <w:right w:w="108" w:type="dxa"/>
          </w:tblCellMar>
        </w:tblPrEx>
        <w:trPr>
          <w:trHeight w:val="576" w:hRule="atLeast"/>
        </w:trPr>
        <w:tc>
          <w:tcPr>
            <w:tcW w:w="660" w:type="dxa"/>
            <w:tcBorders>
              <w:top w:val="single" w:color="auto" w:sz="4" w:space="0"/>
              <w:left w:val="single" w:color="auto" w:sz="4" w:space="0"/>
              <w:bottom w:val="nil"/>
              <w:right w:val="single" w:color="auto" w:sz="4" w:space="0"/>
            </w:tcBorders>
            <w:noWrap w:val="0"/>
            <w:vAlign w:val="top"/>
          </w:tcPr>
          <w:p w14:paraId="077AB6C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类别</w:t>
            </w:r>
          </w:p>
        </w:tc>
        <w:tc>
          <w:tcPr>
            <w:tcW w:w="1280" w:type="dxa"/>
            <w:tcBorders>
              <w:top w:val="single" w:color="auto" w:sz="4" w:space="0"/>
              <w:left w:val="nil"/>
              <w:bottom w:val="nil"/>
              <w:right w:val="single" w:color="auto" w:sz="4" w:space="0"/>
            </w:tcBorders>
            <w:noWrap w:val="0"/>
            <w:vAlign w:val="top"/>
          </w:tcPr>
          <w:p w14:paraId="543959D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项目</w:t>
            </w:r>
          </w:p>
        </w:tc>
        <w:tc>
          <w:tcPr>
            <w:tcW w:w="1280" w:type="dxa"/>
            <w:tcBorders>
              <w:top w:val="single" w:color="auto" w:sz="4" w:space="0"/>
              <w:left w:val="nil"/>
              <w:bottom w:val="nil"/>
              <w:right w:val="single" w:color="auto" w:sz="4" w:space="0"/>
            </w:tcBorders>
            <w:noWrap w:val="0"/>
            <w:vAlign w:val="top"/>
          </w:tcPr>
          <w:p w14:paraId="3692E34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single" w:color="auto" w:sz="4" w:space="0"/>
              <w:left w:val="nil"/>
              <w:bottom w:val="single" w:color="auto" w:sz="4" w:space="0"/>
              <w:right w:val="single" w:color="auto" w:sz="4" w:space="0"/>
            </w:tcBorders>
            <w:noWrap w:val="0"/>
            <w:vAlign w:val="top"/>
          </w:tcPr>
          <w:p w14:paraId="33D3B6FD">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扣分（分）</w:t>
            </w:r>
          </w:p>
        </w:tc>
        <w:tc>
          <w:tcPr>
            <w:tcW w:w="1060" w:type="dxa"/>
            <w:tcBorders>
              <w:top w:val="single" w:color="auto" w:sz="4" w:space="0"/>
              <w:left w:val="nil"/>
              <w:bottom w:val="single" w:color="auto" w:sz="4" w:space="0"/>
              <w:right w:val="single" w:color="auto" w:sz="4" w:space="0"/>
            </w:tcBorders>
            <w:noWrap w:val="0"/>
            <w:vAlign w:val="top"/>
          </w:tcPr>
          <w:p w14:paraId="1C9EC066">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未整改扣款（元）</w:t>
            </w:r>
          </w:p>
        </w:tc>
        <w:tc>
          <w:tcPr>
            <w:tcW w:w="4328" w:type="dxa"/>
            <w:tcBorders>
              <w:top w:val="single" w:color="auto" w:sz="4" w:space="0"/>
              <w:left w:val="nil"/>
              <w:bottom w:val="single" w:color="auto" w:sz="4" w:space="0"/>
              <w:right w:val="single" w:color="auto" w:sz="4" w:space="0"/>
            </w:tcBorders>
            <w:noWrap w:val="0"/>
            <w:vAlign w:val="top"/>
          </w:tcPr>
          <w:p w14:paraId="0A790343">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1DC4C8F2">
        <w:tblPrEx>
          <w:tblCellMar>
            <w:top w:w="0" w:type="dxa"/>
            <w:left w:w="108" w:type="dxa"/>
            <w:bottom w:w="0" w:type="dxa"/>
            <w:right w:w="108" w:type="dxa"/>
          </w:tblCellMar>
        </w:tblPrEx>
        <w:trPr>
          <w:trHeight w:val="312" w:hRule="atLeast"/>
        </w:trPr>
        <w:tc>
          <w:tcPr>
            <w:tcW w:w="660" w:type="dxa"/>
            <w:tcBorders>
              <w:top w:val="single" w:color="auto" w:sz="4" w:space="0"/>
              <w:left w:val="single" w:color="auto" w:sz="4" w:space="0"/>
              <w:bottom w:val="nil"/>
              <w:right w:val="single" w:color="auto" w:sz="4" w:space="0"/>
            </w:tcBorders>
            <w:noWrap w:val="0"/>
            <w:vAlign w:val="center"/>
          </w:tcPr>
          <w:p w14:paraId="19A1A4DA">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280" w:type="dxa"/>
            <w:tcBorders>
              <w:top w:val="single" w:color="auto" w:sz="4" w:space="0"/>
              <w:left w:val="nil"/>
              <w:bottom w:val="single" w:color="auto" w:sz="4" w:space="0"/>
              <w:right w:val="nil"/>
            </w:tcBorders>
            <w:noWrap w:val="0"/>
            <w:vAlign w:val="top"/>
          </w:tcPr>
          <w:p w14:paraId="06B0C2A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投入和管理</w:t>
            </w:r>
          </w:p>
        </w:tc>
        <w:tc>
          <w:tcPr>
            <w:tcW w:w="1280" w:type="dxa"/>
            <w:tcBorders>
              <w:top w:val="single" w:color="auto" w:sz="4" w:space="0"/>
              <w:left w:val="nil"/>
              <w:bottom w:val="single" w:color="auto" w:sz="4" w:space="0"/>
              <w:right w:val="single" w:color="auto" w:sz="4" w:space="0"/>
            </w:tcBorders>
            <w:noWrap w:val="0"/>
            <w:vAlign w:val="top"/>
          </w:tcPr>
          <w:p w14:paraId="6FDE0CC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3E3E430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6CF4F50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66875C1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9286B6A">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center"/>
          </w:tcPr>
          <w:p w14:paraId="05709F93">
            <w:pPr>
              <w:widowControl/>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1280" w:type="dxa"/>
            <w:tcBorders>
              <w:top w:val="nil"/>
              <w:left w:val="nil"/>
              <w:bottom w:val="single" w:color="auto" w:sz="4" w:space="0"/>
              <w:right w:val="nil"/>
            </w:tcBorders>
            <w:noWrap w:val="0"/>
            <w:vAlign w:val="top"/>
          </w:tcPr>
          <w:p w14:paraId="2279A7D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绿化管理</w:t>
            </w:r>
          </w:p>
        </w:tc>
        <w:tc>
          <w:tcPr>
            <w:tcW w:w="1280" w:type="dxa"/>
            <w:tcBorders>
              <w:top w:val="nil"/>
              <w:left w:val="nil"/>
              <w:bottom w:val="single" w:color="auto" w:sz="4" w:space="0"/>
              <w:right w:val="single" w:color="auto" w:sz="4" w:space="0"/>
            </w:tcBorders>
            <w:noWrap w:val="0"/>
            <w:vAlign w:val="top"/>
          </w:tcPr>
          <w:p w14:paraId="25777FC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430D148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0093DA8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78864FC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016363B">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06EF6AEC">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1280" w:type="dxa"/>
            <w:tcBorders>
              <w:top w:val="nil"/>
              <w:left w:val="nil"/>
              <w:bottom w:val="single" w:color="auto" w:sz="4" w:space="0"/>
              <w:right w:val="nil"/>
            </w:tcBorders>
            <w:noWrap w:val="0"/>
            <w:vAlign w:val="top"/>
          </w:tcPr>
          <w:p w14:paraId="2D4A8B3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养护管理</w:t>
            </w:r>
          </w:p>
        </w:tc>
        <w:tc>
          <w:tcPr>
            <w:tcW w:w="1280" w:type="dxa"/>
            <w:tcBorders>
              <w:top w:val="nil"/>
              <w:left w:val="nil"/>
              <w:bottom w:val="single" w:color="auto" w:sz="4" w:space="0"/>
              <w:right w:val="single" w:color="auto" w:sz="4" w:space="0"/>
            </w:tcBorders>
            <w:noWrap w:val="0"/>
            <w:vAlign w:val="top"/>
          </w:tcPr>
          <w:p w14:paraId="71E751F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5B545A5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18CC608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6D1A3B7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C876E41">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274B395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月度</w:t>
            </w:r>
          </w:p>
        </w:tc>
        <w:tc>
          <w:tcPr>
            <w:tcW w:w="1280" w:type="dxa"/>
            <w:tcBorders>
              <w:top w:val="nil"/>
              <w:left w:val="nil"/>
              <w:bottom w:val="single" w:color="auto" w:sz="4" w:space="0"/>
              <w:right w:val="nil"/>
            </w:tcBorders>
            <w:noWrap w:val="0"/>
            <w:vAlign w:val="top"/>
          </w:tcPr>
          <w:p w14:paraId="1E71C9B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设施维护</w:t>
            </w:r>
          </w:p>
        </w:tc>
        <w:tc>
          <w:tcPr>
            <w:tcW w:w="1280" w:type="dxa"/>
            <w:tcBorders>
              <w:top w:val="nil"/>
              <w:left w:val="nil"/>
              <w:bottom w:val="single" w:color="auto" w:sz="4" w:space="0"/>
              <w:right w:val="single" w:color="auto" w:sz="4" w:space="0"/>
            </w:tcBorders>
            <w:noWrap w:val="0"/>
            <w:vAlign w:val="top"/>
          </w:tcPr>
          <w:p w14:paraId="636FF70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358E16E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65D0EF8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70B4A8E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39AF6B1">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321376B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检查</w:t>
            </w:r>
          </w:p>
        </w:tc>
        <w:tc>
          <w:tcPr>
            <w:tcW w:w="1280" w:type="dxa"/>
            <w:tcBorders>
              <w:top w:val="nil"/>
              <w:left w:val="nil"/>
              <w:bottom w:val="single" w:color="auto" w:sz="4" w:space="0"/>
              <w:right w:val="nil"/>
            </w:tcBorders>
            <w:noWrap w:val="0"/>
            <w:vAlign w:val="top"/>
          </w:tcPr>
          <w:p w14:paraId="368B2ED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专项工作</w:t>
            </w:r>
          </w:p>
        </w:tc>
        <w:tc>
          <w:tcPr>
            <w:tcW w:w="1280" w:type="dxa"/>
            <w:tcBorders>
              <w:top w:val="nil"/>
              <w:left w:val="nil"/>
              <w:bottom w:val="single" w:color="auto" w:sz="4" w:space="0"/>
              <w:right w:val="single" w:color="auto" w:sz="4" w:space="0"/>
            </w:tcBorders>
            <w:noWrap w:val="0"/>
            <w:vAlign w:val="top"/>
          </w:tcPr>
          <w:p w14:paraId="064C2D2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64E3969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19EB05C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4071541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715D2C3">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1A79EA1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nil"/>
            </w:tcBorders>
            <w:noWrap w:val="0"/>
            <w:vAlign w:val="top"/>
          </w:tcPr>
          <w:p w14:paraId="4C900E9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内业管理</w:t>
            </w:r>
          </w:p>
        </w:tc>
        <w:tc>
          <w:tcPr>
            <w:tcW w:w="1280" w:type="dxa"/>
            <w:tcBorders>
              <w:top w:val="nil"/>
              <w:left w:val="nil"/>
              <w:bottom w:val="single" w:color="auto" w:sz="4" w:space="0"/>
              <w:right w:val="single" w:color="auto" w:sz="4" w:space="0"/>
            </w:tcBorders>
            <w:noWrap w:val="0"/>
            <w:vAlign w:val="top"/>
          </w:tcPr>
          <w:p w14:paraId="6142286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30803E1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0DE1AD7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191BCA5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F2652C2">
        <w:tblPrEx>
          <w:tblCellMar>
            <w:top w:w="0" w:type="dxa"/>
            <w:left w:w="108" w:type="dxa"/>
            <w:bottom w:w="0" w:type="dxa"/>
            <w:right w:w="108" w:type="dxa"/>
          </w:tblCellMar>
        </w:tblPrEx>
        <w:trPr>
          <w:trHeight w:val="312" w:hRule="atLeast"/>
        </w:trPr>
        <w:tc>
          <w:tcPr>
            <w:tcW w:w="660" w:type="dxa"/>
            <w:tcBorders>
              <w:top w:val="nil"/>
              <w:left w:val="single" w:color="auto" w:sz="4" w:space="0"/>
              <w:bottom w:val="single" w:color="auto" w:sz="4" w:space="0"/>
              <w:right w:val="single" w:color="auto" w:sz="4" w:space="0"/>
            </w:tcBorders>
            <w:noWrap w:val="0"/>
            <w:vAlign w:val="top"/>
          </w:tcPr>
          <w:p w14:paraId="18BAF3F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nil"/>
            </w:tcBorders>
            <w:noWrap w:val="0"/>
            <w:vAlign w:val="top"/>
          </w:tcPr>
          <w:p w14:paraId="054D653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其它</w:t>
            </w:r>
          </w:p>
        </w:tc>
        <w:tc>
          <w:tcPr>
            <w:tcW w:w="1280" w:type="dxa"/>
            <w:tcBorders>
              <w:top w:val="nil"/>
              <w:left w:val="nil"/>
              <w:bottom w:val="single" w:color="auto" w:sz="4" w:space="0"/>
              <w:right w:val="single" w:color="auto" w:sz="4" w:space="0"/>
            </w:tcBorders>
            <w:noWrap w:val="0"/>
            <w:vAlign w:val="top"/>
          </w:tcPr>
          <w:p w14:paraId="246EFD7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544333A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5B4A52D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53AB0E1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6B545A9">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7BCB785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2日常</w:t>
            </w:r>
          </w:p>
        </w:tc>
        <w:tc>
          <w:tcPr>
            <w:tcW w:w="1280" w:type="dxa"/>
            <w:tcBorders>
              <w:top w:val="nil"/>
              <w:left w:val="nil"/>
              <w:bottom w:val="single" w:color="auto" w:sz="4" w:space="0"/>
              <w:right w:val="nil"/>
            </w:tcBorders>
            <w:noWrap w:val="0"/>
            <w:vAlign w:val="top"/>
          </w:tcPr>
          <w:p w14:paraId="0317B7A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公园巡查</w:t>
            </w:r>
          </w:p>
        </w:tc>
        <w:tc>
          <w:tcPr>
            <w:tcW w:w="1280" w:type="dxa"/>
            <w:tcBorders>
              <w:top w:val="nil"/>
              <w:left w:val="nil"/>
              <w:bottom w:val="single" w:color="auto" w:sz="4" w:space="0"/>
              <w:right w:val="single" w:color="auto" w:sz="4" w:space="0"/>
            </w:tcBorders>
            <w:noWrap w:val="0"/>
            <w:vAlign w:val="top"/>
          </w:tcPr>
          <w:p w14:paraId="061453F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51D74EA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23CB9C5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424DBBF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18BD8218">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2AFB74A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检查 </w:t>
            </w:r>
          </w:p>
        </w:tc>
        <w:tc>
          <w:tcPr>
            <w:tcW w:w="1280" w:type="dxa"/>
            <w:tcBorders>
              <w:top w:val="nil"/>
              <w:left w:val="nil"/>
              <w:bottom w:val="single" w:color="auto" w:sz="4" w:space="0"/>
              <w:right w:val="nil"/>
            </w:tcBorders>
            <w:noWrap w:val="0"/>
            <w:vAlign w:val="top"/>
          </w:tcPr>
          <w:p w14:paraId="67C1600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中标人自查</w:t>
            </w:r>
          </w:p>
        </w:tc>
        <w:tc>
          <w:tcPr>
            <w:tcW w:w="1280" w:type="dxa"/>
            <w:tcBorders>
              <w:top w:val="nil"/>
              <w:left w:val="nil"/>
              <w:bottom w:val="single" w:color="auto" w:sz="4" w:space="0"/>
              <w:right w:val="single" w:color="auto" w:sz="4" w:space="0"/>
            </w:tcBorders>
            <w:noWrap w:val="0"/>
            <w:vAlign w:val="top"/>
          </w:tcPr>
          <w:p w14:paraId="0C0D0E3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2AB9237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4615743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472D62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87E6558">
        <w:tblPrEx>
          <w:tblCellMar>
            <w:top w:w="0" w:type="dxa"/>
            <w:left w:w="108" w:type="dxa"/>
            <w:bottom w:w="0" w:type="dxa"/>
            <w:right w:w="108" w:type="dxa"/>
          </w:tblCellMar>
        </w:tblPrEx>
        <w:trPr>
          <w:trHeight w:val="312" w:hRule="atLeast"/>
        </w:trPr>
        <w:tc>
          <w:tcPr>
            <w:tcW w:w="660" w:type="dxa"/>
            <w:tcBorders>
              <w:top w:val="single" w:color="auto" w:sz="4" w:space="0"/>
              <w:left w:val="single" w:color="auto" w:sz="4" w:space="0"/>
              <w:bottom w:val="nil"/>
              <w:right w:val="single" w:color="auto" w:sz="4" w:space="0"/>
            </w:tcBorders>
            <w:noWrap w:val="0"/>
            <w:vAlign w:val="top"/>
          </w:tcPr>
          <w:p w14:paraId="1329341E">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nil"/>
            </w:tcBorders>
            <w:noWrap w:val="0"/>
            <w:vAlign w:val="top"/>
          </w:tcPr>
          <w:p w14:paraId="49469ED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施肥</w:t>
            </w:r>
          </w:p>
        </w:tc>
        <w:tc>
          <w:tcPr>
            <w:tcW w:w="1280" w:type="dxa"/>
            <w:tcBorders>
              <w:top w:val="nil"/>
              <w:left w:val="nil"/>
              <w:bottom w:val="single" w:color="auto" w:sz="4" w:space="0"/>
              <w:right w:val="single" w:color="auto" w:sz="4" w:space="0"/>
            </w:tcBorders>
            <w:noWrap w:val="0"/>
            <w:vAlign w:val="top"/>
          </w:tcPr>
          <w:p w14:paraId="5AEA43E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6A63ACC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0141529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05E6496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122996F">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3473AF57">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nil"/>
            </w:tcBorders>
            <w:noWrap w:val="0"/>
            <w:vAlign w:val="top"/>
          </w:tcPr>
          <w:p w14:paraId="616EE9B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淋水抗旱</w:t>
            </w:r>
          </w:p>
        </w:tc>
        <w:tc>
          <w:tcPr>
            <w:tcW w:w="1280" w:type="dxa"/>
            <w:tcBorders>
              <w:top w:val="nil"/>
              <w:left w:val="nil"/>
              <w:bottom w:val="single" w:color="auto" w:sz="4" w:space="0"/>
              <w:right w:val="single" w:color="auto" w:sz="4" w:space="0"/>
            </w:tcBorders>
            <w:noWrap w:val="0"/>
            <w:vAlign w:val="top"/>
          </w:tcPr>
          <w:p w14:paraId="1EC6EDF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0EB3124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2C2C9FA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5DB9671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B84F0A5">
        <w:tblPrEx>
          <w:tblCellMar>
            <w:top w:w="0" w:type="dxa"/>
            <w:left w:w="108" w:type="dxa"/>
            <w:bottom w:w="0" w:type="dxa"/>
            <w:right w:w="108" w:type="dxa"/>
          </w:tblCellMar>
        </w:tblPrEx>
        <w:trPr>
          <w:trHeight w:val="300" w:hRule="atLeast"/>
        </w:trPr>
        <w:tc>
          <w:tcPr>
            <w:tcW w:w="660" w:type="dxa"/>
            <w:tcBorders>
              <w:top w:val="nil"/>
              <w:left w:val="single" w:color="auto" w:sz="4" w:space="0"/>
              <w:bottom w:val="nil"/>
              <w:right w:val="single" w:color="auto" w:sz="4" w:space="0"/>
            </w:tcBorders>
            <w:noWrap w:val="0"/>
            <w:vAlign w:val="top"/>
          </w:tcPr>
          <w:p w14:paraId="0B304ED9">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2560" w:type="dxa"/>
            <w:gridSpan w:val="2"/>
            <w:tcBorders>
              <w:top w:val="single" w:color="auto" w:sz="4" w:space="0"/>
              <w:left w:val="nil"/>
              <w:bottom w:val="single" w:color="auto" w:sz="4" w:space="0"/>
              <w:right w:val="single" w:color="000000" w:sz="4" w:space="0"/>
            </w:tcBorders>
            <w:noWrap w:val="0"/>
            <w:vAlign w:val="top"/>
          </w:tcPr>
          <w:p w14:paraId="1312F3F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专项防治及灭四害</w:t>
            </w:r>
          </w:p>
        </w:tc>
        <w:tc>
          <w:tcPr>
            <w:tcW w:w="1060" w:type="dxa"/>
            <w:tcBorders>
              <w:top w:val="nil"/>
              <w:left w:val="nil"/>
              <w:bottom w:val="single" w:color="auto" w:sz="4" w:space="0"/>
              <w:right w:val="single" w:color="auto" w:sz="4" w:space="0"/>
            </w:tcBorders>
            <w:noWrap w:val="0"/>
            <w:vAlign w:val="top"/>
          </w:tcPr>
          <w:p w14:paraId="3C0A681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3F2E70B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587B57B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FAEE3FF">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single" w:color="auto" w:sz="4" w:space="0"/>
            </w:tcBorders>
            <w:noWrap w:val="0"/>
            <w:vAlign w:val="top"/>
          </w:tcPr>
          <w:p w14:paraId="0E994984">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专项</w:t>
            </w:r>
          </w:p>
        </w:tc>
        <w:tc>
          <w:tcPr>
            <w:tcW w:w="1280" w:type="dxa"/>
            <w:tcBorders>
              <w:top w:val="nil"/>
              <w:left w:val="nil"/>
              <w:bottom w:val="nil"/>
              <w:right w:val="nil"/>
            </w:tcBorders>
            <w:noWrap w:val="0"/>
            <w:vAlign w:val="top"/>
          </w:tcPr>
          <w:p w14:paraId="3C16C79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灾害应对</w:t>
            </w:r>
          </w:p>
        </w:tc>
        <w:tc>
          <w:tcPr>
            <w:tcW w:w="1280" w:type="dxa"/>
            <w:tcBorders>
              <w:top w:val="nil"/>
              <w:left w:val="nil"/>
              <w:bottom w:val="single" w:color="auto" w:sz="4" w:space="0"/>
              <w:right w:val="single" w:color="auto" w:sz="4" w:space="0"/>
            </w:tcBorders>
            <w:noWrap w:val="0"/>
            <w:vAlign w:val="top"/>
          </w:tcPr>
          <w:p w14:paraId="047122C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53EF7C4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2111558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37814F0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AEAE319">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nil"/>
            </w:tcBorders>
            <w:noWrap w:val="0"/>
            <w:vAlign w:val="top"/>
          </w:tcPr>
          <w:p w14:paraId="564324E5">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考评</w:t>
            </w:r>
          </w:p>
        </w:tc>
        <w:tc>
          <w:tcPr>
            <w:tcW w:w="1280" w:type="dxa"/>
            <w:tcBorders>
              <w:top w:val="single" w:color="auto" w:sz="4" w:space="0"/>
              <w:left w:val="single" w:color="auto" w:sz="4" w:space="0"/>
              <w:bottom w:val="nil"/>
              <w:right w:val="single" w:color="auto" w:sz="4" w:space="0"/>
            </w:tcBorders>
            <w:noWrap w:val="0"/>
            <w:vAlign w:val="top"/>
          </w:tcPr>
          <w:p w14:paraId="3DD5FA5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活动专项</w:t>
            </w:r>
          </w:p>
        </w:tc>
        <w:tc>
          <w:tcPr>
            <w:tcW w:w="1280" w:type="dxa"/>
            <w:tcBorders>
              <w:top w:val="nil"/>
              <w:left w:val="nil"/>
              <w:bottom w:val="single" w:color="auto" w:sz="4" w:space="0"/>
              <w:right w:val="single" w:color="auto" w:sz="4" w:space="0"/>
            </w:tcBorders>
            <w:noWrap w:val="0"/>
            <w:vAlign w:val="top"/>
          </w:tcPr>
          <w:p w14:paraId="00205AF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公园美丽办</w:t>
            </w:r>
          </w:p>
        </w:tc>
        <w:tc>
          <w:tcPr>
            <w:tcW w:w="1060" w:type="dxa"/>
            <w:tcBorders>
              <w:top w:val="nil"/>
              <w:left w:val="nil"/>
              <w:bottom w:val="single" w:color="auto" w:sz="4" w:space="0"/>
              <w:right w:val="single" w:color="auto" w:sz="4" w:space="0"/>
            </w:tcBorders>
            <w:noWrap w:val="0"/>
            <w:vAlign w:val="top"/>
          </w:tcPr>
          <w:p w14:paraId="7E47A3C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2C1D9ED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6526A6F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3E0B942B">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nil"/>
            </w:tcBorders>
            <w:noWrap w:val="0"/>
            <w:vAlign w:val="top"/>
          </w:tcPr>
          <w:p w14:paraId="53ABCA5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single" w:color="auto" w:sz="4" w:space="0"/>
              <w:bottom w:val="nil"/>
              <w:right w:val="single" w:color="auto" w:sz="4" w:space="0"/>
            </w:tcBorders>
            <w:noWrap w:val="0"/>
            <w:vAlign w:val="top"/>
          </w:tcPr>
          <w:p w14:paraId="1CC5794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single" w:color="auto" w:sz="4" w:space="0"/>
            </w:tcBorders>
            <w:noWrap w:val="0"/>
            <w:vAlign w:val="top"/>
          </w:tcPr>
          <w:p w14:paraId="7B90E96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局美丽办</w:t>
            </w:r>
          </w:p>
        </w:tc>
        <w:tc>
          <w:tcPr>
            <w:tcW w:w="1060" w:type="dxa"/>
            <w:tcBorders>
              <w:top w:val="nil"/>
              <w:left w:val="nil"/>
              <w:bottom w:val="single" w:color="auto" w:sz="4" w:space="0"/>
              <w:right w:val="single" w:color="auto" w:sz="4" w:space="0"/>
            </w:tcBorders>
            <w:noWrap w:val="0"/>
            <w:vAlign w:val="top"/>
          </w:tcPr>
          <w:p w14:paraId="1C7B638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56CB6191">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07DABC83">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FCDF1EF">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nil"/>
            </w:tcBorders>
            <w:noWrap w:val="0"/>
            <w:vAlign w:val="top"/>
          </w:tcPr>
          <w:p w14:paraId="0592C85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single" w:color="auto" w:sz="4" w:space="0"/>
              <w:bottom w:val="nil"/>
              <w:right w:val="single" w:color="auto" w:sz="4" w:space="0"/>
            </w:tcBorders>
            <w:noWrap w:val="0"/>
            <w:vAlign w:val="top"/>
          </w:tcPr>
          <w:p w14:paraId="4D22444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single" w:color="auto" w:sz="4" w:space="0"/>
            </w:tcBorders>
            <w:noWrap w:val="0"/>
            <w:vAlign w:val="top"/>
          </w:tcPr>
          <w:p w14:paraId="59C0B289">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市美丽办</w:t>
            </w:r>
          </w:p>
        </w:tc>
        <w:tc>
          <w:tcPr>
            <w:tcW w:w="1060" w:type="dxa"/>
            <w:tcBorders>
              <w:top w:val="nil"/>
              <w:left w:val="nil"/>
              <w:bottom w:val="single" w:color="auto" w:sz="4" w:space="0"/>
              <w:right w:val="single" w:color="auto" w:sz="4" w:space="0"/>
            </w:tcBorders>
            <w:noWrap w:val="0"/>
            <w:vAlign w:val="top"/>
          </w:tcPr>
          <w:p w14:paraId="2F2D1BC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72D0569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211A3AC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4AA444D">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nil"/>
            </w:tcBorders>
            <w:noWrap w:val="0"/>
            <w:vAlign w:val="top"/>
          </w:tcPr>
          <w:p w14:paraId="4CAABC7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single" w:color="auto" w:sz="4" w:space="0"/>
              <w:bottom w:val="nil"/>
              <w:right w:val="single" w:color="auto" w:sz="4" w:space="0"/>
            </w:tcBorders>
            <w:noWrap w:val="0"/>
            <w:vAlign w:val="top"/>
          </w:tcPr>
          <w:p w14:paraId="15157A9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single" w:color="auto" w:sz="4" w:space="0"/>
            </w:tcBorders>
            <w:noWrap w:val="0"/>
            <w:vAlign w:val="top"/>
          </w:tcPr>
          <w:p w14:paraId="69F08AC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三优一满意</w:t>
            </w:r>
          </w:p>
        </w:tc>
        <w:tc>
          <w:tcPr>
            <w:tcW w:w="1060" w:type="dxa"/>
            <w:tcBorders>
              <w:top w:val="nil"/>
              <w:left w:val="nil"/>
              <w:bottom w:val="single" w:color="auto" w:sz="4" w:space="0"/>
              <w:right w:val="single" w:color="auto" w:sz="4" w:space="0"/>
            </w:tcBorders>
            <w:noWrap w:val="0"/>
            <w:vAlign w:val="top"/>
          </w:tcPr>
          <w:p w14:paraId="072FA8E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2B1004D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3C5933C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495D76C">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nil"/>
            </w:tcBorders>
            <w:noWrap w:val="0"/>
            <w:vAlign w:val="top"/>
          </w:tcPr>
          <w:p w14:paraId="6BD6151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single" w:color="auto" w:sz="4" w:space="0"/>
              <w:bottom w:val="nil"/>
              <w:right w:val="single" w:color="auto" w:sz="4" w:space="0"/>
            </w:tcBorders>
            <w:noWrap w:val="0"/>
            <w:vAlign w:val="top"/>
          </w:tcPr>
          <w:p w14:paraId="2D9180F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single" w:color="auto" w:sz="4" w:space="0"/>
            </w:tcBorders>
            <w:noWrap w:val="0"/>
            <w:vAlign w:val="top"/>
          </w:tcPr>
          <w:p w14:paraId="5512687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76B2A3A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14F38D5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2E8BF63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40AE5D41">
        <w:tblPrEx>
          <w:tblCellMar>
            <w:top w:w="0" w:type="dxa"/>
            <w:left w:w="108" w:type="dxa"/>
            <w:bottom w:w="0" w:type="dxa"/>
            <w:right w:w="108" w:type="dxa"/>
          </w:tblCellMar>
        </w:tblPrEx>
        <w:trPr>
          <w:trHeight w:val="312" w:hRule="atLeast"/>
        </w:trPr>
        <w:tc>
          <w:tcPr>
            <w:tcW w:w="660" w:type="dxa"/>
            <w:tcBorders>
              <w:top w:val="nil"/>
              <w:left w:val="single" w:color="auto" w:sz="4" w:space="0"/>
              <w:bottom w:val="nil"/>
              <w:right w:val="nil"/>
            </w:tcBorders>
            <w:noWrap w:val="0"/>
            <w:vAlign w:val="top"/>
          </w:tcPr>
          <w:p w14:paraId="19E6ADB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single" w:color="auto" w:sz="4" w:space="0"/>
              <w:bottom w:val="nil"/>
              <w:right w:val="single" w:color="auto" w:sz="4" w:space="0"/>
            </w:tcBorders>
            <w:noWrap w:val="0"/>
            <w:vAlign w:val="top"/>
          </w:tcPr>
          <w:p w14:paraId="64DF314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single" w:color="auto" w:sz="4" w:space="0"/>
            </w:tcBorders>
            <w:noWrap w:val="0"/>
            <w:vAlign w:val="top"/>
          </w:tcPr>
          <w:p w14:paraId="357D0BB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2CF0D81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3E767AE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7873B66C">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2FFE0285">
        <w:tblPrEx>
          <w:tblCellMar>
            <w:top w:w="0" w:type="dxa"/>
            <w:left w:w="108" w:type="dxa"/>
            <w:bottom w:w="0" w:type="dxa"/>
            <w:right w:w="108" w:type="dxa"/>
          </w:tblCellMar>
        </w:tblPrEx>
        <w:trPr>
          <w:trHeight w:val="312" w:hRule="atLeast"/>
        </w:trPr>
        <w:tc>
          <w:tcPr>
            <w:tcW w:w="660" w:type="dxa"/>
            <w:tcBorders>
              <w:top w:val="nil"/>
              <w:left w:val="single" w:color="auto" w:sz="4" w:space="0"/>
              <w:bottom w:val="single" w:color="auto" w:sz="4" w:space="0"/>
              <w:right w:val="nil"/>
            </w:tcBorders>
            <w:noWrap w:val="0"/>
            <w:vAlign w:val="top"/>
          </w:tcPr>
          <w:p w14:paraId="014CD41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single" w:color="auto" w:sz="4" w:space="0"/>
              <w:bottom w:val="single" w:color="auto" w:sz="4" w:space="0"/>
              <w:right w:val="single" w:color="auto" w:sz="4" w:space="0"/>
            </w:tcBorders>
            <w:noWrap w:val="0"/>
            <w:vAlign w:val="top"/>
          </w:tcPr>
          <w:p w14:paraId="3D844F8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280" w:type="dxa"/>
            <w:tcBorders>
              <w:top w:val="nil"/>
              <w:left w:val="nil"/>
              <w:bottom w:val="single" w:color="auto" w:sz="4" w:space="0"/>
              <w:right w:val="single" w:color="auto" w:sz="4" w:space="0"/>
            </w:tcBorders>
            <w:noWrap w:val="0"/>
            <w:vAlign w:val="top"/>
          </w:tcPr>
          <w:p w14:paraId="7A4C268A">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曝光及投诉</w:t>
            </w:r>
          </w:p>
        </w:tc>
        <w:tc>
          <w:tcPr>
            <w:tcW w:w="1060" w:type="dxa"/>
            <w:tcBorders>
              <w:top w:val="nil"/>
              <w:left w:val="nil"/>
              <w:bottom w:val="single" w:color="auto" w:sz="4" w:space="0"/>
              <w:right w:val="single" w:color="auto" w:sz="4" w:space="0"/>
            </w:tcBorders>
            <w:noWrap w:val="0"/>
            <w:vAlign w:val="top"/>
          </w:tcPr>
          <w:p w14:paraId="20172910">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060" w:type="dxa"/>
            <w:tcBorders>
              <w:top w:val="nil"/>
              <w:left w:val="nil"/>
              <w:bottom w:val="single" w:color="auto" w:sz="4" w:space="0"/>
              <w:right w:val="single" w:color="auto" w:sz="4" w:space="0"/>
            </w:tcBorders>
            <w:noWrap w:val="0"/>
            <w:vAlign w:val="top"/>
          </w:tcPr>
          <w:p w14:paraId="6A5E4105">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4328" w:type="dxa"/>
            <w:tcBorders>
              <w:top w:val="nil"/>
              <w:left w:val="nil"/>
              <w:bottom w:val="single" w:color="auto" w:sz="4" w:space="0"/>
              <w:right w:val="single" w:color="auto" w:sz="4" w:space="0"/>
            </w:tcBorders>
            <w:noWrap w:val="0"/>
            <w:vAlign w:val="top"/>
          </w:tcPr>
          <w:p w14:paraId="255940CE">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6AABA5F">
        <w:tblPrEx>
          <w:tblCellMar>
            <w:top w:w="0" w:type="dxa"/>
            <w:left w:w="108" w:type="dxa"/>
            <w:bottom w:w="0" w:type="dxa"/>
            <w:right w:w="108" w:type="dxa"/>
          </w:tblCellMar>
        </w:tblPrEx>
        <w:trPr>
          <w:trHeight w:val="431" w:hRule="atLeast"/>
        </w:trPr>
        <w:tc>
          <w:tcPr>
            <w:tcW w:w="1940" w:type="dxa"/>
            <w:gridSpan w:val="2"/>
            <w:tcBorders>
              <w:top w:val="single" w:color="auto" w:sz="4" w:space="0"/>
              <w:left w:val="single" w:color="auto" w:sz="4" w:space="0"/>
              <w:bottom w:val="single" w:color="auto" w:sz="4" w:space="0"/>
              <w:right w:val="single" w:color="000000" w:sz="4" w:space="0"/>
            </w:tcBorders>
            <w:noWrap w:val="0"/>
            <w:vAlign w:val="top"/>
          </w:tcPr>
          <w:p w14:paraId="7DFA7F98">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月度考核综合得分</w:t>
            </w:r>
          </w:p>
        </w:tc>
        <w:tc>
          <w:tcPr>
            <w:tcW w:w="7728" w:type="dxa"/>
            <w:gridSpan w:val="4"/>
            <w:tcBorders>
              <w:top w:val="single" w:color="auto" w:sz="4" w:space="0"/>
              <w:left w:val="nil"/>
              <w:bottom w:val="single" w:color="auto" w:sz="4" w:space="0"/>
              <w:right w:val="single" w:color="000000" w:sz="4" w:space="0"/>
            </w:tcBorders>
            <w:noWrap w:val="0"/>
            <w:vAlign w:val="top"/>
          </w:tcPr>
          <w:p w14:paraId="1D8BC254">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CAB6C38">
        <w:tblPrEx>
          <w:tblCellMar>
            <w:top w:w="0" w:type="dxa"/>
            <w:left w:w="108" w:type="dxa"/>
            <w:bottom w:w="0" w:type="dxa"/>
            <w:right w:w="108" w:type="dxa"/>
          </w:tblCellMar>
        </w:tblPrEx>
        <w:trPr>
          <w:trHeight w:val="479" w:hRule="atLeast"/>
        </w:trPr>
        <w:tc>
          <w:tcPr>
            <w:tcW w:w="1940" w:type="dxa"/>
            <w:gridSpan w:val="2"/>
            <w:tcBorders>
              <w:top w:val="single" w:color="auto" w:sz="4" w:space="0"/>
              <w:left w:val="single" w:color="auto" w:sz="4" w:space="0"/>
              <w:bottom w:val="single" w:color="auto" w:sz="4" w:space="0"/>
              <w:right w:val="single" w:color="000000" w:sz="4" w:space="0"/>
            </w:tcBorders>
            <w:noWrap w:val="0"/>
            <w:vAlign w:val="top"/>
          </w:tcPr>
          <w:p w14:paraId="3975D9B2">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考核等次</w:t>
            </w:r>
          </w:p>
        </w:tc>
        <w:tc>
          <w:tcPr>
            <w:tcW w:w="7728" w:type="dxa"/>
            <w:gridSpan w:val="4"/>
            <w:tcBorders>
              <w:top w:val="single" w:color="auto" w:sz="4" w:space="0"/>
              <w:left w:val="nil"/>
              <w:bottom w:val="single" w:color="auto" w:sz="4" w:space="0"/>
              <w:right w:val="single" w:color="000000" w:sz="4" w:space="0"/>
            </w:tcBorders>
            <w:noWrap w:val="0"/>
            <w:vAlign w:val="top"/>
          </w:tcPr>
          <w:p w14:paraId="4E8E435B">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556A6097">
        <w:tblPrEx>
          <w:tblCellMar>
            <w:top w:w="0" w:type="dxa"/>
            <w:left w:w="108" w:type="dxa"/>
            <w:bottom w:w="0" w:type="dxa"/>
            <w:right w:w="108" w:type="dxa"/>
          </w:tblCellMar>
        </w:tblPrEx>
        <w:trPr>
          <w:trHeight w:val="425" w:hRule="atLeast"/>
        </w:trPr>
        <w:tc>
          <w:tcPr>
            <w:tcW w:w="1940" w:type="dxa"/>
            <w:gridSpan w:val="2"/>
            <w:tcBorders>
              <w:top w:val="single" w:color="auto" w:sz="4" w:space="0"/>
              <w:left w:val="single" w:color="auto" w:sz="4" w:space="0"/>
              <w:bottom w:val="single" w:color="auto" w:sz="4" w:space="0"/>
              <w:right w:val="single" w:color="000000" w:sz="4" w:space="0"/>
            </w:tcBorders>
            <w:noWrap w:val="0"/>
            <w:vAlign w:val="top"/>
          </w:tcPr>
          <w:p w14:paraId="7894367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月度服务费</w:t>
            </w:r>
          </w:p>
        </w:tc>
        <w:tc>
          <w:tcPr>
            <w:tcW w:w="7728" w:type="dxa"/>
            <w:gridSpan w:val="4"/>
            <w:tcBorders>
              <w:top w:val="single" w:color="auto" w:sz="4" w:space="0"/>
              <w:left w:val="nil"/>
              <w:bottom w:val="single" w:color="auto" w:sz="4" w:space="0"/>
              <w:right w:val="single" w:color="000000" w:sz="4" w:space="0"/>
            </w:tcBorders>
            <w:noWrap w:val="0"/>
            <w:vAlign w:val="top"/>
          </w:tcPr>
          <w:p w14:paraId="2A1E9866">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                                       （万元）</w:t>
            </w:r>
          </w:p>
        </w:tc>
      </w:tr>
      <w:tr w14:paraId="36F5F33D">
        <w:tblPrEx>
          <w:tblCellMar>
            <w:top w:w="0" w:type="dxa"/>
            <w:left w:w="108" w:type="dxa"/>
            <w:bottom w:w="0" w:type="dxa"/>
            <w:right w:w="108" w:type="dxa"/>
          </w:tblCellMar>
        </w:tblPrEx>
        <w:trPr>
          <w:trHeight w:val="945" w:hRule="atLeast"/>
        </w:trPr>
        <w:tc>
          <w:tcPr>
            <w:tcW w:w="660" w:type="dxa"/>
            <w:tcBorders>
              <w:top w:val="nil"/>
              <w:left w:val="single" w:color="auto" w:sz="4" w:space="0"/>
              <w:bottom w:val="single" w:color="auto" w:sz="4" w:space="0"/>
              <w:right w:val="single" w:color="auto" w:sz="4" w:space="0"/>
            </w:tcBorders>
            <w:noWrap w:val="0"/>
            <w:vAlign w:val="center"/>
          </w:tcPr>
          <w:p w14:paraId="7474DC0F">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主要问题</w:t>
            </w:r>
          </w:p>
        </w:tc>
        <w:tc>
          <w:tcPr>
            <w:tcW w:w="9008" w:type="dxa"/>
            <w:gridSpan w:val="5"/>
            <w:tcBorders>
              <w:top w:val="single" w:color="auto" w:sz="4" w:space="0"/>
              <w:left w:val="nil"/>
              <w:bottom w:val="single" w:color="auto" w:sz="4" w:space="0"/>
              <w:right w:val="single" w:color="000000" w:sz="4" w:space="0"/>
            </w:tcBorders>
            <w:noWrap w:val="0"/>
            <w:vAlign w:val="center"/>
          </w:tcPr>
          <w:p w14:paraId="5096107D">
            <w:pPr>
              <w:widowControl/>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63F30E27">
        <w:tblPrEx>
          <w:tblCellMar>
            <w:top w:w="0" w:type="dxa"/>
            <w:left w:w="108" w:type="dxa"/>
            <w:bottom w:w="0" w:type="dxa"/>
            <w:right w:w="108" w:type="dxa"/>
          </w:tblCellMar>
        </w:tblPrEx>
        <w:trPr>
          <w:trHeight w:val="1878" w:hRule="atLeast"/>
        </w:trPr>
        <w:tc>
          <w:tcPr>
            <w:tcW w:w="9668" w:type="dxa"/>
            <w:gridSpan w:val="6"/>
            <w:noWrap w:val="0"/>
            <w:vAlign w:val="top"/>
          </w:tcPr>
          <w:p w14:paraId="745D3BF6">
            <w:pPr>
              <w:rPr>
                <w:rFonts w:ascii="宋体" w:hAnsi="宋体"/>
                <w:color w:val="auto"/>
                <w:kern w:val="0"/>
                <w:szCs w:val="21"/>
                <w:highlight w:val="none"/>
              </w:rPr>
            </w:pPr>
          </w:p>
          <w:p w14:paraId="2E1C7E9A">
            <w:pPr>
              <w:rPr>
                <w:rFonts w:ascii="宋体" w:hAnsi="宋体"/>
                <w:bCs/>
                <w:color w:val="auto"/>
                <w:szCs w:val="21"/>
                <w:highlight w:val="none"/>
              </w:rPr>
            </w:pPr>
            <w:r>
              <w:rPr>
                <w:rFonts w:hint="eastAsia" w:ascii="宋体" w:hAnsi="宋体"/>
                <w:color w:val="auto"/>
                <w:kern w:val="0"/>
                <w:szCs w:val="21"/>
                <w:highlight w:val="none"/>
              </w:rPr>
              <w:t>南宁市石门公园（盖章）                               服务供应公司名称（盖章）：</w:t>
            </w:r>
          </w:p>
          <w:p w14:paraId="5855906E">
            <w:pPr>
              <w:rPr>
                <w:rFonts w:ascii="宋体" w:hAnsi="宋体"/>
                <w:color w:val="auto"/>
                <w:kern w:val="0"/>
                <w:szCs w:val="21"/>
                <w:highlight w:val="none"/>
              </w:rPr>
            </w:pPr>
          </w:p>
          <w:p w14:paraId="6A63C175">
            <w:pPr>
              <w:rPr>
                <w:rFonts w:ascii="宋体" w:hAnsi="宋体"/>
                <w:color w:val="auto"/>
                <w:kern w:val="0"/>
                <w:szCs w:val="21"/>
                <w:highlight w:val="none"/>
              </w:rPr>
            </w:pPr>
          </w:p>
          <w:p w14:paraId="191E1850">
            <w:pPr>
              <w:rPr>
                <w:rFonts w:ascii="宋体" w:hAnsi="宋体"/>
                <w:color w:val="auto"/>
                <w:kern w:val="0"/>
                <w:szCs w:val="21"/>
                <w:highlight w:val="none"/>
              </w:rPr>
            </w:pPr>
            <w:r>
              <w:rPr>
                <w:rFonts w:hint="eastAsia" w:ascii="宋体" w:hAnsi="宋体"/>
                <w:color w:val="auto"/>
                <w:kern w:val="0"/>
                <w:szCs w:val="21"/>
                <w:highlight w:val="none"/>
              </w:rPr>
              <w:t>制表；               审核：                        经办人签名：</w:t>
            </w:r>
          </w:p>
          <w:p w14:paraId="426F87E9">
            <w:pPr>
              <w:rPr>
                <w:rFonts w:ascii="宋体" w:hAnsi="宋体"/>
                <w:color w:val="auto"/>
                <w:kern w:val="0"/>
                <w:szCs w:val="21"/>
                <w:highlight w:val="none"/>
              </w:rPr>
            </w:pPr>
          </w:p>
          <w:p w14:paraId="3344652E">
            <w:pPr>
              <w:rPr>
                <w:rFonts w:ascii="宋体" w:hAnsi="宋体"/>
                <w:color w:val="auto"/>
                <w:kern w:val="0"/>
                <w:szCs w:val="21"/>
                <w:highlight w:val="none"/>
              </w:rPr>
            </w:pPr>
            <w:r>
              <w:rPr>
                <w:rFonts w:hint="eastAsia" w:ascii="宋体" w:hAnsi="宋体"/>
                <w:color w:val="auto"/>
                <w:kern w:val="0"/>
                <w:szCs w:val="21"/>
                <w:highlight w:val="none"/>
              </w:rPr>
              <w:t>复核：              分管领导;</w:t>
            </w:r>
          </w:p>
          <w:p w14:paraId="4F65FB35">
            <w:pPr>
              <w:rPr>
                <w:rFonts w:ascii="宋体" w:hAnsi="宋体"/>
                <w:color w:val="auto"/>
                <w:kern w:val="0"/>
                <w:szCs w:val="21"/>
                <w:highlight w:val="none"/>
              </w:rPr>
            </w:pPr>
          </w:p>
        </w:tc>
      </w:tr>
    </w:tbl>
    <w:p w14:paraId="3A4CA8B7">
      <w:pPr>
        <w:outlineLvl w:val="9"/>
        <w:rPr>
          <w:rFonts w:hint="eastAsia" w:ascii="宋体" w:hAnsi="宋体" w:eastAsia="宋体" w:cs="宋体"/>
          <w:color w:val="auto"/>
          <w:sz w:val="28"/>
          <w:szCs w:val="28"/>
          <w:highlight w:val="none"/>
          <w:lang w:val="en-US" w:eastAsia="zh-CN"/>
        </w:rPr>
        <w:sectPr>
          <w:pgSz w:w="11906" w:h="16838"/>
          <w:pgMar w:top="1020" w:right="1134" w:bottom="1020" w:left="1134" w:header="851" w:footer="992" w:gutter="0"/>
          <w:pgBorders>
            <w:top w:val="none" w:sz="0" w:space="0"/>
            <w:left w:val="none" w:sz="0" w:space="0"/>
            <w:bottom w:val="none" w:sz="0" w:space="0"/>
            <w:right w:val="none" w:sz="0" w:space="0"/>
          </w:pgBorders>
          <w:cols w:space="720" w:num="1"/>
          <w:docGrid w:type="lines" w:linePitch="312" w:charSpace="0"/>
        </w:sectPr>
      </w:pPr>
    </w:p>
    <w:p w14:paraId="28D86FDF">
      <w:pPr>
        <w:outlineLvl w:val="9"/>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附件4-2-5</w:t>
      </w:r>
    </w:p>
    <w:p w14:paraId="603F2403">
      <w:pPr>
        <w:jc w:val="center"/>
        <w:rPr>
          <w:rFonts w:ascii="宋体"/>
          <w:b/>
          <w:bCs/>
          <w:color w:val="auto"/>
          <w:sz w:val="32"/>
          <w:szCs w:val="32"/>
          <w:highlight w:val="none"/>
        </w:rPr>
      </w:pPr>
      <w:r>
        <w:rPr>
          <w:rFonts w:hint="eastAsia" w:ascii="宋体" w:hAnsi="宋体"/>
          <w:b/>
          <w:bCs/>
          <w:color w:val="auto"/>
          <w:sz w:val="32"/>
          <w:szCs w:val="32"/>
          <w:highlight w:val="none"/>
        </w:rPr>
        <w:t>南宁市石门公园绿化作业安全管理办法</w:t>
      </w:r>
    </w:p>
    <w:p w14:paraId="106F474F">
      <w:pPr>
        <w:rPr>
          <w:rFonts w:ascii="宋体"/>
          <w:color w:val="auto"/>
          <w:highlight w:val="none"/>
        </w:rPr>
      </w:pPr>
    </w:p>
    <w:p w14:paraId="53DC37B0">
      <w:pPr>
        <w:pStyle w:val="11"/>
        <w:spacing w:line="520" w:lineRule="exact"/>
        <w:ind w:left="0" w:leftChars="0" w:firstLine="398" w:firstLineChars="196"/>
        <w:outlineLvl w:val="9"/>
        <w:rPr>
          <w:rFonts w:hAnsi="宋体"/>
          <w:b/>
          <w:bCs/>
          <w:color w:val="auto"/>
          <w:sz w:val="21"/>
          <w:szCs w:val="21"/>
          <w:highlight w:val="none"/>
        </w:rPr>
      </w:pPr>
      <w:r>
        <w:rPr>
          <w:rFonts w:hint="eastAsia" w:hAnsi="宋体"/>
          <w:b/>
          <w:bCs/>
          <w:color w:val="auto"/>
          <w:sz w:val="21"/>
          <w:szCs w:val="21"/>
          <w:highlight w:val="none"/>
        </w:rPr>
        <w:t>一、总则</w:t>
      </w:r>
    </w:p>
    <w:p w14:paraId="654C87B2">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中标人必须对生产作业一线人员进行生产作业的安全教育和培训，保证作业人员具备必要的安全生产作业知识，熟悉有关的安全生产作业规章制度和安全操作规程，掌握本岗位的安全操作技能，经安全教育和培训并考试合格后方可上岗。</w:t>
      </w:r>
    </w:p>
    <w:p w14:paraId="4CED4060">
      <w:pPr>
        <w:pStyle w:val="11"/>
        <w:spacing w:line="520" w:lineRule="exact"/>
        <w:ind w:left="0" w:leftChars="0" w:firstLine="398" w:firstLineChars="196"/>
        <w:outlineLvl w:val="9"/>
        <w:rPr>
          <w:rFonts w:hAnsi="宋体"/>
          <w:b/>
          <w:bCs/>
          <w:color w:val="auto"/>
          <w:sz w:val="21"/>
          <w:szCs w:val="21"/>
          <w:highlight w:val="none"/>
        </w:rPr>
      </w:pPr>
      <w:r>
        <w:rPr>
          <w:rFonts w:hint="eastAsia" w:hAnsi="宋体"/>
          <w:b/>
          <w:bCs/>
          <w:color w:val="auto"/>
          <w:sz w:val="21"/>
          <w:szCs w:val="21"/>
          <w:highlight w:val="none"/>
        </w:rPr>
        <w:t>二、绿化作业人员作业规范</w:t>
      </w:r>
      <w:r>
        <w:rPr>
          <w:rFonts w:hAnsi="宋体"/>
          <w:b/>
          <w:bCs/>
          <w:color w:val="auto"/>
          <w:sz w:val="21"/>
          <w:szCs w:val="21"/>
          <w:highlight w:val="none"/>
        </w:rPr>
        <w:t xml:space="preserve"> </w:t>
      </w:r>
      <w:r>
        <w:rPr>
          <w:rFonts w:hint="eastAsia" w:hAnsi="宋体"/>
          <w:b/>
          <w:bCs/>
          <w:color w:val="auto"/>
          <w:sz w:val="21"/>
          <w:szCs w:val="21"/>
          <w:highlight w:val="none"/>
        </w:rPr>
        <w:t>（含植保、整形）</w:t>
      </w:r>
    </w:p>
    <w:p w14:paraId="3634A6D0">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（一）养护人员在进行养护工作时必须穿统一的工作服。</w:t>
      </w:r>
    </w:p>
    <w:p w14:paraId="5819FDFB">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（二）使用打草机及绿篱修剪机、油锯等机械时，首先必须检查好器械的性能，使用前对草地及色块进行检查，清理石块、铁线等杂物，戴好防护眼镜、安全帽等防护用具，并做好警示标志。</w:t>
      </w:r>
    </w:p>
    <w:p w14:paraId="66CA591D">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（三）植保工作，触及农药时，必须戴好胶手套、口罩、眼镜等防护品。</w:t>
      </w:r>
    </w:p>
    <w:p w14:paraId="5AAF975D">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（四）高大乔木整形、修剪工作时，必须戴好安全帽，在高枝车上或上树后系好安全绳。</w:t>
      </w:r>
    </w:p>
    <w:p w14:paraId="181ED72D">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（五）水车淋水工、植保工在车上作业时必须穿安全防护服，戴安全帽。如工作需要登上水箱，必须系好安全绳。</w:t>
      </w:r>
    </w:p>
    <w:p w14:paraId="4B5D2DDA">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（六）使用锄、铲、斧等工具前要先检查其是否牢固，操作时要注意周围，避免对面和交叉作业。</w:t>
      </w:r>
    </w:p>
    <w:p w14:paraId="224CAFEA">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（七）</w:t>
      </w:r>
      <w:r>
        <w:rPr>
          <w:rFonts w:hAnsi="宋体"/>
          <w:color w:val="auto"/>
          <w:sz w:val="21"/>
          <w:szCs w:val="21"/>
          <w:highlight w:val="none"/>
        </w:rPr>
        <w:t xml:space="preserve"> </w:t>
      </w:r>
      <w:r>
        <w:rPr>
          <w:rFonts w:hint="eastAsia" w:hAnsi="宋体"/>
          <w:color w:val="auto"/>
          <w:sz w:val="21"/>
          <w:szCs w:val="21"/>
          <w:highlight w:val="none"/>
        </w:rPr>
        <w:t>反光安全锥、警示牌的放置</w:t>
      </w:r>
    </w:p>
    <w:p w14:paraId="17B6CA2C">
      <w:pPr>
        <w:pStyle w:val="11"/>
        <w:spacing w:line="520" w:lineRule="exact"/>
        <w:ind w:left="0" w:leftChars="0" w:firstLine="395" w:firstLineChars="196"/>
        <w:rPr>
          <w:rFonts w:hAnsi="宋体"/>
          <w:color w:val="auto"/>
          <w:sz w:val="21"/>
          <w:szCs w:val="21"/>
          <w:highlight w:val="none"/>
        </w:rPr>
      </w:pPr>
      <w:r>
        <w:rPr>
          <w:rFonts w:hAnsi="宋体"/>
          <w:color w:val="auto"/>
          <w:sz w:val="21"/>
          <w:szCs w:val="21"/>
          <w:highlight w:val="none"/>
        </w:rPr>
        <w:t>1.</w:t>
      </w:r>
      <w:r>
        <w:rPr>
          <w:rFonts w:hint="eastAsia" w:hAnsi="宋体"/>
          <w:color w:val="auto"/>
          <w:sz w:val="21"/>
          <w:szCs w:val="21"/>
          <w:highlight w:val="none"/>
        </w:rPr>
        <w:t>工作范围应放置反光安全锥或警示带包围。警示牌应放置在安全锥前方</w:t>
      </w:r>
      <w:r>
        <w:rPr>
          <w:rFonts w:hAnsi="宋体"/>
          <w:color w:val="auto"/>
          <w:sz w:val="21"/>
          <w:szCs w:val="21"/>
          <w:highlight w:val="none"/>
        </w:rPr>
        <w:t>20</w:t>
      </w:r>
      <w:r>
        <w:rPr>
          <w:rFonts w:hint="eastAsia" w:hAnsi="宋体"/>
          <w:color w:val="auto"/>
          <w:sz w:val="21"/>
          <w:szCs w:val="21"/>
          <w:highlight w:val="none"/>
        </w:rPr>
        <w:t>米处，并确保稳固。</w:t>
      </w:r>
    </w:p>
    <w:p w14:paraId="4527F53C">
      <w:pPr>
        <w:pStyle w:val="11"/>
        <w:spacing w:line="520" w:lineRule="exact"/>
        <w:ind w:left="0" w:leftChars="0" w:firstLine="395" w:firstLineChars="196"/>
        <w:rPr>
          <w:rFonts w:hAnsi="宋体"/>
          <w:color w:val="auto"/>
          <w:sz w:val="21"/>
          <w:szCs w:val="21"/>
          <w:highlight w:val="none"/>
        </w:rPr>
      </w:pPr>
      <w:r>
        <w:rPr>
          <w:rFonts w:hAnsi="宋体"/>
          <w:color w:val="auto"/>
          <w:sz w:val="21"/>
          <w:szCs w:val="21"/>
          <w:highlight w:val="none"/>
        </w:rPr>
        <w:t>2.</w:t>
      </w:r>
      <w:r>
        <w:rPr>
          <w:rFonts w:hint="eastAsia" w:hAnsi="宋体"/>
          <w:color w:val="auto"/>
          <w:sz w:val="21"/>
          <w:szCs w:val="21"/>
          <w:highlight w:val="none"/>
        </w:rPr>
        <w:t>在园路上作业时，应在醒目处放置“绿化作业，小心绕行”的警示牌。</w:t>
      </w:r>
    </w:p>
    <w:p w14:paraId="741B7DFE">
      <w:pPr>
        <w:pStyle w:val="11"/>
        <w:spacing w:line="520" w:lineRule="exact"/>
        <w:ind w:left="0" w:leftChars="0" w:firstLine="398" w:firstLineChars="196"/>
        <w:rPr>
          <w:rFonts w:hAnsi="宋体"/>
          <w:b/>
          <w:bCs/>
          <w:color w:val="auto"/>
          <w:sz w:val="21"/>
          <w:szCs w:val="21"/>
          <w:highlight w:val="none"/>
        </w:rPr>
      </w:pPr>
      <w:r>
        <w:rPr>
          <w:rFonts w:hint="eastAsia" w:hAnsi="宋体"/>
          <w:b/>
          <w:bCs/>
          <w:color w:val="auto"/>
          <w:sz w:val="21"/>
          <w:szCs w:val="21"/>
          <w:highlight w:val="none"/>
        </w:rPr>
        <w:t>三、农药的保存、出库、配比及喷用作业规范</w:t>
      </w:r>
    </w:p>
    <w:p w14:paraId="4B527759">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（一）农药保存过程中，要在仓库贴好明显的警示标志，使用或搬运过程中，要轻拿轻放，泄</w:t>
      </w:r>
      <w:r>
        <w:rPr>
          <w:rFonts w:hint="eastAsia" w:hAnsi="宋体"/>
          <w:color w:val="auto"/>
          <w:sz w:val="21"/>
          <w:szCs w:val="21"/>
          <w:highlight w:val="none"/>
          <w:lang w:val="en-US" w:eastAsia="zh-CN"/>
        </w:rPr>
        <w:t>漏</w:t>
      </w:r>
      <w:r>
        <w:rPr>
          <w:rFonts w:hint="eastAsia" w:hAnsi="宋体"/>
          <w:color w:val="auto"/>
          <w:sz w:val="21"/>
          <w:szCs w:val="21"/>
          <w:highlight w:val="none"/>
        </w:rPr>
        <w:t>的药物应及时清理。</w:t>
      </w:r>
    </w:p>
    <w:p w14:paraId="2C153960">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（二）完善出库登记制度，用完后的空药瓶应丢放在指定地点，剩余药品及时放回仓库。</w:t>
      </w:r>
    </w:p>
    <w:p w14:paraId="3135A345">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（三）配药时应严格按说明书进行配比，用药量准确，不发生药害。</w:t>
      </w:r>
    </w:p>
    <w:p w14:paraId="59A72A92">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（四）喷施农药过程中，要注意观察风向和周围环境，尽量避开行人、居民、车辆、各类物品，确定安全后方能进行。</w:t>
      </w:r>
    </w:p>
    <w:p w14:paraId="25CA820D">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（五）在农药车作业时，应配备三个人，一人先就有可能喷到农药的范围内说服游客及时撤离，一人操控喷头，一人观察操控过程的安全问题及喷雾是否到位。</w:t>
      </w:r>
    </w:p>
    <w:p w14:paraId="416C99F3">
      <w:pPr>
        <w:pStyle w:val="11"/>
        <w:spacing w:line="520" w:lineRule="exact"/>
        <w:ind w:left="0" w:leftChars="0" w:firstLine="398" w:firstLineChars="196"/>
        <w:rPr>
          <w:rFonts w:hAnsi="宋体"/>
          <w:b/>
          <w:bCs/>
          <w:color w:val="auto"/>
          <w:sz w:val="21"/>
          <w:szCs w:val="21"/>
          <w:highlight w:val="none"/>
        </w:rPr>
      </w:pPr>
      <w:r>
        <w:rPr>
          <w:rFonts w:hint="eastAsia" w:hAnsi="宋体"/>
          <w:b/>
          <w:bCs/>
          <w:color w:val="auto"/>
          <w:sz w:val="21"/>
          <w:szCs w:val="21"/>
          <w:highlight w:val="none"/>
        </w:rPr>
        <w:t>四、车辆使用基本规定</w:t>
      </w:r>
    </w:p>
    <w:p w14:paraId="5241D255">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（一）严厉禁止酒后驾车、无证驾驶等违规行为。司机驾驶车辆时应集中精力并慢行。</w:t>
      </w:r>
    </w:p>
    <w:p w14:paraId="06886E76">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（二）汽车发动前要绕车检查车辆一周，检查好车况。</w:t>
      </w:r>
    </w:p>
    <w:p w14:paraId="7B680567">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（三）水车、喷药车等在作业时，应响警示音乐。</w:t>
      </w:r>
    </w:p>
    <w:p w14:paraId="7DCC8ECB">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四）使用高空作业车、吊车时，必须在施工范围内设置警示标志，起吊重物要有必要的防护措施。吊车使用过程中，要确保吊车的正常负荷，提升吊物时，应确保提绳角度均匀。吊车起吊时绳缆要牢固；统一指挥，信号明确；吊臂下严禁站人。</w:t>
      </w:r>
    </w:p>
    <w:p w14:paraId="5F46146C">
      <w:pPr>
        <w:pStyle w:val="11"/>
        <w:spacing w:line="520" w:lineRule="exact"/>
        <w:ind w:left="0" w:leftChars="0" w:firstLine="398" w:firstLineChars="196"/>
        <w:rPr>
          <w:rFonts w:hAnsi="宋体"/>
          <w:b/>
          <w:bCs/>
          <w:color w:val="auto"/>
          <w:sz w:val="21"/>
          <w:szCs w:val="21"/>
          <w:highlight w:val="none"/>
        </w:rPr>
      </w:pPr>
      <w:r>
        <w:rPr>
          <w:rFonts w:hint="eastAsia" w:hAnsi="宋体"/>
          <w:b/>
          <w:bCs/>
          <w:color w:val="auto"/>
          <w:sz w:val="21"/>
          <w:szCs w:val="21"/>
          <w:highlight w:val="none"/>
        </w:rPr>
        <w:t>五、高大乔木整形、修剪及在供电线路勾枝作业规范</w:t>
      </w:r>
    </w:p>
    <w:p w14:paraId="34EB23DC">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（一）操作时必须听从专人指挥。</w:t>
      </w:r>
    </w:p>
    <w:p w14:paraId="66899796">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（二）下树、打枝前必须做好险情鉴定后方能进行操作。要有专人维护现场，设安全锥或警示带围合，阻止游客进入。</w:t>
      </w:r>
    </w:p>
    <w:p w14:paraId="55ED3819">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三）操作时思想集中，不许打闹谈笑，上树前不许饮酒；上大树的梯子必须牢固、立稳，单面梯将上部横档与树身捆住，人字梯中腰拴绳，角度开张适当；五级以上大风不可上树；截除大枝要由有经验的专人指挥操作。有高血压及心脏病者，不准上树；修剪工具要坚固耐用，防止误伤或影响工作；不得从一棵树跳到另一棵树上，必须下树重上。</w:t>
      </w:r>
    </w:p>
    <w:p w14:paraId="340ADBAA">
      <w:pPr>
        <w:pStyle w:val="11"/>
        <w:spacing w:line="520" w:lineRule="exact"/>
        <w:ind w:left="0" w:leftChars="0" w:firstLine="398" w:firstLineChars="196"/>
        <w:rPr>
          <w:rFonts w:hAnsi="宋体"/>
          <w:b/>
          <w:bCs/>
          <w:color w:val="auto"/>
          <w:sz w:val="21"/>
          <w:szCs w:val="21"/>
          <w:highlight w:val="none"/>
        </w:rPr>
      </w:pPr>
      <w:r>
        <w:rPr>
          <w:rFonts w:hint="eastAsia" w:hAnsi="宋体"/>
          <w:b/>
          <w:bCs/>
          <w:color w:val="auto"/>
          <w:sz w:val="21"/>
          <w:szCs w:val="21"/>
          <w:highlight w:val="none"/>
        </w:rPr>
        <w:t>六、突发事故应急处理</w:t>
      </w:r>
    </w:p>
    <w:p w14:paraId="5AD4A6D8">
      <w:pPr>
        <w:pStyle w:val="11"/>
        <w:spacing w:line="520" w:lineRule="exact"/>
        <w:ind w:left="0" w:leftChars="0" w:firstLine="395" w:firstLineChars="196"/>
        <w:rPr>
          <w:rFonts w:hAnsi="宋体"/>
          <w:color w:val="auto"/>
          <w:sz w:val="21"/>
          <w:szCs w:val="21"/>
          <w:highlight w:val="none"/>
        </w:rPr>
      </w:pPr>
      <w:r>
        <w:rPr>
          <w:rFonts w:hint="eastAsia" w:hAnsi="宋体"/>
          <w:color w:val="auto"/>
          <w:sz w:val="21"/>
          <w:szCs w:val="21"/>
          <w:highlight w:val="none"/>
        </w:rPr>
        <w:t>做好事故前期的应急处理，及时上报并快速反应，及时、果断、妥善处置。具体参照《南宁市园林系统安全生产事故应急预案》进行实施。</w:t>
      </w:r>
    </w:p>
    <w:p w14:paraId="23D8308F">
      <w:pPr>
        <w:pStyle w:val="11"/>
        <w:spacing w:line="520" w:lineRule="exact"/>
        <w:ind w:firstLine="0"/>
        <w:rPr>
          <w:rFonts w:hAnsi="宋体"/>
          <w:color w:val="auto"/>
          <w:sz w:val="21"/>
          <w:szCs w:val="21"/>
          <w:highlight w:val="none"/>
        </w:rPr>
      </w:pPr>
    </w:p>
    <w:p w14:paraId="2ED50EFF">
      <w:pPr>
        <w:pStyle w:val="11"/>
        <w:spacing w:line="520" w:lineRule="exact"/>
        <w:jc w:val="center"/>
        <w:rPr>
          <w:rFonts w:hAnsi="宋体"/>
          <w:color w:val="auto"/>
          <w:sz w:val="21"/>
          <w:szCs w:val="21"/>
          <w:highlight w:val="none"/>
        </w:rPr>
      </w:pPr>
      <w:r>
        <w:rPr>
          <w:rFonts w:hAnsi="宋体"/>
          <w:color w:val="auto"/>
          <w:sz w:val="21"/>
          <w:szCs w:val="21"/>
          <w:highlight w:val="none"/>
        </w:rPr>
        <w:t xml:space="preserve">                                                  </w:t>
      </w:r>
      <w:r>
        <w:rPr>
          <w:rFonts w:hint="eastAsia" w:hAnsi="宋体"/>
          <w:color w:val="auto"/>
          <w:sz w:val="21"/>
          <w:szCs w:val="21"/>
          <w:highlight w:val="none"/>
        </w:rPr>
        <w:t>南宁市石门公园</w:t>
      </w:r>
    </w:p>
    <w:p w14:paraId="610A7F85">
      <w:pPr>
        <w:pStyle w:val="11"/>
        <w:spacing w:line="520" w:lineRule="exact"/>
        <w:jc w:val="center"/>
        <w:rPr>
          <w:rFonts w:ascii="Times New Roman" w:hAnsi="Times New Roman"/>
          <w:b/>
          <w:bCs/>
          <w:color w:val="auto"/>
          <w:sz w:val="36"/>
          <w:szCs w:val="36"/>
          <w:highlight w:val="none"/>
        </w:rPr>
      </w:pPr>
      <w:r>
        <w:rPr>
          <w:rFonts w:hAnsi="宋体"/>
          <w:color w:val="auto"/>
          <w:sz w:val="21"/>
          <w:szCs w:val="21"/>
          <w:highlight w:val="none"/>
        </w:rPr>
        <w:t xml:space="preserve">                                                 </w:t>
      </w:r>
      <w:r>
        <w:rPr>
          <w:rFonts w:hint="eastAsia" w:hAnsi="宋体"/>
          <w:color w:val="auto"/>
          <w:sz w:val="21"/>
          <w:szCs w:val="21"/>
          <w:highlight w:val="none"/>
        </w:rPr>
        <w:t>年     月</w:t>
      </w:r>
    </w:p>
    <w:p w14:paraId="4C7D74E3">
      <w:pPr>
        <w:rPr>
          <w:rFonts w:hint="eastAsia" w:ascii="宋体" w:hAnsi="宋体" w:eastAsia="宋体" w:cs="宋体"/>
          <w:color w:val="auto"/>
          <w:sz w:val="28"/>
          <w:szCs w:val="28"/>
          <w:highlight w:val="none"/>
          <w:lang w:val="en-US" w:eastAsia="zh-CN"/>
        </w:rPr>
      </w:pPr>
      <w:r>
        <w:rPr>
          <w:rFonts w:hint="default"/>
          <w:color w:val="auto"/>
          <w:highlight w:val="none"/>
          <w:lang w:val="en-US" w:eastAsia="zh-CN"/>
        </w:rPr>
        <w:br w:type="page"/>
      </w:r>
      <w:r>
        <w:rPr>
          <w:rFonts w:hint="eastAsia" w:ascii="宋体" w:hAnsi="宋体" w:eastAsia="宋体" w:cs="宋体"/>
          <w:b/>
          <w:bCs/>
          <w:color w:val="auto"/>
          <w:sz w:val="28"/>
          <w:szCs w:val="28"/>
          <w:highlight w:val="none"/>
          <w:lang w:val="en-US" w:eastAsia="zh-CN"/>
        </w:rPr>
        <w:t>附件4-2-6</w:t>
      </w:r>
    </w:p>
    <w:p w14:paraId="66EC1FE5">
      <w:pPr>
        <w:widowControl/>
        <w:jc w:val="center"/>
        <w:rPr>
          <w:rFonts w:ascii="宋体"/>
          <w:b/>
          <w:bCs/>
          <w:color w:val="auto"/>
          <w:kern w:val="0"/>
          <w:sz w:val="30"/>
          <w:szCs w:val="30"/>
          <w:highlight w:val="none"/>
        </w:rPr>
      </w:pPr>
      <w:r>
        <w:rPr>
          <w:rFonts w:hint="eastAsia" w:ascii="宋体" w:hAnsi="宋体"/>
          <w:b/>
          <w:bCs/>
          <w:color w:val="auto"/>
          <w:kern w:val="0"/>
          <w:sz w:val="30"/>
          <w:szCs w:val="30"/>
          <w:highlight w:val="none"/>
        </w:rPr>
        <w:t>广西城市绿化养护规范及验收要求</w:t>
      </w:r>
    </w:p>
    <w:p w14:paraId="5BCFBA6E">
      <w:pPr>
        <w:widowControl/>
        <w:jc w:val="center"/>
        <w:rPr>
          <w:rFonts w:ascii="宋体"/>
          <w:color w:val="auto"/>
          <w:kern w:val="0"/>
          <w:highlight w:val="none"/>
        </w:rPr>
      </w:pPr>
      <w:r>
        <w:rPr>
          <w:rFonts w:hint="eastAsia" w:ascii="宋体" w:hAnsi="宋体"/>
          <w:color w:val="auto"/>
          <w:kern w:val="0"/>
          <w:highlight w:val="none"/>
        </w:rPr>
        <w:t>（</w:t>
      </w:r>
      <w:r>
        <w:rPr>
          <w:rFonts w:ascii="宋体" w:hAnsi="宋体"/>
          <w:color w:val="auto"/>
          <w:kern w:val="0"/>
          <w:highlight w:val="none"/>
        </w:rPr>
        <w:t>DB45/T 449—2007</w:t>
      </w:r>
      <w:r>
        <w:rPr>
          <w:rFonts w:hint="eastAsia" w:ascii="宋体" w:hAnsi="宋体"/>
          <w:color w:val="auto"/>
          <w:kern w:val="0"/>
          <w:highlight w:val="none"/>
        </w:rPr>
        <w:t>）</w:t>
      </w:r>
    </w:p>
    <w:p w14:paraId="2894AD7C">
      <w:pPr>
        <w:widowControl/>
        <w:jc w:val="center"/>
        <w:rPr>
          <w:rFonts w:ascii="宋体"/>
          <w:color w:val="auto"/>
          <w:kern w:val="0"/>
          <w:highlight w:val="none"/>
        </w:rPr>
      </w:pPr>
      <w:r>
        <w:rPr>
          <w:rFonts w:hint="eastAsia" w:ascii="宋体" w:hAnsi="宋体"/>
          <w:color w:val="auto"/>
          <w:kern w:val="0"/>
          <w:highlight w:val="none"/>
        </w:rPr>
        <w:t>城市绿化</w:t>
      </w:r>
      <w:r>
        <w:rPr>
          <w:rFonts w:ascii="宋体" w:hAnsi="宋体"/>
          <w:color w:val="auto"/>
          <w:kern w:val="0"/>
          <w:highlight w:val="none"/>
        </w:rPr>
        <w:t xml:space="preserve"> </w:t>
      </w:r>
      <w:r>
        <w:rPr>
          <w:rFonts w:hint="eastAsia" w:ascii="宋体" w:hAnsi="宋体"/>
          <w:color w:val="auto"/>
          <w:kern w:val="0"/>
          <w:highlight w:val="none"/>
        </w:rPr>
        <w:t>养护规范及验收要求</w:t>
      </w:r>
    </w:p>
    <w:p w14:paraId="58375803">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 </w:t>
      </w:r>
      <w:r>
        <w:rPr>
          <w:rFonts w:hint="eastAsia" w:ascii="宋体" w:hAnsi="宋体"/>
          <w:color w:val="auto"/>
          <w:kern w:val="0"/>
          <w:sz w:val="24"/>
          <w:szCs w:val="24"/>
          <w:highlight w:val="none"/>
        </w:rPr>
        <w:t>范围</w:t>
      </w:r>
    </w:p>
    <w:p w14:paraId="66107E04">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本标准规定了广西壮族自治区城市绿化养护术语、养护验收、养护质量要求，并规定了水分管理、土肥管理、修剪、松土除杂、病虫害控制、植物防护、清理工作、补种、古树名木养护、环境卫生等城市绿化养护操作。</w:t>
      </w:r>
    </w:p>
    <w:p w14:paraId="0C1E3A80">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本标准适用于广西壮族自治区城市公园绿地、防护绿地、附属绿地、其他绿地等绿化养护。</w:t>
      </w:r>
    </w:p>
    <w:p w14:paraId="15C13463">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各类绿地的养护，除应按本规范执行外，还应遵守国家、行业、地方有关标准的规定。</w:t>
      </w:r>
    </w:p>
    <w:p w14:paraId="10F8C87B">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 </w:t>
      </w:r>
      <w:r>
        <w:rPr>
          <w:rFonts w:hint="eastAsia" w:ascii="宋体" w:hAnsi="宋体"/>
          <w:color w:val="auto"/>
          <w:kern w:val="0"/>
          <w:sz w:val="24"/>
          <w:szCs w:val="24"/>
          <w:highlight w:val="none"/>
        </w:rPr>
        <w:t>术语</w:t>
      </w:r>
    </w:p>
    <w:p w14:paraId="20C18A1E">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下列术语和定义适用于本标准。</w:t>
      </w:r>
    </w:p>
    <w:p w14:paraId="0339B90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2.1 </w:t>
      </w:r>
      <w:r>
        <w:rPr>
          <w:rFonts w:hint="eastAsia" w:ascii="宋体" w:hAnsi="宋体"/>
          <w:color w:val="auto"/>
          <w:kern w:val="0"/>
          <w:sz w:val="24"/>
          <w:szCs w:val="24"/>
          <w:highlight w:val="none"/>
        </w:rPr>
        <w:t>树盘</w:t>
      </w:r>
    </w:p>
    <w:p w14:paraId="606DBBB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种植乔灌木位置并与周围有明显界线的一定地面范围。</w:t>
      </w:r>
    </w:p>
    <w:p w14:paraId="3B82D7A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2.2 </w:t>
      </w:r>
      <w:r>
        <w:rPr>
          <w:rFonts w:hint="eastAsia" w:ascii="宋体" w:hAnsi="宋体"/>
          <w:color w:val="auto"/>
          <w:kern w:val="0"/>
          <w:sz w:val="24"/>
          <w:szCs w:val="24"/>
          <w:highlight w:val="none"/>
        </w:rPr>
        <w:t>有地被树盘</w:t>
      </w:r>
    </w:p>
    <w:p w14:paraId="3FCB8195">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在树干基部周围地面，种植有地被植物的树盘。</w:t>
      </w:r>
    </w:p>
    <w:p w14:paraId="41A936A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2.3 </w:t>
      </w:r>
      <w:r>
        <w:rPr>
          <w:rFonts w:hint="eastAsia" w:ascii="宋体" w:hAnsi="宋体"/>
          <w:color w:val="auto"/>
          <w:kern w:val="0"/>
          <w:sz w:val="24"/>
          <w:szCs w:val="24"/>
          <w:highlight w:val="none"/>
        </w:rPr>
        <w:t>无地被树盘</w:t>
      </w:r>
    </w:p>
    <w:p w14:paraId="565ECE23">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在树干基部周围地面，没有种植地被的树盘。</w:t>
      </w:r>
    </w:p>
    <w:p w14:paraId="0E5D1750">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2.4 </w:t>
      </w:r>
      <w:r>
        <w:rPr>
          <w:rFonts w:hint="eastAsia" w:ascii="宋体" w:hAnsi="宋体"/>
          <w:color w:val="auto"/>
          <w:kern w:val="0"/>
          <w:sz w:val="24"/>
          <w:szCs w:val="24"/>
          <w:highlight w:val="none"/>
        </w:rPr>
        <w:t>孤植灌木</w:t>
      </w:r>
    </w:p>
    <w:p w14:paraId="4CAFB532">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单株或数株灌木种植在一个树穴内，树穴之间有明显距离，外观上可直观到一株或一丛，此类以孤植方式种植的灌木称为孤植灌木。</w:t>
      </w:r>
    </w:p>
    <w:p w14:paraId="457B268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2.5 </w:t>
      </w:r>
      <w:r>
        <w:rPr>
          <w:rFonts w:hint="eastAsia" w:ascii="宋体" w:hAnsi="宋体"/>
          <w:color w:val="auto"/>
          <w:kern w:val="0"/>
          <w:sz w:val="24"/>
          <w:szCs w:val="24"/>
          <w:highlight w:val="none"/>
        </w:rPr>
        <w:t>整形灌木</w:t>
      </w:r>
    </w:p>
    <w:p w14:paraId="2E4A0600">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按设计要求和观赏要求将灌木修剪成各种特定的形状，主要以植物造型为观赏目的的灌木称为整形灌木。</w:t>
      </w:r>
    </w:p>
    <w:p w14:paraId="75C87EA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2.6 </w:t>
      </w:r>
      <w:r>
        <w:rPr>
          <w:rFonts w:hint="eastAsia" w:ascii="宋体" w:hAnsi="宋体"/>
          <w:color w:val="auto"/>
          <w:kern w:val="0"/>
          <w:sz w:val="24"/>
          <w:szCs w:val="24"/>
          <w:highlight w:val="none"/>
        </w:rPr>
        <w:t>色块</w:t>
      </w:r>
    </w:p>
    <w:p w14:paraId="37AB17DD">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指成片种植的灌木或草本植物，外观上没有明显的株行距。色块一般分为灌木色块和草本色块（也称草本地被）。</w:t>
      </w:r>
    </w:p>
    <w:p w14:paraId="566BE38B">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2.7 </w:t>
      </w:r>
      <w:r>
        <w:rPr>
          <w:rFonts w:hint="eastAsia" w:ascii="宋体" w:hAnsi="宋体"/>
          <w:color w:val="auto"/>
          <w:kern w:val="0"/>
          <w:sz w:val="24"/>
          <w:szCs w:val="24"/>
          <w:highlight w:val="none"/>
        </w:rPr>
        <w:t>古树名木</w:t>
      </w:r>
    </w:p>
    <w:p w14:paraId="4E24DA32">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指树龄在一百年以上或稀有珍贵树木，或具有历史价值或重要纪念意义的树木。</w:t>
      </w:r>
    </w:p>
    <w:p w14:paraId="69434A4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2.8 </w:t>
      </w:r>
      <w:r>
        <w:rPr>
          <w:rFonts w:hint="eastAsia" w:ascii="宋体" w:hAnsi="宋体"/>
          <w:color w:val="auto"/>
          <w:kern w:val="0"/>
          <w:sz w:val="24"/>
          <w:szCs w:val="24"/>
          <w:highlight w:val="none"/>
        </w:rPr>
        <w:t>疏枝</w:t>
      </w:r>
    </w:p>
    <w:p w14:paraId="011D3972">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将枝条从其着生部位剪去。</w:t>
      </w:r>
    </w:p>
    <w:p w14:paraId="35DA261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2.9 </w:t>
      </w:r>
      <w:r>
        <w:rPr>
          <w:rFonts w:hint="eastAsia" w:ascii="宋体" w:hAnsi="宋体"/>
          <w:color w:val="auto"/>
          <w:kern w:val="0"/>
          <w:sz w:val="24"/>
          <w:szCs w:val="24"/>
          <w:highlight w:val="none"/>
        </w:rPr>
        <w:t>短截</w:t>
      </w:r>
    </w:p>
    <w:p w14:paraId="5709EF68">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将枝条先端一部或大部剪去，保留基部枝段。</w:t>
      </w:r>
    </w:p>
    <w:p w14:paraId="35C8293E">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2.10 </w:t>
      </w:r>
      <w:r>
        <w:rPr>
          <w:rFonts w:hint="eastAsia" w:ascii="宋体" w:hAnsi="宋体"/>
          <w:color w:val="auto"/>
          <w:kern w:val="0"/>
          <w:sz w:val="24"/>
          <w:szCs w:val="24"/>
          <w:highlight w:val="none"/>
        </w:rPr>
        <w:t>行道树</w:t>
      </w:r>
    </w:p>
    <w:p w14:paraId="0BDB0F63">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指沿车行道或人行道边种植的乔木。</w:t>
      </w:r>
    </w:p>
    <w:p w14:paraId="33B82E1B">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2.11 </w:t>
      </w:r>
      <w:r>
        <w:rPr>
          <w:rFonts w:hint="eastAsia" w:ascii="宋体" w:hAnsi="宋体"/>
          <w:color w:val="auto"/>
          <w:kern w:val="0"/>
          <w:sz w:val="24"/>
          <w:szCs w:val="24"/>
          <w:highlight w:val="none"/>
        </w:rPr>
        <w:t>分车绿带</w:t>
      </w:r>
    </w:p>
    <w:p w14:paraId="7D2E835C">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车行道之间可以绿化的分隔带</w:t>
      </w:r>
      <w:r>
        <w:rPr>
          <w:rFonts w:ascii="宋体"/>
          <w:color w:val="auto"/>
          <w:kern w:val="0"/>
          <w:sz w:val="24"/>
          <w:szCs w:val="24"/>
          <w:highlight w:val="none"/>
        </w:rPr>
        <w:t>,</w:t>
      </w:r>
      <w:r>
        <w:rPr>
          <w:rFonts w:hint="eastAsia" w:ascii="宋体" w:hAnsi="宋体"/>
          <w:color w:val="auto"/>
          <w:kern w:val="0"/>
          <w:sz w:val="24"/>
          <w:szCs w:val="24"/>
          <w:highlight w:val="none"/>
        </w:rPr>
        <w:t>其位于上下行机动车道之间的为中间分车绿带；位于机动车道与非机动车道之间或同方向机动车道之间的为两侧分车绿带。</w:t>
      </w:r>
    </w:p>
    <w:p w14:paraId="0883565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2.12 </w:t>
      </w:r>
      <w:r>
        <w:rPr>
          <w:rFonts w:hint="eastAsia" w:ascii="宋体" w:hAnsi="宋体"/>
          <w:color w:val="auto"/>
          <w:kern w:val="0"/>
          <w:sz w:val="24"/>
          <w:szCs w:val="24"/>
          <w:highlight w:val="none"/>
        </w:rPr>
        <w:t>定干高度</w:t>
      </w:r>
    </w:p>
    <w:p w14:paraId="141D37D9">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乔木主干第一个分叉点离地面高度。</w:t>
      </w:r>
    </w:p>
    <w:p w14:paraId="47D13B8F">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3 </w:t>
      </w:r>
      <w:r>
        <w:rPr>
          <w:rFonts w:hint="eastAsia" w:ascii="宋体" w:hAnsi="宋体"/>
          <w:color w:val="auto"/>
          <w:kern w:val="0"/>
          <w:sz w:val="24"/>
          <w:szCs w:val="24"/>
          <w:highlight w:val="none"/>
        </w:rPr>
        <w:t>水分管理</w:t>
      </w:r>
    </w:p>
    <w:p w14:paraId="1127B46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3.1 </w:t>
      </w:r>
      <w:r>
        <w:rPr>
          <w:rFonts w:hint="eastAsia" w:ascii="宋体" w:hAnsi="宋体"/>
          <w:color w:val="auto"/>
          <w:kern w:val="0"/>
          <w:sz w:val="24"/>
          <w:szCs w:val="24"/>
          <w:highlight w:val="none"/>
        </w:rPr>
        <w:t>水质</w:t>
      </w:r>
    </w:p>
    <w:p w14:paraId="5A225C45">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灌溉用水应使用自来水或经水质化验适用于灌溉的水源。</w:t>
      </w:r>
    </w:p>
    <w:p w14:paraId="001A4B81">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3.2 </w:t>
      </w:r>
      <w:r>
        <w:rPr>
          <w:rFonts w:hint="eastAsia" w:ascii="宋体" w:hAnsi="宋体"/>
          <w:color w:val="auto"/>
          <w:kern w:val="0"/>
          <w:sz w:val="24"/>
          <w:szCs w:val="24"/>
          <w:highlight w:val="none"/>
        </w:rPr>
        <w:t>淋水时间</w:t>
      </w:r>
    </w:p>
    <w:p w14:paraId="263A6E10">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阴天全天均可淋水，遇高温、太阳辐射强应在上午</w:t>
      </w:r>
      <w:r>
        <w:rPr>
          <w:rFonts w:ascii="宋体" w:hAnsi="宋体"/>
          <w:color w:val="auto"/>
          <w:kern w:val="0"/>
          <w:sz w:val="24"/>
          <w:szCs w:val="24"/>
          <w:highlight w:val="none"/>
        </w:rPr>
        <w:t>11</w:t>
      </w:r>
      <w:r>
        <w:rPr>
          <w:rFonts w:hint="eastAsia" w:ascii="宋体" w:hAnsi="宋体"/>
          <w:color w:val="auto"/>
          <w:kern w:val="0"/>
          <w:sz w:val="24"/>
          <w:szCs w:val="24"/>
          <w:highlight w:val="none"/>
        </w:rPr>
        <w:t>时前或下午</w:t>
      </w:r>
      <w:r>
        <w:rPr>
          <w:rFonts w:ascii="宋体" w:hAnsi="宋体"/>
          <w:color w:val="auto"/>
          <w:kern w:val="0"/>
          <w:sz w:val="24"/>
          <w:szCs w:val="24"/>
          <w:highlight w:val="none"/>
        </w:rPr>
        <w:t>4</w:t>
      </w:r>
      <w:r>
        <w:rPr>
          <w:rFonts w:hint="eastAsia" w:ascii="宋体" w:hAnsi="宋体"/>
          <w:color w:val="auto"/>
          <w:kern w:val="0"/>
          <w:sz w:val="24"/>
          <w:szCs w:val="24"/>
          <w:highlight w:val="none"/>
        </w:rPr>
        <w:t>时后淋水。</w:t>
      </w:r>
    </w:p>
    <w:p w14:paraId="08D97F1A">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3.3 </w:t>
      </w:r>
      <w:r>
        <w:rPr>
          <w:rFonts w:hint="eastAsia" w:ascii="宋体" w:hAnsi="宋体"/>
          <w:color w:val="auto"/>
          <w:kern w:val="0"/>
          <w:sz w:val="24"/>
          <w:szCs w:val="24"/>
          <w:highlight w:val="none"/>
        </w:rPr>
        <w:t>淋水量</w:t>
      </w:r>
    </w:p>
    <w:p w14:paraId="594DD429">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水分供给以能保证植物正常生长、发育需要为宜。淋、灌水量应符合以下规定：</w:t>
      </w:r>
    </w:p>
    <w:p w14:paraId="74289301">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新种植的乔灌木第一次定根水必须及时，并且淋足淋透，在植株未恢复正常生长之前经常性保持土壤湿润。幼龄树（种植</w:t>
      </w:r>
      <w:r>
        <w:rPr>
          <w:rFonts w:ascii="宋体" w:hAnsi="宋体"/>
          <w:color w:val="auto"/>
          <w:kern w:val="0"/>
          <w:sz w:val="24"/>
          <w:szCs w:val="24"/>
          <w:highlight w:val="none"/>
        </w:rPr>
        <w:t>5</w:t>
      </w:r>
      <w:r>
        <w:rPr>
          <w:rFonts w:hint="eastAsia" w:ascii="宋体" w:hAnsi="宋体"/>
          <w:color w:val="auto"/>
          <w:kern w:val="0"/>
          <w:sz w:val="24"/>
          <w:szCs w:val="24"/>
          <w:highlight w:val="none"/>
        </w:rPr>
        <w:t>年内），干旱天气，每周灌、淋</w:t>
      </w:r>
      <w:r>
        <w:rPr>
          <w:rFonts w:ascii="宋体" w:hAnsi="宋体"/>
          <w:color w:val="auto"/>
          <w:kern w:val="0"/>
          <w:sz w:val="24"/>
          <w:szCs w:val="24"/>
          <w:highlight w:val="none"/>
        </w:rPr>
        <w:t>1</w:t>
      </w:r>
      <w:r>
        <w:rPr>
          <w:rFonts w:hint="eastAsia" w:ascii="宋体" w:hAnsi="宋体"/>
          <w:color w:val="auto"/>
          <w:kern w:val="0"/>
          <w:sz w:val="24"/>
          <w:szCs w:val="24"/>
          <w:highlight w:val="none"/>
        </w:rPr>
        <w:t>次～</w:t>
      </w:r>
      <w:r>
        <w:rPr>
          <w:rFonts w:ascii="宋体" w:hAnsi="宋体"/>
          <w:color w:val="auto"/>
          <w:kern w:val="0"/>
          <w:sz w:val="24"/>
          <w:szCs w:val="24"/>
          <w:highlight w:val="none"/>
        </w:rPr>
        <w:t>2</w:t>
      </w:r>
      <w:r>
        <w:rPr>
          <w:rFonts w:hint="eastAsia" w:ascii="宋体" w:hAnsi="宋体"/>
          <w:color w:val="auto"/>
          <w:kern w:val="0"/>
          <w:sz w:val="24"/>
          <w:szCs w:val="24"/>
          <w:highlight w:val="none"/>
        </w:rPr>
        <w:t>次；</w:t>
      </w: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不耐旱的成年乔木，干旱季节，每月应灌、淋</w:t>
      </w:r>
      <w:r>
        <w:rPr>
          <w:rFonts w:ascii="宋体" w:hAnsi="宋体"/>
          <w:color w:val="auto"/>
          <w:kern w:val="0"/>
          <w:sz w:val="24"/>
          <w:szCs w:val="24"/>
          <w:highlight w:val="none"/>
        </w:rPr>
        <w:t>1</w:t>
      </w:r>
      <w:r>
        <w:rPr>
          <w:rFonts w:hint="eastAsia" w:ascii="宋体" w:hAnsi="宋体"/>
          <w:color w:val="auto"/>
          <w:kern w:val="0"/>
          <w:sz w:val="24"/>
          <w:szCs w:val="24"/>
          <w:highlight w:val="none"/>
        </w:rPr>
        <w:t>次～</w:t>
      </w:r>
      <w:r>
        <w:rPr>
          <w:rFonts w:ascii="宋体" w:hAnsi="宋体"/>
          <w:color w:val="auto"/>
          <w:kern w:val="0"/>
          <w:sz w:val="24"/>
          <w:szCs w:val="24"/>
          <w:highlight w:val="none"/>
        </w:rPr>
        <w:t>3</w:t>
      </w:r>
      <w:r>
        <w:rPr>
          <w:rFonts w:hint="eastAsia" w:ascii="宋体" w:hAnsi="宋体"/>
          <w:color w:val="auto"/>
          <w:kern w:val="0"/>
          <w:sz w:val="24"/>
          <w:szCs w:val="24"/>
          <w:highlight w:val="none"/>
        </w:rPr>
        <w:t>次。灌木、草坪、遮</w:t>
      </w:r>
      <w:r>
        <w:rPr>
          <w:rFonts w:hint="eastAsia" w:ascii="宋体" w:hAnsi="宋体"/>
          <w:color w:val="auto"/>
          <w:kern w:val="0"/>
          <w:szCs w:val="21"/>
          <w:highlight w:val="none"/>
          <w:lang w:val="en-US" w:eastAsia="zh-CN"/>
        </w:rPr>
        <w:t>阴</w:t>
      </w:r>
      <w:r>
        <w:rPr>
          <w:rFonts w:hint="eastAsia" w:ascii="宋体" w:hAnsi="宋体"/>
          <w:color w:val="auto"/>
          <w:kern w:val="0"/>
          <w:sz w:val="24"/>
          <w:szCs w:val="24"/>
          <w:highlight w:val="none"/>
        </w:rPr>
        <w:t>的地被植物，淋水应湿透表层</w:t>
      </w:r>
      <w:r>
        <w:rPr>
          <w:rFonts w:ascii="宋体" w:hAnsi="宋体"/>
          <w:color w:val="auto"/>
          <w:kern w:val="0"/>
          <w:sz w:val="24"/>
          <w:szCs w:val="24"/>
          <w:highlight w:val="none"/>
        </w:rPr>
        <w:t>10cm</w:t>
      </w:r>
      <w:r>
        <w:rPr>
          <w:rFonts w:hint="eastAsia" w:ascii="宋体" w:hAnsi="宋体"/>
          <w:color w:val="auto"/>
          <w:kern w:val="0"/>
          <w:sz w:val="24"/>
          <w:szCs w:val="24"/>
          <w:highlight w:val="none"/>
        </w:rPr>
        <w:t>以上；干旱天气，每周应喷淋</w:t>
      </w:r>
      <w:r>
        <w:rPr>
          <w:rFonts w:ascii="宋体" w:hAnsi="宋体"/>
          <w:color w:val="auto"/>
          <w:kern w:val="0"/>
          <w:sz w:val="24"/>
          <w:szCs w:val="24"/>
          <w:highlight w:val="none"/>
        </w:rPr>
        <w:t>2</w:t>
      </w:r>
      <w:r>
        <w:rPr>
          <w:rFonts w:hint="eastAsia" w:ascii="宋体" w:hAnsi="宋体"/>
          <w:color w:val="auto"/>
          <w:kern w:val="0"/>
          <w:sz w:val="24"/>
          <w:szCs w:val="24"/>
          <w:highlight w:val="none"/>
        </w:rPr>
        <w:t>次～</w:t>
      </w:r>
      <w:r>
        <w:rPr>
          <w:rFonts w:ascii="宋体" w:hAnsi="宋体"/>
          <w:color w:val="auto"/>
          <w:kern w:val="0"/>
          <w:sz w:val="24"/>
          <w:szCs w:val="24"/>
          <w:highlight w:val="none"/>
        </w:rPr>
        <w:t>4</w:t>
      </w:r>
      <w:r>
        <w:rPr>
          <w:rFonts w:hint="eastAsia" w:ascii="宋体" w:hAnsi="宋体"/>
          <w:color w:val="auto"/>
          <w:kern w:val="0"/>
          <w:sz w:val="24"/>
          <w:szCs w:val="24"/>
          <w:highlight w:val="none"/>
        </w:rPr>
        <w:t>次。无遮</w:t>
      </w:r>
      <w:r>
        <w:rPr>
          <w:rFonts w:hint="eastAsia" w:ascii="宋体" w:hAnsi="宋体"/>
          <w:color w:val="auto"/>
          <w:kern w:val="0"/>
          <w:szCs w:val="21"/>
          <w:highlight w:val="none"/>
          <w:lang w:val="en-US" w:eastAsia="zh-CN"/>
        </w:rPr>
        <w:t>阴</w:t>
      </w:r>
      <w:r>
        <w:rPr>
          <w:rFonts w:hint="eastAsia" w:ascii="宋体" w:hAnsi="宋体"/>
          <w:color w:val="auto"/>
          <w:kern w:val="0"/>
          <w:sz w:val="24"/>
          <w:szCs w:val="24"/>
          <w:highlight w:val="none"/>
        </w:rPr>
        <w:t>的地被及盆栽草花应每天淋水</w:t>
      </w:r>
      <w:r>
        <w:rPr>
          <w:rFonts w:ascii="宋体" w:hAnsi="宋体"/>
          <w:color w:val="auto"/>
          <w:kern w:val="0"/>
          <w:sz w:val="24"/>
          <w:szCs w:val="24"/>
          <w:highlight w:val="none"/>
        </w:rPr>
        <w:t>1</w:t>
      </w:r>
      <w:r>
        <w:rPr>
          <w:rFonts w:hint="eastAsia" w:ascii="宋体" w:hAnsi="宋体"/>
          <w:color w:val="auto"/>
          <w:kern w:val="0"/>
          <w:sz w:val="24"/>
          <w:szCs w:val="24"/>
          <w:highlight w:val="none"/>
        </w:rPr>
        <w:t>次～</w:t>
      </w:r>
      <w:r>
        <w:rPr>
          <w:rFonts w:ascii="宋体" w:hAnsi="宋体"/>
          <w:color w:val="auto"/>
          <w:kern w:val="0"/>
          <w:sz w:val="24"/>
          <w:szCs w:val="24"/>
          <w:highlight w:val="none"/>
        </w:rPr>
        <w:t>2</w:t>
      </w:r>
      <w:r>
        <w:rPr>
          <w:rFonts w:hint="eastAsia" w:ascii="宋体" w:hAnsi="宋体"/>
          <w:color w:val="auto"/>
          <w:kern w:val="0"/>
          <w:sz w:val="24"/>
          <w:szCs w:val="24"/>
          <w:highlight w:val="none"/>
        </w:rPr>
        <w:t>次（干旱天气）。</w:t>
      </w:r>
    </w:p>
    <w:p w14:paraId="23AD8AC1">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3.4 </w:t>
      </w:r>
      <w:r>
        <w:rPr>
          <w:rFonts w:hint="eastAsia" w:ascii="宋体" w:hAnsi="宋体"/>
          <w:color w:val="auto"/>
          <w:kern w:val="0"/>
          <w:sz w:val="24"/>
          <w:szCs w:val="24"/>
          <w:highlight w:val="none"/>
        </w:rPr>
        <w:t>淋水方法</w:t>
      </w:r>
    </w:p>
    <w:p w14:paraId="70F874E4">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可采取滴灌、喷灌、喷淋、灌淋。养护要求精细、需水量多的时花类在条件的应采用滴灌或喷灌，以节约用水，提高淋水效果。采用喷淋方法淋水，必须掌握好出水量及喷淋方向，不得冲倒、冲歪植株及冲翻树根。对于乔灌木淋水应先给树体洗尘。</w:t>
      </w:r>
    </w:p>
    <w:p w14:paraId="0E5D681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3.5 </w:t>
      </w:r>
      <w:r>
        <w:rPr>
          <w:rFonts w:hint="eastAsia" w:ascii="宋体" w:hAnsi="宋体"/>
          <w:color w:val="auto"/>
          <w:kern w:val="0"/>
          <w:sz w:val="24"/>
          <w:szCs w:val="24"/>
          <w:highlight w:val="none"/>
        </w:rPr>
        <w:t>排水</w:t>
      </w:r>
    </w:p>
    <w:p w14:paraId="56B8A578">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乔灌木树盘、色块、地被、草坪必要时设排水盲沟，以保证雨季雨水能从地面顺畅排走，绿地不得有积水现象。</w:t>
      </w:r>
    </w:p>
    <w:p w14:paraId="3EFF1BC7">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 </w:t>
      </w:r>
      <w:r>
        <w:rPr>
          <w:rFonts w:hint="eastAsia" w:ascii="宋体" w:hAnsi="宋体"/>
          <w:color w:val="auto"/>
          <w:kern w:val="0"/>
          <w:sz w:val="24"/>
          <w:szCs w:val="24"/>
          <w:highlight w:val="none"/>
        </w:rPr>
        <w:t>土肥管理</w:t>
      </w:r>
    </w:p>
    <w:p w14:paraId="6829490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4.1 </w:t>
      </w:r>
      <w:r>
        <w:rPr>
          <w:rFonts w:hint="eastAsia" w:ascii="宋体" w:hAnsi="宋体"/>
          <w:color w:val="auto"/>
          <w:kern w:val="0"/>
          <w:sz w:val="24"/>
          <w:szCs w:val="24"/>
          <w:highlight w:val="none"/>
        </w:rPr>
        <w:t>土壤的疏松通透</w:t>
      </w:r>
    </w:p>
    <w:p w14:paraId="0C9C3BB5">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灌木色块及分车绿带土壤必须保持疏松通透，绿地种植</w:t>
      </w:r>
      <w:r>
        <w:rPr>
          <w:rFonts w:ascii="宋体" w:hAnsi="宋体"/>
          <w:color w:val="auto"/>
          <w:kern w:val="0"/>
          <w:sz w:val="24"/>
          <w:szCs w:val="24"/>
          <w:highlight w:val="none"/>
        </w:rPr>
        <w:t>5</w:t>
      </w:r>
      <w:r>
        <w:rPr>
          <w:rFonts w:hint="eastAsia" w:ascii="宋体" w:hAnsi="宋体"/>
          <w:color w:val="auto"/>
          <w:kern w:val="0"/>
          <w:sz w:val="24"/>
          <w:szCs w:val="24"/>
          <w:highlight w:val="none"/>
        </w:rPr>
        <w:t>年内的乔木及整形灌木、孤植灌木应做树盘，即在树木周围距离树干留直径</w:t>
      </w:r>
      <w:r>
        <w:rPr>
          <w:rFonts w:ascii="宋体" w:hAnsi="宋体"/>
          <w:color w:val="auto"/>
          <w:kern w:val="0"/>
          <w:sz w:val="24"/>
          <w:szCs w:val="24"/>
          <w:highlight w:val="none"/>
        </w:rPr>
        <w:t>0.8m</w:t>
      </w:r>
      <w:r>
        <w:rPr>
          <w:rFonts w:hint="eastAsia" w:ascii="宋体" w:hAnsi="宋体"/>
          <w:color w:val="auto"/>
          <w:kern w:val="0"/>
          <w:sz w:val="24"/>
          <w:szCs w:val="24"/>
          <w:highlight w:val="none"/>
        </w:rPr>
        <w:t>～</w:t>
      </w:r>
      <w:r>
        <w:rPr>
          <w:rFonts w:ascii="宋体" w:hAnsi="宋体"/>
          <w:color w:val="auto"/>
          <w:kern w:val="0"/>
          <w:sz w:val="24"/>
          <w:szCs w:val="24"/>
          <w:highlight w:val="none"/>
        </w:rPr>
        <w:t>1.2m</w:t>
      </w:r>
      <w:r>
        <w:rPr>
          <w:rFonts w:hint="eastAsia" w:ascii="宋体" w:hAnsi="宋体"/>
          <w:color w:val="auto"/>
          <w:kern w:val="0"/>
          <w:sz w:val="24"/>
          <w:szCs w:val="24"/>
          <w:highlight w:val="none"/>
        </w:rPr>
        <w:t>的土壤裸露，定期松土保持土壤疏松。</w:t>
      </w:r>
    </w:p>
    <w:p w14:paraId="650956C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4.2 </w:t>
      </w:r>
      <w:r>
        <w:rPr>
          <w:rFonts w:hint="eastAsia" w:ascii="宋体" w:hAnsi="宋体"/>
          <w:color w:val="auto"/>
          <w:kern w:val="0"/>
          <w:sz w:val="24"/>
          <w:szCs w:val="24"/>
          <w:highlight w:val="none"/>
        </w:rPr>
        <w:t>各类植物种植土壤理化性状</w:t>
      </w:r>
    </w:p>
    <w:p w14:paraId="04E0AF81">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各类植物的种植土必须达到以下要求</w:t>
      </w:r>
      <w:r>
        <w:rPr>
          <w:rFonts w:ascii="宋体" w:hAnsi="宋体"/>
          <w:color w:val="auto"/>
          <w:kern w:val="0"/>
          <w:sz w:val="24"/>
          <w:szCs w:val="24"/>
          <w:highlight w:val="none"/>
        </w:rPr>
        <w:t>(</w:t>
      </w:r>
      <w:r>
        <w:rPr>
          <w:rFonts w:hint="eastAsia" w:ascii="宋体" w:hAnsi="宋体"/>
          <w:color w:val="auto"/>
          <w:kern w:val="0"/>
          <w:sz w:val="24"/>
          <w:szCs w:val="24"/>
          <w:highlight w:val="none"/>
        </w:rPr>
        <w:t>见表</w:t>
      </w:r>
      <w:r>
        <w:rPr>
          <w:rFonts w:ascii="宋体" w:hAnsi="宋体"/>
          <w:color w:val="auto"/>
          <w:kern w:val="0"/>
          <w:sz w:val="24"/>
          <w:szCs w:val="24"/>
          <w:highlight w:val="none"/>
        </w:rPr>
        <w:t>1)</w:t>
      </w:r>
      <w:r>
        <w:rPr>
          <w:rFonts w:hint="eastAsia" w:ascii="宋体" w:hAnsi="宋体"/>
          <w:color w:val="auto"/>
          <w:kern w:val="0"/>
          <w:sz w:val="24"/>
          <w:szCs w:val="24"/>
          <w:highlight w:val="none"/>
        </w:rPr>
        <w:t>。</w:t>
      </w:r>
    </w:p>
    <w:p w14:paraId="3FA7DC8D">
      <w:pPr>
        <w:widowControl/>
        <w:spacing w:line="300" w:lineRule="atLeast"/>
        <w:ind w:firstLine="420"/>
        <w:rPr>
          <w:rFonts w:ascii="宋体"/>
          <w:color w:val="auto"/>
          <w:kern w:val="0"/>
          <w:sz w:val="24"/>
          <w:szCs w:val="24"/>
          <w:highlight w:val="none"/>
        </w:rPr>
      </w:pPr>
    </w:p>
    <w:p w14:paraId="70934986">
      <w:pPr>
        <w:widowControl/>
        <w:spacing w:line="300" w:lineRule="atLeast"/>
        <w:jc w:val="center"/>
        <w:rPr>
          <w:rFonts w:hint="eastAsia" w:ascii="宋体" w:hAnsi="宋体"/>
          <w:color w:val="auto"/>
          <w:kern w:val="0"/>
          <w:sz w:val="24"/>
          <w:szCs w:val="24"/>
          <w:highlight w:val="none"/>
        </w:rPr>
      </w:pPr>
      <w:r>
        <w:rPr>
          <w:rFonts w:hint="eastAsia" w:ascii="宋体" w:hAnsi="宋体"/>
          <w:color w:val="auto"/>
          <w:kern w:val="0"/>
          <w:sz w:val="24"/>
          <w:szCs w:val="24"/>
          <w:highlight w:val="none"/>
        </w:rPr>
        <w:t>表</w:t>
      </w:r>
      <w:r>
        <w:rPr>
          <w:rFonts w:ascii="宋体" w:hAnsi="宋体"/>
          <w:color w:val="auto"/>
          <w:kern w:val="0"/>
          <w:sz w:val="24"/>
          <w:szCs w:val="24"/>
          <w:highlight w:val="none"/>
        </w:rPr>
        <w:t xml:space="preserve">1 </w:t>
      </w:r>
      <w:r>
        <w:rPr>
          <w:rFonts w:hint="eastAsia" w:ascii="宋体" w:hAnsi="宋体"/>
          <w:color w:val="auto"/>
          <w:kern w:val="0"/>
          <w:sz w:val="24"/>
          <w:szCs w:val="24"/>
          <w:highlight w:val="none"/>
        </w:rPr>
        <w:t>各类植物种植土壤理化性状要求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1576"/>
        <w:gridCol w:w="1576"/>
        <w:gridCol w:w="1576"/>
        <w:gridCol w:w="1577"/>
        <w:gridCol w:w="1577"/>
      </w:tblGrid>
      <w:tr w14:paraId="4723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6" w:type="dxa"/>
            <w:noWrap w:val="0"/>
            <w:vAlign w:val="center"/>
          </w:tcPr>
          <w:p w14:paraId="2BF1EC1A">
            <w:pPr>
              <w:keepNext w:val="0"/>
              <w:keepLines w:val="0"/>
              <w:pageBreakBefore w:val="0"/>
              <w:widowControl/>
              <w:kinsoku/>
              <w:wordWrap/>
              <w:overflowPunct/>
              <w:topLinePunct w:val="0"/>
              <w:autoSpaceDE/>
              <w:autoSpaceDN/>
              <w:bidi w:val="0"/>
              <w:adjustRightInd/>
              <w:snapToGrid/>
              <w:spacing w:line="430" w:lineRule="exact"/>
              <w:ind w:right="265" w:rightChars="0"/>
              <w:jc w:val="center"/>
              <w:textAlignment w:val="auto"/>
              <w:rPr>
                <w:rFonts w:hint="eastAsia" w:ascii="Times New Roman" w:hAnsi="宋体" w:eastAsia="宋体" w:cs="Times New Roman"/>
                <w:color w:val="auto"/>
                <w:kern w:val="2"/>
                <w:sz w:val="21"/>
                <w:szCs w:val="21"/>
                <w:highlight w:val="none"/>
                <w:lang w:val="en-US" w:eastAsia="zh-CN" w:bidi="ar-SA"/>
              </w:rPr>
            </w:pPr>
          </w:p>
        </w:tc>
        <w:tc>
          <w:tcPr>
            <w:tcW w:w="1576" w:type="dxa"/>
            <w:noWrap w:val="0"/>
            <w:vAlign w:val="center"/>
          </w:tcPr>
          <w:p w14:paraId="08A5EF77">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乔木</w:t>
            </w:r>
          </w:p>
        </w:tc>
        <w:tc>
          <w:tcPr>
            <w:tcW w:w="1576" w:type="dxa"/>
            <w:noWrap w:val="0"/>
            <w:vAlign w:val="center"/>
          </w:tcPr>
          <w:p w14:paraId="2E608C5E">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灌木</w:t>
            </w:r>
          </w:p>
        </w:tc>
        <w:tc>
          <w:tcPr>
            <w:tcW w:w="1576" w:type="dxa"/>
            <w:noWrap w:val="0"/>
            <w:vAlign w:val="center"/>
          </w:tcPr>
          <w:p w14:paraId="41E57957">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地被</w:t>
            </w:r>
          </w:p>
        </w:tc>
        <w:tc>
          <w:tcPr>
            <w:tcW w:w="1577" w:type="dxa"/>
            <w:noWrap w:val="0"/>
            <w:vAlign w:val="center"/>
          </w:tcPr>
          <w:p w14:paraId="5359E218">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草坪</w:t>
            </w:r>
          </w:p>
        </w:tc>
        <w:tc>
          <w:tcPr>
            <w:tcW w:w="1577" w:type="dxa"/>
            <w:noWrap w:val="0"/>
            <w:vAlign w:val="center"/>
          </w:tcPr>
          <w:p w14:paraId="4E81CA3C">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花坛</w:t>
            </w:r>
          </w:p>
        </w:tc>
      </w:tr>
      <w:tr w14:paraId="657F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6" w:type="dxa"/>
            <w:noWrap w:val="0"/>
            <w:vAlign w:val="center"/>
          </w:tcPr>
          <w:p w14:paraId="402CB169">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PH值</w:t>
            </w:r>
          </w:p>
        </w:tc>
        <w:tc>
          <w:tcPr>
            <w:tcW w:w="1576" w:type="dxa"/>
            <w:noWrap w:val="0"/>
            <w:vAlign w:val="center"/>
          </w:tcPr>
          <w:p w14:paraId="6BBC2389">
            <w:pPr>
              <w:keepNext w:val="0"/>
              <w:keepLines w:val="0"/>
              <w:pageBreakBefore w:val="0"/>
              <w:widowControl/>
              <w:kinsoku/>
              <w:wordWrap/>
              <w:overflowPunct/>
              <w:topLinePunct w:val="0"/>
              <w:autoSpaceDE/>
              <w:autoSpaceDN/>
              <w:bidi w:val="0"/>
              <w:adjustRightInd/>
              <w:snapToGrid/>
              <w:spacing w:line="430" w:lineRule="exact"/>
              <w:ind w:firstLine="24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5.0～8.0</w:t>
            </w:r>
          </w:p>
        </w:tc>
        <w:tc>
          <w:tcPr>
            <w:tcW w:w="1576" w:type="dxa"/>
            <w:noWrap w:val="0"/>
            <w:vAlign w:val="center"/>
          </w:tcPr>
          <w:p w14:paraId="0CCDEFBE">
            <w:pPr>
              <w:keepNext w:val="0"/>
              <w:keepLines w:val="0"/>
              <w:pageBreakBefore w:val="0"/>
              <w:widowControl/>
              <w:kinsoku/>
              <w:wordWrap/>
              <w:overflowPunct/>
              <w:topLinePunct w:val="0"/>
              <w:autoSpaceDE/>
              <w:autoSpaceDN/>
              <w:bidi w:val="0"/>
              <w:adjustRightInd/>
              <w:snapToGrid/>
              <w:spacing w:line="430" w:lineRule="exact"/>
              <w:ind w:firstLine="24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5.5～8.0</w:t>
            </w:r>
          </w:p>
        </w:tc>
        <w:tc>
          <w:tcPr>
            <w:tcW w:w="1576" w:type="dxa"/>
            <w:noWrap w:val="0"/>
            <w:vAlign w:val="center"/>
          </w:tcPr>
          <w:p w14:paraId="629B6991">
            <w:pPr>
              <w:keepNext w:val="0"/>
              <w:keepLines w:val="0"/>
              <w:pageBreakBefore w:val="0"/>
              <w:widowControl/>
              <w:kinsoku/>
              <w:wordWrap/>
              <w:overflowPunct/>
              <w:topLinePunct w:val="0"/>
              <w:autoSpaceDE/>
              <w:autoSpaceDN/>
              <w:bidi w:val="0"/>
              <w:adjustRightInd/>
              <w:snapToGrid/>
              <w:spacing w:line="430" w:lineRule="exact"/>
              <w:ind w:firstLine="24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5.0～8.0</w:t>
            </w:r>
          </w:p>
        </w:tc>
        <w:tc>
          <w:tcPr>
            <w:tcW w:w="1577" w:type="dxa"/>
            <w:noWrap w:val="0"/>
            <w:vAlign w:val="center"/>
          </w:tcPr>
          <w:p w14:paraId="28E57E49">
            <w:pPr>
              <w:keepNext w:val="0"/>
              <w:keepLines w:val="0"/>
              <w:pageBreakBefore w:val="0"/>
              <w:widowControl/>
              <w:kinsoku/>
              <w:wordWrap/>
              <w:overflowPunct/>
              <w:topLinePunct w:val="0"/>
              <w:autoSpaceDE/>
              <w:autoSpaceDN/>
              <w:bidi w:val="0"/>
              <w:adjustRightInd/>
              <w:snapToGrid/>
              <w:spacing w:line="430" w:lineRule="exact"/>
              <w:ind w:firstLine="24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5.0～8.0</w:t>
            </w:r>
          </w:p>
        </w:tc>
        <w:tc>
          <w:tcPr>
            <w:tcW w:w="1577" w:type="dxa"/>
            <w:noWrap w:val="0"/>
            <w:vAlign w:val="center"/>
          </w:tcPr>
          <w:p w14:paraId="019641AA">
            <w:pPr>
              <w:keepNext w:val="0"/>
              <w:keepLines w:val="0"/>
              <w:pageBreakBefore w:val="0"/>
              <w:widowControl/>
              <w:kinsoku/>
              <w:wordWrap/>
              <w:overflowPunct/>
              <w:topLinePunct w:val="0"/>
              <w:autoSpaceDE/>
              <w:autoSpaceDN/>
              <w:bidi w:val="0"/>
              <w:adjustRightInd/>
              <w:snapToGrid/>
              <w:spacing w:line="430" w:lineRule="exact"/>
              <w:ind w:firstLine="240" w:firstLineChars="0"/>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5.5～7.5</w:t>
            </w:r>
          </w:p>
        </w:tc>
      </w:tr>
      <w:tr w14:paraId="6860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6" w:type="dxa"/>
            <w:noWrap w:val="0"/>
            <w:vAlign w:val="center"/>
          </w:tcPr>
          <w:p w14:paraId="39C70E69">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有机质</w:t>
            </w:r>
          </w:p>
          <w:p w14:paraId="25C4EAF0">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(g/㎏)</w:t>
            </w:r>
          </w:p>
        </w:tc>
        <w:tc>
          <w:tcPr>
            <w:tcW w:w="1576" w:type="dxa"/>
            <w:noWrap w:val="0"/>
            <w:vAlign w:val="center"/>
          </w:tcPr>
          <w:p w14:paraId="2D094037">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≥20</w:t>
            </w:r>
          </w:p>
        </w:tc>
        <w:tc>
          <w:tcPr>
            <w:tcW w:w="1576" w:type="dxa"/>
            <w:noWrap w:val="0"/>
            <w:vAlign w:val="center"/>
          </w:tcPr>
          <w:p w14:paraId="49317882">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≥20</w:t>
            </w:r>
          </w:p>
        </w:tc>
        <w:tc>
          <w:tcPr>
            <w:tcW w:w="1576" w:type="dxa"/>
            <w:noWrap w:val="0"/>
            <w:vAlign w:val="center"/>
          </w:tcPr>
          <w:p w14:paraId="7E9B58F7">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≥20</w:t>
            </w:r>
          </w:p>
        </w:tc>
        <w:tc>
          <w:tcPr>
            <w:tcW w:w="1577" w:type="dxa"/>
            <w:noWrap w:val="0"/>
            <w:vAlign w:val="center"/>
          </w:tcPr>
          <w:p w14:paraId="50944C65">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≥20</w:t>
            </w:r>
          </w:p>
        </w:tc>
        <w:tc>
          <w:tcPr>
            <w:tcW w:w="1577" w:type="dxa"/>
            <w:noWrap w:val="0"/>
            <w:vAlign w:val="center"/>
          </w:tcPr>
          <w:p w14:paraId="3D06B068">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≥25</w:t>
            </w:r>
          </w:p>
        </w:tc>
      </w:tr>
      <w:tr w14:paraId="764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6" w:type="dxa"/>
            <w:noWrap w:val="0"/>
            <w:vAlign w:val="center"/>
          </w:tcPr>
          <w:p w14:paraId="3E3909D2">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通气空隙度(%)</w:t>
            </w:r>
          </w:p>
        </w:tc>
        <w:tc>
          <w:tcPr>
            <w:tcW w:w="1576" w:type="dxa"/>
            <w:noWrap w:val="0"/>
            <w:vAlign w:val="center"/>
          </w:tcPr>
          <w:p w14:paraId="30A89D80">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≥8</w:t>
            </w:r>
          </w:p>
        </w:tc>
        <w:tc>
          <w:tcPr>
            <w:tcW w:w="1576" w:type="dxa"/>
            <w:noWrap w:val="0"/>
            <w:vAlign w:val="center"/>
          </w:tcPr>
          <w:p w14:paraId="7E03C033">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≥10</w:t>
            </w:r>
          </w:p>
        </w:tc>
        <w:tc>
          <w:tcPr>
            <w:tcW w:w="1576" w:type="dxa"/>
            <w:noWrap w:val="0"/>
            <w:vAlign w:val="center"/>
          </w:tcPr>
          <w:p w14:paraId="5A627EDD">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≥8</w:t>
            </w:r>
          </w:p>
        </w:tc>
        <w:tc>
          <w:tcPr>
            <w:tcW w:w="1577" w:type="dxa"/>
            <w:noWrap w:val="0"/>
            <w:vAlign w:val="center"/>
          </w:tcPr>
          <w:p w14:paraId="09EF1CD1">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≥8</w:t>
            </w:r>
          </w:p>
        </w:tc>
        <w:tc>
          <w:tcPr>
            <w:tcW w:w="1577" w:type="dxa"/>
            <w:noWrap w:val="0"/>
            <w:vAlign w:val="center"/>
          </w:tcPr>
          <w:p w14:paraId="3997378D">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≥10</w:t>
            </w:r>
          </w:p>
        </w:tc>
      </w:tr>
      <w:tr w14:paraId="556A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6" w:type="dxa"/>
            <w:noWrap w:val="0"/>
            <w:vAlign w:val="center"/>
          </w:tcPr>
          <w:p w14:paraId="0B1E8B7F">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有效土层(㎝)</w:t>
            </w:r>
          </w:p>
        </w:tc>
        <w:tc>
          <w:tcPr>
            <w:tcW w:w="1576" w:type="dxa"/>
            <w:noWrap w:val="0"/>
            <w:vAlign w:val="center"/>
          </w:tcPr>
          <w:p w14:paraId="26ACC73E">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≥100</w:t>
            </w:r>
          </w:p>
        </w:tc>
        <w:tc>
          <w:tcPr>
            <w:tcW w:w="1576" w:type="dxa"/>
            <w:noWrap w:val="0"/>
            <w:vAlign w:val="center"/>
          </w:tcPr>
          <w:p w14:paraId="3A212E0D">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≥60</w:t>
            </w:r>
          </w:p>
        </w:tc>
        <w:tc>
          <w:tcPr>
            <w:tcW w:w="1576" w:type="dxa"/>
            <w:noWrap w:val="0"/>
            <w:vAlign w:val="center"/>
          </w:tcPr>
          <w:p w14:paraId="592317C8">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≥30</w:t>
            </w:r>
          </w:p>
        </w:tc>
        <w:tc>
          <w:tcPr>
            <w:tcW w:w="1577" w:type="dxa"/>
            <w:noWrap w:val="0"/>
            <w:vAlign w:val="center"/>
          </w:tcPr>
          <w:p w14:paraId="4523C11A">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≥25</w:t>
            </w:r>
          </w:p>
        </w:tc>
        <w:tc>
          <w:tcPr>
            <w:tcW w:w="1577" w:type="dxa"/>
            <w:noWrap w:val="0"/>
            <w:vAlign w:val="center"/>
          </w:tcPr>
          <w:p w14:paraId="38F59100">
            <w:pPr>
              <w:keepNext w:val="0"/>
              <w:keepLines w:val="0"/>
              <w:pageBreakBefore w:val="0"/>
              <w:widowControl/>
              <w:kinsoku/>
              <w:wordWrap/>
              <w:overflowPunct/>
              <w:topLinePunct w:val="0"/>
              <w:autoSpaceDE/>
              <w:autoSpaceDN/>
              <w:bidi w:val="0"/>
              <w:adjustRightInd/>
              <w:snapToGrid/>
              <w:spacing w:line="430" w:lineRule="exact"/>
              <w:jc w:val="center"/>
              <w:textAlignment w:val="auto"/>
              <w:rPr>
                <w:rFonts w:hint="eastAsia" w:ascii="Times New Roman" w:hAnsi="宋体" w:eastAsia="宋体" w:cs="Times New Roman"/>
                <w:color w:val="auto"/>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≥40</w:t>
            </w:r>
          </w:p>
        </w:tc>
      </w:tr>
    </w:tbl>
    <w:p w14:paraId="6512790D">
      <w:pPr>
        <w:outlineLvl w:val="9"/>
        <w:rPr>
          <w:color w:val="auto"/>
          <w:highlight w:val="none"/>
        </w:rPr>
      </w:pPr>
    </w:p>
    <w:p w14:paraId="03C8F92F">
      <w:pPr>
        <w:widowControl/>
        <w:spacing w:line="300" w:lineRule="atLeast"/>
        <w:ind w:firstLine="480"/>
        <w:rPr>
          <w:rFonts w:ascii="宋体"/>
          <w:color w:val="auto"/>
          <w:kern w:val="0"/>
          <w:sz w:val="24"/>
          <w:szCs w:val="24"/>
          <w:highlight w:val="none"/>
        </w:rPr>
      </w:pPr>
    </w:p>
    <w:p w14:paraId="06BA3DC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 </w:t>
      </w:r>
      <w:r>
        <w:rPr>
          <w:rFonts w:hint="eastAsia" w:ascii="宋体" w:hAnsi="宋体"/>
          <w:color w:val="auto"/>
          <w:kern w:val="0"/>
          <w:sz w:val="24"/>
          <w:szCs w:val="24"/>
          <w:highlight w:val="none"/>
        </w:rPr>
        <w:t>施肥</w:t>
      </w:r>
    </w:p>
    <w:p w14:paraId="6B5A23B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4.3.1 </w:t>
      </w:r>
      <w:r>
        <w:rPr>
          <w:rFonts w:hint="eastAsia" w:ascii="宋体" w:hAnsi="宋体"/>
          <w:color w:val="auto"/>
          <w:kern w:val="0"/>
          <w:sz w:val="24"/>
          <w:szCs w:val="24"/>
          <w:highlight w:val="none"/>
        </w:rPr>
        <w:t>定植五年内的乔木，全年施肥</w:t>
      </w:r>
      <w:r>
        <w:rPr>
          <w:rFonts w:ascii="宋体" w:hAnsi="宋体"/>
          <w:color w:val="auto"/>
          <w:kern w:val="0"/>
          <w:sz w:val="24"/>
          <w:szCs w:val="24"/>
          <w:highlight w:val="none"/>
        </w:rPr>
        <w:t>1</w:t>
      </w:r>
      <w:r>
        <w:rPr>
          <w:rFonts w:hint="eastAsia" w:ascii="宋体" w:hAnsi="宋体"/>
          <w:color w:val="auto"/>
          <w:kern w:val="0"/>
          <w:sz w:val="24"/>
          <w:szCs w:val="24"/>
          <w:highlight w:val="none"/>
        </w:rPr>
        <w:t>次～</w:t>
      </w:r>
      <w:r>
        <w:rPr>
          <w:rFonts w:ascii="宋体" w:hAnsi="宋体"/>
          <w:color w:val="auto"/>
          <w:kern w:val="0"/>
          <w:sz w:val="24"/>
          <w:szCs w:val="24"/>
          <w:highlight w:val="none"/>
        </w:rPr>
        <w:t>3</w:t>
      </w:r>
      <w:r>
        <w:rPr>
          <w:rFonts w:hint="eastAsia" w:ascii="宋体" w:hAnsi="宋体"/>
          <w:color w:val="auto"/>
          <w:kern w:val="0"/>
          <w:sz w:val="24"/>
          <w:szCs w:val="24"/>
          <w:highlight w:val="none"/>
        </w:rPr>
        <w:t>次，春季以氮肥为主，秋季、冬季施复合肥或磷钾肥或有机肥，每株每次施尿素</w:t>
      </w:r>
      <w:r>
        <w:rPr>
          <w:rFonts w:ascii="宋体" w:hAnsi="宋体"/>
          <w:color w:val="auto"/>
          <w:kern w:val="0"/>
          <w:sz w:val="24"/>
          <w:szCs w:val="24"/>
          <w:highlight w:val="none"/>
        </w:rPr>
        <w:t>0.05kg</w:t>
      </w:r>
      <w:r>
        <w:rPr>
          <w:rFonts w:hint="eastAsia" w:ascii="宋体" w:hAnsi="宋体"/>
          <w:color w:val="auto"/>
          <w:kern w:val="0"/>
          <w:sz w:val="24"/>
          <w:szCs w:val="24"/>
          <w:highlight w:val="none"/>
        </w:rPr>
        <w:t>～</w:t>
      </w:r>
      <w:r>
        <w:rPr>
          <w:rFonts w:ascii="宋体" w:hAnsi="宋体"/>
          <w:color w:val="auto"/>
          <w:kern w:val="0"/>
          <w:sz w:val="24"/>
          <w:szCs w:val="24"/>
          <w:highlight w:val="none"/>
        </w:rPr>
        <w:t>0.15kg</w:t>
      </w:r>
      <w:r>
        <w:rPr>
          <w:rFonts w:hint="eastAsia" w:ascii="宋体" w:hAnsi="宋体"/>
          <w:color w:val="auto"/>
          <w:kern w:val="0"/>
          <w:sz w:val="24"/>
          <w:szCs w:val="24"/>
          <w:highlight w:val="none"/>
        </w:rPr>
        <w:t>或复合肥</w:t>
      </w:r>
      <w:r>
        <w:rPr>
          <w:rFonts w:ascii="宋体" w:hAnsi="宋体"/>
          <w:color w:val="auto"/>
          <w:kern w:val="0"/>
          <w:sz w:val="24"/>
          <w:szCs w:val="24"/>
          <w:highlight w:val="none"/>
        </w:rPr>
        <w:t>0.1kg</w:t>
      </w:r>
      <w:r>
        <w:rPr>
          <w:rFonts w:hint="eastAsia" w:ascii="宋体" w:hAnsi="宋体"/>
          <w:color w:val="auto"/>
          <w:kern w:val="0"/>
          <w:sz w:val="24"/>
          <w:szCs w:val="24"/>
          <w:highlight w:val="none"/>
        </w:rPr>
        <w:t>～</w:t>
      </w:r>
      <w:r>
        <w:rPr>
          <w:rFonts w:ascii="宋体" w:hAnsi="宋体"/>
          <w:color w:val="auto"/>
          <w:kern w:val="0"/>
          <w:sz w:val="24"/>
          <w:szCs w:val="24"/>
          <w:highlight w:val="none"/>
        </w:rPr>
        <w:t>0.4kg</w:t>
      </w:r>
      <w:r>
        <w:rPr>
          <w:rFonts w:hint="eastAsia" w:ascii="宋体" w:hAnsi="宋体"/>
          <w:color w:val="auto"/>
          <w:kern w:val="0"/>
          <w:sz w:val="24"/>
          <w:szCs w:val="24"/>
          <w:highlight w:val="none"/>
        </w:rPr>
        <w:t>。</w:t>
      </w:r>
    </w:p>
    <w:p w14:paraId="191B089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4.3.2 </w:t>
      </w:r>
      <w:r>
        <w:rPr>
          <w:rFonts w:hint="eastAsia" w:ascii="宋体" w:hAnsi="宋体"/>
          <w:color w:val="auto"/>
          <w:kern w:val="0"/>
          <w:sz w:val="24"/>
          <w:szCs w:val="24"/>
          <w:highlight w:val="none"/>
        </w:rPr>
        <w:t>定植</w:t>
      </w:r>
      <w:r>
        <w:rPr>
          <w:rFonts w:ascii="宋体" w:hAnsi="宋体"/>
          <w:color w:val="auto"/>
          <w:kern w:val="0"/>
          <w:sz w:val="24"/>
          <w:szCs w:val="24"/>
          <w:highlight w:val="none"/>
        </w:rPr>
        <w:t>5</w:t>
      </w:r>
      <w:r>
        <w:rPr>
          <w:rFonts w:hint="eastAsia" w:ascii="宋体" w:hAnsi="宋体"/>
          <w:color w:val="auto"/>
          <w:kern w:val="0"/>
          <w:sz w:val="24"/>
          <w:szCs w:val="24"/>
          <w:highlight w:val="none"/>
        </w:rPr>
        <w:t>年后的乔木，视长势定全年施</w:t>
      </w:r>
      <w:r>
        <w:rPr>
          <w:rFonts w:ascii="宋体" w:hAnsi="宋体"/>
          <w:color w:val="auto"/>
          <w:kern w:val="0"/>
          <w:sz w:val="24"/>
          <w:szCs w:val="24"/>
          <w:highlight w:val="none"/>
        </w:rPr>
        <w:t>1</w:t>
      </w:r>
      <w:r>
        <w:rPr>
          <w:rFonts w:hint="eastAsia" w:ascii="宋体" w:hAnsi="宋体"/>
          <w:color w:val="auto"/>
          <w:kern w:val="0"/>
          <w:sz w:val="24"/>
          <w:szCs w:val="24"/>
          <w:highlight w:val="none"/>
        </w:rPr>
        <w:t>次～</w:t>
      </w:r>
      <w:r>
        <w:rPr>
          <w:rFonts w:ascii="宋体" w:hAnsi="宋体"/>
          <w:color w:val="auto"/>
          <w:kern w:val="0"/>
          <w:sz w:val="24"/>
          <w:szCs w:val="24"/>
          <w:highlight w:val="none"/>
        </w:rPr>
        <w:t>2</w:t>
      </w:r>
      <w:r>
        <w:rPr>
          <w:rFonts w:hint="eastAsia" w:ascii="宋体" w:hAnsi="宋体"/>
          <w:color w:val="auto"/>
          <w:kern w:val="0"/>
          <w:sz w:val="24"/>
          <w:szCs w:val="24"/>
          <w:highlight w:val="none"/>
        </w:rPr>
        <w:t>次根外肥，肥料可用</w:t>
      </w:r>
      <w:r>
        <w:rPr>
          <w:rFonts w:ascii="宋体" w:hAnsi="宋体"/>
          <w:color w:val="auto"/>
          <w:kern w:val="0"/>
          <w:sz w:val="24"/>
          <w:szCs w:val="24"/>
          <w:highlight w:val="none"/>
        </w:rPr>
        <w:t>0.1</w:t>
      </w:r>
      <w:r>
        <w:rPr>
          <w:rFonts w:hint="eastAsia" w:ascii="宋体" w:hAnsi="宋体"/>
          <w:color w:val="auto"/>
          <w:spacing w:val="-30"/>
          <w:kern w:val="0"/>
          <w:sz w:val="24"/>
          <w:szCs w:val="24"/>
          <w:highlight w:val="none"/>
        </w:rPr>
        <w:t>％</w:t>
      </w:r>
      <w:r>
        <w:rPr>
          <w:rFonts w:hint="eastAsia" w:ascii="宋体" w:hAnsi="宋体"/>
          <w:color w:val="auto"/>
          <w:kern w:val="0"/>
          <w:sz w:val="24"/>
          <w:szCs w:val="24"/>
          <w:highlight w:val="none"/>
        </w:rPr>
        <w:t>～</w:t>
      </w:r>
      <w:r>
        <w:rPr>
          <w:rFonts w:ascii="宋体" w:hAnsi="宋体"/>
          <w:color w:val="auto"/>
          <w:kern w:val="0"/>
          <w:sz w:val="24"/>
          <w:szCs w:val="24"/>
          <w:highlight w:val="none"/>
        </w:rPr>
        <w:t>1.0</w:t>
      </w:r>
      <w:r>
        <w:rPr>
          <w:rFonts w:hint="eastAsia" w:ascii="宋体" w:hAnsi="宋体"/>
          <w:color w:val="auto"/>
          <w:spacing w:val="-30"/>
          <w:kern w:val="0"/>
          <w:sz w:val="24"/>
          <w:szCs w:val="24"/>
          <w:highlight w:val="none"/>
        </w:rPr>
        <w:t>％</w:t>
      </w:r>
      <w:r>
        <w:rPr>
          <w:rFonts w:hint="eastAsia" w:ascii="宋体" w:hAnsi="宋体"/>
          <w:color w:val="auto"/>
          <w:kern w:val="0"/>
          <w:sz w:val="24"/>
          <w:szCs w:val="24"/>
          <w:highlight w:val="none"/>
        </w:rPr>
        <w:t>尿素、磷酸二氢钾等；古树、衰老树冬季应深耕根施迟效性肥料一次，以骨粉、堆肥、垃圾肥等有机肥为主，平均每株施</w:t>
      </w:r>
      <w:r>
        <w:rPr>
          <w:rFonts w:ascii="宋体" w:hAnsi="宋体"/>
          <w:color w:val="auto"/>
          <w:kern w:val="0"/>
          <w:sz w:val="24"/>
          <w:szCs w:val="24"/>
          <w:highlight w:val="none"/>
        </w:rPr>
        <w:t>10kg</w:t>
      </w:r>
      <w:r>
        <w:rPr>
          <w:rFonts w:hint="eastAsia" w:ascii="宋体" w:hAnsi="宋体"/>
          <w:color w:val="auto"/>
          <w:kern w:val="0"/>
          <w:sz w:val="24"/>
          <w:szCs w:val="24"/>
          <w:highlight w:val="none"/>
        </w:rPr>
        <w:t>～</w:t>
      </w:r>
      <w:r>
        <w:rPr>
          <w:rFonts w:ascii="宋体" w:hAnsi="宋体"/>
          <w:color w:val="auto"/>
          <w:kern w:val="0"/>
          <w:sz w:val="24"/>
          <w:szCs w:val="24"/>
          <w:highlight w:val="none"/>
        </w:rPr>
        <w:t>25kg</w:t>
      </w:r>
      <w:r>
        <w:rPr>
          <w:rFonts w:hint="eastAsia" w:ascii="宋体" w:hAnsi="宋体"/>
          <w:color w:val="auto"/>
          <w:kern w:val="0"/>
          <w:sz w:val="24"/>
          <w:szCs w:val="24"/>
          <w:highlight w:val="none"/>
        </w:rPr>
        <w:t>有机物或施复合肥</w:t>
      </w:r>
      <w:r>
        <w:rPr>
          <w:rFonts w:ascii="宋体" w:hAnsi="宋体"/>
          <w:color w:val="auto"/>
          <w:kern w:val="0"/>
          <w:sz w:val="24"/>
          <w:szCs w:val="24"/>
          <w:highlight w:val="none"/>
        </w:rPr>
        <w:t>0.3kg</w:t>
      </w:r>
      <w:r>
        <w:rPr>
          <w:rFonts w:hint="eastAsia" w:ascii="宋体" w:hAnsi="宋体"/>
          <w:color w:val="auto"/>
          <w:kern w:val="0"/>
          <w:sz w:val="24"/>
          <w:szCs w:val="24"/>
          <w:highlight w:val="none"/>
        </w:rPr>
        <w:t>～</w:t>
      </w:r>
      <w:r>
        <w:rPr>
          <w:rFonts w:ascii="宋体" w:hAnsi="宋体"/>
          <w:color w:val="auto"/>
          <w:kern w:val="0"/>
          <w:sz w:val="24"/>
          <w:szCs w:val="24"/>
          <w:highlight w:val="none"/>
        </w:rPr>
        <w:t>1.0kg</w:t>
      </w:r>
      <w:r>
        <w:rPr>
          <w:rFonts w:hint="eastAsia" w:ascii="宋体" w:hAnsi="宋体"/>
          <w:color w:val="auto"/>
          <w:kern w:val="0"/>
          <w:sz w:val="24"/>
          <w:szCs w:val="24"/>
          <w:highlight w:val="none"/>
        </w:rPr>
        <w:t>，观花、观果类乔木还应在花后、果后追施一次复合肥或尿素。</w:t>
      </w:r>
    </w:p>
    <w:p w14:paraId="4DFF0327">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4.3.3 </w:t>
      </w:r>
      <w:r>
        <w:rPr>
          <w:rFonts w:hint="eastAsia" w:ascii="宋体" w:hAnsi="宋体"/>
          <w:color w:val="auto"/>
          <w:kern w:val="0"/>
          <w:sz w:val="24"/>
          <w:szCs w:val="24"/>
          <w:highlight w:val="none"/>
        </w:rPr>
        <w:t>灌木全年施</w:t>
      </w:r>
      <w:r>
        <w:rPr>
          <w:rFonts w:ascii="宋体" w:hAnsi="宋体"/>
          <w:color w:val="auto"/>
          <w:kern w:val="0"/>
          <w:sz w:val="24"/>
          <w:szCs w:val="24"/>
          <w:highlight w:val="none"/>
        </w:rPr>
        <w:t>3</w:t>
      </w:r>
      <w:r>
        <w:rPr>
          <w:rFonts w:hint="eastAsia" w:ascii="宋体" w:hAnsi="宋体"/>
          <w:color w:val="auto"/>
          <w:kern w:val="0"/>
          <w:sz w:val="24"/>
          <w:szCs w:val="24"/>
          <w:highlight w:val="none"/>
        </w:rPr>
        <w:t>次～</w:t>
      </w:r>
      <w:r>
        <w:rPr>
          <w:rFonts w:ascii="宋体" w:hAnsi="宋体"/>
          <w:color w:val="auto"/>
          <w:kern w:val="0"/>
          <w:sz w:val="24"/>
          <w:szCs w:val="24"/>
          <w:highlight w:val="none"/>
        </w:rPr>
        <w:t>8</w:t>
      </w:r>
      <w:r>
        <w:rPr>
          <w:rFonts w:hint="eastAsia" w:ascii="宋体" w:hAnsi="宋体"/>
          <w:color w:val="auto"/>
          <w:kern w:val="0"/>
          <w:sz w:val="24"/>
          <w:szCs w:val="24"/>
          <w:highlight w:val="none"/>
        </w:rPr>
        <w:t>次（视植物长势而定），生长期以施氮肥为主，开花期、冬季以磷钾肥为主；片植灌木，每次每平方米施化肥</w:t>
      </w:r>
      <w:r>
        <w:rPr>
          <w:rFonts w:ascii="宋体" w:hAnsi="宋体"/>
          <w:color w:val="auto"/>
          <w:kern w:val="0"/>
          <w:sz w:val="24"/>
          <w:szCs w:val="24"/>
          <w:highlight w:val="none"/>
        </w:rPr>
        <w:t>0.025 kg</w:t>
      </w:r>
      <w:r>
        <w:rPr>
          <w:rFonts w:hint="eastAsia" w:ascii="宋体" w:hAnsi="宋体"/>
          <w:color w:val="auto"/>
          <w:kern w:val="0"/>
          <w:sz w:val="24"/>
          <w:szCs w:val="24"/>
          <w:highlight w:val="none"/>
        </w:rPr>
        <w:t>～</w:t>
      </w:r>
      <w:r>
        <w:rPr>
          <w:rFonts w:ascii="宋体" w:hAnsi="宋体"/>
          <w:color w:val="auto"/>
          <w:kern w:val="0"/>
          <w:sz w:val="24"/>
          <w:szCs w:val="24"/>
          <w:highlight w:val="none"/>
        </w:rPr>
        <w:t>0.100kg</w:t>
      </w:r>
      <w:r>
        <w:rPr>
          <w:rFonts w:hint="eastAsia" w:ascii="宋体" w:hAnsi="宋体"/>
          <w:color w:val="auto"/>
          <w:kern w:val="0"/>
          <w:sz w:val="24"/>
          <w:szCs w:val="24"/>
          <w:highlight w:val="none"/>
        </w:rPr>
        <w:t>；孤植灌木，每株每次施化肥</w:t>
      </w:r>
      <w:r>
        <w:rPr>
          <w:rFonts w:ascii="宋体" w:hAnsi="宋体"/>
          <w:color w:val="auto"/>
          <w:kern w:val="0"/>
          <w:sz w:val="24"/>
          <w:szCs w:val="24"/>
          <w:highlight w:val="none"/>
        </w:rPr>
        <w:t>0.05 kg</w:t>
      </w:r>
      <w:r>
        <w:rPr>
          <w:rFonts w:hint="eastAsia" w:ascii="宋体" w:hAnsi="宋体"/>
          <w:color w:val="auto"/>
          <w:kern w:val="0"/>
          <w:sz w:val="24"/>
          <w:szCs w:val="24"/>
          <w:highlight w:val="none"/>
        </w:rPr>
        <w:t>～</w:t>
      </w:r>
      <w:r>
        <w:rPr>
          <w:rFonts w:ascii="宋体" w:hAnsi="宋体"/>
          <w:color w:val="auto"/>
          <w:kern w:val="0"/>
          <w:sz w:val="24"/>
          <w:szCs w:val="24"/>
          <w:highlight w:val="none"/>
        </w:rPr>
        <w:t>0.15kg</w:t>
      </w:r>
      <w:r>
        <w:rPr>
          <w:rFonts w:hint="eastAsia" w:ascii="宋体" w:hAnsi="宋体"/>
          <w:color w:val="auto"/>
          <w:kern w:val="0"/>
          <w:sz w:val="24"/>
          <w:szCs w:val="24"/>
          <w:highlight w:val="none"/>
        </w:rPr>
        <w:t>。</w:t>
      </w:r>
    </w:p>
    <w:p w14:paraId="386BD4EE">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4.3.4 </w:t>
      </w:r>
      <w:r>
        <w:rPr>
          <w:rFonts w:hint="eastAsia" w:ascii="宋体" w:hAnsi="宋体"/>
          <w:color w:val="auto"/>
          <w:kern w:val="0"/>
          <w:sz w:val="24"/>
          <w:szCs w:val="24"/>
          <w:highlight w:val="none"/>
        </w:rPr>
        <w:t>草坪、草本地被植物。全年施</w:t>
      </w:r>
      <w:r>
        <w:rPr>
          <w:rFonts w:ascii="宋体" w:hAnsi="宋体"/>
          <w:color w:val="auto"/>
          <w:kern w:val="0"/>
          <w:sz w:val="24"/>
          <w:szCs w:val="24"/>
          <w:highlight w:val="none"/>
        </w:rPr>
        <w:t>2</w:t>
      </w:r>
      <w:r>
        <w:rPr>
          <w:rFonts w:hint="eastAsia" w:ascii="宋体" w:hAnsi="宋体"/>
          <w:color w:val="auto"/>
          <w:kern w:val="0"/>
          <w:sz w:val="24"/>
          <w:szCs w:val="24"/>
          <w:highlight w:val="none"/>
        </w:rPr>
        <w:t>次～</w:t>
      </w:r>
      <w:r>
        <w:rPr>
          <w:rFonts w:ascii="宋体" w:hAnsi="宋体"/>
          <w:color w:val="auto"/>
          <w:kern w:val="0"/>
          <w:sz w:val="24"/>
          <w:szCs w:val="24"/>
          <w:highlight w:val="none"/>
        </w:rPr>
        <w:t>4</w:t>
      </w:r>
      <w:r>
        <w:rPr>
          <w:rFonts w:hint="eastAsia" w:ascii="宋体" w:hAnsi="宋体"/>
          <w:color w:val="auto"/>
          <w:kern w:val="0"/>
          <w:sz w:val="24"/>
          <w:szCs w:val="24"/>
          <w:highlight w:val="none"/>
        </w:rPr>
        <w:t>次，生长期施尿素或复合肥</w:t>
      </w:r>
      <w:r>
        <w:rPr>
          <w:rFonts w:ascii="宋体" w:hAnsi="宋体"/>
          <w:color w:val="auto"/>
          <w:kern w:val="0"/>
          <w:sz w:val="24"/>
          <w:szCs w:val="24"/>
          <w:highlight w:val="none"/>
        </w:rPr>
        <w:t>1</w:t>
      </w:r>
      <w:r>
        <w:rPr>
          <w:rFonts w:hint="eastAsia" w:ascii="宋体" w:hAnsi="宋体"/>
          <w:color w:val="auto"/>
          <w:kern w:val="0"/>
          <w:sz w:val="24"/>
          <w:szCs w:val="24"/>
          <w:highlight w:val="none"/>
        </w:rPr>
        <w:t>次～</w:t>
      </w:r>
      <w:r>
        <w:rPr>
          <w:rFonts w:ascii="宋体" w:hAnsi="宋体"/>
          <w:color w:val="auto"/>
          <w:kern w:val="0"/>
          <w:sz w:val="24"/>
          <w:szCs w:val="24"/>
          <w:highlight w:val="none"/>
        </w:rPr>
        <w:t>3</w:t>
      </w:r>
      <w:r>
        <w:rPr>
          <w:rFonts w:hint="eastAsia" w:ascii="宋体" w:hAnsi="宋体"/>
          <w:color w:val="auto"/>
          <w:kern w:val="0"/>
          <w:sz w:val="24"/>
          <w:szCs w:val="24"/>
          <w:highlight w:val="none"/>
        </w:rPr>
        <w:t>次，每平方米施</w:t>
      </w:r>
      <w:r>
        <w:rPr>
          <w:rFonts w:ascii="宋体" w:hAnsi="宋体"/>
          <w:color w:val="auto"/>
          <w:kern w:val="0"/>
          <w:sz w:val="24"/>
          <w:szCs w:val="24"/>
          <w:highlight w:val="none"/>
        </w:rPr>
        <w:t>0.01 kg</w:t>
      </w:r>
      <w:r>
        <w:rPr>
          <w:rFonts w:hint="eastAsia" w:ascii="宋体" w:hAnsi="宋体"/>
          <w:color w:val="auto"/>
          <w:kern w:val="0"/>
          <w:sz w:val="24"/>
          <w:szCs w:val="24"/>
          <w:highlight w:val="none"/>
        </w:rPr>
        <w:t>～</w:t>
      </w:r>
      <w:r>
        <w:rPr>
          <w:rFonts w:ascii="宋体" w:hAnsi="宋体"/>
          <w:color w:val="auto"/>
          <w:kern w:val="0"/>
          <w:sz w:val="24"/>
          <w:szCs w:val="24"/>
          <w:highlight w:val="none"/>
        </w:rPr>
        <w:t>0.05kg</w:t>
      </w:r>
      <w:r>
        <w:rPr>
          <w:rFonts w:hint="eastAsia" w:ascii="宋体" w:hAnsi="宋体"/>
          <w:color w:val="auto"/>
          <w:kern w:val="0"/>
          <w:sz w:val="24"/>
          <w:szCs w:val="24"/>
          <w:highlight w:val="none"/>
        </w:rPr>
        <w:t>；入冬前施</w:t>
      </w:r>
      <w:r>
        <w:rPr>
          <w:rFonts w:ascii="宋体" w:hAnsi="宋体"/>
          <w:color w:val="auto"/>
          <w:kern w:val="0"/>
          <w:sz w:val="24"/>
          <w:szCs w:val="24"/>
          <w:highlight w:val="none"/>
        </w:rPr>
        <w:t>1</w:t>
      </w:r>
      <w:r>
        <w:rPr>
          <w:rFonts w:hint="eastAsia" w:ascii="宋体" w:hAnsi="宋体"/>
          <w:color w:val="auto"/>
          <w:kern w:val="0"/>
          <w:sz w:val="24"/>
          <w:szCs w:val="24"/>
          <w:highlight w:val="none"/>
        </w:rPr>
        <w:t>次复合肥，观花地被花前施</w:t>
      </w:r>
      <w:r>
        <w:rPr>
          <w:rFonts w:ascii="宋体" w:hAnsi="宋体"/>
          <w:color w:val="auto"/>
          <w:kern w:val="0"/>
          <w:sz w:val="24"/>
          <w:szCs w:val="24"/>
          <w:highlight w:val="none"/>
        </w:rPr>
        <w:t>1</w:t>
      </w:r>
      <w:r>
        <w:rPr>
          <w:rFonts w:hint="eastAsia" w:ascii="宋体" w:hAnsi="宋体"/>
          <w:color w:val="auto"/>
          <w:kern w:val="0"/>
          <w:sz w:val="24"/>
          <w:szCs w:val="24"/>
          <w:highlight w:val="none"/>
        </w:rPr>
        <w:t>次复合肥。</w:t>
      </w:r>
    </w:p>
    <w:p w14:paraId="44F43D3E">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4.3.5 </w:t>
      </w:r>
      <w:r>
        <w:rPr>
          <w:rFonts w:hint="eastAsia" w:ascii="宋体" w:hAnsi="宋体"/>
          <w:color w:val="auto"/>
          <w:kern w:val="0"/>
          <w:sz w:val="24"/>
          <w:szCs w:val="24"/>
          <w:highlight w:val="none"/>
        </w:rPr>
        <w:t>花坛种植后应施一次以上干肥（复合肥）或每隔</w:t>
      </w:r>
      <w:r>
        <w:rPr>
          <w:rFonts w:ascii="宋体" w:hAnsi="宋体"/>
          <w:color w:val="auto"/>
          <w:kern w:val="0"/>
          <w:sz w:val="24"/>
          <w:szCs w:val="24"/>
          <w:highlight w:val="none"/>
        </w:rPr>
        <w:t>10</w:t>
      </w:r>
      <w:r>
        <w:rPr>
          <w:rFonts w:hint="eastAsia" w:ascii="宋体" w:hAnsi="宋体"/>
          <w:color w:val="auto"/>
          <w:kern w:val="0"/>
          <w:sz w:val="24"/>
          <w:szCs w:val="24"/>
          <w:highlight w:val="none"/>
        </w:rPr>
        <w:t>天施一次水肥（复合肥）。</w:t>
      </w:r>
    </w:p>
    <w:p w14:paraId="446AEEC6">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4.3.6 </w:t>
      </w:r>
      <w:r>
        <w:rPr>
          <w:rFonts w:hint="eastAsia" w:ascii="宋体" w:hAnsi="宋体"/>
          <w:color w:val="auto"/>
          <w:kern w:val="0"/>
          <w:sz w:val="24"/>
          <w:szCs w:val="24"/>
          <w:highlight w:val="none"/>
        </w:rPr>
        <w:t>应多施有机肥，尽量利用落叶及修剪出来的枝叶埋入土中或堆沤后施用，以改良土壤，增加土壤肥力。</w:t>
      </w:r>
    </w:p>
    <w:p w14:paraId="6093CFD1">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4.3.7 </w:t>
      </w:r>
      <w:r>
        <w:rPr>
          <w:rFonts w:hint="eastAsia" w:ascii="宋体" w:hAnsi="宋体"/>
          <w:color w:val="auto"/>
          <w:kern w:val="0"/>
          <w:sz w:val="24"/>
          <w:szCs w:val="24"/>
          <w:highlight w:val="none"/>
        </w:rPr>
        <w:t>乔木与孤植灌木可采用沟施、穴施或叶面喷施；沟施或穴施位置有地被的，先将地被植物带根移开，挖沟或穴深施，施肥盖土后再复植原位。片植地被、草坪、花坛可采用撤施或叶面喷施或淋水肥；撒施时，肥料不能粘在叶面上。</w:t>
      </w:r>
    </w:p>
    <w:p w14:paraId="6506F4A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4.3.8 </w:t>
      </w:r>
      <w:r>
        <w:rPr>
          <w:rFonts w:hint="eastAsia" w:ascii="宋体" w:hAnsi="宋体"/>
          <w:color w:val="auto"/>
          <w:kern w:val="0"/>
          <w:sz w:val="24"/>
          <w:szCs w:val="24"/>
          <w:highlight w:val="none"/>
        </w:rPr>
        <w:t>使用化肥进行根施或撤施时</w:t>
      </w:r>
      <w:r>
        <w:rPr>
          <w:rFonts w:ascii="宋体"/>
          <w:color w:val="auto"/>
          <w:kern w:val="0"/>
          <w:sz w:val="24"/>
          <w:szCs w:val="24"/>
          <w:highlight w:val="none"/>
        </w:rPr>
        <w:t>,</w:t>
      </w:r>
      <w:r>
        <w:rPr>
          <w:rFonts w:hint="eastAsia" w:ascii="宋体" w:hAnsi="宋体"/>
          <w:color w:val="auto"/>
          <w:kern w:val="0"/>
          <w:sz w:val="24"/>
          <w:szCs w:val="24"/>
          <w:highlight w:val="none"/>
        </w:rPr>
        <w:t>施肥后应及时淋水。</w:t>
      </w:r>
    </w:p>
    <w:p w14:paraId="7FD04059">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 </w:t>
      </w:r>
      <w:r>
        <w:rPr>
          <w:rFonts w:hint="eastAsia" w:ascii="宋体" w:hAnsi="宋体"/>
          <w:color w:val="auto"/>
          <w:kern w:val="0"/>
          <w:sz w:val="24"/>
          <w:szCs w:val="24"/>
          <w:highlight w:val="none"/>
        </w:rPr>
        <w:t>修剪</w:t>
      </w:r>
    </w:p>
    <w:p w14:paraId="092E9078">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 </w:t>
      </w:r>
      <w:r>
        <w:rPr>
          <w:rFonts w:hint="eastAsia" w:ascii="宋体" w:hAnsi="宋体"/>
          <w:color w:val="auto"/>
          <w:kern w:val="0"/>
          <w:sz w:val="24"/>
          <w:szCs w:val="24"/>
          <w:highlight w:val="none"/>
        </w:rPr>
        <w:t>绿地乔木修剪</w:t>
      </w:r>
    </w:p>
    <w:p w14:paraId="1706580B">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5.1.1 </w:t>
      </w:r>
      <w:r>
        <w:rPr>
          <w:rFonts w:hint="eastAsia" w:ascii="宋体" w:hAnsi="宋体"/>
          <w:color w:val="auto"/>
          <w:kern w:val="0"/>
          <w:sz w:val="24"/>
          <w:szCs w:val="24"/>
          <w:highlight w:val="none"/>
        </w:rPr>
        <w:t>自然修剪</w:t>
      </w:r>
    </w:p>
    <w:p w14:paraId="3027C86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5.1.1.1 </w:t>
      </w:r>
      <w:r>
        <w:rPr>
          <w:rFonts w:hint="eastAsia" w:ascii="宋体" w:hAnsi="宋体"/>
          <w:color w:val="auto"/>
          <w:kern w:val="0"/>
          <w:sz w:val="24"/>
          <w:szCs w:val="24"/>
          <w:highlight w:val="none"/>
        </w:rPr>
        <w:t>幼龄树修剪，以培养树形为主，全年修剪</w:t>
      </w:r>
      <w:r>
        <w:rPr>
          <w:rFonts w:ascii="宋体" w:hAnsi="宋体"/>
          <w:color w:val="auto"/>
          <w:kern w:val="0"/>
          <w:sz w:val="24"/>
          <w:szCs w:val="24"/>
          <w:highlight w:val="none"/>
        </w:rPr>
        <w:t>2</w:t>
      </w:r>
      <w:r>
        <w:rPr>
          <w:rFonts w:hint="eastAsia" w:ascii="宋体" w:hAnsi="宋体"/>
          <w:color w:val="auto"/>
          <w:kern w:val="0"/>
          <w:sz w:val="24"/>
          <w:szCs w:val="24"/>
          <w:highlight w:val="none"/>
        </w:rPr>
        <w:t>次，冬、夏各进行</w:t>
      </w:r>
      <w:r>
        <w:rPr>
          <w:rFonts w:ascii="宋体" w:hAnsi="宋体"/>
          <w:color w:val="auto"/>
          <w:kern w:val="0"/>
          <w:sz w:val="24"/>
          <w:szCs w:val="24"/>
          <w:highlight w:val="none"/>
        </w:rPr>
        <w:t>1</w:t>
      </w:r>
      <w:r>
        <w:rPr>
          <w:rFonts w:hint="eastAsia" w:ascii="宋体" w:hAnsi="宋体"/>
          <w:color w:val="auto"/>
          <w:kern w:val="0"/>
          <w:sz w:val="24"/>
          <w:szCs w:val="24"/>
          <w:highlight w:val="none"/>
        </w:rPr>
        <w:t>次，剪去过密枝、下垂枝、交叉枝、病虫枝，剪口要求平滑，直径</w:t>
      </w:r>
      <w:r>
        <w:rPr>
          <w:rFonts w:ascii="宋体" w:hAnsi="宋体"/>
          <w:color w:val="auto"/>
          <w:kern w:val="0"/>
          <w:sz w:val="24"/>
          <w:szCs w:val="24"/>
          <w:highlight w:val="none"/>
        </w:rPr>
        <w:t>5cm</w:t>
      </w:r>
      <w:r>
        <w:rPr>
          <w:rFonts w:hint="eastAsia" w:ascii="宋体" w:hAnsi="宋体"/>
          <w:color w:val="auto"/>
          <w:kern w:val="0"/>
          <w:sz w:val="24"/>
          <w:szCs w:val="24"/>
          <w:highlight w:val="none"/>
        </w:rPr>
        <w:t>以上的剪口应涂上防腐剂。</w:t>
      </w:r>
    </w:p>
    <w:p w14:paraId="53E5AB5E">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5.1.1.2 </w:t>
      </w:r>
      <w:r>
        <w:rPr>
          <w:rFonts w:hint="eastAsia" w:ascii="宋体" w:hAnsi="宋体"/>
          <w:color w:val="auto"/>
          <w:kern w:val="0"/>
          <w:sz w:val="24"/>
          <w:szCs w:val="24"/>
          <w:highlight w:val="none"/>
        </w:rPr>
        <w:t>成年树修剪，以维持本身树形特征为主，全年修剪数次，平时</w:t>
      </w:r>
      <w:r>
        <w:rPr>
          <w:rFonts w:ascii="宋体" w:hAnsi="宋体"/>
          <w:color w:val="auto"/>
          <w:kern w:val="0"/>
          <w:sz w:val="24"/>
          <w:szCs w:val="24"/>
          <w:highlight w:val="none"/>
        </w:rPr>
        <w:t>1</w:t>
      </w:r>
      <w:r>
        <w:rPr>
          <w:rFonts w:hint="eastAsia" w:ascii="宋体" w:hAnsi="宋体"/>
          <w:color w:val="auto"/>
          <w:kern w:val="0"/>
          <w:sz w:val="24"/>
          <w:szCs w:val="24"/>
          <w:highlight w:val="none"/>
        </w:rPr>
        <w:t>个～</w:t>
      </w:r>
      <w:r>
        <w:rPr>
          <w:rFonts w:ascii="宋体" w:hAnsi="宋体"/>
          <w:color w:val="auto"/>
          <w:kern w:val="0"/>
          <w:sz w:val="24"/>
          <w:szCs w:val="24"/>
          <w:highlight w:val="none"/>
        </w:rPr>
        <w:t>2</w:t>
      </w:r>
      <w:r>
        <w:rPr>
          <w:rFonts w:hint="eastAsia" w:ascii="宋体" w:hAnsi="宋体"/>
          <w:color w:val="auto"/>
          <w:kern w:val="0"/>
          <w:sz w:val="24"/>
          <w:szCs w:val="24"/>
          <w:highlight w:val="none"/>
        </w:rPr>
        <w:t>个月钩干枯枝</w:t>
      </w:r>
      <w:r>
        <w:rPr>
          <w:rFonts w:ascii="宋体" w:hAnsi="宋体"/>
          <w:color w:val="auto"/>
          <w:kern w:val="0"/>
          <w:sz w:val="24"/>
          <w:szCs w:val="24"/>
          <w:highlight w:val="none"/>
        </w:rPr>
        <w:t>1</w:t>
      </w:r>
      <w:r>
        <w:rPr>
          <w:rFonts w:hint="eastAsia" w:ascii="宋体" w:hAnsi="宋体"/>
          <w:color w:val="auto"/>
          <w:kern w:val="0"/>
          <w:sz w:val="24"/>
          <w:szCs w:val="24"/>
          <w:highlight w:val="none"/>
        </w:rPr>
        <w:t>次；冬季和夏季台风到来之前进行适度修剪，把病虫枝、下垂枝、过密枝、交叉枝剪去，剪口要求平整，不留桩头，大枝的剪口应涂上防腐剂。</w:t>
      </w:r>
    </w:p>
    <w:p w14:paraId="3FF8160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5.1.1.3 </w:t>
      </w:r>
      <w:r>
        <w:rPr>
          <w:rFonts w:hint="eastAsia" w:ascii="宋体" w:hAnsi="宋体"/>
          <w:color w:val="auto"/>
          <w:kern w:val="0"/>
          <w:sz w:val="24"/>
          <w:szCs w:val="24"/>
          <w:highlight w:val="none"/>
        </w:rPr>
        <w:t>对影响主要树种树体定向生长的其它次要树应进行避让修剪，以保证主体树有足够的生长定向空间。</w:t>
      </w:r>
    </w:p>
    <w:p w14:paraId="4374887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5.1.2 </w:t>
      </w:r>
      <w:r>
        <w:rPr>
          <w:rFonts w:hint="eastAsia" w:ascii="宋体" w:hAnsi="宋体"/>
          <w:color w:val="auto"/>
          <w:kern w:val="0"/>
          <w:sz w:val="24"/>
          <w:szCs w:val="24"/>
          <w:highlight w:val="none"/>
        </w:rPr>
        <w:t>造型修剪</w:t>
      </w:r>
    </w:p>
    <w:p w14:paraId="5599F5A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根据设计和景观要求</w:t>
      </w:r>
      <w:r>
        <w:rPr>
          <w:rFonts w:ascii="宋体"/>
          <w:color w:val="auto"/>
          <w:kern w:val="0"/>
          <w:sz w:val="24"/>
          <w:szCs w:val="24"/>
          <w:highlight w:val="none"/>
        </w:rPr>
        <w:t>,</w:t>
      </w:r>
      <w:r>
        <w:rPr>
          <w:rFonts w:hint="eastAsia" w:ascii="宋体" w:hAnsi="宋体"/>
          <w:color w:val="auto"/>
          <w:kern w:val="0"/>
          <w:sz w:val="24"/>
          <w:szCs w:val="24"/>
          <w:highlight w:val="none"/>
        </w:rPr>
        <w:t>把乔木剪成并维持特定的形状</w:t>
      </w:r>
      <w:r>
        <w:rPr>
          <w:rFonts w:ascii="宋体"/>
          <w:color w:val="auto"/>
          <w:kern w:val="0"/>
          <w:sz w:val="24"/>
          <w:szCs w:val="24"/>
          <w:highlight w:val="none"/>
        </w:rPr>
        <w:t>.</w:t>
      </w:r>
      <w:r>
        <w:rPr>
          <w:rFonts w:hint="eastAsia" w:ascii="宋体" w:hAnsi="宋体"/>
          <w:color w:val="auto"/>
          <w:kern w:val="0"/>
          <w:sz w:val="24"/>
          <w:szCs w:val="24"/>
          <w:highlight w:val="none"/>
        </w:rPr>
        <w:t>修剪次数与强度以能维持其形状为宜</w:t>
      </w:r>
      <w:r>
        <w:rPr>
          <w:rFonts w:ascii="宋体"/>
          <w:color w:val="auto"/>
          <w:kern w:val="0"/>
          <w:sz w:val="24"/>
          <w:szCs w:val="24"/>
          <w:highlight w:val="none"/>
        </w:rPr>
        <w:t>,</w:t>
      </w:r>
      <w:r>
        <w:rPr>
          <w:rFonts w:hint="eastAsia" w:ascii="宋体" w:hAnsi="宋体"/>
          <w:color w:val="auto"/>
          <w:kern w:val="0"/>
          <w:sz w:val="24"/>
          <w:szCs w:val="24"/>
          <w:highlight w:val="none"/>
        </w:rPr>
        <w:t>修剪时必须注意剪去过密的内膛枝、交叉枝，以利病虫害的防治。</w:t>
      </w:r>
      <w:r>
        <w:rPr>
          <w:rFonts w:ascii="宋体" w:hAnsi="宋体"/>
          <w:color w:val="auto"/>
          <w:kern w:val="0"/>
          <w:sz w:val="24"/>
          <w:szCs w:val="24"/>
          <w:highlight w:val="none"/>
        </w:rPr>
        <w:t xml:space="preserve"> </w:t>
      </w:r>
    </w:p>
    <w:p w14:paraId="04C8B997">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 </w:t>
      </w:r>
      <w:r>
        <w:rPr>
          <w:rFonts w:hint="eastAsia" w:ascii="宋体" w:hAnsi="宋体"/>
          <w:color w:val="auto"/>
          <w:kern w:val="0"/>
          <w:sz w:val="24"/>
          <w:szCs w:val="24"/>
          <w:highlight w:val="none"/>
        </w:rPr>
        <w:t>行道树修剪</w:t>
      </w:r>
    </w:p>
    <w:p w14:paraId="0E8F80F6">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5.1.3.1 </w:t>
      </w:r>
      <w:r>
        <w:rPr>
          <w:rFonts w:hint="eastAsia" w:ascii="宋体" w:hAnsi="宋体"/>
          <w:color w:val="auto"/>
          <w:kern w:val="0"/>
          <w:sz w:val="24"/>
          <w:szCs w:val="24"/>
          <w:highlight w:val="none"/>
        </w:rPr>
        <w:t>枝下高：胸径</w:t>
      </w:r>
      <w:r>
        <w:rPr>
          <w:rFonts w:ascii="宋体" w:hAnsi="宋体"/>
          <w:color w:val="auto"/>
          <w:kern w:val="0"/>
          <w:sz w:val="24"/>
          <w:szCs w:val="24"/>
          <w:highlight w:val="none"/>
        </w:rPr>
        <w:t>5cm</w:t>
      </w:r>
      <w:r>
        <w:rPr>
          <w:rFonts w:hint="eastAsia" w:ascii="宋体" w:hAnsi="宋体"/>
          <w:color w:val="auto"/>
          <w:kern w:val="0"/>
          <w:sz w:val="24"/>
          <w:szCs w:val="24"/>
          <w:highlight w:val="none"/>
        </w:rPr>
        <w:t>～</w:t>
      </w:r>
      <w:r>
        <w:rPr>
          <w:rFonts w:ascii="宋体" w:hAnsi="宋体"/>
          <w:color w:val="auto"/>
          <w:kern w:val="0"/>
          <w:sz w:val="24"/>
          <w:szCs w:val="24"/>
          <w:highlight w:val="none"/>
        </w:rPr>
        <w:t>9cm</w:t>
      </w:r>
      <w:r>
        <w:rPr>
          <w:rFonts w:hint="eastAsia" w:ascii="宋体" w:hAnsi="宋体"/>
          <w:color w:val="auto"/>
          <w:kern w:val="0"/>
          <w:sz w:val="24"/>
          <w:szCs w:val="24"/>
          <w:highlight w:val="none"/>
        </w:rPr>
        <w:t>的小乔木，不低于</w:t>
      </w:r>
      <w:r>
        <w:rPr>
          <w:rFonts w:ascii="宋体" w:hAnsi="宋体"/>
          <w:color w:val="auto"/>
          <w:kern w:val="0"/>
          <w:sz w:val="24"/>
          <w:szCs w:val="24"/>
          <w:highlight w:val="none"/>
        </w:rPr>
        <w:t>2m</w:t>
      </w:r>
      <w:r>
        <w:rPr>
          <w:rFonts w:hint="eastAsia" w:ascii="宋体" w:hAnsi="宋体"/>
          <w:color w:val="auto"/>
          <w:kern w:val="0"/>
          <w:sz w:val="24"/>
          <w:szCs w:val="24"/>
          <w:highlight w:val="none"/>
        </w:rPr>
        <w:t>；胸径</w:t>
      </w:r>
      <w:r>
        <w:rPr>
          <w:rFonts w:ascii="宋体" w:hAnsi="宋体"/>
          <w:color w:val="auto"/>
          <w:kern w:val="0"/>
          <w:sz w:val="24"/>
          <w:szCs w:val="24"/>
          <w:highlight w:val="none"/>
        </w:rPr>
        <w:t>10cm</w:t>
      </w:r>
      <w:r>
        <w:rPr>
          <w:rFonts w:hint="eastAsia" w:ascii="宋体" w:hAnsi="宋体"/>
          <w:color w:val="auto"/>
          <w:kern w:val="0"/>
          <w:sz w:val="24"/>
          <w:szCs w:val="24"/>
          <w:highlight w:val="none"/>
        </w:rPr>
        <w:t>～</w:t>
      </w:r>
      <w:r>
        <w:rPr>
          <w:rFonts w:ascii="宋体" w:hAnsi="宋体"/>
          <w:color w:val="auto"/>
          <w:kern w:val="0"/>
          <w:sz w:val="24"/>
          <w:szCs w:val="24"/>
          <w:highlight w:val="none"/>
        </w:rPr>
        <w:t>19cm</w:t>
      </w:r>
      <w:r>
        <w:rPr>
          <w:rFonts w:hint="eastAsia" w:ascii="宋体" w:hAnsi="宋体"/>
          <w:color w:val="auto"/>
          <w:kern w:val="0"/>
          <w:sz w:val="24"/>
          <w:szCs w:val="24"/>
          <w:highlight w:val="none"/>
        </w:rPr>
        <w:t>的中等乔木，不低于</w:t>
      </w:r>
      <w:r>
        <w:rPr>
          <w:rFonts w:ascii="宋体" w:hAnsi="宋体"/>
          <w:color w:val="auto"/>
          <w:kern w:val="0"/>
          <w:sz w:val="24"/>
          <w:szCs w:val="24"/>
          <w:highlight w:val="none"/>
        </w:rPr>
        <w:t>2.5m</w:t>
      </w:r>
      <w:r>
        <w:rPr>
          <w:rFonts w:hint="eastAsia" w:ascii="宋体" w:hAnsi="宋体"/>
          <w:color w:val="auto"/>
          <w:kern w:val="0"/>
          <w:sz w:val="24"/>
          <w:szCs w:val="24"/>
          <w:highlight w:val="none"/>
        </w:rPr>
        <w:t>；胸径</w:t>
      </w:r>
      <w:r>
        <w:rPr>
          <w:rFonts w:ascii="宋体" w:hAnsi="宋体"/>
          <w:color w:val="auto"/>
          <w:kern w:val="0"/>
          <w:sz w:val="24"/>
          <w:szCs w:val="24"/>
          <w:highlight w:val="none"/>
        </w:rPr>
        <w:t>20cm</w:t>
      </w:r>
      <w:r>
        <w:rPr>
          <w:rFonts w:hint="eastAsia" w:ascii="宋体" w:hAnsi="宋体"/>
          <w:color w:val="auto"/>
          <w:kern w:val="0"/>
          <w:sz w:val="24"/>
          <w:szCs w:val="24"/>
          <w:highlight w:val="none"/>
        </w:rPr>
        <w:t>～</w:t>
      </w:r>
      <w:r>
        <w:rPr>
          <w:rFonts w:ascii="宋体" w:hAnsi="宋体"/>
          <w:color w:val="auto"/>
          <w:kern w:val="0"/>
          <w:sz w:val="24"/>
          <w:szCs w:val="24"/>
          <w:highlight w:val="none"/>
        </w:rPr>
        <w:t>30cm</w:t>
      </w:r>
      <w:r>
        <w:rPr>
          <w:rFonts w:hint="eastAsia" w:ascii="宋体" w:hAnsi="宋体"/>
          <w:color w:val="auto"/>
          <w:kern w:val="0"/>
          <w:sz w:val="24"/>
          <w:szCs w:val="24"/>
          <w:highlight w:val="none"/>
        </w:rPr>
        <w:t>的大乔木，不低于</w:t>
      </w:r>
      <w:r>
        <w:rPr>
          <w:rFonts w:ascii="宋体" w:hAnsi="宋体"/>
          <w:color w:val="auto"/>
          <w:kern w:val="0"/>
          <w:sz w:val="24"/>
          <w:szCs w:val="24"/>
          <w:highlight w:val="none"/>
        </w:rPr>
        <w:t>3m</w:t>
      </w:r>
      <w:r>
        <w:rPr>
          <w:rFonts w:hint="eastAsia" w:ascii="宋体" w:hAnsi="宋体"/>
          <w:color w:val="auto"/>
          <w:kern w:val="0"/>
          <w:sz w:val="24"/>
          <w:szCs w:val="24"/>
          <w:highlight w:val="none"/>
        </w:rPr>
        <w:t>；胸径</w:t>
      </w:r>
      <w:r>
        <w:rPr>
          <w:rFonts w:ascii="宋体" w:hAnsi="宋体"/>
          <w:color w:val="auto"/>
          <w:kern w:val="0"/>
          <w:sz w:val="24"/>
          <w:szCs w:val="24"/>
          <w:highlight w:val="none"/>
        </w:rPr>
        <w:t>35cm</w:t>
      </w:r>
      <w:r>
        <w:rPr>
          <w:rFonts w:hint="eastAsia" w:ascii="宋体" w:hAnsi="宋体"/>
          <w:color w:val="auto"/>
          <w:kern w:val="0"/>
          <w:sz w:val="24"/>
          <w:szCs w:val="24"/>
          <w:highlight w:val="none"/>
        </w:rPr>
        <w:t>以上特大乔木，不低于</w:t>
      </w:r>
      <w:r>
        <w:rPr>
          <w:rFonts w:ascii="宋体" w:hAnsi="宋体"/>
          <w:color w:val="auto"/>
          <w:kern w:val="0"/>
          <w:sz w:val="24"/>
          <w:szCs w:val="24"/>
          <w:highlight w:val="none"/>
        </w:rPr>
        <w:t>3.5m</w:t>
      </w:r>
      <w:r>
        <w:rPr>
          <w:rFonts w:hint="eastAsia" w:ascii="宋体" w:hAnsi="宋体"/>
          <w:color w:val="auto"/>
          <w:kern w:val="0"/>
          <w:sz w:val="24"/>
          <w:szCs w:val="24"/>
          <w:highlight w:val="none"/>
        </w:rPr>
        <w:t>。</w:t>
      </w:r>
    </w:p>
    <w:p w14:paraId="44D5296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5.1.3.2 </w:t>
      </w:r>
      <w:r>
        <w:rPr>
          <w:rFonts w:hint="eastAsia" w:ascii="宋体" w:hAnsi="宋体"/>
          <w:color w:val="auto"/>
          <w:kern w:val="0"/>
          <w:sz w:val="24"/>
          <w:szCs w:val="24"/>
          <w:highlight w:val="none"/>
        </w:rPr>
        <w:t>同路段同树种的树形、高度应基本一致，且不得影响车辆和行人的安全，树冠不应遮挡交通指示灯。</w:t>
      </w:r>
    </w:p>
    <w:p w14:paraId="2C1A69C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5.1.3.3 </w:t>
      </w:r>
      <w:r>
        <w:rPr>
          <w:rFonts w:hint="eastAsia" w:ascii="宋体" w:hAnsi="宋体"/>
          <w:color w:val="auto"/>
          <w:kern w:val="0"/>
          <w:sz w:val="24"/>
          <w:szCs w:val="24"/>
          <w:highlight w:val="none"/>
        </w:rPr>
        <w:t>中、小行道树，修剪应以培养树形或树种特征为主，每年冬季重剪</w:t>
      </w:r>
      <w:r>
        <w:rPr>
          <w:rFonts w:ascii="宋体" w:hAnsi="宋体"/>
          <w:color w:val="auto"/>
          <w:kern w:val="0"/>
          <w:sz w:val="24"/>
          <w:szCs w:val="24"/>
          <w:highlight w:val="none"/>
        </w:rPr>
        <w:t>1</w:t>
      </w:r>
      <w:r>
        <w:rPr>
          <w:rFonts w:hint="eastAsia" w:ascii="宋体" w:hAnsi="宋体"/>
          <w:color w:val="auto"/>
          <w:kern w:val="0"/>
          <w:sz w:val="24"/>
          <w:szCs w:val="24"/>
          <w:highlight w:val="none"/>
        </w:rPr>
        <w:t>次，夏季适当轻剪。树体不应有钉挂物、缠绕物等。</w:t>
      </w:r>
    </w:p>
    <w:p w14:paraId="1031EB61">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5.1.3.4 </w:t>
      </w:r>
      <w:r>
        <w:rPr>
          <w:rFonts w:hint="eastAsia" w:ascii="宋体" w:hAnsi="宋体"/>
          <w:color w:val="auto"/>
          <w:kern w:val="0"/>
          <w:sz w:val="24"/>
          <w:szCs w:val="24"/>
          <w:highlight w:val="none"/>
        </w:rPr>
        <w:t>大、特大乔木，修剪应以维持树种特征为主，经常检查并钩除干枯枝，拆除钉挂物、缠绕物。冬季修剪</w:t>
      </w:r>
      <w:r>
        <w:rPr>
          <w:rFonts w:ascii="宋体" w:hAnsi="宋体"/>
          <w:color w:val="auto"/>
          <w:kern w:val="0"/>
          <w:sz w:val="24"/>
          <w:szCs w:val="24"/>
          <w:highlight w:val="none"/>
        </w:rPr>
        <w:t>1</w:t>
      </w:r>
      <w:r>
        <w:rPr>
          <w:rFonts w:hint="eastAsia" w:ascii="宋体" w:hAnsi="宋体"/>
          <w:color w:val="auto"/>
          <w:kern w:val="0"/>
          <w:sz w:val="24"/>
          <w:szCs w:val="24"/>
          <w:highlight w:val="none"/>
        </w:rPr>
        <w:t>次，剪去病虫枝、交叉枝、过密枝、下垂枝。</w:t>
      </w:r>
    </w:p>
    <w:p w14:paraId="1C9F91C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5.1.3.5 </w:t>
      </w:r>
      <w:r>
        <w:rPr>
          <w:rFonts w:hint="eastAsia" w:ascii="宋体" w:hAnsi="宋体"/>
          <w:color w:val="auto"/>
          <w:kern w:val="0"/>
          <w:sz w:val="24"/>
          <w:szCs w:val="24"/>
          <w:highlight w:val="none"/>
        </w:rPr>
        <w:t>行道树为棕榈科乔木的，中小乔木每月应钩干黄叶</w:t>
      </w:r>
      <w:r>
        <w:rPr>
          <w:rFonts w:ascii="宋体" w:hAnsi="宋体"/>
          <w:color w:val="auto"/>
          <w:kern w:val="0"/>
          <w:sz w:val="24"/>
          <w:szCs w:val="24"/>
          <w:highlight w:val="none"/>
        </w:rPr>
        <w:t>2</w:t>
      </w:r>
      <w:r>
        <w:rPr>
          <w:rFonts w:hint="eastAsia" w:ascii="宋体" w:hAnsi="宋体"/>
          <w:color w:val="auto"/>
          <w:kern w:val="0"/>
          <w:sz w:val="24"/>
          <w:szCs w:val="24"/>
          <w:highlight w:val="none"/>
        </w:rPr>
        <w:t>次，高大的大王椰类应每周钩干黄叶两次。</w:t>
      </w:r>
    </w:p>
    <w:p w14:paraId="16C0AB5A">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5.1.3.6 </w:t>
      </w:r>
      <w:r>
        <w:rPr>
          <w:rFonts w:hint="eastAsia" w:ascii="宋体" w:hAnsi="宋体"/>
          <w:color w:val="auto"/>
          <w:kern w:val="0"/>
          <w:sz w:val="24"/>
          <w:szCs w:val="24"/>
          <w:highlight w:val="none"/>
        </w:rPr>
        <w:t>及时处理危树，伐去死树。</w:t>
      </w:r>
    </w:p>
    <w:p w14:paraId="35712BD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5.1.3.7 </w:t>
      </w:r>
      <w:r>
        <w:rPr>
          <w:rFonts w:hint="eastAsia" w:ascii="宋体" w:hAnsi="宋体"/>
          <w:color w:val="auto"/>
          <w:kern w:val="0"/>
          <w:sz w:val="24"/>
          <w:szCs w:val="24"/>
          <w:highlight w:val="none"/>
        </w:rPr>
        <w:t>行道树上方有架空线的，必须定期修剪，树冠与电话线的垂直距离应保持</w:t>
      </w:r>
      <w:r>
        <w:rPr>
          <w:rFonts w:ascii="宋体" w:hAnsi="宋体"/>
          <w:color w:val="auto"/>
          <w:kern w:val="0"/>
          <w:sz w:val="24"/>
          <w:szCs w:val="24"/>
          <w:highlight w:val="none"/>
        </w:rPr>
        <w:t>1.5m</w:t>
      </w:r>
      <w:r>
        <w:rPr>
          <w:rFonts w:hint="eastAsia" w:ascii="宋体" w:hAnsi="宋体"/>
          <w:color w:val="auto"/>
          <w:kern w:val="0"/>
          <w:sz w:val="24"/>
          <w:szCs w:val="24"/>
          <w:highlight w:val="none"/>
        </w:rPr>
        <w:t>以上</w:t>
      </w:r>
      <w:r>
        <w:rPr>
          <w:rFonts w:ascii="宋体"/>
          <w:color w:val="auto"/>
          <w:kern w:val="0"/>
          <w:sz w:val="24"/>
          <w:szCs w:val="24"/>
          <w:highlight w:val="none"/>
        </w:rPr>
        <w:t>,</w:t>
      </w:r>
      <w:r>
        <w:rPr>
          <w:rFonts w:hint="eastAsia" w:ascii="宋体" w:hAnsi="宋体"/>
          <w:color w:val="auto"/>
          <w:kern w:val="0"/>
          <w:sz w:val="24"/>
          <w:szCs w:val="24"/>
          <w:highlight w:val="none"/>
        </w:rPr>
        <w:t>与高压线的垂直距离视其电压的高低及电线的类型，应保持</w:t>
      </w:r>
      <w:r>
        <w:rPr>
          <w:rFonts w:ascii="宋体" w:hAnsi="宋体"/>
          <w:color w:val="auto"/>
          <w:kern w:val="0"/>
          <w:sz w:val="24"/>
          <w:szCs w:val="24"/>
          <w:highlight w:val="none"/>
        </w:rPr>
        <w:t>1.5m</w:t>
      </w:r>
      <w:r>
        <w:rPr>
          <w:rFonts w:hint="eastAsia" w:ascii="宋体" w:hAnsi="宋体"/>
          <w:color w:val="auto"/>
          <w:kern w:val="0"/>
          <w:sz w:val="24"/>
          <w:szCs w:val="24"/>
          <w:highlight w:val="none"/>
        </w:rPr>
        <w:t>～</w:t>
      </w:r>
      <w:r>
        <w:rPr>
          <w:rFonts w:ascii="宋体" w:hAnsi="宋体"/>
          <w:color w:val="auto"/>
          <w:kern w:val="0"/>
          <w:sz w:val="24"/>
          <w:szCs w:val="24"/>
          <w:highlight w:val="none"/>
        </w:rPr>
        <w:t>4.0m</w:t>
      </w:r>
      <w:r>
        <w:rPr>
          <w:rFonts w:hint="eastAsia" w:ascii="宋体" w:hAnsi="宋体"/>
          <w:color w:val="auto"/>
          <w:kern w:val="0"/>
          <w:sz w:val="24"/>
          <w:szCs w:val="24"/>
          <w:highlight w:val="none"/>
        </w:rPr>
        <w:t>以上。</w:t>
      </w:r>
    </w:p>
    <w:p w14:paraId="7418487F">
      <w:pPr>
        <w:rPr>
          <w:rFonts w:ascii="宋体"/>
          <w:color w:val="auto"/>
          <w:kern w:val="0"/>
          <w:sz w:val="24"/>
          <w:szCs w:val="24"/>
          <w:highlight w:val="none"/>
        </w:rPr>
      </w:pPr>
      <w:r>
        <w:rPr>
          <w:rFonts w:ascii="宋体" w:hAnsi="宋体"/>
          <w:color w:val="auto"/>
          <w:kern w:val="0"/>
          <w:sz w:val="24"/>
          <w:szCs w:val="24"/>
          <w:highlight w:val="none"/>
        </w:rPr>
        <w:t xml:space="preserve">5.2 </w:t>
      </w:r>
      <w:r>
        <w:rPr>
          <w:rFonts w:hint="eastAsia" w:ascii="宋体" w:hAnsi="宋体"/>
          <w:color w:val="auto"/>
          <w:kern w:val="0"/>
          <w:sz w:val="24"/>
          <w:szCs w:val="24"/>
          <w:highlight w:val="none"/>
        </w:rPr>
        <w:t>灌木修剪</w:t>
      </w:r>
    </w:p>
    <w:p w14:paraId="7E45133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5.2.1 </w:t>
      </w:r>
      <w:r>
        <w:rPr>
          <w:rFonts w:hint="eastAsia" w:ascii="宋体" w:hAnsi="宋体"/>
          <w:color w:val="auto"/>
          <w:kern w:val="0"/>
          <w:sz w:val="24"/>
          <w:szCs w:val="24"/>
          <w:highlight w:val="none"/>
        </w:rPr>
        <w:t>孤植灌木修剪</w:t>
      </w:r>
    </w:p>
    <w:p w14:paraId="4888DCF6">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5.2.1.1 </w:t>
      </w:r>
      <w:r>
        <w:rPr>
          <w:rFonts w:hint="eastAsia" w:ascii="宋体" w:hAnsi="宋体"/>
          <w:color w:val="auto"/>
          <w:kern w:val="0"/>
          <w:sz w:val="24"/>
          <w:szCs w:val="24"/>
          <w:highlight w:val="none"/>
        </w:rPr>
        <w:t>观叶、观茎的棕榈科灌木和其它慢生性观叶灌木，主要适当控制灌木的形状，根据树种特性进行疏枝、剪除枯枝黄叶。</w:t>
      </w:r>
    </w:p>
    <w:p w14:paraId="0551346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5.2.1.2 </w:t>
      </w:r>
      <w:r>
        <w:rPr>
          <w:rFonts w:hint="eastAsia" w:ascii="宋体" w:hAnsi="宋体"/>
          <w:color w:val="auto"/>
          <w:kern w:val="0"/>
          <w:sz w:val="24"/>
          <w:szCs w:val="24"/>
          <w:highlight w:val="none"/>
        </w:rPr>
        <w:t>萌发力强，生长快的观花、观叶灌木，春季或花期过后进行重剪，以控制植株徒长，维持一定的高度与形状。</w:t>
      </w:r>
    </w:p>
    <w:p w14:paraId="611C2F41">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5.2.1.3 </w:t>
      </w:r>
      <w:r>
        <w:rPr>
          <w:rFonts w:hint="eastAsia" w:ascii="宋体" w:hAnsi="宋体"/>
          <w:color w:val="auto"/>
          <w:kern w:val="0"/>
          <w:sz w:val="24"/>
          <w:szCs w:val="24"/>
          <w:highlight w:val="none"/>
        </w:rPr>
        <w:t>疏枝，剪口必须贴近干枝，平滑、不撕裂，不伤及干枝，不留桩头。</w:t>
      </w:r>
    </w:p>
    <w:p w14:paraId="1B3BC87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5.2.1.4 </w:t>
      </w:r>
      <w:r>
        <w:rPr>
          <w:rFonts w:hint="eastAsia" w:ascii="宋体" w:hAnsi="宋体"/>
          <w:color w:val="auto"/>
          <w:kern w:val="0"/>
          <w:sz w:val="24"/>
          <w:szCs w:val="24"/>
          <w:highlight w:val="none"/>
        </w:rPr>
        <w:t>短剪，剪口平滑稍斜，剪口芽方向合理，距离剪口芽约</w:t>
      </w:r>
      <w:r>
        <w:rPr>
          <w:rFonts w:ascii="宋体" w:hAnsi="宋体"/>
          <w:color w:val="auto"/>
          <w:kern w:val="0"/>
          <w:sz w:val="24"/>
          <w:szCs w:val="24"/>
          <w:highlight w:val="none"/>
        </w:rPr>
        <w:t>0.5cm</w:t>
      </w:r>
      <w:r>
        <w:rPr>
          <w:rFonts w:hint="eastAsia" w:ascii="宋体" w:hAnsi="宋体"/>
          <w:color w:val="auto"/>
          <w:kern w:val="0"/>
          <w:sz w:val="24"/>
          <w:szCs w:val="24"/>
          <w:highlight w:val="none"/>
        </w:rPr>
        <w:t>左右。</w:t>
      </w:r>
    </w:p>
    <w:p w14:paraId="1EB234AE">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5.2.2 </w:t>
      </w:r>
      <w:r>
        <w:rPr>
          <w:rFonts w:hint="eastAsia" w:ascii="宋体" w:hAnsi="宋体"/>
          <w:color w:val="auto"/>
          <w:kern w:val="0"/>
          <w:sz w:val="24"/>
          <w:szCs w:val="24"/>
          <w:highlight w:val="none"/>
        </w:rPr>
        <w:t>整形灌木修剪</w:t>
      </w:r>
    </w:p>
    <w:p w14:paraId="2A6B21E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5.2.2.1 </w:t>
      </w:r>
      <w:r>
        <w:rPr>
          <w:rFonts w:hint="eastAsia" w:ascii="宋体" w:hAnsi="宋体"/>
          <w:color w:val="auto"/>
          <w:kern w:val="0"/>
          <w:sz w:val="24"/>
          <w:szCs w:val="24"/>
          <w:highlight w:val="none"/>
        </w:rPr>
        <w:t>必须按设计要求或观赏要求，逐步修剪养成一定的形状，并且要求成形美观、曲线变化明显，与周围环境相协调；规则式的同一品种植物造型，其形状、大小应基本一致。</w:t>
      </w:r>
    </w:p>
    <w:p w14:paraId="2DA976B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5.2.2.2 </w:t>
      </w:r>
      <w:r>
        <w:rPr>
          <w:rFonts w:hint="eastAsia" w:ascii="宋体" w:hAnsi="宋体"/>
          <w:color w:val="auto"/>
          <w:kern w:val="0"/>
          <w:sz w:val="24"/>
          <w:szCs w:val="24"/>
          <w:highlight w:val="none"/>
        </w:rPr>
        <w:t>整形灌木成形后应保持原来的形状，随着植物的生长，其形体大于设计观赏要求或因频繁修剪造成长势趋弱，应于春季进行回缩修剪。</w:t>
      </w:r>
    </w:p>
    <w:p w14:paraId="1AFD699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5.2.3 </w:t>
      </w:r>
      <w:r>
        <w:rPr>
          <w:rFonts w:hint="eastAsia" w:ascii="宋体" w:hAnsi="宋体"/>
          <w:color w:val="auto"/>
          <w:kern w:val="0"/>
          <w:sz w:val="24"/>
          <w:szCs w:val="24"/>
          <w:highlight w:val="none"/>
        </w:rPr>
        <w:t>片植灌木</w:t>
      </w:r>
    </w:p>
    <w:p w14:paraId="168FD3C1">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5.2.3.1 </w:t>
      </w:r>
      <w:r>
        <w:rPr>
          <w:rFonts w:hint="eastAsia" w:ascii="宋体" w:hAnsi="宋体"/>
          <w:color w:val="auto"/>
          <w:kern w:val="0"/>
          <w:sz w:val="24"/>
          <w:szCs w:val="24"/>
          <w:highlight w:val="none"/>
        </w:rPr>
        <w:t>按设计或观赏要求修剪，并剪去干枯枝、寄生与缠绕物，要求图形清晰，线条明显，整体美观。</w:t>
      </w:r>
    </w:p>
    <w:p w14:paraId="3D89B42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5.2.3.2 </w:t>
      </w:r>
      <w:r>
        <w:rPr>
          <w:rFonts w:hint="eastAsia" w:ascii="宋体" w:hAnsi="宋体"/>
          <w:color w:val="auto"/>
          <w:kern w:val="0"/>
          <w:sz w:val="24"/>
          <w:szCs w:val="24"/>
          <w:highlight w:val="none"/>
        </w:rPr>
        <w:t>萌芽力强、生长快的观叶片植灌木，应于春季进行回缩修剪，以控制整体高度和保持良好的长势。</w:t>
      </w:r>
    </w:p>
    <w:p w14:paraId="1CF65EF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5.2.3.3 </w:t>
      </w:r>
      <w:r>
        <w:rPr>
          <w:rFonts w:hint="eastAsia" w:ascii="宋体" w:hAnsi="宋体"/>
          <w:color w:val="auto"/>
          <w:kern w:val="0"/>
          <w:sz w:val="24"/>
          <w:szCs w:val="24"/>
          <w:highlight w:val="none"/>
        </w:rPr>
        <w:t>观花片植灌木应于花后适度修剪或重剪。</w:t>
      </w:r>
    </w:p>
    <w:p w14:paraId="5865A57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5.3 </w:t>
      </w:r>
      <w:r>
        <w:rPr>
          <w:rFonts w:hint="eastAsia" w:ascii="宋体" w:hAnsi="宋体"/>
          <w:color w:val="auto"/>
          <w:kern w:val="0"/>
          <w:sz w:val="24"/>
          <w:szCs w:val="24"/>
          <w:highlight w:val="none"/>
        </w:rPr>
        <w:t>地被修剪</w:t>
      </w:r>
    </w:p>
    <w:p w14:paraId="41ACD82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5.3.1 </w:t>
      </w:r>
      <w:r>
        <w:rPr>
          <w:rFonts w:hint="eastAsia" w:ascii="宋体" w:hAnsi="宋体"/>
          <w:color w:val="auto"/>
          <w:kern w:val="0"/>
          <w:sz w:val="24"/>
          <w:szCs w:val="24"/>
          <w:highlight w:val="none"/>
        </w:rPr>
        <w:t>球根地被及不耐修剪的地被，如麦冬、罗裙带，要求保持整洁，及时清除黄叶、杂物；过密的应适当疏株、移植；过高的应间高留矮，促萌新株，逐步更新。</w:t>
      </w:r>
    </w:p>
    <w:p w14:paraId="3667D416">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5.3.2 </w:t>
      </w:r>
      <w:r>
        <w:rPr>
          <w:rFonts w:hint="eastAsia" w:ascii="宋体" w:hAnsi="宋体"/>
          <w:color w:val="auto"/>
          <w:kern w:val="0"/>
          <w:sz w:val="24"/>
          <w:szCs w:val="24"/>
          <w:highlight w:val="none"/>
        </w:rPr>
        <w:t>蔓生性较强的地被，应适当修剪，保持整体整齐或有规律变化。</w:t>
      </w:r>
    </w:p>
    <w:p w14:paraId="79ECCB5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5.3.3 </w:t>
      </w:r>
      <w:r>
        <w:rPr>
          <w:rFonts w:hint="eastAsia" w:ascii="宋体" w:hAnsi="宋体"/>
          <w:color w:val="auto"/>
          <w:kern w:val="0"/>
          <w:sz w:val="24"/>
          <w:szCs w:val="24"/>
          <w:highlight w:val="none"/>
        </w:rPr>
        <w:t>树盘地被应定时修剪，形状、大小应规范、整齐；地被植物不能缠绕乔灌木。</w:t>
      </w:r>
    </w:p>
    <w:p w14:paraId="6401141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5.4 </w:t>
      </w:r>
      <w:r>
        <w:rPr>
          <w:rFonts w:hint="eastAsia" w:ascii="宋体" w:hAnsi="宋体"/>
          <w:color w:val="auto"/>
          <w:kern w:val="0"/>
          <w:sz w:val="24"/>
          <w:szCs w:val="24"/>
          <w:highlight w:val="none"/>
        </w:rPr>
        <w:t>花坛修剪</w:t>
      </w:r>
    </w:p>
    <w:p w14:paraId="3D164774">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及时剪除残花、枯枝、黄叶，并短截或疏去过高的枝叶，保持花坛中同一色块顶面高度基本一致。</w:t>
      </w:r>
    </w:p>
    <w:p w14:paraId="25897F5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5.5 </w:t>
      </w:r>
      <w:r>
        <w:rPr>
          <w:rFonts w:hint="eastAsia" w:ascii="宋体" w:hAnsi="宋体"/>
          <w:color w:val="auto"/>
          <w:kern w:val="0"/>
          <w:sz w:val="24"/>
          <w:szCs w:val="24"/>
          <w:highlight w:val="none"/>
        </w:rPr>
        <w:t>草坪修剪</w:t>
      </w:r>
    </w:p>
    <w:p w14:paraId="1B717B19">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视草坪生长情况全年修剪</w:t>
      </w:r>
      <w:r>
        <w:rPr>
          <w:rFonts w:ascii="宋体" w:hAnsi="宋体"/>
          <w:color w:val="auto"/>
          <w:kern w:val="0"/>
          <w:sz w:val="24"/>
          <w:szCs w:val="24"/>
          <w:highlight w:val="none"/>
        </w:rPr>
        <w:t>6</w:t>
      </w:r>
      <w:r>
        <w:rPr>
          <w:rFonts w:hint="eastAsia" w:ascii="宋体" w:hAnsi="宋体"/>
          <w:color w:val="auto"/>
          <w:kern w:val="0"/>
          <w:sz w:val="24"/>
          <w:szCs w:val="24"/>
          <w:highlight w:val="none"/>
        </w:rPr>
        <w:t>次～</w:t>
      </w:r>
      <w:r>
        <w:rPr>
          <w:rFonts w:ascii="宋体" w:hAnsi="宋体"/>
          <w:color w:val="auto"/>
          <w:kern w:val="0"/>
          <w:sz w:val="24"/>
          <w:szCs w:val="24"/>
          <w:highlight w:val="none"/>
        </w:rPr>
        <w:t>12</w:t>
      </w:r>
      <w:r>
        <w:rPr>
          <w:rFonts w:hint="eastAsia" w:ascii="宋体" w:hAnsi="宋体"/>
          <w:color w:val="auto"/>
          <w:kern w:val="0"/>
          <w:sz w:val="24"/>
          <w:szCs w:val="24"/>
          <w:highlight w:val="none"/>
        </w:rPr>
        <w:t>次，秋、冬季</w:t>
      </w:r>
      <w:r>
        <w:rPr>
          <w:rFonts w:ascii="宋体" w:hAnsi="宋体"/>
          <w:color w:val="auto"/>
          <w:kern w:val="0"/>
          <w:sz w:val="24"/>
          <w:szCs w:val="24"/>
          <w:highlight w:val="none"/>
        </w:rPr>
        <w:t>1</w:t>
      </w:r>
      <w:r>
        <w:rPr>
          <w:rFonts w:hint="eastAsia" w:ascii="宋体" w:hAnsi="宋体"/>
          <w:color w:val="auto"/>
          <w:kern w:val="0"/>
          <w:sz w:val="24"/>
          <w:szCs w:val="24"/>
          <w:highlight w:val="none"/>
        </w:rPr>
        <w:t>月～</w:t>
      </w:r>
      <w:r>
        <w:rPr>
          <w:rFonts w:ascii="宋体" w:hAnsi="宋体"/>
          <w:color w:val="auto"/>
          <w:kern w:val="0"/>
          <w:sz w:val="24"/>
          <w:szCs w:val="24"/>
          <w:highlight w:val="none"/>
        </w:rPr>
        <w:t>2</w:t>
      </w:r>
      <w:r>
        <w:rPr>
          <w:rFonts w:hint="eastAsia" w:ascii="宋体" w:hAnsi="宋体"/>
          <w:color w:val="auto"/>
          <w:kern w:val="0"/>
          <w:sz w:val="24"/>
          <w:szCs w:val="24"/>
          <w:highlight w:val="none"/>
        </w:rPr>
        <w:t>月剪</w:t>
      </w:r>
      <w:r>
        <w:rPr>
          <w:rFonts w:ascii="宋体" w:hAnsi="宋体"/>
          <w:color w:val="auto"/>
          <w:kern w:val="0"/>
          <w:sz w:val="24"/>
          <w:szCs w:val="24"/>
          <w:highlight w:val="none"/>
        </w:rPr>
        <w:t>1</w:t>
      </w:r>
      <w:r>
        <w:rPr>
          <w:rFonts w:hint="eastAsia" w:ascii="宋体" w:hAnsi="宋体"/>
          <w:color w:val="auto"/>
          <w:kern w:val="0"/>
          <w:sz w:val="24"/>
          <w:szCs w:val="24"/>
          <w:highlight w:val="none"/>
        </w:rPr>
        <w:t>次，春季、夏季每月剪</w:t>
      </w:r>
      <w:r>
        <w:rPr>
          <w:rFonts w:ascii="宋体" w:hAnsi="宋体"/>
          <w:color w:val="auto"/>
          <w:kern w:val="0"/>
          <w:sz w:val="24"/>
          <w:szCs w:val="24"/>
          <w:highlight w:val="none"/>
        </w:rPr>
        <w:t>1</w:t>
      </w:r>
      <w:r>
        <w:rPr>
          <w:rFonts w:hint="eastAsia" w:ascii="宋体" w:hAnsi="宋体"/>
          <w:color w:val="auto"/>
          <w:kern w:val="0"/>
          <w:sz w:val="24"/>
          <w:szCs w:val="24"/>
          <w:highlight w:val="none"/>
        </w:rPr>
        <w:t>次。草坪高度应控制在</w:t>
      </w:r>
      <w:r>
        <w:rPr>
          <w:rFonts w:ascii="宋体" w:hAnsi="宋体"/>
          <w:color w:val="auto"/>
          <w:kern w:val="0"/>
          <w:sz w:val="24"/>
          <w:szCs w:val="24"/>
          <w:highlight w:val="none"/>
        </w:rPr>
        <w:t>8cm</w:t>
      </w:r>
      <w:r>
        <w:rPr>
          <w:rFonts w:hint="eastAsia" w:ascii="宋体" w:hAnsi="宋体"/>
          <w:color w:val="auto"/>
          <w:kern w:val="0"/>
          <w:sz w:val="24"/>
          <w:szCs w:val="24"/>
          <w:highlight w:val="none"/>
        </w:rPr>
        <w:t>以下。</w:t>
      </w:r>
      <w:r>
        <w:rPr>
          <w:rFonts w:ascii="宋体" w:hAnsi="宋体"/>
          <w:color w:val="auto"/>
          <w:kern w:val="0"/>
          <w:sz w:val="24"/>
          <w:szCs w:val="24"/>
          <w:highlight w:val="none"/>
        </w:rPr>
        <w:t xml:space="preserve"> </w:t>
      </w:r>
    </w:p>
    <w:p w14:paraId="3D506EF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5.6 </w:t>
      </w:r>
      <w:r>
        <w:rPr>
          <w:rFonts w:hint="eastAsia" w:ascii="宋体" w:hAnsi="宋体"/>
          <w:color w:val="auto"/>
          <w:kern w:val="0"/>
          <w:sz w:val="24"/>
          <w:szCs w:val="24"/>
          <w:highlight w:val="none"/>
        </w:rPr>
        <w:t>藤本植物修剪</w:t>
      </w:r>
    </w:p>
    <w:p w14:paraId="78DE642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5.6.1 </w:t>
      </w:r>
      <w:r>
        <w:rPr>
          <w:rFonts w:hint="eastAsia" w:ascii="宋体" w:hAnsi="宋体"/>
          <w:color w:val="auto"/>
          <w:kern w:val="0"/>
          <w:sz w:val="24"/>
          <w:szCs w:val="24"/>
          <w:highlight w:val="none"/>
        </w:rPr>
        <w:t>桥上、栏杆上藤本植物，主要剪去过密枝、衰老枝，控制枝条下垂的长度基本一致，而又不影响交通、视线。花期过后应适当更新重剪。</w:t>
      </w:r>
    </w:p>
    <w:p w14:paraId="4864A7BA">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5.6.2 </w:t>
      </w:r>
      <w:r>
        <w:rPr>
          <w:rFonts w:hint="eastAsia" w:ascii="宋体" w:hAnsi="宋体"/>
          <w:color w:val="auto"/>
          <w:kern w:val="0"/>
          <w:sz w:val="24"/>
          <w:szCs w:val="24"/>
          <w:highlight w:val="none"/>
        </w:rPr>
        <w:t>攀缘藤本，种植后进行重剪，每株促发几条健壮主蔓；爬满墙、棚后，主要适当修剪交叉蔓藤，病弱衰老蔓枝；有光脚或中空现象时，采用局部重剪、曲枝蔓诱引措施来弥补空缺。</w:t>
      </w:r>
    </w:p>
    <w:p w14:paraId="7AB248B1">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6 </w:t>
      </w:r>
      <w:r>
        <w:rPr>
          <w:rFonts w:hint="eastAsia" w:ascii="宋体" w:hAnsi="宋体"/>
          <w:color w:val="auto"/>
          <w:kern w:val="0"/>
          <w:sz w:val="24"/>
          <w:szCs w:val="24"/>
          <w:highlight w:val="none"/>
        </w:rPr>
        <w:t>松土除杂</w:t>
      </w:r>
    </w:p>
    <w:p w14:paraId="6E831A1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6.1 </w:t>
      </w:r>
      <w:r>
        <w:rPr>
          <w:rFonts w:hint="eastAsia" w:ascii="宋体" w:hAnsi="宋体"/>
          <w:color w:val="auto"/>
          <w:kern w:val="0"/>
          <w:sz w:val="24"/>
          <w:szCs w:val="24"/>
          <w:highlight w:val="none"/>
        </w:rPr>
        <w:t>无地被树盘</w:t>
      </w:r>
      <w:r>
        <w:rPr>
          <w:rFonts w:ascii="宋体"/>
          <w:color w:val="auto"/>
          <w:kern w:val="0"/>
          <w:sz w:val="24"/>
          <w:szCs w:val="24"/>
          <w:highlight w:val="none"/>
        </w:rPr>
        <w:t>,</w:t>
      </w:r>
      <w:r>
        <w:rPr>
          <w:rFonts w:hint="eastAsia" w:ascii="宋体" w:hAnsi="宋体"/>
          <w:color w:val="auto"/>
          <w:kern w:val="0"/>
          <w:sz w:val="24"/>
          <w:szCs w:val="24"/>
          <w:highlight w:val="none"/>
        </w:rPr>
        <w:t>片植灌木必须定期松土除杂，对小乔木的树盘可用中耕的方法连根锄掉，埋入土中，以改良土壤。</w:t>
      </w:r>
    </w:p>
    <w:p w14:paraId="40EA947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6.2 </w:t>
      </w:r>
      <w:r>
        <w:rPr>
          <w:rFonts w:hint="eastAsia" w:ascii="宋体" w:hAnsi="宋体"/>
          <w:color w:val="auto"/>
          <w:kern w:val="0"/>
          <w:sz w:val="24"/>
          <w:szCs w:val="24"/>
          <w:highlight w:val="none"/>
        </w:rPr>
        <w:t>应经常对草坪进行人工除杂，对生长快、侵延力强的杂草应除早、除小、除了。亦可采用除草剂除杂，结合剪草机定期剪草，控制杂草的开花及蔓延，草坪纯度应保持在</w:t>
      </w:r>
      <w:r>
        <w:rPr>
          <w:rFonts w:ascii="宋体" w:hAnsi="宋体"/>
          <w:color w:val="auto"/>
          <w:kern w:val="0"/>
          <w:sz w:val="24"/>
          <w:szCs w:val="24"/>
          <w:highlight w:val="none"/>
        </w:rPr>
        <w:t>85</w:t>
      </w:r>
      <w:r>
        <w:rPr>
          <w:rFonts w:hint="eastAsia" w:ascii="宋体" w:hAnsi="宋体"/>
          <w:color w:val="auto"/>
          <w:spacing w:val="-30"/>
          <w:kern w:val="0"/>
          <w:sz w:val="24"/>
          <w:szCs w:val="24"/>
          <w:highlight w:val="none"/>
        </w:rPr>
        <w:t>％</w:t>
      </w:r>
      <w:r>
        <w:rPr>
          <w:rFonts w:ascii="宋体" w:hAnsi="宋体"/>
          <w:color w:val="auto"/>
          <w:spacing w:val="-30"/>
          <w:kern w:val="0"/>
          <w:sz w:val="24"/>
          <w:szCs w:val="24"/>
          <w:highlight w:val="none"/>
        </w:rPr>
        <w:t xml:space="preserve"> </w:t>
      </w:r>
      <w:r>
        <w:rPr>
          <w:rFonts w:hint="eastAsia" w:ascii="宋体" w:hAnsi="宋体"/>
          <w:color w:val="auto"/>
          <w:kern w:val="0"/>
          <w:sz w:val="24"/>
          <w:szCs w:val="24"/>
          <w:highlight w:val="none"/>
        </w:rPr>
        <w:t>以上，无大型、异型杂草。</w:t>
      </w:r>
    </w:p>
    <w:p w14:paraId="2F8C0F62">
      <w:pPr>
        <w:rPr>
          <w:rFonts w:ascii="宋体"/>
          <w:color w:val="auto"/>
          <w:kern w:val="0"/>
          <w:sz w:val="24"/>
          <w:szCs w:val="24"/>
          <w:highlight w:val="none"/>
        </w:rPr>
      </w:pPr>
      <w:r>
        <w:rPr>
          <w:rFonts w:ascii="宋体" w:hAnsi="宋体"/>
          <w:color w:val="auto"/>
          <w:kern w:val="0"/>
          <w:sz w:val="24"/>
          <w:szCs w:val="24"/>
          <w:highlight w:val="none"/>
        </w:rPr>
        <w:t xml:space="preserve">6.3 </w:t>
      </w:r>
      <w:r>
        <w:rPr>
          <w:rFonts w:hint="eastAsia" w:ascii="宋体" w:hAnsi="宋体"/>
          <w:color w:val="auto"/>
          <w:kern w:val="0"/>
          <w:sz w:val="24"/>
          <w:szCs w:val="24"/>
          <w:highlight w:val="none"/>
        </w:rPr>
        <w:t>每年春季或冬季用草坪疏草机或草坪打孔机，对草坪进行疏草或打孔，以防草过密起团，增加草坪土壤通透性。</w:t>
      </w:r>
    </w:p>
    <w:p w14:paraId="2BAA49A5">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 </w:t>
      </w:r>
      <w:r>
        <w:rPr>
          <w:rFonts w:hint="eastAsia" w:ascii="宋体" w:hAnsi="宋体"/>
          <w:color w:val="auto"/>
          <w:kern w:val="0"/>
          <w:sz w:val="24"/>
          <w:szCs w:val="24"/>
          <w:highlight w:val="none"/>
        </w:rPr>
        <w:t>病虫害控制</w:t>
      </w:r>
    </w:p>
    <w:p w14:paraId="275C05F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7.1 </w:t>
      </w:r>
      <w:r>
        <w:rPr>
          <w:rFonts w:hint="eastAsia" w:ascii="宋体" w:hAnsi="宋体"/>
          <w:color w:val="auto"/>
          <w:kern w:val="0"/>
          <w:sz w:val="24"/>
          <w:szCs w:val="24"/>
          <w:highlight w:val="none"/>
        </w:rPr>
        <w:t>经常检查，随时掌握病虫的生长繁殖及危害情况，做好预测预防工作。</w:t>
      </w:r>
    </w:p>
    <w:p w14:paraId="0A14895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7.2 </w:t>
      </w:r>
      <w:r>
        <w:rPr>
          <w:rFonts w:hint="eastAsia" w:ascii="宋体" w:hAnsi="宋体"/>
          <w:color w:val="auto"/>
          <w:kern w:val="0"/>
          <w:sz w:val="24"/>
          <w:szCs w:val="24"/>
          <w:highlight w:val="none"/>
        </w:rPr>
        <w:t>掌握在幼虫期和病虫害大发生前进行防治，根据病虫害种类，天气情况、农药性质，合理使用农药。</w:t>
      </w:r>
    </w:p>
    <w:p w14:paraId="2D372B5B">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7.3 </w:t>
      </w:r>
      <w:r>
        <w:rPr>
          <w:rFonts w:hint="eastAsia" w:ascii="宋体" w:hAnsi="宋体"/>
          <w:color w:val="auto"/>
          <w:kern w:val="0"/>
          <w:sz w:val="24"/>
          <w:szCs w:val="24"/>
          <w:highlight w:val="none"/>
        </w:rPr>
        <w:t>喷药应选择在无风无雨时进行，喷药必须到位、均匀，文明操作，药水不能喷到行人身上，对于人为活动多或人流量大的地段，应提前告示；根部埋药，应挖沟、坑，把药放在细根集中部位，并覆土。</w:t>
      </w:r>
    </w:p>
    <w:p w14:paraId="728EC480">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7.4 </w:t>
      </w:r>
      <w:r>
        <w:rPr>
          <w:rFonts w:hint="eastAsia" w:ascii="宋体" w:hAnsi="宋体"/>
          <w:color w:val="auto"/>
          <w:kern w:val="0"/>
          <w:sz w:val="24"/>
          <w:szCs w:val="24"/>
          <w:highlight w:val="none"/>
        </w:rPr>
        <w:t>药水随用随配，药水配用浓度应按使用说明，需要加大浓度或两种以上农药混用必须先小面积试用安全或经专业技术人员确认后才能大面积使用。</w:t>
      </w:r>
    </w:p>
    <w:p w14:paraId="14C079D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7.5 </w:t>
      </w:r>
      <w:r>
        <w:rPr>
          <w:rFonts w:hint="eastAsia" w:ascii="宋体" w:hAnsi="宋体"/>
          <w:color w:val="auto"/>
          <w:kern w:val="0"/>
          <w:sz w:val="24"/>
          <w:szCs w:val="24"/>
          <w:highlight w:val="none"/>
        </w:rPr>
        <w:t>应该选择使用低毒、低残留农药或生物制剂，尽量保护天敌，采用化学防治、生物防治相结合进行综合治理。</w:t>
      </w:r>
    </w:p>
    <w:p w14:paraId="092D5587">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7.6 </w:t>
      </w:r>
      <w:r>
        <w:rPr>
          <w:rFonts w:hint="eastAsia" w:ascii="宋体" w:hAnsi="宋体"/>
          <w:color w:val="auto"/>
          <w:kern w:val="0"/>
          <w:sz w:val="24"/>
          <w:szCs w:val="24"/>
          <w:highlight w:val="none"/>
        </w:rPr>
        <w:t>交替使用农药，不能长期使用单一种农药防治同一病虫害，以防病菌和害虫产生抗药性。用药后应检查用药效果，做到对症下药，及时纠正。</w:t>
      </w:r>
    </w:p>
    <w:p w14:paraId="0EB14510">
      <w:pPr>
        <w:widowControl/>
        <w:spacing w:line="300" w:lineRule="atLeast"/>
        <w:rPr>
          <w:rFonts w:ascii="宋体"/>
          <w:color w:val="auto"/>
          <w:kern w:val="0"/>
          <w:sz w:val="24"/>
          <w:szCs w:val="24"/>
          <w:highlight w:val="none"/>
        </w:rPr>
      </w:pPr>
      <w:r>
        <w:rPr>
          <w:rFonts w:ascii="宋体" w:hAnsi="宋体"/>
          <w:color w:val="auto"/>
          <w:kern w:val="0"/>
          <w:sz w:val="24"/>
          <w:szCs w:val="24"/>
          <w:highlight w:val="none"/>
        </w:rPr>
        <w:t xml:space="preserve"> 7.7 </w:t>
      </w:r>
      <w:r>
        <w:rPr>
          <w:rFonts w:hint="eastAsia" w:ascii="宋体" w:hAnsi="宋体"/>
          <w:color w:val="auto"/>
          <w:kern w:val="0"/>
          <w:sz w:val="24"/>
          <w:szCs w:val="24"/>
          <w:highlight w:val="none"/>
        </w:rPr>
        <w:t>及时剪除销毁病虫害引起的树枝败叶，并结合修枝，把徒长枝、过密枝剪去，创造透风透光环境，杜绝病虫害滋生蔓延。</w:t>
      </w:r>
    </w:p>
    <w:p w14:paraId="33DAF79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7.8 </w:t>
      </w:r>
      <w:r>
        <w:rPr>
          <w:rFonts w:hint="eastAsia" w:ascii="宋体" w:hAnsi="宋体"/>
          <w:color w:val="auto"/>
          <w:kern w:val="0"/>
          <w:sz w:val="24"/>
          <w:szCs w:val="24"/>
          <w:highlight w:val="none"/>
        </w:rPr>
        <w:t>修剪时，对大枝的剪口应涂药以防病虫害的侵入。</w:t>
      </w:r>
    </w:p>
    <w:p w14:paraId="66BE1E5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7.9 </w:t>
      </w:r>
      <w:r>
        <w:rPr>
          <w:rFonts w:hint="eastAsia" w:ascii="宋体" w:hAnsi="宋体"/>
          <w:color w:val="auto"/>
          <w:kern w:val="0"/>
          <w:sz w:val="24"/>
          <w:szCs w:val="24"/>
          <w:highlight w:val="none"/>
        </w:rPr>
        <w:t>及时清除植株上的寄生物。</w:t>
      </w:r>
    </w:p>
    <w:p w14:paraId="767A2D3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7.10 </w:t>
      </w:r>
      <w:r>
        <w:rPr>
          <w:rFonts w:hint="eastAsia" w:ascii="宋体" w:hAnsi="宋体"/>
          <w:color w:val="auto"/>
          <w:kern w:val="0"/>
          <w:sz w:val="24"/>
          <w:szCs w:val="24"/>
          <w:highlight w:val="none"/>
        </w:rPr>
        <w:t>严禁使用带检疫对象病虫的苗木进行补种，外地苗木必须经过检疫，本地苗木必须经检查及处理后没有病虫</w:t>
      </w:r>
      <w:r>
        <w:rPr>
          <w:rFonts w:hint="eastAsia" w:ascii="宋体" w:hAnsi="宋体"/>
          <w:color w:val="auto"/>
          <w:kern w:val="0"/>
          <w:sz w:val="24"/>
          <w:szCs w:val="24"/>
          <w:highlight w:val="none"/>
          <w:lang w:val="en-US" w:eastAsia="zh-CN"/>
        </w:rPr>
        <w:t>危</w:t>
      </w:r>
      <w:r>
        <w:rPr>
          <w:rFonts w:hint="eastAsia" w:ascii="宋体" w:hAnsi="宋体"/>
          <w:color w:val="auto"/>
          <w:kern w:val="0"/>
          <w:sz w:val="24"/>
          <w:szCs w:val="24"/>
          <w:highlight w:val="none"/>
        </w:rPr>
        <w:t>害的苗木才能使用。</w:t>
      </w:r>
    </w:p>
    <w:p w14:paraId="286B984A">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7.11 </w:t>
      </w:r>
      <w:r>
        <w:rPr>
          <w:rFonts w:hint="eastAsia" w:ascii="宋体" w:hAnsi="宋体"/>
          <w:color w:val="auto"/>
          <w:kern w:val="0"/>
          <w:sz w:val="24"/>
          <w:szCs w:val="24"/>
          <w:highlight w:val="none"/>
        </w:rPr>
        <w:t>病虫害控制必须在不影响景观效果程度之内。</w:t>
      </w:r>
    </w:p>
    <w:p w14:paraId="5AFBCF58">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 </w:t>
      </w:r>
      <w:r>
        <w:rPr>
          <w:rFonts w:hint="eastAsia" w:ascii="宋体" w:hAnsi="宋体"/>
          <w:color w:val="auto"/>
          <w:kern w:val="0"/>
          <w:sz w:val="24"/>
          <w:szCs w:val="24"/>
          <w:highlight w:val="none"/>
        </w:rPr>
        <w:t>植物防护</w:t>
      </w:r>
    </w:p>
    <w:p w14:paraId="53DECB1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8.1 </w:t>
      </w:r>
      <w:r>
        <w:rPr>
          <w:rFonts w:hint="eastAsia" w:ascii="宋体" w:hAnsi="宋体"/>
          <w:color w:val="auto"/>
          <w:kern w:val="0"/>
          <w:sz w:val="24"/>
          <w:szCs w:val="24"/>
          <w:highlight w:val="none"/>
        </w:rPr>
        <w:t>防寒、防冻</w:t>
      </w:r>
      <w:r>
        <w:rPr>
          <w:rFonts w:ascii="宋体" w:hAnsi="宋体"/>
          <w:color w:val="auto"/>
          <w:kern w:val="0"/>
          <w:sz w:val="24"/>
          <w:szCs w:val="24"/>
          <w:highlight w:val="none"/>
        </w:rPr>
        <w:t>(</w:t>
      </w:r>
      <w:r>
        <w:rPr>
          <w:rFonts w:hint="eastAsia" w:ascii="宋体" w:hAnsi="宋体"/>
          <w:color w:val="auto"/>
          <w:kern w:val="0"/>
          <w:sz w:val="24"/>
          <w:szCs w:val="24"/>
          <w:highlight w:val="none"/>
        </w:rPr>
        <w:t>对不耐寒的植物品种</w:t>
      </w:r>
      <w:r>
        <w:rPr>
          <w:rFonts w:ascii="宋体" w:hAnsi="宋体"/>
          <w:color w:val="auto"/>
          <w:kern w:val="0"/>
          <w:sz w:val="24"/>
          <w:szCs w:val="24"/>
          <w:highlight w:val="none"/>
        </w:rPr>
        <w:t>)</w:t>
      </w:r>
    </w:p>
    <w:p w14:paraId="3CA45E2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8.1.1 </w:t>
      </w:r>
      <w:r>
        <w:rPr>
          <w:rFonts w:hint="eastAsia" w:ascii="宋体" w:hAnsi="宋体"/>
          <w:color w:val="auto"/>
          <w:kern w:val="0"/>
          <w:sz w:val="24"/>
          <w:szCs w:val="24"/>
          <w:highlight w:val="none"/>
        </w:rPr>
        <w:t>浇封冻水和返青水</w:t>
      </w:r>
    </w:p>
    <w:p w14:paraId="0C82482E">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应在土壤封冻前浇一次透水，并在早春浇返青水。原因是土壤中含有水分较多，严冬时能减缓表层地温的下降，开春表层地浊升温也缓慢，避免春寒</w:t>
      </w:r>
      <w:r>
        <w:rPr>
          <w:rFonts w:hint="eastAsia" w:ascii="宋体" w:hAnsi="宋体"/>
          <w:color w:val="auto"/>
          <w:kern w:val="0"/>
          <w:sz w:val="24"/>
          <w:szCs w:val="24"/>
          <w:highlight w:val="none"/>
          <w:lang w:val="en-US" w:eastAsia="zh-CN"/>
        </w:rPr>
        <w:t>危</w:t>
      </w:r>
      <w:r>
        <w:rPr>
          <w:rFonts w:hint="eastAsia" w:ascii="宋体" w:hAnsi="宋体"/>
          <w:color w:val="auto"/>
          <w:kern w:val="0"/>
          <w:sz w:val="24"/>
          <w:szCs w:val="24"/>
          <w:highlight w:val="none"/>
        </w:rPr>
        <w:t>害植物根系。</w:t>
      </w:r>
    </w:p>
    <w:p w14:paraId="25D8762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8.1.2 </w:t>
      </w:r>
      <w:r>
        <w:rPr>
          <w:rFonts w:hint="eastAsia" w:ascii="宋体" w:hAnsi="宋体"/>
          <w:color w:val="auto"/>
          <w:kern w:val="0"/>
          <w:sz w:val="24"/>
          <w:szCs w:val="24"/>
          <w:highlight w:val="none"/>
        </w:rPr>
        <w:t>洗霜</w:t>
      </w:r>
    </w:p>
    <w:p w14:paraId="0210C80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在有霜日，太阳未出来前，给植株洗霜，即用水喷洒叶面或枝干。</w:t>
      </w:r>
    </w:p>
    <w:p w14:paraId="7FE82F7B">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8.1.3 </w:t>
      </w:r>
      <w:r>
        <w:rPr>
          <w:rFonts w:hint="eastAsia" w:ascii="宋体" w:hAnsi="宋体"/>
          <w:color w:val="auto"/>
          <w:kern w:val="0"/>
          <w:sz w:val="24"/>
          <w:szCs w:val="24"/>
          <w:highlight w:val="none"/>
        </w:rPr>
        <w:t>加强水肥管理，增强抗寒能力</w:t>
      </w:r>
    </w:p>
    <w:p w14:paraId="679FB59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合理浇灌，科学施肥，如秋冬季应停止单纯施放尿素等氮肥，宜施用有机物或以磷、钾为主的化肥，或采用叶面喷施磷酸二氢钾、叶面宝等措施，控制植株徒长，促进植株生长健壮，增强其抗寒能力。</w:t>
      </w:r>
    </w:p>
    <w:p w14:paraId="0AE61940">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8.1.4 </w:t>
      </w:r>
      <w:r>
        <w:rPr>
          <w:rFonts w:hint="eastAsia" w:ascii="宋体" w:hAnsi="宋体"/>
          <w:color w:val="auto"/>
          <w:kern w:val="0"/>
          <w:sz w:val="24"/>
          <w:szCs w:val="24"/>
          <w:highlight w:val="none"/>
        </w:rPr>
        <w:t>覆盖</w:t>
      </w:r>
    </w:p>
    <w:p w14:paraId="34757FDC">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对不耐寒树木，在霜冻和大雪来临前，根据树高用竹子搭一个方形棚架，外围用布或塑料布；对一些不耐寒的小</w:t>
      </w:r>
      <w:r>
        <w:rPr>
          <w:rFonts w:hint="eastAsia" w:ascii="宋体" w:hAnsi="宋体"/>
          <w:color w:val="auto"/>
          <w:kern w:val="0"/>
          <w:sz w:val="24"/>
          <w:szCs w:val="24"/>
          <w:highlight w:val="none"/>
          <w:lang w:val="en-US" w:eastAsia="zh-CN"/>
        </w:rPr>
        <w:t>型</w:t>
      </w:r>
      <w:r>
        <w:rPr>
          <w:rFonts w:hint="eastAsia" w:ascii="宋体" w:hAnsi="宋体"/>
          <w:color w:val="auto"/>
          <w:kern w:val="0"/>
          <w:sz w:val="24"/>
          <w:szCs w:val="24"/>
          <w:highlight w:val="none"/>
        </w:rPr>
        <w:t>植物、露地花卉、地被等可直接加盖草帘或遮</w:t>
      </w:r>
      <w:r>
        <w:rPr>
          <w:rFonts w:hint="eastAsia" w:ascii="宋体" w:hAnsi="宋体"/>
          <w:color w:val="auto"/>
          <w:kern w:val="0"/>
          <w:szCs w:val="21"/>
          <w:highlight w:val="none"/>
          <w:lang w:val="en-US" w:eastAsia="zh-CN"/>
        </w:rPr>
        <w:t>阴</w:t>
      </w:r>
      <w:r>
        <w:rPr>
          <w:rFonts w:hint="eastAsia" w:ascii="宋体" w:hAnsi="宋体"/>
          <w:color w:val="auto"/>
          <w:kern w:val="0"/>
          <w:sz w:val="24"/>
          <w:szCs w:val="24"/>
          <w:highlight w:val="none"/>
        </w:rPr>
        <w:t>布或塑料布。</w:t>
      </w:r>
    </w:p>
    <w:p w14:paraId="4127AE46">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8.1.5 </w:t>
      </w:r>
      <w:r>
        <w:rPr>
          <w:rFonts w:hint="eastAsia" w:ascii="宋体" w:hAnsi="宋体"/>
          <w:color w:val="auto"/>
          <w:kern w:val="0"/>
          <w:sz w:val="24"/>
          <w:szCs w:val="24"/>
          <w:highlight w:val="none"/>
        </w:rPr>
        <w:t>树干防护</w:t>
      </w:r>
    </w:p>
    <w:p w14:paraId="53051BA8">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常见的为树干包裹或涂白。树干包裹应在入冬前进行，将不耐寒的树木主干用草绳或麻袋片等缠绕或包裹起来，涂白高度在</w:t>
      </w:r>
      <w:r>
        <w:rPr>
          <w:rFonts w:ascii="宋体" w:hAnsi="宋体"/>
          <w:color w:val="auto"/>
          <w:kern w:val="0"/>
          <w:sz w:val="24"/>
          <w:szCs w:val="24"/>
          <w:highlight w:val="none"/>
        </w:rPr>
        <w:t>1.5m</w:t>
      </w:r>
      <w:r>
        <w:rPr>
          <w:rFonts w:hint="eastAsia" w:ascii="宋体" w:hAnsi="宋体"/>
          <w:color w:val="auto"/>
          <w:kern w:val="0"/>
          <w:sz w:val="24"/>
          <w:szCs w:val="24"/>
          <w:highlight w:val="none"/>
        </w:rPr>
        <w:t>～</w:t>
      </w:r>
      <w:r>
        <w:rPr>
          <w:rFonts w:ascii="宋体" w:hAnsi="宋体"/>
          <w:color w:val="auto"/>
          <w:kern w:val="0"/>
          <w:sz w:val="24"/>
          <w:szCs w:val="24"/>
          <w:highlight w:val="none"/>
        </w:rPr>
        <w:t>2m</w:t>
      </w:r>
      <w:r>
        <w:rPr>
          <w:rFonts w:hint="eastAsia" w:ascii="宋体" w:hAnsi="宋体"/>
          <w:color w:val="auto"/>
          <w:kern w:val="0"/>
          <w:sz w:val="24"/>
          <w:szCs w:val="24"/>
          <w:highlight w:val="none"/>
        </w:rPr>
        <w:t>。树干涂白宜在秋季进行</w:t>
      </w: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用石灰加石硫合剂对枝干涂白。</w:t>
      </w:r>
    </w:p>
    <w:p w14:paraId="7411493A">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8.1.6 </w:t>
      </w:r>
      <w:r>
        <w:rPr>
          <w:rFonts w:hint="eastAsia" w:ascii="宋体" w:hAnsi="宋体"/>
          <w:color w:val="auto"/>
          <w:kern w:val="0"/>
          <w:sz w:val="24"/>
          <w:szCs w:val="24"/>
          <w:highlight w:val="none"/>
        </w:rPr>
        <w:t>防冻除雪</w:t>
      </w:r>
    </w:p>
    <w:p w14:paraId="4A95D79D">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在下大雪期间或之后</w:t>
      </w:r>
      <w:r>
        <w:rPr>
          <w:rFonts w:ascii="宋体"/>
          <w:color w:val="auto"/>
          <w:kern w:val="0"/>
          <w:sz w:val="24"/>
          <w:szCs w:val="24"/>
          <w:highlight w:val="none"/>
        </w:rPr>
        <w:t>,</w:t>
      </w:r>
      <w:r>
        <w:rPr>
          <w:rFonts w:hint="eastAsia" w:ascii="宋体" w:hAnsi="宋体"/>
          <w:color w:val="auto"/>
          <w:kern w:val="0"/>
          <w:sz w:val="24"/>
          <w:szCs w:val="24"/>
          <w:highlight w:val="none"/>
        </w:rPr>
        <w:t>应把树枝上的积雪及时打掉</w:t>
      </w:r>
      <w:r>
        <w:rPr>
          <w:rFonts w:ascii="宋体"/>
          <w:color w:val="auto"/>
          <w:kern w:val="0"/>
          <w:sz w:val="24"/>
          <w:szCs w:val="24"/>
          <w:highlight w:val="none"/>
        </w:rPr>
        <w:t>,</w:t>
      </w:r>
      <w:r>
        <w:rPr>
          <w:rFonts w:hint="eastAsia" w:ascii="宋体" w:hAnsi="宋体"/>
          <w:color w:val="auto"/>
          <w:kern w:val="0"/>
          <w:sz w:val="24"/>
          <w:szCs w:val="24"/>
          <w:highlight w:val="none"/>
        </w:rPr>
        <w:t>以免雪压过重</w:t>
      </w:r>
      <w:r>
        <w:rPr>
          <w:rFonts w:ascii="宋体"/>
          <w:color w:val="auto"/>
          <w:kern w:val="0"/>
          <w:sz w:val="24"/>
          <w:szCs w:val="24"/>
          <w:highlight w:val="none"/>
        </w:rPr>
        <w:t>,</w:t>
      </w:r>
      <w:r>
        <w:rPr>
          <w:rFonts w:hint="eastAsia" w:ascii="宋体" w:hAnsi="宋体"/>
          <w:color w:val="auto"/>
          <w:kern w:val="0"/>
          <w:sz w:val="24"/>
          <w:szCs w:val="24"/>
          <w:highlight w:val="none"/>
        </w:rPr>
        <w:t>使树枝弯垂</w:t>
      </w:r>
      <w:r>
        <w:rPr>
          <w:rFonts w:ascii="宋体"/>
          <w:color w:val="auto"/>
          <w:kern w:val="0"/>
          <w:sz w:val="24"/>
          <w:szCs w:val="24"/>
          <w:highlight w:val="none"/>
        </w:rPr>
        <w:t>,</w:t>
      </w:r>
      <w:r>
        <w:rPr>
          <w:rFonts w:hint="eastAsia" w:ascii="宋体" w:hAnsi="宋体"/>
          <w:color w:val="auto"/>
          <w:kern w:val="0"/>
          <w:sz w:val="24"/>
          <w:szCs w:val="24"/>
          <w:highlight w:val="none"/>
        </w:rPr>
        <w:t>难以恢复原状</w:t>
      </w:r>
      <w:r>
        <w:rPr>
          <w:rFonts w:ascii="宋体"/>
          <w:color w:val="auto"/>
          <w:kern w:val="0"/>
          <w:sz w:val="24"/>
          <w:szCs w:val="24"/>
          <w:highlight w:val="none"/>
        </w:rPr>
        <w:t>,</w:t>
      </w:r>
      <w:r>
        <w:rPr>
          <w:rFonts w:hint="eastAsia" w:ascii="宋体" w:hAnsi="宋体"/>
          <w:color w:val="auto"/>
          <w:kern w:val="0"/>
          <w:sz w:val="24"/>
          <w:szCs w:val="24"/>
          <w:highlight w:val="none"/>
        </w:rPr>
        <w:t>甚至折断。</w:t>
      </w:r>
    </w:p>
    <w:p w14:paraId="5E4CBF75">
      <w:pPr>
        <w:widowControl/>
        <w:spacing w:line="300" w:lineRule="auto"/>
        <w:ind w:firstLine="105"/>
        <w:rPr>
          <w:rFonts w:ascii="宋体"/>
          <w:color w:val="auto"/>
          <w:kern w:val="0"/>
          <w:sz w:val="24"/>
          <w:szCs w:val="24"/>
          <w:highlight w:val="none"/>
        </w:rPr>
      </w:pPr>
      <w:r>
        <w:rPr>
          <w:rFonts w:ascii="宋体" w:hAnsi="宋体"/>
          <w:color w:val="auto"/>
          <w:kern w:val="0"/>
          <w:sz w:val="24"/>
          <w:szCs w:val="24"/>
          <w:highlight w:val="none"/>
        </w:rPr>
        <w:t xml:space="preserve">8.2 </w:t>
      </w:r>
      <w:r>
        <w:rPr>
          <w:rFonts w:hint="eastAsia" w:ascii="宋体" w:hAnsi="宋体"/>
          <w:color w:val="auto"/>
          <w:kern w:val="0"/>
          <w:sz w:val="24"/>
          <w:szCs w:val="24"/>
          <w:highlight w:val="none"/>
        </w:rPr>
        <w:t>防风</w:t>
      </w:r>
      <w:r>
        <w:rPr>
          <w:rFonts w:ascii="宋体" w:hAnsi="宋体"/>
          <w:color w:val="auto"/>
          <w:kern w:val="0"/>
          <w:sz w:val="24"/>
          <w:szCs w:val="24"/>
          <w:highlight w:val="none"/>
        </w:rPr>
        <w:t>(</w:t>
      </w:r>
      <w:r>
        <w:rPr>
          <w:rFonts w:hint="eastAsia" w:ascii="宋体" w:hAnsi="宋体"/>
          <w:color w:val="auto"/>
          <w:kern w:val="0"/>
          <w:sz w:val="24"/>
          <w:szCs w:val="24"/>
          <w:highlight w:val="none"/>
        </w:rPr>
        <w:t>对高大乔木</w:t>
      </w:r>
      <w:r>
        <w:rPr>
          <w:rFonts w:ascii="宋体" w:hAnsi="宋体"/>
          <w:color w:val="auto"/>
          <w:kern w:val="0"/>
          <w:sz w:val="24"/>
          <w:szCs w:val="24"/>
          <w:highlight w:val="none"/>
        </w:rPr>
        <w:t>)</w:t>
      </w:r>
    </w:p>
    <w:p w14:paraId="1EF01FA8">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8.2.1 </w:t>
      </w:r>
      <w:r>
        <w:rPr>
          <w:rFonts w:hint="eastAsia" w:ascii="宋体" w:hAnsi="宋体"/>
          <w:color w:val="auto"/>
          <w:kern w:val="0"/>
          <w:sz w:val="24"/>
          <w:szCs w:val="24"/>
          <w:highlight w:val="none"/>
        </w:rPr>
        <w:t>对高大乔木尤其是行道树、衰老树，台风季节到来前必须进行适当修剪，剪除病虫枝、过密枝、干枯枝、下垂枝、回缩偏冠树枝。</w:t>
      </w:r>
    </w:p>
    <w:p w14:paraId="668E05E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8.2.2 </w:t>
      </w:r>
      <w:r>
        <w:rPr>
          <w:rFonts w:hint="eastAsia" w:ascii="宋体" w:hAnsi="宋体"/>
          <w:color w:val="auto"/>
          <w:kern w:val="0"/>
          <w:sz w:val="24"/>
          <w:szCs w:val="24"/>
          <w:highlight w:val="none"/>
        </w:rPr>
        <w:t>风雨过后应及时巡查行道树，及时处理风折、风倒、雷击树枝。</w:t>
      </w:r>
    </w:p>
    <w:p w14:paraId="23A5F95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8.2.3 </w:t>
      </w:r>
      <w:r>
        <w:rPr>
          <w:rFonts w:hint="eastAsia" w:ascii="宋体" w:hAnsi="宋体"/>
          <w:color w:val="auto"/>
          <w:kern w:val="0"/>
          <w:sz w:val="24"/>
          <w:szCs w:val="24"/>
          <w:highlight w:val="none"/>
        </w:rPr>
        <w:t>严重偏冠树或危树必须架设护桩，确保行人、车辆安全。</w:t>
      </w:r>
    </w:p>
    <w:p w14:paraId="6CB6A50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8.2.4 </w:t>
      </w:r>
      <w:r>
        <w:rPr>
          <w:rFonts w:hint="eastAsia" w:ascii="宋体" w:hAnsi="宋体"/>
          <w:color w:val="auto"/>
          <w:kern w:val="0"/>
          <w:sz w:val="24"/>
          <w:szCs w:val="24"/>
          <w:highlight w:val="none"/>
        </w:rPr>
        <w:t>移植和管道施工应避免断粗</w:t>
      </w:r>
      <w:r>
        <w:rPr>
          <w:rFonts w:ascii="宋体" w:hAnsi="宋体"/>
          <w:color w:val="auto"/>
          <w:kern w:val="0"/>
          <w:sz w:val="24"/>
          <w:szCs w:val="24"/>
          <w:highlight w:val="none"/>
        </w:rPr>
        <w:t>2cm</w:t>
      </w:r>
      <w:r>
        <w:rPr>
          <w:rFonts w:hint="eastAsia" w:ascii="宋体" w:hAnsi="宋体"/>
          <w:color w:val="auto"/>
          <w:kern w:val="0"/>
          <w:sz w:val="24"/>
          <w:szCs w:val="24"/>
          <w:highlight w:val="none"/>
        </w:rPr>
        <w:t>以上的主根、侧根。</w:t>
      </w:r>
    </w:p>
    <w:p w14:paraId="2BA059D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8.3 </w:t>
      </w:r>
      <w:r>
        <w:rPr>
          <w:rFonts w:hint="eastAsia" w:ascii="宋体" w:hAnsi="宋体"/>
          <w:color w:val="auto"/>
          <w:kern w:val="0"/>
          <w:sz w:val="24"/>
          <w:szCs w:val="24"/>
          <w:highlight w:val="none"/>
        </w:rPr>
        <w:t>设备设施</w:t>
      </w:r>
    </w:p>
    <w:p w14:paraId="514C3B1E">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定期维修游园、绿地的设备、设施、护桩，保持设备设施完好、整洁，护桩整齐、美观。</w:t>
      </w:r>
    </w:p>
    <w:p w14:paraId="42B71322">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9 </w:t>
      </w:r>
      <w:r>
        <w:rPr>
          <w:rFonts w:hint="eastAsia" w:ascii="宋体" w:hAnsi="宋体"/>
          <w:color w:val="auto"/>
          <w:kern w:val="0"/>
          <w:sz w:val="24"/>
          <w:szCs w:val="24"/>
          <w:highlight w:val="none"/>
        </w:rPr>
        <w:t>清理工作</w:t>
      </w:r>
    </w:p>
    <w:p w14:paraId="5E4DF35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9.1 </w:t>
      </w:r>
      <w:r>
        <w:rPr>
          <w:rFonts w:hint="eastAsia" w:ascii="宋体" w:hAnsi="宋体"/>
          <w:color w:val="auto"/>
          <w:kern w:val="0"/>
          <w:sz w:val="24"/>
          <w:szCs w:val="24"/>
          <w:highlight w:val="none"/>
        </w:rPr>
        <w:t>修剪后的枝叶必须当天清理。</w:t>
      </w:r>
    </w:p>
    <w:p w14:paraId="635C12E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9.2 </w:t>
      </w:r>
      <w:r>
        <w:rPr>
          <w:rFonts w:hint="eastAsia" w:ascii="宋体" w:hAnsi="宋体"/>
          <w:color w:val="auto"/>
          <w:kern w:val="0"/>
          <w:sz w:val="24"/>
          <w:szCs w:val="24"/>
          <w:highlight w:val="none"/>
        </w:rPr>
        <w:t>因车祸、风雨造成的树木伤残枝、倒树应当天及时处理。</w:t>
      </w:r>
    </w:p>
    <w:p w14:paraId="46716F7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9.3 </w:t>
      </w:r>
      <w:r>
        <w:rPr>
          <w:rFonts w:hint="eastAsia" w:ascii="宋体" w:hAnsi="宋体"/>
          <w:color w:val="auto"/>
          <w:kern w:val="0"/>
          <w:sz w:val="24"/>
          <w:szCs w:val="24"/>
          <w:highlight w:val="none"/>
        </w:rPr>
        <w:t>及时伐去死树，挖去树木桩头。</w:t>
      </w:r>
    </w:p>
    <w:p w14:paraId="189536B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9.4 </w:t>
      </w:r>
      <w:r>
        <w:rPr>
          <w:rFonts w:hint="eastAsia" w:ascii="宋体" w:hAnsi="宋体"/>
          <w:color w:val="auto"/>
          <w:kern w:val="0"/>
          <w:sz w:val="24"/>
          <w:szCs w:val="24"/>
          <w:highlight w:val="none"/>
        </w:rPr>
        <w:t>挖埋管线或建筑施工时，泥、砖不能堆放在树盘及绿化带上；树盘、绿化带上有余泥、砖碎等杂物应督促施工单位及时清走。</w:t>
      </w:r>
    </w:p>
    <w:p w14:paraId="017BC3D9">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10 </w:t>
      </w:r>
      <w:r>
        <w:rPr>
          <w:rFonts w:hint="eastAsia" w:ascii="宋体" w:hAnsi="宋体"/>
          <w:color w:val="auto"/>
          <w:kern w:val="0"/>
          <w:sz w:val="24"/>
          <w:szCs w:val="24"/>
          <w:highlight w:val="none"/>
        </w:rPr>
        <w:t>补种</w:t>
      </w:r>
    </w:p>
    <w:p w14:paraId="4EB892C8">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10.1 </w:t>
      </w:r>
      <w:r>
        <w:rPr>
          <w:rFonts w:hint="eastAsia" w:ascii="宋体" w:hAnsi="宋体"/>
          <w:color w:val="auto"/>
          <w:kern w:val="0"/>
          <w:sz w:val="24"/>
          <w:szCs w:val="24"/>
          <w:highlight w:val="none"/>
        </w:rPr>
        <w:t>行道树不应缺株，补植的行道树必须是原来品种，树干正直，定干高度应</w:t>
      </w:r>
      <w:r>
        <w:rPr>
          <w:rFonts w:ascii="宋体" w:hAnsi="宋体"/>
          <w:color w:val="auto"/>
          <w:kern w:val="0"/>
          <w:sz w:val="24"/>
          <w:szCs w:val="24"/>
          <w:highlight w:val="none"/>
        </w:rPr>
        <w:t>2m</w:t>
      </w:r>
      <w:r>
        <w:rPr>
          <w:rFonts w:hint="eastAsia" w:ascii="宋体" w:hAnsi="宋体"/>
          <w:color w:val="auto"/>
          <w:kern w:val="0"/>
          <w:sz w:val="24"/>
          <w:szCs w:val="24"/>
          <w:highlight w:val="none"/>
        </w:rPr>
        <w:t>以上。</w:t>
      </w:r>
    </w:p>
    <w:p w14:paraId="49DFF45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10.2 </w:t>
      </w:r>
      <w:r>
        <w:rPr>
          <w:rFonts w:hint="eastAsia" w:ascii="宋体" w:hAnsi="宋体"/>
          <w:color w:val="auto"/>
          <w:kern w:val="0"/>
          <w:sz w:val="24"/>
          <w:szCs w:val="24"/>
          <w:highlight w:val="none"/>
        </w:rPr>
        <w:t>主干道的行道树为幼龄树，补植乔木的规格、大小必须与同路段同品种乔木基本一致；主干道的行道树为成龄树，补植的阔叶树胸径必须</w:t>
      </w:r>
      <w:r>
        <w:rPr>
          <w:rFonts w:ascii="宋体" w:hAnsi="宋体"/>
          <w:color w:val="auto"/>
          <w:kern w:val="0"/>
          <w:sz w:val="24"/>
          <w:szCs w:val="24"/>
          <w:highlight w:val="none"/>
        </w:rPr>
        <w:t>8cm</w:t>
      </w:r>
      <w:r>
        <w:rPr>
          <w:rFonts w:hint="eastAsia" w:ascii="宋体" w:hAnsi="宋体"/>
          <w:color w:val="auto"/>
          <w:kern w:val="0"/>
          <w:sz w:val="24"/>
          <w:szCs w:val="24"/>
          <w:highlight w:val="none"/>
        </w:rPr>
        <w:t>以上，棕榈科乔木地径必须</w:t>
      </w:r>
      <w:r>
        <w:rPr>
          <w:rFonts w:ascii="宋体" w:hAnsi="宋体"/>
          <w:color w:val="auto"/>
          <w:kern w:val="0"/>
          <w:sz w:val="24"/>
          <w:szCs w:val="24"/>
          <w:highlight w:val="none"/>
        </w:rPr>
        <w:t>25cm</w:t>
      </w:r>
      <w:r>
        <w:rPr>
          <w:rFonts w:hint="eastAsia" w:ascii="宋体" w:hAnsi="宋体"/>
          <w:color w:val="auto"/>
          <w:kern w:val="0"/>
          <w:sz w:val="24"/>
          <w:szCs w:val="24"/>
          <w:highlight w:val="none"/>
        </w:rPr>
        <w:t>以上。</w:t>
      </w:r>
    </w:p>
    <w:p w14:paraId="0169B7CE">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10.3 </w:t>
      </w:r>
      <w:r>
        <w:rPr>
          <w:rFonts w:hint="eastAsia" w:ascii="宋体" w:hAnsi="宋体"/>
          <w:color w:val="auto"/>
          <w:kern w:val="0"/>
          <w:sz w:val="24"/>
          <w:szCs w:val="24"/>
          <w:highlight w:val="none"/>
        </w:rPr>
        <w:t>次干道行道树补种，阔叶树胸径必须</w:t>
      </w:r>
      <w:r>
        <w:rPr>
          <w:rFonts w:ascii="宋体" w:hAnsi="宋体"/>
          <w:color w:val="auto"/>
          <w:kern w:val="0"/>
          <w:sz w:val="24"/>
          <w:szCs w:val="24"/>
          <w:highlight w:val="none"/>
        </w:rPr>
        <w:t>5cm</w:t>
      </w:r>
      <w:r>
        <w:rPr>
          <w:rFonts w:hint="eastAsia" w:ascii="宋体" w:hAnsi="宋体"/>
          <w:color w:val="auto"/>
          <w:kern w:val="0"/>
          <w:sz w:val="24"/>
          <w:szCs w:val="24"/>
          <w:highlight w:val="none"/>
        </w:rPr>
        <w:t>以上，高度</w:t>
      </w:r>
      <w:r>
        <w:rPr>
          <w:rFonts w:ascii="宋体" w:hAnsi="宋体"/>
          <w:color w:val="auto"/>
          <w:kern w:val="0"/>
          <w:sz w:val="24"/>
          <w:szCs w:val="24"/>
          <w:highlight w:val="none"/>
        </w:rPr>
        <w:t>2.5m</w:t>
      </w:r>
      <w:r>
        <w:rPr>
          <w:rFonts w:hint="eastAsia" w:ascii="宋体" w:hAnsi="宋体"/>
          <w:color w:val="auto"/>
          <w:kern w:val="0"/>
          <w:sz w:val="24"/>
          <w:szCs w:val="24"/>
          <w:highlight w:val="none"/>
        </w:rPr>
        <w:t>以上；棕榈科乔木胸径必须</w:t>
      </w:r>
      <w:r>
        <w:rPr>
          <w:rFonts w:ascii="宋体" w:hAnsi="宋体"/>
          <w:color w:val="auto"/>
          <w:kern w:val="0"/>
          <w:sz w:val="24"/>
          <w:szCs w:val="24"/>
          <w:highlight w:val="none"/>
        </w:rPr>
        <w:t>20cm</w:t>
      </w:r>
      <w:r>
        <w:rPr>
          <w:rFonts w:hint="eastAsia" w:ascii="宋体" w:hAnsi="宋体"/>
          <w:color w:val="auto"/>
          <w:kern w:val="0"/>
          <w:sz w:val="24"/>
          <w:szCs w:val="24"/>
          <w:highlight w:val="none"/>
        </w:rPr>
        <w:t>以上，自然高度</w:t>
      </w:r>
      <w:r>
        <w:rPr>
          <w:rFonts w:ascii="宋体" w:hAnsi="宋体"/>
          <w:color w:val="auto"/>
          <w:kern w:val="0"/>
          <w:sz w:val="24"/>
          <w:szCs w:val="24"/>
          <w:highlight w:val="none"/>
        </w:rPr>
        <w:t>3m</w:t>
      </w:r>
      <w:r>
        <w:rPr>
          <w:rFonts w:hint="eastAsia" w:ascii="宋体" w:hAnsi="宋体"/>
          <w:color w:val="auto"/>
          <w:kern w:val="0"/>
          <w:sz w:val="24"/>
          <w:szCs w:val="24"/>
          <w:highlight w:val="none"/>
        </w:rPr>
        <w:t>以上。</w:t>
      </w:r>
    </w:p>
    <w:p w14:paraId="53051AD7">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10.4 </w:t>
      </w:r>
      <w:r>
        <w:rPr>
          <w:rFonts w:hint="eastAsia" w:ascii="宋体" w:hAnsi="宋体"/>
          <w:color w:val="auto"/>
          <w:kern w:val="0"/>
          <w:sz w:val="24"/>
          <w:szCs w:val="24"/>
          <w:highlight w:val="none"/>
        </w:rPr>
        <w:t>绿地缺株或黄土裸露的，应在一个月内完成补种；因车祸或其它原因造成缺株或黄土裸露的，应在一周内完成补种。补种的品种应与原品种一致。</w:t>
      </w:r>
    </w:p>
    <w:p w14:paraId="102B60F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10.5 </w:t>
      </w:r>
      <w:r>
        <w:rPr>
          <w:rFonts w:hint="eastAsia" w:ascii="宋体" w:hAnsi="宋体"/>
          <w:color w:val="auto"/>
          <w:kern w:val="0"/>
          <w:sz w:val="24"/>
          <w:szCs w:val="24"/>
          <w:highlight w:val="none"/>
        </w:rPr>
        <w:t>补种的苗木必须健壮，无病虫害。草坪纯度必须达</w:t>
      </w:r>
      <w:r>
        <w:rPr>
          <w:rFonts w:ascii="宋体" w:hAnsi="宋体"/>
          <w:color w:val="auto"/>
          <w:kern w:val="0"/>
          <w:sz w:val="24"/>
          <w:szCs w:val="24"/>
          <w:highlight w:val="none"/>
        </w:rPr>
        <w:t>95</w:t>
      </w:r>
      <w:r>
        <w:rPr>
          <w:rFonts w:ascii="宋体" w:hAnsi="宋体"/>
          <w:color w:val="auto"/>
          <w:spacing w:val="-30"/>
          <w:kern w:val="0"/>
          <w:sz w:val="24"/>
          <w:szCs w:val="24"/>
          <w:highlight w:val="none"/>
        </w:rPr>
        <w:t xml:space="preserve"> </w:t>
      </w:r>
      <w:r>
        <w:rPr>
          <w:rFonts w:hint="eastAsia" w:ascii="宋体" w:hAnsi="宋体"/>
          <w:color w:val="auto"/>
          <w:spacing w:val="-30"/>
          <w:kern w:val="0"/>
          <w:sz w:val="24"/>
          <w:szCs w:val="24"/>
          <w:highlight w:val="none"/>
        </w:rPr>
        <w:t>％</w:t>
      </w:r>
      <w:r>
        <w:rPr>
          <w:rFonts w:hint="eastAsia" w:ascii="宋体" w:hAnsi="宋体"/>
          <w:color w:val="auto"/>
          <w:kern w:val="0"/>
          <w:sz w:val="24"/>
          <w:szCs w:val="24"/>
          <w:highlight w:val="none"/>
        </w:rPr>
        <w:t>以上。</w:t>
      </w:r>
    </w:p>
    <w:p w14:paraId="0CD24BC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10.6 </w:t>
      </w:r>
      <w:r>
        <w:rPr>
          <w:rFonts w:hint="eastAsia" w:ascii="宋体" w:hAnsi="宋体"/>
          <w:color w:val="auto"/>
          <w:kern w:val="0"/>
          <w:sz w:val="24"/>
          <w:szCs w:val="24"/>
          <w:highlight w:val="none"/>
        </w:rPr>
        <w:t>草坪及灌木已老化的</w:t>
      </w:r>
      <w:r>
        <w:rPr>
          <w:rFonts w:ascii="宋体"/>
          <w:color w:val="auto"/>
          <w:kern w:val="0"/>
          <w:sz w:val="24"/>
          <w:szCs w:val="24"/>
          <w:highlight w:val="none"/>
        </w:rPr>
        <w:t>,</w:t>
      </w:r>
      <w:r>
        <w:rPr>
          <w:rFonts w:hint="eastAsia" w:ascii="宋体" w:hAnsi="宋体"/>
          <w:color w:val="auto"/>
          <w:kern w:val="0"/>
          <w:sz w:val="24"/>
          <w:szCs w:val="24"/>
          <w:highlight w:val="none"/>
        </w:rPr>
        <w:t>应在衰老期到来初期更新改造。</w:t>
      </w:r>
    </w:p>
    <w:p w14:paraId="3CC278C3">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11 </w:t>
      </w:r>
      <w:r>
        <w:rPr>
          <w:rFonts w:hint="eastAsia" w:ascii="宋体" w:hAnsi="宋体"/>
          <w:color w:val="auto"/>
          <w:kern w:val="0"/>
          <w:sz w:val="24"/>
          <w:szCs w:val="24"/>
          <w:highlight w:val="none"/>
        </w:rPr>
        <w:t>古树名木的养护</w:t>
      </w:r>
    </w:p>
    <w:p w14:paraId="5E3D2DC1">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11.1 </w:t>
      </w:r>
      <w:r>
        <w:rPr>
          <w:rFonts w:hint="eastAsia" w:ascii="宋体" w:hAnsi="宋体"/>
          <w:color w:val="auto"/>
          <w:kern w:val="0"/>
          <w:sz w:val="24"/>
          <w:szCs w:val="24"/>
          <w:highlight w:val="none"/>
        </w:rPr>
        <w:t>不要随意改变生长环境条件，不宜在其周围建高大建筑、挖方、填方；距树干</w:t>
      </w:r>
      <w:r>
        <w:rPr>
          <w:rFonts w:ascii="宋体" w:hAnsi="宋体"/>
          <w:color w:val="auto"/>
          <w:kern w:val="0"/>
          <w:sz w:val="24"/>
          <w:szCs w:val="24"/>
          <w:highlight w:val="none"/>
        </w:rPr>
        <w:t>3m</w:t>
      </w:r>
      <w:r>
        <w:rPr>
          <w:rFonts w:hint="eastAsia" w:ascii="宋体" w:hAnsi="宋体"/>
          <w:color w:val="auto"/>
          <w:kern w:val="0"/>
          <w:sz w:val="24"/>
          <w:szCs w:val="24"/>
          <w:highlight w:val="none"/>
        </w:rPr>
        <w:t>以内不能有水泥、砖石等不透气铺装或建筑物。</w:t>
      </w:r>
    </w:p>
    <w:p w14:paraId="011C2A5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11.2 </w:t>
      </w:r>
      <w:r>
        <w:rPr>
          <w:rFonts w:hint="eastAsia" w:ascii="宋体" w:hAnsi="宋体"/>
          <w:color w:val="auto"/>
          <w:kern w:val="0"/>
          <w:sz w:val="24"/>
          <w:szCs w:val="24"/>
          <w:highlight w:val="none"/>
        </w:rPr>
        <w:t>防止土壤板结改变通气条件，在距树干</w:t>
      </w:r>
      <w:r>
        <w:rPr>
          <w:rFonts w:ascii="宋体" w:hAnsi="宋体"/>
          <w:color w:val="auto"/>
          <w:kern w:val="0"/>
          <w:sz w:val="24"/>
          <w:szCs w:val="24"/>
          <w:highlight w:val="none"/>
        </w:rPr>
        <w:t>3m</w:t>
      </w:r>
      <w:r>
        <w:rPr>
          <w:rFonts w:hint="eastAsia" w:ascii="宋体" w:hAnsi="宋体"/>
          <w:color w:val="auto"/>
          <w:kern w:val="0"/>
          <w:sz w:val="24"/>
          <w:szCs w:val="24"/>
          <w:highlight w:val="none"/>
        </w:rPr>
        <w:t>～</w:t>
      </w:r>
      <w:r>
        <w:rPr>
          <w:rFonts w:ascii="宋体" w:hAnsi="宋体"/>
          <w:color w:val="auto"/>
          <w:kern w:val="0"/>
          <w:sz w:val="24"/>
          <w:szCs w:val="24"/>
          <w:highlight w:val="none"/>
        </w:rPr>
        <w:t>5m</w:t>
      </w:r>
      <w:r>
        <w:rPr>
          <w:rFonts w:hint="eastAsia" w:ascii="宋体" w:hAnsi="宋体"/>
          <w:color w:val="auto"/>
          <w:kern w:val="0"/>
          <w:sz w:val="24"/>
          <w:szCs w:val="24"/>
          <w:highlight w:val="none"/>
        </w:rPr>
        <w:t>内应设栅栏隔离或种植地被植物，以防行人入内践踏，每年在距树干</w:t>
      </w:r>
      <w:r>
        <w:rPr>
          <w:rFonts w:ascii="宋体" w:hAnsi="宋体"/>
          <w:color w:val="auto"/>
          <w:kern w:val="0"/>
          <w:sz w:val="24"/>
          <w:szCs w:val="24"/>
          <w:highlight w:val="none"/>
        </w:rPr>
        <w:t>5m</w:t>
      </w:r>
      <w:r>
        <w:rPr>
          <w:rFonts w:hint="eastAsia" w:ascii="宋体" w:hAnsi="宋体"/>
          <w:color w:val="auto"/>
          <w:kern w:val="0"/>
          <w:sz w:val="24"/>
          <w:szCs w:val="24"/>
          <w:highlight w:val="none"/>
        </w:rPr>
        <w:t>以内中耕松土</w:t>
      </w:r>
      <w:r>
        <w:rPr>
          <w:rFonts w:ascii="宋体" w:hAnsi="宋体"/>
          <w:color w:val="auto"/>
          <w:kern w:val="0"/>
          <w:sz w:val="24"/>
          <w:szCs w:val="24"/>
          <w:highlight w:val="none"/>
        </w:rPr>
        <w:t>2</w:t>
      </w:r>
      <w:r>
        <w:rPr>
          <w:rFonts w:hint="eastAsia" w:ascii="宋体" w:hAnsi="宋体"/>
          <w:color w:val="auto"/>
          <w:kern w:val="0"/>
          <w:sz w:val="24"/>
          <w:szCs w:val="24"/>
          <w:highlight w:val="none"/>
        </w:rPr>
        <w:t>次～</w:t>
      </w:r>
      <w:r>
        <w:rPr>
          <w:rFonts w:ascii="宋体" w:hAnsi="宋体"/>
          <w:color w:val="auto"/>
          <w:kern w:val="0"/>
          <w:sz w:val="24"/>
          <w:szCs w:val="24"/>
          <w:highlight w:val="none"/>
        </w:rPr>
        <w:t>3</w:t>
      </w:r>
      <w:r>
        <w:rPr>
          <w:rFonts w:hint="eastAsia" w:ascii="宋体" w:hAnsi="宋体"/>
          <w:color w:val="auto"/>
          <w:kern w:val="0"/>
          <w:sz w:val="24"/>
          <w:szCs w:val="24"/>
          <w:highlight w:val="none"/>
        </w:rPr>
        <w:t>次，对衰老树有条件的可逐步换土或改土（表层</w:t>
      </w:r>
      <w:r>
        <w:rPr>
          <w:rFonts w:ascii="宋体" w:hAnsi="宋体"/>
          <w:color w:val="auto"/>
          <w:kern w:val="0"/>
          <w:sz w:val="24"/>
          <w:szCs w:val="24"/>
          <w:highlight w:val="none"/>
        </w:rPr>
        <w:t>50cm</w:t>
      </w:r>
      <w:r>
        <w:rPr>
          <w:rFonts w:hint="eastAsia" w:ascii="宋体" w:hAnsi="宋体"/>
          <w:color w:val="auto"/>
          <w:kern w:val="0"/>
          <w:sz w:val="24"/>
          <w:szCs w:val="24"/>
          <w:highlight w:val="none"/>
        </w:rPr>
        <w:t>以上）。</w:t>
      </w:r>
    </w:p>
    <w:p w14:paraId="77213877">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11.3 </w:t>
      </w:r>
      <w:r>
        <w:rPr>
          <w:rFonts w:hint="eastAsia" w:ascii="宋体" w:hAnsi="宋体"/>
          <w:color w:val="auto"/>
          <w:kern w:val="0"/>
          <w:sz w:val="24"/>
          <w:szCs w:val="24"/>
          <w:highlight w:val="none"/>
        </w:rPr>
        <w:t>施肥，每年生长季节喷施叶面肥</w:t>
      </w:r>
      <w:r>
        <w:rPr>
          <w:rFonts w:ascii="宋体" w:hAnsi="宋体"/>
          <w:color w:val="auto"/>
          <w:kern w:val="0"/>
          <w:sz w:val="24"/>
          <w:szCs w:val="24"/>
          <w:highlight w:val="none"/>
        </w:rPr>
        <w:t>1</w:t>
      </w:r>
      <w:r>
        <w:rPr>
          <w:rFonts w:hint="eastAsia" w:ascii="宋体" w:hAnsi="宋体"/>
          <w:color w:val="auto"/>
          <w:kern w:val="0"/>
          <w:sz w:val="24"/>
          <w:szCs w:val="24"/>
          <w:highlight w:val="none"/>
        </w:rPr>
        <w:t>次～</w:t>
      </w:r>
      <w:r>
        <w:rPr>
          <w:rFonts w:ascii="宋体" w:hAnsi="宋体"/>
          <w:color w:val="auto"/>
          <w:kern w:val="0"/>
          <w:sz w:val="24"/>
          <w:szCs w:val="24"/>
          <w:highlight w:val="none"/>
        </w:rPr>
        <w:t>3</w:t>
      </w:r>
      <w:r>
        <w:rPr>
          <w:rFonts w:hint="eastAsia" w:ascii="宋体" w:hAnsi="宋体"/>
          <w:color w:val="auto"/>
          <w:kern w:val="0"/>
          <w:sz w:val="24"/>
          <w:szCs w:val="24"/>
          <w:highlight w:val="none"/>
        </w:rPr>
        <w:t>次，每年秋冬季在距树干</w:t>
      </w:r>
      <w:r>
        <w:rPr>
          <w:rFonts w:ascii="宋体" w:hAnsi="宋体"/>
          <w:color w:val="auto"/>
          <w:kern w:val="0"/>
          <w:sz w:val="24"/>
          <w:szCs w:val="24"/>
          <w:highlight w:val="none"/>
        </w:rPr>
        <w:t>5m</w:t>
      </w:r>
      <w:r>
        <w:rPr>
          <w:rFonts w:hint="eastAsia" w:ascii="宋体" w:hAnsi="宋体"/>
          <w:color w:val="auto"/>
          <w:kern w:val="0"/>
          <w:sz w:val="24"/>
          <w:szCs w:val="24"/>
          <w:highlight w:val="none"/>
        </w:rPr>
        <w:t>内开辐射状沟施放无病虫害的落叶、草加复合肥（每株施</w:t>
      </w:r>
      <w:r>
        <w:rPr>
          <w:rFonts w:ascii="宋体" w:hAnsi="宋体"/>
          <w:color w:val="auto"/>
          <w:kern w:val="0"/>
          <w:sz w:val="24"/>
          <w:szCs w:val="24"/>
          <w:highlight w:val="none"/>
        </w:rPr>
        <w:t>0.5kg</w:t>
      </w:r>
      <w:r>
        <w:rPr>
          <w:rFonts w:hint="eastAsia" w:ascii="宋体" w:hAnsi="宋体"/>
          <w:color w:val="auto"/>
          <w:kern w:val="0"/>
          <w:sz w:val="24"/>
          <w:szCs w:val="24"/>
          <w:highlight w:val="none"/>
        </w:rPr>
        <w:t>～</w:t>
      </w:r>
      <w:r>
        <w:rPr>
          <w:rFonts w:ascii="宋体" w:hAnsi="宋体"/>
          <w:color w:val="auto"/>
          <w:kern w:val="0"/>
          <w:sz w:val="24"/>
          <w:szCs w:val="24"/>
          <w:highlight w:val="none"/>
        </w:rPr>
        <w:t>1.0kg</w:t>
      </w:r>
      <w:r>
        <w:rPr>
          <w:rFonts w:hint="eastAsia" w:ascii="宋体" w:hAnsi="宋体"/>
          <w:color w:val="auto"/>
          <w:kern w:val="0"/>
          <w:sz w:val="24"/>
          <w:szCs w:val="24"/>
          <w:highlight w:val="none"/>
        </w:rPr>
        <w:t>复合肥）或施沤熟的有机肥。</w:t>
      </w:r>
    </w:p>
    <w:p w14:paraId="58826F2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11.4 </w:t>
      </w:r>
      <w:r>
        <w:rPr>
          <w:rFonts w:hint="eastAsia" w:ascii="宋体" w:hAnsi="宋体"/>
          <w:color w:val="auto"/>
          <w:kern w:val="0"/>
          <w:sz w:val="24"/>
          <w:szCs w:val="24"/>
          <w:highlight w:val="none"/>
        </w:rPr>
        <w:t>古树易受蛀干害虫及白蚁的危害，必须经常检查，及时防治。修剪的剪口及损伤部分应涂药防腐、防虫。有空洞的树干必须清理干净洞内污垢，涂药消毒后进行补洞；对洞抹上一层麻刀灰，洞大的可加入清洁的砖、石填满后，再外抹青灰或水泥，在水泥中加入颜料调色至跟原树干颜色一致。</w:t>
      </w:r>
    </w:p>
    <w:p w14:paraId="7948D9A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11.5 </w:t>
      </w:r>
      <w:r>
        <w:rPr>
          <w:rFonts w:hint="eastAsia" w:ascii="宋体" w:hAnsi="宋体"/>
          <w:color w:val="auto"/>
          <w:kern w:val="0"/>
          <w:sz w:val="24"/>
          <w:szCs w:val="24"/>
          <w:highlight w:val="none"/>
        </w:rPr>
        <w:t>修剪复壮，古树名木的修剪主要修剪干枯枝、病虫枝、下垂枝。对具潜芽且寿命长的树种，当树冠外围枝条衰老枯梢时，应该采取适当回缩修剪来更新。对无潜芽或寿命短的树种，通过深翻改土，切断</w:t>
      </w:r>
      <w:r>
        <w:rPr>
          <w:rFonts w:ascii="宋体" w:hAnsi="宋体"/>
          <w:color w:val="auto"/>
          <w:kern w:val="0"/>
          <w:sz w:val="24"/>
          <w:szCs w:val="24"/>
          <w:highlight w:val="none"/>
        </w:rPr>
        <w:t>1cm</w:t>
      </w:r>
      <w:r>
        <w:rPr>
          <w:rFonts w:hint="eastAsia" w:ascii="宋体" w:hAnsi="宋体"/>
          <w:color w:val="auto"/>
          <w:kern w:val="0"/>
          <w:sz w:val="24"/>
          <w:szCs w:val="24"/>
          <w:highlight w:val="none"/>
        </w:rPr>
        <w:t>以下的粗根系、刺激诱发新根（亦可配制生根粉类兑水灌断根处），促进根系更新。修剪或断根后，必须加强水肥管理。</w:t>
      </w:r>
    </w:p>
    <w:p w14:paraId="632A940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11.6 </w:t>
      </w:r>
      <w:r>
        <w:rPr>
          <w:rFonts w:hint="eastAsia" w:ascii="宋体" w:hAnsi="宋体"/>
          <w:color w:val="auto"/>
          <w:kern w:val="0"/>
          <w:sz w:val="24"/>
          <w:szCs w:val="24"/>
          <w:highlight w:val="none"/>
        </w:rPr>
        <w:t>对生长不均衡树主干及延伸较长的枝杈，必须加设支柱或在树干适当部位打桩，以防风折。</w:t>
      </w:r>
    </w:p>
    <w:p w14:paraId="04F320A4">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12 </w:t>
      </w:r>
      <w:r>
        <w:rPr>
          <w:rFonts w:hint="eastAsia" w:ascii="宋体" w:hAnsi="宋体"/>
          <w:color w:val="auto"/>
          <w:kern w:val="0"/>
          <w:sz w:val="24"/>
          <w:szCs w:val="24"/>
          <w:highlight w:val="none"/>
        </w:rPr>
        <w:t>环境卫生</w:t>
      </w:r>
    </w:p>
    <w:p w14:paraId="73190623">
      <w:pPr>
        <w:rPr>
          <w:rFonts w:ascii="宋体"/>
          <w:color w:val="auto"/>
          <w:kern w:val="0"/>
          <w:sz w:val="24"/>
          <w:szCs w:val="24"/>
          <w:highlight w:val="none"/>
        </w:rPr>
      </w:pPr>
      <w:r>
        <w:rPr>
          <w:rFonts w:ascii="宋体" w:hAnsi="宋体"/>
          <w:color w:val="auto"/>
          <w:kern w:val="0"/>
          <w:sz w:val="24"/>
          <w:szCs w:val="24"/>
          <w:highlight w:val="none"/>
        </w:rPr>
        <w:t xml:space="preserve">12.1 </w:t>
      </w:r>
      <w:r>
        <w:rPr>
          <w:rFonts w:hint="eastAsia" w:ascii="宋体" w:hAnsi="宋体"/>
          <w:color w:val="auto"/>
          <w:kern w:val="0"/>
          <w:sz w:val="24"/>
          <w:szCs w:val="24"/>
          <w:highlight w:val="none"/>
        </w:rPr>
        <w:t>行道树树盘应保持清洁卫生。人行道乔木周围（直径</w:t>
      </w:r>
      <w:r>
        <w:rPr>
          <w:rFonts w:ascii="宋体" w:hAnsi="宋体"/>
          <w:color w:val="auto"/>
          <w:kern w:val="0"/>
          <w:sz w:val="24"/>
          <w:szCs w:val="24"/>
          <w:highlight w:val="none"/>
        </w:rPr>
        <w:t>3m</w:t>
      </w:r>
      <w:r>
        <w:rPr>
          <w:rFonts w:hint="eastAsia" w:ascii="宋体" w:hAnsi="宋体"/>
          <w:color w:val="auto"/>
          <w:kern w:val="0"/>
          <w:sz w:val="24"/>
          <w:szCs w:val="24"/>
          <w:highlight w:val="none"/>
        </w:rPr>
        <w:t>以内）不应有建筑堆积物及圈棚、摆摊，树盘内无砖块、垃圾、杂物。</w:t>
      </w:r>
    </w:p>
    <w:p w14:paraId="52B1AFCD">
      <w:pPr>
        <w:widowControl/>
        <w:spacing w:line="300" w:lineRule="atLeast"/>
        <w:rPr>
          <w:rFonts w:ascii="宋体"/>
          <w:color w:val="auto"/>
          <w:kern w:val="0"/>
          <w:sz w:val="24"/>
          <w:szCs w:val="24"/>
          <w:highlight w:val="none"/>
        </w:rPr>
      </w:pPr>
      <w:r>
        <w:rPr>
          <w:rFonts w:ascii="宋体" w:hAnsi="宋体"/>
          <w:color w:val="auto"/>
          <w:kern w:val="0"/>
          <w:sz w:val="24"/>
          <w:szCs w:val="24"/>
          <w:highlight w:val="none"/>
        </w:rPr>
        <w:t xml:space="preserve">12.2 </w:t>
      </w:r>
      <w:r>
        <w:rPr>
          <w:rFonts w:hint="eastAsia" w:ascii="宋体" w:hAnsi="宋体"/>
          <w:color w:val="auto"/>
          <w:kern w:val="0"/>
          <w:sz w:val="24"/>
          <w:szCs w:val="24"/>
          <w:highlight w:val="none"/>
        </w:rPr>
        <w:t>绿地及行道树花带、分车绿带清洁卫生，不能有砖石、堆积物及修剪过后的枝叶堆积，表面无明显垃圾，分车绿带及色块内无陈旧垃圾；花坛外缘的土面应略低于花池砌边顶面，行道树花带与分车绿带外缘土面略低于路缘石顶面，不能有泥土污染周围环境。</w:t>
      </w:r>
    </w:p>
    <w:p w14:paraId="5328743B">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13 </w:t>
      </w:r>
      <w:r>
        <w:rPr>
          <w:rFonts w:hint="eastAsia" w:ascii="宋体" w:hAnsi="宋体"/>
          <w:color w:val="auto"/>
          <w:kern w:val="0"/>
          <w:sz w:val="24"/>
          <w:szCs w:val="24"/>
          <w:highlight w:val="none"/>
        </w:rPr>
        <w:t>绿地验收</w:t>
      </w:r>
    </w:p>
    <w:p w14:paraId="5DCA817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13.1 </w:t>
      </w:r>
      <w:r>
        <w:rPr>
          <w:rFonts w:hint="eastAsia" w:ascii="宋体" w:hAnsi="宋体"/>
          <w:color w:val="auto"/>
          <w:kern w:val="0"/>
          <w:sz w:val="24"/>
          <w:szCs w:val="24"/>
          <w:highlight w:val="none"/>
        </w:rPr>
        <w:t>绿地验收范围</w:t>
      </w:r>
    </w:p>
    <w:p w14:paraId="35EDD687">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绿地内所种植的乔木、灌木、地被及园林设施、防护设施等附属设施。</w:t>
      </w:r>
    </w:p>
    <w:p w14:paraId="215BFBC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13.2 </w:t>
      </w:r>
      <w:r>
        <w:rPr>
          <w:rFonts w:hint="eastAsia" w:ascii="宋体" w:hAnsi="宋体"/>
          <w:color w:val="auto"/>
          <w:kern w:val="0"/>
          <w:sz w:val="24"/>
          <w:szCs w:val="24"/>
          <w:highlight w:val="none"/>
        </w:rPr>
        <w:t>绿地验收内容</w:t>
      </w:r>
    </w:p>
    <w:p w14:paraId="6A9D8072">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群落结构与整体效果、植物生长、整形修剪、树盘、病虫害控制、补种与改造、环境卫生。</w:t>
      </w:r>
    </w:p>
    <w:p w14:paraId="07EE456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13.3 </w:t>
      </w:r>
      <w:r>
        <w:rPr>
          <w:rFonts w:hint="eastAsia" w:ascii="宋体" w:hAnsi="宋体"/>
          <w:color w:val="auto"/>
          <w:kern w:val="0"/>
          <w:sz w:val="24"/>
          <w:szCs w:val="24"/>
          <w:highlight w:val="none"/>
        </w:rPr>
        <w:t>绿地养护质量要求</w:t>
      </w:r>
    </w:p>
    <w:p w14:paraId="4691CC4E">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13.3.1 </w:t>
      </w:r>
      <w:r>
        <w:rPr>
          <w:rFonts w:hint="eastAsia" w:ascii="宋体" w:hAnsi="宋体"/>
          <w:color w:val="auto"/>
          <w:kern w:val="0"/>
          <w:sz w:val="24"/>
          <w:szCs w:val="24"/>
          <w:highlight w:val="none"/>
        </w:rPr>
        <w:t>一级绿地</w:t>
      </w:r>
    </w:p>
    <w:p w14:paraId="13406688">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景观优良，以植物造景为主，具景观特色，观赏效果好；养护精细，植物长势良好，各类植物配置合理。</w:t>
      </w:r>
    </w:p>
    <w:p w14:paraId="176416B8">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13.3.2 </w:t>
      </w:r>
      <w:r>
        <w:rPr>
          <w:rFonts w:hint="eastAsia" w:ascii="宋体" w:hAnsi="宋体"/>
          <w:color w:val="auto"/>
          <w:kern w:val="0"/>
          <w:sz w:val="24"/>
          <w:szCs w:val="24"/>
          <w:highlight w:val="none"/>
        </w:rPr>
        <w:t>二级绿地</w:t>
      </w:r>
    </w:p>
    <w:p w14:paraId="365BAD3B">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景观良好，植物造景具一定的观赏性；植物配置合理。详见附表</w:t>
      </w:r>
      <w:r>
        <w:rPr>
          <w:rFonts w:ascii="宋体" w:hAnsi="宋体"/>
          <w:color w:val="auto"/>
          <w:kern w:val="0"/>
          <w:sz w:val="24"/>
          <w:szCs w:val="24"/>
          <w:highlight w:val="none"/>
        </w:rPr>
        <w:t>2.</w:t>
      </w:r>
      <w:r>
        <w:rPr>
          <w:rFonts w:hint="eastAsia" w:ascii="宋体" w:hAnsi="宋体"/>
          <w:color w:val="auto"/>
          <w:kern w:val="0"/>
          <w:sz w:val="24"/>
          <w:szCs w:val="24"/>
          <w:highlight w:val="none"/>
        </w:rPr>
        <w:t>（</w:t>
      </w:r>
      <w:r>
        <w:rPr>
          <w:rFonts w:ascii="宋体" w:hAnsi="宋体"/>
          <w:color w:val="auto"/>
          <w:kern w:val="0"/>
          <w:sz w:val="24"/>
          <w:szCs w:val="24"/>
          <w:highlight w:val="none"/>
        </w:rPr>
        <w:t>1</w:t>
      </w:r>
      <w:r>
        <w:rPr>
          <w:rFonts w:hint="eastAsia" w:ascii="宋体" w:hAnsi="宋体"/>
          <w:color w:val="auto"/>
          <w:kern w:val="0"/>
          <w:sz w:val="24"/>
          <w:szCs w:val="24"/>
          <w:highlight w:val="none"/>
        </w:rPr>
        <w:t>）。</w:t>
      </w:r>
    </w:p>
    <w:p w14:paraId="5187124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13.3.3 </w:t>
      </w:r>
      <w:r>
        <w:rPr>
          <w:rFonts w:hint="eastAsia" w:ascii="宋体" w:hAnsi="宋体"/>
          <w:color w:val="auto"/>
          <w:kern w:val="0"/>
          <w:sz w:val="24"/>
          <w:szCs w:val="24"/>
          <w:highlight w:val="none"/>
        </w:rPr>
        <w:t>三级绿地</w:t>
      </w:r>
    </w:p>
    <w:p w14:paraId="05DABF6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景观尚可，具绿化效果。</w:t>
      </w:r>
    </w:p>
    <w:p w14:paraId="39D6AE15">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14 </w:t>
      </w:r>
      <w:r>
        <w:rPr>
          <w:rFonts w:hint="eastAsia" w:ascii="宋体" w:hAnsi="宋体"/>
          <w:color w:val="auto"/>
          <w:kern w:val="0"/>
          <w:sz w:val="24"/>
          <w:szCs w:val="24"/>
          <w:highlight w:val="none"/>
        </w:rPr>
        <w:t>分车绿带验收</w:t>
      </w:r>
    </w:p>
    <w:p w14:paraId="3EAE73C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14.1 </w:t>
      </w:r>
      <w:r>
        <w:rPr>
          <w:rFonts w:hint="eastAsia" w:ascii="宋体" w:hAnsi="宋体"/>
          <w:color w:val="auto"/>
          <w:kern w:val="0"/>
          <w:sz w:val="24"/>
          <w:szCs w:val="24"/>
          <w:highlight w:val="none"/>
        </w:rPr>
        <w:t>分车绿带验收范围</w:t>
      </w:r>
    </w:p>
    <w:p w14:paraId="5FE5195F">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包括分车绿带上的片植灌木、草本地被、草坪及行道树绿带上成带状配置的地被植物、灌木。</w:t>
      </w:r>
    </w:p>
    <w:p w14:paraId="4BD8ECF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14.2 </w:t>
      </w:r>
      <w:r>
        <w:rPr>
          <w:rFonts w:hint="eastAsia" w:ascii="宋体" w:hAnsi="宋体"/>
          <w:color w:val="auto"/>
          <w:kern w:val="0"/>
          <w:sz w:val="24"/>
          <w:szCs w:val="24"/>
          <w:highlight w:val="none"/>
        </w:rPr>
        <w:t>分车绿带验收内容</w:t>
      </w:r>
    </w:p>
    <w:p w14:paraId="6B03690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整体效果、植物生长、整形修剪、病虫害控制、补种与改造、环境卫生。</w:t>
      </w:r>
    </w:p>
    <w:p w14:paraId="47FF13B5">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14.3 </w:t>
      </w:r>
      <w:r>
        <w:rPr>
          <w:rFonts w:hint="eastAsia" w:ascii="宋体" w:hAnsi="宋体"/>
          <w:color w:val="auto"/>
          <w:kern w:val="0"/>
          <w:sz w:val="24"/>
          <w:szCs w:val="24"/>
          <w:highlight w:val="none"/>
        </w:rPr>
        <w:t>分车绿带养护质量要求</w:t>
      </w:r>
    </w:p>
    <w:p w14:paraId="16AC35EA">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14.3.1 </w:t>
      </w:r>
      <w:r>
        <w:rPr>
          <w:rFonts w:hint="eastAsia" w:ascii="宋体" w:hAnsi="宋体"/>
          <w:color w:val="auto"/>
          <w:kern w:val="0"/>
          <w:sz w:val="24"/>
          <w:szCs w:val="24"/>
          <w:highlight w:val="none"/>
        </w:rPr>
        <w:t>一级分车绿带</w:t>
      </w:r>
    </w:p>
    <w:p w14:paraId="227C254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沿主干道或主要景观道路的分车绿带，景观优良，养护精细，植物长势良好。</w:t>
      </w:r>
    </w:p>
    <w:p w14:paraId="361363D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14.3.2 </w:t>
      </w:r>
      <w:r>
        <w:rPr>
          <w:rFonts w:hint="eastAsia" w:ascii="宋体" w:hAnsi="宋体"/>
          <w:color w:val="auto"/>
          <w:kern w:val="0"/>
          <w:sz w:val="24"/>
          <w:szCs w:val="24"/>
          <w:highlight w:val="none"/>
        </w:rPr>
        <w:t>二级分车绿带</w:t>
      </w:r>
    </w:p>
    <w:p w14:paraId="738C2DCD">
      <w:pPr>
        <w:widowControl/>
        <w:spacing w:line="300" w:lineRule="atLeast"/>
        <w:ind w:firstLine="360"/>
        <w:rPr>
          <w:rFonts w:ascii="宋体"/>
          <w:color w:val="auto"/>
          <w:kern w:val="0"/>
          <w:sz w:val="24"/>
          <w:szCs w:val="24"/>
          <w:highlight w:val="none"/>
        </w:rPr>
      </w:pP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沿次干道或次要景观道路的分车绿带，景观良好，养护较好，植物生长正常。</w:t>
      </w:r>
    </w:p>
    <w:p w14:paraId="180C3D0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14.3.3 </w:t>
      </w:r>
      <w:r>
        <w:rPr>
          <w:rFonts w:hint="eastAsia" w:ascii="宋体" w:hAnsi="宋体"/>
          <w:color w:val="auto"/>
          <w:kern w:val="0"/>
          <w:sz w:val="24"/>
          <w:szCs w:val="24"/>
          <w:highlight w:val="none"/>
        </w:rPr>
        <w:t>三级分车绿带</w:t>
      </w:r>
    </w:p>
    <w:p w14:paraId="5453CC50">
      <w:pPr>
        <w:widowControl/>
        <w:spacing w:line="300" w:lineRule="atLeast"/>
        <w:rPr>
          <w:rFonts w:ascii="宋体"/>
          <w:color w:val="auto"/>
          <w:kern w:val="0"/>
          <w:sz w:val="24"/>
          <w:szCs w:val="24"/>
          <w:highlight w:val="none"/>
        </w:rPr>
      </w:pPr>
      <w:r>
        <w:rPr>
          <w:rFonts w:ascii="宋体" w:hAnsi="宋体"/>
          <w:color w:val="auto"/>
          <w:kern w:val="0"/>
          <w:sz w:val="24"/>
          <w:szCs w:val="24"/>
          <w:highlight w:val="none"/>
        </w:rPr>
        <w:t xml:space="preserve">    </w:t>
      </w:r>
      <w:r>
        <w:rPr>
          <w:rFonts w:hint="eastAsia" w:ascii="宋体" w:hAnsi="宋体"/>
          <w:color w:val="auto"/>
          <w:kern w:val="0"/>
          <w:sz w:val="24"/>
          <w:szCs w:val="24"/>
          <w:highlight w:val="none"/>
        </w:rPr>
        <w:t>沿一般道路或其它普通路径的分车绿带，景观尚可，养护一般，植物生长基本正常。</w:t>
      </w:r>
    </w:p>
    <w:p w14:paraId="2AA2DF88">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15 </w:t>
      </w:r>
      <w:r>
        <w:rPr>
          <w:rFonts w:hint="eastAsia" w:ascii="宋体" w:hAnsi="宋体"/>
          <w:color w:val="auto"/>
          <w:kern w:val="0"/>
          <w:sz w:val="24"/>
          <w:szCs w:val="24"/>
          <w:highlight w:val="none"/>
        </w:rPr>
        <w:t>行道树验收</w:t>
      </w:r>
    </w:p>
    <w:p w14:paraId="6A8B918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15.1 </w:t>
      </w:r>
      <w:r>
        <w:rPr>
          <w:rFonts w:hint="eastAsia" w:ascii="宋体" w:hAnsi="宋体"/>
          <w:color w:val="auto"/>
          <w:kern w:val="0"/>
          <w:sz w:val="24"/>
          <w:szCs w:val="24"/>
          <w:highlight w:val="none"/>
        </w:rPr>
        <w:t>行道树验收范围</w:t>
      </w:r>
    </w:p>
    <w:p w14:paraId="5CE7EBAB">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行道树及间种在人行道上的孤植灌木、整形灌木。</w:t>
      </w:r>
    </w:p>
    <w:p w14:paraId="3649D3D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15.2 </w:t>
      </w:r>
      <w:r>
        <w:rPr>
          <w:rFonts w:hint="eastAsia" w:ascii="宋体" w:hAnsi="宋体"/>
          <w:color w:val="auto"/>
          <w:kern w:val="0"/>
          <w:sz w:val="24"/>
          <w:szCs w:val="24"/>
          <w:highlight w:val="none"/>
        </w:rPr>
        <w:t>行道树验收内容</w:t>
      </w:r>
    </w:p>
    <w:p w14:paraId="669B4F6E">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整体效果、植物生长、整形修剪、定干高度、树盘、病虫害控制、防护设施、补种。</w:t>
      </w:r>
    </w:p>
    <w:p w14:paraId="2B47B843">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15.3 </w:t>
      </w:r>
      <w:r>
        <w:rPr>
          <w:rFonts w:hint="eastAsia" w:ascii="宋体" w:hAnsi="宋体"/>
          <w:color w:val="auto"/>
          <w:kern w:val="0"/>
          <w:sz w:val="24"/>
          <w:szCs w:val="24"/>
          <w:highlight w:val="none"/>
        </w:rPr>
        <w:t>行道树养护质量要求</w:t>
      </w:r>
    </w:p>
    <w:p w14:paraId="2CA92CAC">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15.3.1 </w:t>
      </w:r>
      <w:r>
        <w:rPr>
          <w:rFonts w:hint="eastAsia" w:ascii="宋体" w:hAnsi="宋体"/>
          <w:color w:val="auto"/>
          <w:kern w:val="0"/>
          <w:sz w:val="24"/>
          <w:szCs w:val="24"/>
          <w:highlight w:val="none"/>
        </w:rPr>
        <w:t>一级行道树</w:t>
      </w:r>
    </w:p>
    <w:p w14:paraId="33A07C60">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沿主干道或主要景观路径、观赏效果好、排列整齐的乔木。</w:t>
      </w:r>
    </w:p>
    <w:p w14:paraId="2A85167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15.3.2 </w:t>
      </w:r>
      <w:r>
        <w:rPr>
          <w:rFonts w:hint="eastAsia" w:ascii="宋体" w:hAnsi="宋体"/>
          <w:color w:val="auto"/>
          <w:kern w:val="0"/>
          <w:sz w:val="24"/>
          <w:szCs w:val="24"/>
          <w:highlight w:val="none"/>
        </w:rPr>
        <w:t>二级行道树</w:t>
      </w:r>
    </w:p>
    <w:p w14:paraId="004472CB">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沿次干道或次要景观路径、排列整齐的乔木。详见附表</w:t>
      </w:r>
      <w:r>
        <w:rPr>
          <w:rFonts w:ascii="宋体" w:hAnsi="宋体"/>
          <w:color w:val="auto"/>
          <w:kern w:val="0"/>
          <w:sz w:val="24"/>
          <w:szCs w:val="24"/>
          <w:highlight w:val="none"/>
        </w:rPr>
        <w:t>2.</w:t>
      </w:r>
      <w:r>
        <w:rPr>
          <w:rFonts w:hint="eastAsia" w:ascii="宋体" w:hAnsi="宋体"/>
          <w:color w:val="auto"/>
          <w:kern w:val="0"/>
          <w:sz w:val="24"/>
          <w:szCs w:val="24"/>
          <w:highlight w:val="none"/>
        </w:rPr>
        <w:t>（</w:t>
      </w:r>
      <w:r>
        <w:rPr>
          <w:rFonts w:ascii="宋体" w:hAnsi="宋体"/>
          <w:color w:val="auto"/>
          <w:kern w:val="0"/>
          <w:sz w:val="24"/>
          <w:szCs w:val="24"/>
          <w:highlight w:val="none"/>
        </w:rPr>
        <w:t>2</w:t>
      </w:r>
      <w:r>
        <w:rPr>
          <w:rFonts w:hint="eastAsia" w:ascii="宋体" w:hAnsi="宋体"/>
          <w:color w:val="auto"/>
          <w:kern w:val="0"/>
          <w:sz w:val="24"/>
          <w:szCs w:val="24"/>
          <w:highlight w:val="none"/>
        </w:rPr>
        <w:t>）。</w:t>
      </w:r>
    </w:p>
    <w:p w14:paraId="2B8807E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15.3.3 </w:t>
      </w:r>
      <w:r>
        <w:rPr>
          <w:rFonts w:hint="eastAsia" w:ascii="宋体" w:hAnsi="宋体"/>
          <w:color w:val="auto"/>
          <w:kern w:val="0"/>
          <w:sz w:val="24"/>
          <w:szCs w:val="24"/>
          <w:highlight w:val="none"/>
        </w:rPr>
        <w:t>三级行道树</w:t>
      </w:r>
    </w:p>
    <w:p w14:paraId="051AD197">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沿一般道路或其它普通路径、排列成行的乔木。</w:t>
      </w:r>
    </w:p>
    <w:p w14:paraId="5C3EA163">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16 </w:t>
      </w:r>
      <w:r>
        <w:rPr>
          <w:rFonts w:hint="eastAsia" w:ascii="宋体" w:hAnsi="宋体"/>
          <w:color w:val="auto"/>
          <w:kern w:val="0"/>
          <w:sz w:val="24"/>
          <w:szCs w:val="24"/>
          <w:highlight w:val="none"/>
        </w:rPr>
        <w:t>花坛验收</w:t>
      </w:r>
    </w:p>
    <w:p w14:paraId="6591D51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16.1 </w:t>
      </w:r>
      <w:r>
        <w:rPr>
          <w:rFonts w:hint="eastAsia" w:ascii="宋体" w:hAnsi="宋体"/>
          <w:color w:val="auto"/>
          <w:kern w:val="0"/>
          <w:sz w:val="24"/>
          <w:szCs w:val="24"/>
          <w:highlight w:val="none"/>
        </w:rPr>
        <w:t>花坛验收范围</w:t>
      </w:r>
    </w:p>
    <w:p w14:paraId="7D67FD43">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摆放在人行道或公共绿地上的花卉、盆景、饰物及设施，及栽种在绿地、分车绿带里的时花。</w:t>
      </w:r>
    </w:p>
    <w:p w14:paraId="49B79BF9">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16.2 </w:t>
      </w:r>
      <w:r>
        <w:rPr>
          <w:rFonts w:hint="eastAsia" w:ascii="宋体" w:hAnsi="宋体"/>
          <w:color w:val="auto"/>
          <w:kern w:val="0"/>
          <w:sz w:val="24"/>
          <w:szCs w:val="24"/>
          <w:highlight w:val="none"/>
        </w:rPr>
        <w:t>花坛验收内容</w:t>
      </w:r>
    </w:p>
    <w:p w14:paraId="5A8CA18E">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整体效果、植物生长、水肥管理、病虫害控制、植株修剪、补种与更换、环境卫生。</w:t>
      </w:r>
    </w:p>
    <w:p w14:paraId="41A66BF2">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16.3 </w:t>
      </w:r>
      <w:r>
        <w:rPr>
          <w:rFonts w:hint="eastAsia" w:ascii="宋体" w:hAnsi="宋体"/>
          <w:color w:val="auto"/>
          <w:kern w:val="0"/>
          <w:sz w:val="24"/>
          <w:szCs w:val="24"/>
          <w:highlight w:val="none"/>
        </w:rPr>
        <w:t>花坛养护质量要求</w:t>
      </w:r>
    </w:p>
    <w:p w14:paraId="616AF88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16.3.1 </w:t>
      </w:r>
      <w:r>
        <w:rPr>
          <w:rFonts w:hint="eastAsia" w:ascii="宋体" w:hAnsi="宋体"/>
          <w:color w:val="auto"/>
          <w:kern w:val="0"/>
          <w:sz w:val="24"/>
          <w:szCs w:val="24"/>
          <w:highlight w:val="none"/>
        </w:rPr>
        <w:t>一级花坛</w:t>
      </w:r>
    </w:p>
    <w:p w14:paraId="3DFD7B74">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景观优良，具明显的景观特色；花卉养护精细，花的色泽鲜艳、应时；饰物、设施美观；花卉、饰物、设施、环境等配置相互协调。</w:t>
      </w:r>
    </w:p>
    <w:p w14:paraId="417A58A6">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16.3.2 </w:t>
      </w:r>
      <w:r>
        <w:rPr>
          <w:rFonts w:hint="eastAsia" w:ascii="宋体" w:hAnsi="宋体"/>
          <w:color w:val="auto"/>
          <w:kern w:val="0"/>
          <w:sz w:val="24"/>
          <w:szCs w:val="24"/>
          <w:highlight w:val="none"/>
        </w:rPr>
        <w:t>二级花坛</w:t>
      </w:r>
    </w:p>
    <w:p w14:paraId="16E1096A">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景观良好，以花卉造景为主；养护较好，花、叶的大小、色泽正常，开花应时、整齐；饰物、设施美观。详见附表</w:t>
      </w:r>
      <w:r>
        <w:rPr>
          <w:rFonts w:ascii="宋体" w:hAnsi="宋体"/>
          <w:color w:val="auto"/>
          <w:kern w:val="0"/>
          <w:sz w:val="24"/>
          <w:szCs w:val="24"/>
          <w:highlight w:val="none"/>
        </w:rPr>
        <w:t>2.</w:t>
      </w:r>
      <w:r>
        <w:rPr>
          <w:rFonts w:hint="eastAsia" w:ascii="宋体" w:hAnsi="宋体"/>
          <w:color w:val="auto"/>
          <w:kern w:val="0"/>
          <w:sz w:val="24"/>
          <w:szCs w:val="24"/>
          <w:highlight w:val="none"/>
        </w:rPr>
        <w:t>（</w:t>
      </w:r>
      <w:r>
        <w:rPr>
          <w:rFonts w:ascii="宋体" w:hAnsi="宋体"/>
          <w:color w:val="auto"/>
          <w:kern w:val="0"/>
          <w:sz w:val="24"/>
          <w:szCs w:val="24"/>
          <w:highlight w:val="none"/>
        </w:rPr>
        <w:t>3</w:t>
      </w:r>
      <w:r>
        <w:rPr>
          <w:rFonts w:hint="eastAsia" w:ascii="宋体" w:hAnsi="宋体"/>
          <w:color w:val="auto"/>
          <w:kern w:val="0"/>
          <w:sz w:val="24"/>
          <w:szCs w:val="24"/>
          <w:highlight w:val="none"/>
        </w:rPr>
        <w:t>）。</w:t>
      </w:r>
    </w:p>
    <w:p w14:paraId="070B2CDC">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17 </w:t>
      </w:r>
      <w:r>
        <w:rPr>
          <w:rFonts w:hint="eastAsia" w:ascii="宋体" w:hAnsi="宋体"/>
          <w:color w:val="auto"/>
          <w:kern w:val="0"/>
          <w:sz w:val="24"/>
          <w:szCs w:val="24"/>
          <w:highlight w:val="none"/>
        </w:rPr>
        <w:t>护坡验收</w:t>
      </w:r>
    </w:p>
    <w:p w14:paraId="17A052FF">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17.1 </w:t>
      </w:r>
      <w:r>
        <w:rPr>
          <w:rFonts w:hint="eastAsia" w:ascii="宋体" w:hAnsi="宋体"/>
          <w:color w:val="auto"/>
          <w:kern w:val="0"/>
          <w:sz w:val="24"/>
          <w:szCs w:val="24"/>
          <w:highlight w:val="none"/>
        </w:rPr>
        <w:t>护坡验收范围</w:t>
      </w:r>
    </w:p>
    <w:p w14:paraId="40E6748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护坡内所种植的乔木、灌木、地被、草坪及防护等附属设施。</w:t>
      </w:r>
    </w:p>
    <w:p w14:paraId="3CAC9B3A">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17.2 </w:t>
      </w:r>
      <w:r>
        <w:rPr>
          <w:rFonts w:hint="eastAsia" w:ascii="宋体" w:hAnsi="宋体"/>
          <w:color w:val="auto"/>
          <w:kern w:val="0"/>
          <w:sz w:val="24"/>
          <w:szCs w:val="24"/>
          <w:highlight w:val="none"/>
        </w:rPr>
        <w:t>护坡验收内容</w:t>
      </w:r>
    </w:p>
    <w:p w14:paraId="3C9DDFDB">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同绿地。</w:t>
      </w:r>
    </w:p>
    <w:p w14:paraId="300B61A6">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17.3 </w:t>
      </w:r>
      <w:r>
        <w:rPr>
          <w:rFonts w:hint="eastAsia" w:ascii="宋体" w:hAnsi="宋体"/>
          <w:color w:val="auto"/>
          <w:kern w:val="0"/>
          <w:sz w:val="24"/>
          <w:szCs w:val="24"/>
          <w:highlight w:val="none"/>
        </w:rPr>
        <w:t>护坡养护质量要求</w:t>
      </w:r>
    </w:p>
    <w:p w14:paraId="30AEEBA0">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17.3.1 </w:t>
      </w:r>
      <w:r>
        <w:rPr>
          <w:rFonts w:hint="eastAsia" w:ascii="宋体" w:hAnsi="宋体"/>
          <w:color w:val="auto"/>
          <w:kern w:val="0"/>
          <w:sz w:val="24"/>
          <w:szCs w:val="24"/>
          <w:highlight w:val="none"/>
        </w:rPr>
        <w:t>特级护坡</w:t>
      </w:r>
    </w:p>
    <w:p w14:paraId="624866BA">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景观优良，以植物造景为主，具景观特色；养护精细，植物长势良好。</w:t>
      </w:r>
    </w:p>
    <w:p w14:paraId="770B7FE4">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17.3.2 </w:t>
      </w:r>
      <w:r>
        <w:rPr>
          <w:rFonts w:hint="eastAsia" w:ascii="宋体" w:hAnsi="宋体"/>
          <w:color w:val="auto"/>
          <w:kern w:val="0"/>
          <w:sz w:val="24"/>
          <w:szCs w:val="24"/>
          <w:highlight w:val="none"/>
        </w:rPr>
        <w:t>一级护坡</w:t>
      </w:r>
    </w:p>
    <w:p w14:paraId="5852DFE4">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景观较好，具固土护坡作用，植物造景具一定的观赏性。</w:t>
      </w:r>
    </w:p>
    <w:p w14:paraId="1968FC5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17.3.3 </w:t>
      </w:r>
      <w:r>
        <w:rPr>
          <w:rFonts w:hint="eastAsia" w:ascii="宋体" w:hAnsi="宋体"/>
          <w:color w:val="auto"/>
          <w:kern w:val="0"/>
          <w:sz w:val="24"/>
          <w:szCs w:val="24"/>
          <w:highlight w:val="none"/>
        </w:rPr>
        <w:t>二级护坡</w:t>
      </w:r>
    </w:p>
    <w:p w14:paraId="6DEBD35A">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景观尚可，具固定护坡作用及绿化效果，无需车辆喷淋水或人工淋水。详见附表</w:t>
      </w:r>
      <w:r>
        <w:rPr>
          <w:rFonts w:ascii="宋体" w:hAnsi="宋体"/>
          <w:color w:val="auto"/>
          <w:kern w:val="0"/>
          <w:sz w:val="24"/>
          <w:szCs w:val="24"/>
          <w:highlight w:val="none"/>
        </w:rPr>
        <w:t>2.</w:t>
      </w:r>
      <w:r>
        <w:rPr>
          <w:rFonts w:hint="eastAsia" w:ascii="宋体" w:hAnsi="宋体"/>
          <w:color w:val="auto"/>
          <w:kern w:val="0"/>
          <w:sz w:val="24"/>
          <w:szCs w:val="24"/>
          <w:highlight w:val="none"/>
        </w:rPr>
        <w:t>（</w:t>
      </w:r>
      <w:r>
        <w:rPr>
          <w:rFonts w:ascii="宋体" w:hAnsi="宋体"/>
          <w:color w:val="auto"/>
          <w:kern w:val="0"/>
          <w:sz w:val="24"/>
          <w:szCs w:val="24"/>
          <w:highlight w:val="none"/>
        </w:rPr>
        <w:t>4</w:t>
      </w:r>
      <w:r>
        <w:rPr>
          <w:rFonts w:hint="eastAsia" w:ascii="宋体" w:hAnsi="宋体"/>
          <w:color w:val="auto"/>
          <w:kern w:val="0"/>
          <w:sz w:val="24"/>
          <w:szCs w:val="24"/>
          <w:highlight w:val="none"/>
        </w:rPr>
        <w:t>）。</w:t>
      </w:r>
    </w:p>
    <w:p w14:paraId="3F2C8072">
      <w:pPr>
        <w:widowControl/>
        <w:spacing w:line="300" w:lineRule="atLeast"/>
        <w:ind w:firstLine="105"/>
        <w:rPr>
          <w:rFonts w:ascii="宋体"/>
          <w:b/>
          <w:bCs/>
          <w:color w:val="auto"/>
          <w:kern w:val="0"/>
          <w:sz w:val="24"/>
          <w:szCs w:val="24"/>
          <w:highlight w:val="none"/>
        </w:rPr>
      </w:pPr>
      <w:r>
        <w:rPr>
          <w:rFonts w:ascii="宋体" w:hAnsi="宋体"/>
          <w:color w:val="auto"/>
          <w:kern w:val="0"/>
          <w:sz w:val="24"/>
          <w:szCs w:val="24"/>
          <w:highlight w:val="none"/>
        </w:rPr>
        <w:t xml:space="preserve">17.3.4 </w:t>
      </w:r>
      <w:r>
        <w:rPr>
          <w:rFonts w:hint="eastAsia" w:ascii="宋体" w:hAnsi="宋体"/>
          <w:color w:val="auto"/>
          <w:kern w:val="0"/>
          <w:sz w:val="24"/>
          <w:szCs w:val="24"/>
          <w:highlight w:val="none"/>
        </w:rPr>
        <w:t>三级护坡</w:t>
      </w:r>
    </w:p>
    <w:p w14:paraId="4A681FA6">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具固定护坡作用及绿化效果，基本保持原自然景观。</w:t>
      </w:r>
    </w:p>
    <w:p w14:paraId="380952C0">
      <w:pPr>
        <w:widowControl/>
        <w:spacing w:before="156"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18 </w:t>
      </w:r>
      <w:r>
        <w:rPr>
          <w:rFonts w:hint="eastAsia" w:ascii="宋体" w:hAnsi="宋体"/>
          <w:color w:val="auto"/>
          <w:kern w:val="0"/>
          <w:sz w:val="24"/>
          <w:szCs w:val="24"/>
          <w:highlight w:val="none"/>
        </w:rPr>
        <w:t>验收周期与养护质量等级认定</w:t>
      </w:r>
      <w:r>
        <w:rPr>
          <w:rFonts w:ascii="宋体" w:hAnsi="宋体"/>
          <w:color w:val="auto"/>
          <w:kern w:val="0"/>
          <w:sz w:val="24"/>
          <w:szCs w:val="24"/>
          <w:highlight w:val="none"/>
        </w:rPr>
        <w:t xml:space="preserve"> </w:t>
      </w:r>
    </w:p>
    <w:p w14:paraId="6E8A397D">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18.1 </w:t>
      </w:r>
      <w:r>
        <w:rPr>
          <w:rFonts w:hint="eastAsia" w:ascii="宋体" w:hAnsi="宋体"/>
          <w:color w:val="auto"/>
          <w:kern w:val="0"/>
          <w:sz w:val="24"/>
          <w:szCs w:val="24"/>
          <w:highlight w:val="none"/>
        </w:rPr>
        <w:t>验收周期</w:t>
      </w:r>
    </w:p>
    <w:p w14:paraId="08BA8C2F">
      <w:pPr>
        <w:widowControl/>
        <w:spacing w:line="300" w:lineRule="atLeast"/>
        <w:ind w:firstLine="480"/>
        <w:rPr>
          <w:rFonts w:ascii="宋体"/>
          <w:color w:val="auto"/>
          <w:kern w:val="0"/>
          <w:sz w:val="24"/>
          <w:szCs w:val="24"/>
          <w:highlight w:val="none"/>
        </w:rPr>
      </w:pPr>
      <w:r>
        <w:rPr>
          <w:rFonts w:hint="eastAsia" w:ascii="宋体" w:hAnsi="宋体"/>
          <w:color w:val="auto"/>
          <w:kern w:val="0"/>
          <w:sz w:val="24"/>
          <w:szCs w:val="24"/>
          <w:highlight w:val="none"/>
        </w:rPr>
        <w:t>宜定期验收与平时检查相结合，定期验收宜每年</w:t>
      </w:r>
      <w:r>
        <w:rPr>
          <w:rFonts w:ascii="宋体" w:hAnsi="宋体"/>
          <w:color w:val="auto"/>
          <w:kern w:val="0"/>
          <w:sz w:val="24"/>
          <w:szCs w:val="24"/>
          <w:highlight w:val="none"/>
        </w:rPr>
        <w:t>4</w:t>
      </w:r>
      <w:r>
        <w:rPr>
          <w:rFonts w:hint="eastAsia" w:ascii="宋体" w:hAnsi="宋体"/>
          <w:color w:val="auto"/>
          <w:kern w:val="0"/>
          <w:sz w:val="24"/>
          <w:szCs w:val="24"/>
          <w:highlight w:val="none"/>
        </w:rPr>
        <w:t>次以上。</w:t>
      </w:r>
    </w:p>
    <w:p w14:paraId="4B41F0FB">
      <w:pPr>
        <w:widowControl/>
        <w:spacing w:line="300" w:lineRule="atLeast"/>
        <w:ind w:firstLine="105"/>
        <w:rPr>
          <w:rFonts w:ascii="宋体"/>
          <w:color w:val="auto"/>
          <w:kern w:val="0"/>
          <w:sz w:val="24"/>
          <w:szCs w:val="24"/>
          <w:highlight w:val="none"/>
        </w:rPr>
      </w:pPr>
      <w:r>
        <w:rPr>
          <w:rFonts w:ascii="宋体" w:hAnsi="宋体"/>
          <w:color w:val="auto"/>
          <w:kern w:val="0"/>
          <w:sz w:val="24"/>
          <w:szCs w:val="24"/>
          <w:highlight w:val="none"/>
        </w:rPr>
        <w:t xml:space="preserve">18.2 </w:t>
      </w:r>
      <w:r>
        <w:rPr>
          <w:rFonts w:hint="eastAsia" w:ascii="宋体" w:hAnsi="宋体"/>
          <w:color w:val="auto"/>
          <w:kern w:val="0"/>
          <w:sz w:val="24"/>
          <w:szCs w:val="24"/>
          <w:highlight w:val="none"/>
        </w:rPr>
        <w:t>养护质量等级认定</w:t>
      </w:r>
    </w:p>
    <w:p w14:paraId="629E20B1">
      <w:pPr>
        <w:widowControl/>
        <w:rPr>
          <w:rFonts w:hint="eastAsia" w:ascii="宋体" w:hAnsi="宋体"/>
          <w:color w:val="auto"/>
          <w:kern w:val="0"/>
          <w:highlight w:val="none"/>
        </w:rPr>
      </w:pPr>
      <w:r>
        <w:rPr>
          <w:rFonts w:hint="eastAsia" w:ascii="宋体" w:hAnsi="宋体"/>
          <w:color w:val="auto"/>
          <w:kern w:val="0"/>
          <w:sz w:val="24"/>
          <w:szCs w:val="24"/>
          <w:highlight w:val="none"/>
        </w:rPr>
        <w:t>根据所对应级别的养护验收质量要求，其中所含分项全部达到相应要求的即评为合格。</w:t>
      </w:r>
    </w:p>
    <w:p w14:paraId="35796B54">
      <w:pPr>
        <w:rPr>
          <w:rFonts w:hint="eastAsia" w:ascii="宋体" w:hAnsi="宋体" w:eastAsia="宋体" w:cs="宋体"/>
          <w:b/>
          <w:bCs/>
          <w:color w:val="auto"/>
          <w:sz w:val="28"/>
          <w:szCs w:val="28"/>
          <w:highlight w:val="none"/>
          <w:lang w:val="en-US" w:eastAsia="zh-CN"/>
        </w:rPr>
        <w:sectPr>
          <w:pgSz w:w="11906" w:h="16838"/>
          <w:pgMar w:top="1020" w:right="1134" w:bottom="1020" w:left="1134" w:header="851" w:footer="992" w:gutter="0"/>
          <w:pgBorders>
            <w:top w:val="none" w:sz="0" w:space="0"/>
            <w:left w:val="none" w:sz="0" w:space="0"/>
            <w:bottom w:val="none" w:sz="0" w:space="0"/>
            <w:right w:val="none" w:sz="0" w:space="0"/>
          </w:pgBorders>
          <w:cols w:space="720" w:num="1"/>
          <w:docGrid w:type="lines" w:linePitch="312" w:charSpace="0"/>
        </w:sectPr>
      </w:pPr>
    </w:p>
    <w:p w14:paraId="1DA1009A">
      <w:pPr>
        <w:rPr>
          <w:rFonts w:hint="eastAsia" w:ascii="宋体" w:hAnsi="宋体" w:eastAsia="宋体" w:cs="宋体"/>
          <w:b/>
          <w:bCs/>
          <w:color w:val="auto"/>
          <w:kern w:val="2"/>
          <w:sz w:val="28"/>
          <w:szCs w:val="28"/>
          <w:highlight w:val="none"/>
        </w:rPr>
      </w:pPr>
      <w:r>
        <w:rPr>
          <w:rFonts w:hint="eastAsia" w:ascii="宋体" w:hAnsi="宋体" w:eastAsia="宋体" w:cs="宋体"/>
          <w:b/>
          <w:bCs/>
          <w:color w:val="auto"/>
          <w:sz w:val="28"/>
          <w:szCs w:val="28"/>
          <w:highlight w:val="none"/>
          <w:lang w:val="en-US" w:eastAsia="zh-CN"/>
        </w:rPr>
        <w:t>附件4-2-7</w:t>
      </w:r>
    </w:p>
    <w:p w14:paraId="3B5C8A33">
      <w:pPr>
        <w:pStyle w:val="41"/>
        <w:spacing w:before="0" w:after="0"/>
        <w:ind w:hanging="1140"/>
        <w:outlineLvl w:val="9"/>
        <w:rPr>
          <w:b/>
          <w:bCs/>
          <w:color w:val="auto"/>
          <w:highlight w:val="none"/>
        </w:rPr>
      </w:pPr>
      <w:r>
        <w:rPr>
          <w:rFonts w:hint="eastAsia"/>
          <w:b/>
          <w:bCs/>
          <w:color w:val="auto"/>
          <w:highlight w:val="none"/>
        </w:rPr>
        <w:t>（规范性附录）</w:t>
      </w:r>
      <w:r>
        <w:rPr>
          <w:b/>
          <w:bCs/>
          <w:color w:val="auto"/>
          <w:highlight w:val="none"/>
        </w:rPr>
        <w:t xml:space="preserve"> </w:t>
      </w:r>
      <w:r>
        <w:rPr>
          <w:rFonts w:hint="eastAsia"/>
          <w:b/>
          <w:bCs/>
          <w:color w:val="auto"/>
          <w:highlight w:val="none"/>
        </w:rPr>
        <w:t>养护质量要求</w:t>
      </w:r>
    </w:p>
    <w:p w14:paraId="72C1D7AD">
      <w:pPr>
        <w:pStyle w:val="42"/>
        <w:spacing w:before="165"/>
        <w:outlineLvl w:val="9"/>
        <w:rPr>
          <w:b/>
          <w:bCs/>
          <w:color w:val="auto"/>
          <w:sz w:val="22"/>
          <w:szCs w:val="22"/>
          <w:highlight w:val="none"/>
        </w:rPr>
      </w:pPr>
      <w:r>
        <w:rPr>
          <w:rFonts w:hint="eastAsia"/>
          <w:b/>
          <w:bCs/>
          <w:color w:val="auto"/>
          <w:sz w:val="22"/>
          <w:szCs w:val="22"/>
          <w:highlight w:val="none"/>
        </w:rPr>
        <w:t>（</w:t>
      </w:r>
      <w:r>
        <w:rPr>
          <w:b/>
          <w:bCs/>
          <w:color w:val="auto"/>
          <w:sz w:val="22"/>
          <w:szCs w:val="22"/>
          <w:highlight w:val="none"/>
        </w:rPr>
        <w:t>1</w:t>
      </w:r>
      <w:r>
        <w:rPr>
          <w:rFonts w:hint="eastAsia"/>
          <w:b/>
          <w:bCs/>
          <w:color w:val="auto"/>
          <w:sz w:val="22"/>
          <w:szCs w:val="22"/>
          <w:highlight w:val="none"/>
        </w:rPr>
        <w:t>）二级绿地养护质量要求表</w:t>
      </w:r>
    </w:p>
    <w:tbl>
      <w:tblPr>
        <w:tblStyle w:val="22"/>
        <w:tblW w:w="9598" w:type="dxa"/>
        <w:tblInd w:w="108" w:type="dxa"/>
        <w:tblLayout w:type="fixed"/>
        <w:tblCellMar>
          <w:top w:w="0" w:type="dxa"/>
          <w:left w:w="108" w:type="dxa"/>
          <w:bottom w:w="0" w:type="dxa"/>
          <w:right w:w="108" w:type="dxa"/>
        </w:tblCellMar>
      </w:tblPr>
      <w:tblGrid>
        <w:gridCol w:w="780"/>
        <w:gridCol w:w="1339"/>
        <w:gridCol w:w="7479"/>
      </w:tblGrid>
      <w:tr w14:paraId="3ADF576B">
        <w:tblPrEx>
          <w:tblCellMar>
            <w:top w:w="0" w:type="dxa"/>
            <w:left w:w="108" w:type="dxa"/>
            <w:bottom w:w="0" w:type="dxa"/>
            <w:right w:w="108" w:type="dxa"/>
          </w:tblCellMar>
        </w:tblPrEx>
        <w:trPr>
          <w:trHeight w:val="606" w:hRule="atLeast"/>
        </w:trPr>
        <w:tc>
          <w:tcPr>
            <w:tcW w:w="780" w:type="dxa"/>
            <w:tcBorders>
              <w:top w:val="single" w:color="auto" w:sz="12" w:space="0"/>
              <w:left w:val="single" w:color="auto" w:sz="12" w:space="0"/>
              <w:bottom w:val="single" w:color="auto" w:sz="12" w:space="0"/>
              <w:right w:val="single" w:color="auto" w:sz="4" w:space="0"/>
            </w:tcBorders>
            <w:noWrap w:val="0"/>
            <w:vAlign w:val="center"/>
          </w:tcPr>
          <w:p w14:paraId="65184BBF">
            <w:pPr>
              <w:jc w:val="center"/>
              <w:rPr>
                <w:rFonts w:ascii="宋体"/>
                <w:color w:val="auto"/>
                <w:sz w:val="24"/>
                <w:szCs w:val="24"/>
                <w:highlight w:val="none"/>
              </w:rPr>
            </w:pPr>
            <w:r>
              <w:rPr>
                <w:rFonts w:hint="eastAsia" w:ascii="宋体" w:hAnsi="宋体"/>
                <w:color w:val="auto"/>
                <w:sz w:val="24"/>
                <w:szCs w:val="24"/>
                <w:highlight w:val="none"/>
              </w:rPr>
              <w:t>序号</w:t>
            </w:r>
          </w:p>
        </w:tc>
        <w:tc>
          <w:tcPr>
            <w:tcW w:w="1339" w:type="dxa"/>
            <w:tcBorders>
              <w:top w:val="single" w:color="auto" w:sz="12" w:space="0"/>
              <w:left w:val="nil"/>
              <w:bottom w:val="single" w:color="auto" w:sz="12" w:space="0"/>
              <w:right w:val="single" w:color="auto" w:sz="4" w:space="0"/>
            </w:tcBorders>
            <w:noWrap w:val="0"/>
            <w:vAlign w:val="center"/>
          </w:tcPr>
          <w:p w14:paraId="32691A4F">
            <w:pPr>
              <w:jc w:val="center"/>
              <w:rPr>
                <w:rFonts w:ascii="宋体"/>
                <w:color w:val="auto"/>
                <w:sz w:val="24"/>
                <w:szCs w:val="24"/>
                <w:highlight w:val="none"/>
              </w:rPr>
            </w:pPr>
            <w:r>
              <w:rPr>
                <w:rFonts w:hint="eastAsia" w:ascii="宋体" w:hAnsi="宋体"/>
                <w:color w:val="auto"/>
                <w:sz w:val="24"/>
                <w:szCs w:val="24"/>
                <w:highlight w:val="none"/>
              </w:rPr>
              <w:t>项目</w:t>
            </w:r>
          </w:p>
        </w:tc>
        <w:tc>
          <w:tcPr>
            <w:tcW w:w="7479" w:type="dxa"/>
            <w:tcBorders>
              <w:top w:val="single" w:color="auto" w:sz="12" w:space="0"/>
              <w:left w:val="nil"/>
              <w:bottom w:val="single" w:color="auto" w:sz="12" w:space="0"/>
              <w:right w:val="single" w:color="auto" w:sz="12" w:space="0"/>
            </w:tcBorders>
            <w:noWrap w:val="0"/>
            <w:vAlign w:val="center"/>
          </w:tcPr>
          <w:p w14:paraId="458A89E1">
            <w:pPr>
              <w:jc w:val="center"/>
              <w:rPr>
                <w:rFonts w:ascii="宋体"/>
                <w:color w:val="auto"/>
                <w:sz w:val="24"/>
                <w:szCs w:val="24"/>
                <w:highlight w:val="none"/>
              </w:rPr>
            </w:pPr>
            <w:r>
              <w:rPr>
                <w:rFonts w:hint="eastAsia" w:ascii="宋体" w:hAnsi="宋体"/>
                <w:color w:val="auto"/>
                <w:sz w:val="24"/>
                <w:szCs w:val="24"/>
                <w:highlight w:val="none"/>
              </w:rPr>
              <w:t>质量要求</w:t>
            </w:r>
          </w:p>
        </w:tc>
      </w:tr>
      <w:tr w14:paraId="6DBAF7B0">
        <w:tblPrEx>
          <w:tblCellMar>
            <w:top w:w="0" w:type="dxa"/>
            <w:left w:w="108" w:type="dxa"/>
            <w:bottom w:w="0" w:type="dxa"/>
            <w:right w:w="108" w:type="dxa"/>
          </w:tblCellMar>
        </w:tblPrEx>
        <w:trPr>
          <w:trHeight w:val="961" w:hRule="atLeast"/>
        </w:trPr>
        <w:tc>
          <w:tcPr>
            <w:tcW w:w="780" w:type="dxa"/>
            <w:tcBorders>
              <w:top w:val="single" w:color="auto" w:sz="12" w:space="0"/>
              <w:left w:val="single" w:color="auto" w:sz="12" w:space="0"/>
              <w:bottom w:val="single" w:color="auto" w:sz="4" w:space="0"/>
              <w:right w:val="single" w:color="auto" w:sz="4" w:space="0"/>
            </w:tcBorders>
            <w:noWrap w:val="0"/>
            <w:vAlign w:val="center"/>
          </w:tcPr>
          <w:p w14:paraId="6700BE9A">
            <w:pPr>
              <w:jc w:val="center"/>
              <w:rPr>
                <w:rFonts w:ascii="宋体"/>
                <w:color w:val="auto"/>
                <w:sz w:val="24"/>
                <w:szCs w:val="24"/>
                <w:highlight w:val="none"/>
              </w:rPr>
            </w:pPr>
            <w:r>
              <w:rPr>
                <w:rFonts w:hint="eastAsia" w:ascii="宋体" w:hAnsi="宋体"/>
                <w:color w:val="auto"/>
                <w:sz w:val="24"/>
                <w:szCs w:val="24"/>
                <w:highlight w:val="none"/>
              </w:rPr>
              <w:t>一</w:t>
            </w:r>
          </w:p>
        </w:tc>
        <w:tc>
          <w:tcPr>
            <w:tcW w:w="1339" w:type="dxa"/>
            <w:tcBorders>
              <w:top w:val="single" w:color="auto" w:sz="12" w:space="0"/>
              <w:left w:val="nil"/>
              <w:bottom w:val="single" w:color="auto" w:sz="4" w:space="0"/>
              <w:right w:val="single" w:color="auto" w:sz="4" w:space="0"/>
            </w:tcBorders>
            <w:noWrap w:val="0"/>
            <w:vAlign w:val="center"/>
          </w:tcPr>
          <w:p w14:paraId="06A75F56">
            <w:pPr>
              <w:jc w:val="center"/>
              <w:rPr>
                <w:rFonts w:ascii="宋体"/>
                <w:color w:val="auto"/>
                <w:sz w:val="24"/>
                <w:szCs w:val="24"/>
                <w:highlight w:val="none"/>
              </w:rPr>
            </w:pPr>
            <w:r>
              <w:rPr>
                <w:rFonts w:hint="eastAsia" w:ascii="宋体" w:hAnsi="宋体"/>
                <w:color w:val="auto"/>
                <w:sz w:val="24"/>
                <w:szCs w:val="24"/>
                <w:highlight w:val="none"/>
              </w:rPr>
              <w:t>群落结构与整体效果</w:t>
            </w:r>
          </w:p>
        </w:tc>
        <w:tc>
          <w:tcPr>
            <w:tcW w:w="7479" w:type="dxa"/>
            <w:tcBorders>
              <w:top w:val="single" w:color="auto" w:sz="12" w:space="0"/>
              <w:left w:val="nil"/>
              <w:bottom w:val="single" w:color="auto" w:sz="4" w:space="0"/>
              <w:right w:val="single" w:color="auto" w:sz="12" w:space="0"/>
            </w:tcBorders>
            <w:noWrap w:val="0"/>
            <w:vAlign w:val="center"/>
          </w:tcPr>
          <w:p w14:paraId="4C64E103">
            <w:pPr>
              <w:ind w:firstLine="480" w:firstLineChars="200"/>
              <w:rPr>
                <w:rFonts w:ascii="宋体"/>
                <w:color w:val="auto"/>
                <w:sz w:val="24"/>
                <w:szCs w:val="24"/>
                <w:highlight w:val="none"/>
              </w:rPr>
            </w:pPr>
            <w:r>
              <w:rPr>
                <w:rFonts w:hint="eastAsia" w:ascii="宋体" w:hAnsi="宋体"/>
                <w:color w:val="auto"/>
                <w:sz w:val="24"/>
                <w:szCs w:val="24"/>
                <w:highlight w:val="none"/>
              </w:rPr>
              <w:t>植物配置合理、层次较丰富，植株生长空间与层次处理得当，具有较完整的群落结构，积尘少，整体观赏效果良好。</w:t>
            </w:r>
          </w:p>
        </w:tc>
      </w:tr>
      <w:tr w14:paraId="0A67D755">
        <w:tblPrEx>
          <w:tblCellMar>
            <w:top w:w="0" w:type="dxa"/>
            <w:left w:w="108" w:type="dxa"/>
            <w:bottom w:w="0" w:type="dxa"/>
            <w:right w:w="108" w:type="dxa"/>
          </w:tblCellMar>
        </w:tblPrEx>
        <w:trPr>
          <w:trHeight w:val="961" w:hRule="atLeast"/>
        </w:trPr>
        <w:tc>
          <w:tcPr>
            <w:tcW w:w="780" w:type="dxa"/>
            <w:tcBorders>
              <w:top w:val="single" w:color="auto" w:sz="4" w:space="0"/>
              <w:left w:val="single" w:color="auto" w:sz="12" w:space="0"/>
              <w:bottom w:val="single" w:color="auto" w:sz="4" w:space="0"/>
              <w:right w:val="single" w:color="auto" w:sz="4" w:space="0"/>
            </w:tcBorders>
            <w:noWrap w:val="0"/>
            <w:vAlign w:val="center"/>
          </w:tcPr>
          <w:p w14:paraId="1A26A47D">
            <w:pPr>
              <w:jc w:val="center"/>
              <w:rPr>
                <w:rFonts w:ascii="宋体"/>
                <w:color w:val="auto"/>
                <w:sz w:val="24"/>
                <w:szCs w:val="24"/>
                <w:highlight w:val="none"/>
              </w:rPr>
            </w:pPr>
            <w:r>
              <w:rPr>
                <w:rFonts w:hint="eastAsia" w:ascii="宋体" w:hAnsi="宋体"/>
                <w:color w:val="auto"/>
                <w:sz w:val="24"/>
                <w:szCs w:val="24"/>
                <w:highlight w:val="none"/>
              </w:rPr>
              <w:t>二</w:t>
            </w:r>
          </w:p>
        </w:tc>
        <w:tc>
          <w:tcPr>
            <w:tcW w:w="1339" w:type="dxa"/>
            <w:tcBorders>
              <w:top w:val="single" w:color="auto" w:sz="4" w:space="0"/>
              <w:left w:val="nil"/>
              <w:bottom w:val="single" w:color="auto" w:sz="4" w:space="0"/>
              <w:right w:val="single" w:color="auto" w:sz="4" w:space="0"/>
            </w:tcBorders>
            <w:noWrap w:val="0"/>
            <w:vAlign w:val="center"/>
          </w:tcPr>
          <w:p w14:paraId="318C7E56">
            <w:pPr>
              <w:jc w:val="center"/>
              <w:rPr>
                <w:rFonts w:ascii="宋体"/>
                <w:color w:val="auto"/>
                <w:sz w:val="24"/>
                <w:szCs w:val="24"/>
                <w:highlight w:val="none"/>
              </w:rPr>
            </w:pPr>
            <w:r>
              <w:rPr>
                <w:rFonts w:hint="eastAsia" w:ascii="宋体" w:hAnsi="宋体"/>
                <w:color w:val="auto"/>
                <w:sz w:val="24"/>
                <w:szCs w:val="24"/>
                <w:highlight w:val="none"/>
              </w:rPr>
              <w:t>植物生长</w:t>
            </w:r>
          </w:p>
        </w:tc>
        <w:tc>
          <w:tcPr>
            <w:tcW w:w="7479" w:type="dxa"/>
            <w:tcBorders>
              <w:top w:val="single" w:color="auto" w:sz="4" w:space="0"/>
              <w:left w:val="nil"/>
              <w:bottom w:val="single" w:color="auto" w:sz="4" w:space="0"/>
              <w:right w:val="single" w:color="auto" w:sz="12" w:space="0"/>
            </w:tcBorders>
            <w:noWrap w:val="0"/>
            <w:vAlign w:val="center"/>
          </w:tcPr>
          <w:p w14:paraId="6483C107">
            <w:pPr>
              <w:ind w:firstLine="480" w:firstLineChars="200"/>
              <w:rPr>
                <w:rFonts w:ascii="宋体"/>
                <w:color w:val="auto"/>
                <w:sz w:val="24"/>
                <w:szCs w:val="24"/>
                <w:highlight w:val="none"/>
              </w:rPr>
            </w:pPr>
            <w:r>
              <w:rPr>
                <w:rFonts w:hint="eastAsia" w:ascii="宋体" w:hAnsi="宋体"/>
                <w:color w:val="auto"/>
                <w:sz w:val="24"/>
                <w:szCs w:val="24"/>
                <w:highlight w:val="none"/>
              </w:rPr>
              <w:t>植株生长良好，符合物候状况，叶的颜色、形状、大小正常，树体正直不偏斜；观花植物适时开花。达标率＞</w:t>
            </w:r>
            <w:r>
              <w:rPr>
                <w:rFonts w:ascii="宋体" w:hAnsi="宋体"/>
                <w:color w:val="auto"/>
                <w:sz w:val="24"/>
                <w:szCs w:val="24"/>
                <w:highlight w:val="none"/>
              </w:rPr>
              <w:t>90</w:t>
            </w:r>
            <w:r>
              <w:rPr>
                <w:rFonts w:hAnsi="宋体"/>
                <w:color w:val="auto"/>
                <w:spacing w:val="-30"/>
                <w:sz w:val="24"/>
                <w:szCs w:val="24"/>
                <w:highlight w:val="none"/>
              </w:rPr>
              <w:t> </w:t>
            </w:r>
            <w:r>
              <w:rPr>
                <w:rFonts w:hint="eastAsia" w:hAnsi="宋体"/>
                <w:color w:val="auto"/>
                <w:spacing w:val="-30"/>
                <w:sz w:val="24"/>
                <w:szCs w:val="24"/>
                <w:highlight w:val="none"/>
              </w:rPr>
              <w:t>％</w:t>
            </w:r>
          </w:p>
        </w:tc>
      </w:tr>
      <w:tr w14:paraId="3A5EC0E3">
        <w:tblPrEx>
          <w:tblCellMar>
            <w:top w:w="0" w:type="dxa"/>
            <w:left w:w="108" w:type="dxa"/>
            <w:bottom w:w="0" w:type="dxa"/>
            <w:right w:w="108" w:type="dxa"/>
          </w:tblCellMar>
        </w:tblPrEx>
        <w:trPr>
          <w:trHeight w:val="1587" w:hRule="atLeast"/>
        </w:trPr>
        <w:tc>
          <w:tcPr>
            <w:tcW w:w="780" w:type="dxa"/>
            <w:tcBorders>
              <w:top w:val="single" w:color="auto" w:sz="4" w:space="0"/>
              <w:left w:val="single" w:color="auto" w:sz="12" w:space="0"/>
              <w:bottom w:val="single" w:color="auto" w:sz="4" w:space="0"/>
              <w:right w:val="single" w:color="auto" w:sz="4" w:space="0"/>
            </w:tcBorders>
            <w:noWrap w:val="0"/>
            <w:vAlign w:val="center"/>
          </w:tcPr>
          <w:p w14:paraId="059D3EFE">
            <w:pPr>
              <w:jc w:val="center"/>
              <w:rPr>
                <w:rFonts w:ascii="宋体"/>
                <w:color w:val="auto"/>
                <w:sz w:val="24"/>
                <w:szCs w:val="24"/>
                <w:highlight w:val="none"/>
              </w:rPr>
            </w:pPr>
            <w:r>
              <w:rPr>
                <w:rFonts w:hint="eastAsia" w:ascii="宋体" w:hAnsi="宋体"/>
                <w:color w:val="auto"/>
                <w:sz w:val="24"/>
                <w:szCs w:val="24"/>
                <w:highlight w:val="none"/>
              </w:rPr>
              <w:t>三</w:t>
            </w:r>
          </w:p>
        </w:tc>
        <w:tc>
          <w:tcPr>
            <w:tcW w:w="1339" w:type="dxa"/>
            <w:tcBorders>
              <w:top w:val="single" w:color="auto" w:sz="4" w:space="0"/>
              <w:left w:val="nil"/>
              <w:bottom w:val="single" w:color="auto" w:sz="4" w:space="0"/>
              <w:right w:val="single" w:color="auto" w:sz="4" w:space="0"/>
            </w:tcBorders>
            <w:noWrap w:val="0"/>
            <w:vAlign w:val="center"/>
          </w:tcPr>
          <w:p w14:paraId="4237FB18">
            <w:pPr>
              <w:jc w:val="center"/>
              <w:rPr>
                <w:rFonts w:ascii="宋体"/>
                <w:color w:val="auto"/>
                <w:sz w:val="24"/>
                <w:szCs w:val="24"/>
                <w:highlight w:val="none"/>
              </w:rPr>
            </w:pPr>
            <w:r>
              <w:rPr>
                <w:rFonts w:hint="eastAsia" w:ascii="宋体" w:hAnsi="宋体"/>
                <w:color w:val="auto"/>
                <w:sz w:val="24"/>
                <w:szCs w:val="24"/>
                <w:highlight w:val="none"/>
              </w:rPr>
              <w:t>整形修剪</w:t>
            </w:r>
          </w:p>
        </w:tc>
        <w:tc>
          <w:tcPr>
            <w:tcW w:w="7479" w:type="dxa"/>
            <w:tcBorders>
              <w:top w:val="single" w:color="auto" w:sz="4" w:space="0"/>
              <w:left w:val="nil"/>
              <w:bottom w:val="single" w:color="auto" w:sz="4" w:space="0"/>
              <w:right w:val="single" w:color="auto" w:sz="12" w:space="0"/>
            </w:tcBorders>
            <w:noWrap w:val="0"/>
            <w:vAlign w:val="center"/>
          </w:tcPr>
          <w:p w14:paraId="57648B10">
            <w:pPr>
              <w:ind w:firstLine="480" w:firstLineChars="200"/>
              <w:rPr>
                <w:rFonts w:ascii="宋体"/>
                <w:color w:val="auto"/>
                <w:sz w:val="24"/>
                <w:szCs w:val="24"/>
                <w:highlight w:val="none"/>
              </w:rPr>
            </w:pPr>
            <w:r>
              <w:rPr>
                <w:rFonts w:hint="eastAsia" w:ascii="宋体" w:hAnsi="宋体"/>
                <w:color w:val="auto"/>
                <w:sz w:val="24"/>
                <w:szCs w:val="24"/>
                <w:highlight w:val="none"/>
              </w:rPr>
              <w:t>乔木：定时修剪，无干枯枝、缠绕物、钉挂物，树冠匀称，具良好观赏效果；整形乔灌木：按要求养成并维持一定形态，生长茂密，脚叶丰满形态良好；一般孤植灌木：按要求养成观花或观叶形态，树形良好，无枯枝；片植灌木：图形清晰、线条明显、流畅，无明显杂草；地被植物常绿、整洁，无明显杂草、枯黄叶。达标率＞</w:t>
            </w:r>
            <w:r>
              <w:rPr>
                <w:rFonts w:ascii="宋体" w:hAnsi="宋体"/>
                <w:color w:val="auto"/>
                <w:sz w:val="24"/>
                <w:szCs w:val="24"/>
                <w:highlight w:val="none"/>
              </w:rPr>
              <w:t>90</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7ED3169E">
        <w:tblPrEx>
          <w:tblCellMar>
            <w:top w:w="0" w:type="dxa"/>
            <w:left w:w="108" w:type="dxa"/>
            <w:bottom w:w="0" w:type="dxa"/>
            <w:right w:w="108" w:type="dxa"/>
          </w:tblCellMar>
        </w:tblPrEx>
        <w:trPr>
          <w:trHeight w:val="1069" w:hRule="atLeast"/>
        </w:trPr>
        <w:tc>
          <w:tcPr>
            <w:tcW w:w="780" w:type="dxa"/>
            <w:tcBorders>
              <w:top w:val="single" w:color="auto" w:sz="4" w:space="0"/>
              <w:left w:val="single" w:color="auto" w:sz="12" w:space="0"/>
              <w:bottom w:val="single" w:color="auto" w:sz="4" w:space="0"/>
              <w:right w:val="single" w:color="auto" w:sz="4" w:space="0"/>
            </w:tcBorders>
            <w:noWrap w:val="0"/>
            <w:vAlign w:val="center"/>
          </w:tcPr>
          <w:p w14:paraId="7C66FED6">
            <w:pPr>
              <w:jc w:val="center"/>
              <w:rPr>
                <w:rFonts w:ascii="宋体"/>
                <w:color w:val="auto"/>
                <w:sz w:val="24"/>
                <w:szCs w:val="24"/>
                <w:highlight w:val="none"/>
              </w:rPr>
            </w:pPr>
            <w:r>
              <w:rPr>
                <w:rFonts w:hint="eastAsia" w:ascii="宋体" w:hAnsi="宋体"/>
                <w:color w:val="auto"/>
                <w:sz w:val="24"/>
                <w:szCs w:val="24"/>
                <w:highlight w:val="none"/>
              </w:rPr>
              <w:t>四</w:t>
            </w:r>
          </w:p>
        </w:tc>
        <w:tc>
          <w:tcPr>
            <w:tcW w:w="1339" w:type="dxa"/>
            <w:tcBorders>
              <w:top w:val="single" w:color="auto" w:sz="4" w:space="0"/>
              <w:left w:val="nil"/>
              <w:bottom w:val="single" w:color="auto" w:sz="4" w:space="0"/>
              <w:right w:val="single" w:color="auto" w:sz="4" w:space="0"/>
            </w:tcBorders>
            <w:noWrap w:val="0"/>
            <w:vAlign w:val="center"/>
          </w:tcPr>
          <w:p w14:paraId="18BB982D">
            <w:pPr>
              <w:jc w:val="center"/>
              <w:rPr>
                <w:rFonts w:ascii="宋体"/>
                <w:color w:val="auto"/>
                <w:sz w:val="24"/>
                <w:szCs w:val="24"/>
                <w:highlight w:val="none"/>
              </w:rPr>
            </w:pPr>
            <w:r>
              <w:rPr>
                <w:rFonts w:hint="eastAsia" w:ascii="宋体" w:hAnsi="宋体"/>
                <w:color w:val="auto"/>
                <w:sz w:val="24"/>
                <w:szCs w:val="24"/>
                <w:highlight w:val="none"/>
              </w:rPr>
              <w:t>树盘</w:t>
            </w:r>
          </w:p>
        </w:tc>
        <w:tc>
          <w:tcPr>
            <w:tcW w:w="7479" w:type="dxa"/>
            <w:tcBorders>
              <w:top w:val="single" w:color="auto" w:sz="4" w:space="0"/>
              <w:left w:val="nil"/>
              <w:bottom w:val="single" w:color="auto" w:sz="4" w:space="0"/>
              <w:right w:val="single" w:color="auto" w:sz="12" w:space="0"/>
            </w:tcBorders>
            <w:noWrap w:val="0"/>
            <w:vAlign w:val="center"/>
          </w:tcPr>
          <w:p w14:paraId="224C8BA9">
            <w:pPr>
              <w:ind w:firstLine="480" w:firstLineChars="200"/>
              <w:rPr>
                <w:rFonts w:ascii="宋体"/>
                <w:color w:val="auto"/>
                <w:sz w:val="24"/>
                <w:szCs w:val="24"/>
                <w:highlight w:val="none"/>
              </w:rPr>
            </w:pPr>
            <w:r>
              <w:rPr>
                <w:rFonts w:hint="eastAsia" w:ascii="宋体" w:hAnsi="宋体"/>
                <w:color w:val="auto"/>
                <w:sz w:val="24"/>
                <w:szCs w:val="24"/>
                <w:highlight w:val="none"/>
              </w:rPr>
              <w:t>有地被树盘：其形状、大小整齐规范，满盘，不攀缠植株；无明显杂草、杂物。无地被树盘：大小合适，边线整齐，土壤疏松、细碎，无明显杂草、杂物。达标率＞</w:t>
            </w:r>
            <w:r>
              <w:rPr>
                <w:rFonts w:ascii="宋体" w:hAnsi="宋体"/>
                <w:color w:val="auto"/>
                <w:sz w:val="24"/>
                <w:szCs w:val="24"/>
                <w:highlight w:val="none"/>
              </w:rPr>
              <w:t>90</w:t>
            </w:r>
            <w:r>
              <w:rPr>
                <w:rFonts w:hAnsi="宋体"/>
                <w:color w:val="auto"/>
                <w:spacing w:val="-30"/>
                <w:sz w:val="24"/>
                <w:szCs w:val="24"/>
                <w:highlight w:val="none"/>
              </w:rPr>
              <w:t> </w:t>
            </w:r>
            <w:r>
              <w:rPr>
                <w:rFonts w:ascii="宋体" w:hAnsi="宋体"/>
                <w:color w:val="auto"/>
                <w:sz w:val="24"/>
                <w:szCs w:val="24"/>
                <w:highlight w:val="none"/>
              </w:rPr>
              <w:t>%</w:t>
            </w:r>
            <w:r>
              <w:rPr>
                <w:rFonts w:hint="eastAsia" w:ascii="宋体" w:hAnsi="宋体"/>
                <w:color w:val="auto"/>
                <w:sz w:val="24"/>
                <w:szCs w:val="24"/>
                <w:highlight w:val="none"/>
              </w:rPr>
              <w:t>。</w:t>
            </w:r>
          </w:p>
        </w:tc>
      </w:tr>
      <w:tr w14:paraId="7905F6D4">
        <w:tblPrEx>
          <w:tblCellMar>
            <w:top w:w="0" w:type="dxa"/>
            <w:left w:w="108" w:type="dxa"/>
            <w:bottom w:w="0" w:type="dxa"/>
            <w:right w:w="108" w:type="dxa"/>
          </w:tblCellMar>
        </w:tblPrEx>
        <w:trPr>
          <w:trHeight w:val="1596" w:hRule="atLeast"/>
        </w:trPr>
        <w:tc>
          <w:tcPr>
            <w:tcW w:w="780" w:type="dxa"/>
            <w:tcBorders>
              <w:top w:val="single" w:color="auto" w:sz="4" w:space="0"/>
              <w:left w:val="single" w:color="auto" w:sz="12" w:space="0"/>
              <w:bottom w:val="single" w:color="auto" w:sz="4" w:space="0"/>
              <w:right w:val="single" w:color="auto" w:sz="4" w:space="0"/>
            </w:tcBorders>
            <w:noWrap w:val="0"/>
            <w:vAlign w:val="center"/>
          </w:tcPr>
          <w:p w14:paraId="27874AE6">
            <w:pPr>
              <w:jc w:val="center"/>
              <w:rPr>
                <w:rFonts w:ascii="宋体"/>
                <w:color w:val="auto"/>
                <w:sz w:val="24"/>
                <w:szCs w:val="24"/>
                <w:highlight w:val="none"/>
              </w:rPr>
            </w:pPr>
            <w:r>
              <w:rPr>
                <w:rFonts w:hint="eastAsia" w:ascii="宋体" w:hAnsi="宋体"/>
                <w:color w:val="auto"/>
                <w:sz w:val="24"/>
                <w:szCs w:val="24"/>
                <w:highlight w:val="none"/>
              </w:rPr>
              <w:t>五</w:t>
            </w:r>
          </w:p>
        </w:tc>
        <w:tc>
          <w:tcPr>
            <w:tcW w:w="1339" w:type="dxa"/>
            <w:tcBorders>
              <w:top w:val="single" w:color="auto" w:sz="4" w:space="0"/>
              <w:left w:val="nil"/>
              <w:bottom w:val="single" w:color="auto" w:sz="4" w:space="0"/>
              <w:right w:val="single" w:color="auto" w:sz="4" w:space="0"/>
            </w:tcBorders>
            <w:noWrap w:val="0"/>
            <w:vAlign w:val="center"/>
          </w:tcPr>
          <w:p w14:paraId="49B347A2">
            <w:pPr>
              <w:jc w:val="center"/>
              <w:rPr>
                <w:rFonts w:ascii="宋体"/>
                <w:color w:val="auto"/>
                <w:sz w:val="24"/>
                <w:szCs w:val="24"/>
                <w:highlight w:val="none"/>
              </w:rPr>
            </w:pPr>
            <w:r>
              <w:rPr>
                <w:rFonts w:hint="eastAsia" w:ascii="宋体" w:hAnsi="宋体"/>
                <w:color w:val="auto"/>
                <w:sz w:val="24"/>
                <w:szCs w:val="24"/>
                <w:highlight w:val="none"/>
              </w:rPr>
              <w:t>草坪</w:t>
            </w:r>
          </w:p>
        </w:tc>
        <w:tc>
          <w:tcPr>
            <w:tcW w:w="7479" w:type="dxa"/>
            <w:tcBorders>
              <w:top w:val="single" w:color="auto" w:sz="4" w:space="0"/>
              <w:left w:val="nil"/>
              <w:bottom w:val="single" w:color="auto" w:sz="4" w:space="0"/>
              <w:right w:val="single" w:color="auto" w:sz="12" w:space="0"/>
            </w:tcBorders>
            <w:noWrap w:val="0"/>
            <w:vAlign w:val="center"/>
          </w:tcPr>
          <w:p w14:paraId="571A5AE6">
            <w:pPr>
              <w:ind w:firstLine="480" w:firstLineChars="200"/>
              <w:rPr>
                <w:rFonts w:ascii="宋体"/>
                <w:color w:val="auto"/>
                <w:sz w:val="24"/>
                <w:szCs w:val="24"/>
                <w:highlight w:val="none"/>
              </w:rPr>
            </w:pPr>
            <w:r>
              <w:rPr>
                <w:rFonts w:hint="eastAsia" w:ascii="宋体" w:hAnsi="宋体"/>
                <w:color w:val="auto"/>
                <w:sz w:val="24"/>
                <w:szCs w:val="24"/>
                <w:highlight w:val="none"/>
              </w:rPr>
              <w:t>观赏性草坪，生长季节青绿无枯黄，无大型杂草和异型杂草，目的草种纯度</w:t>
            </w:r>
            <w:r>
              <w:rPr>
                <w:rFonts w:ascii="宋体" w:hAnsi="宋体"/>
                <w:color w:val="auto"/>
                <w:sz w:val="24"/>
                <w:szCs w:val="24"/>
                <w:highlight w:val="none"/>
              </w:rPr>
              <w:t>90</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以上。开放类草坪，生长季节青绿，无明显枯黄现象，无大型杂草，目的草种纯度</w:t>
            </w:r>
            <w:r>
              <w:rPr>
                <w:rFonts w:ascii="宋体" w:hAnsi="宋体"/>
                <w:color w:val="auto"/>
                <w:sz w:val="24"/>
                <w:szCs w:val="24"/>
                <w:highlight w:val="none"/>
              </w:rPr>
              <w:t>85</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以上。各类草坪均要求平整，无明显起团，高度在</w:t>
            </w:r>
            <w:r>
              <w:rPr>
                <w:rFonts w:ascii="宋体" w:hAnsi="宋体"/>
                <w:color w:val="auto"/>
                <w:sz w:val="24"/>
                <w:szCs w:val="24"/>
                <w:highlight w:val="none"/>
              </w:rPr>
              <w:t>8</w:t>
            </w:r>
            <w:r>
              <w:rPr>
                <w:rFonts w:hAnsi="宋体"/>
                <w:color w:val="auto"/>
                <w:spacing w:val="-30"/>
                <w:sz w:val="24"/>
                <w:szCs w:val="24"/>
                <w:highlight w:val="none"/>
              </w:rPr>
              <w:t> </w:t>
            </w:r>
            <w:r>
              <w:rPr>
                <w:rFonts w:ascii="宋体" w:hAnsi="宋体"/>
                <w:color w:val="auto"/>
                <w:sz w:val="24"/>
                <w:szCs w:val="24"/>
                <w:highlight w:val="none"/>
              </w:rPr>
              <w:t>cm</w:t>
            </w:r>
            <w:r>
              <w:rPr>
                <w:rFonts w:hint="eastAsia" w:ascii="宋体" w:hAnsi="宋体"/>
                <w:color w:val="auto"/>
                <w:sz w:val="24"/>
                <w:szCs w:val="24"/>
                <w:highlight w:val="none"/>
              </w:rPr>
              <w:t>以下；无明显坑洼，草坪边缘线基本清晰。达标率＞</w:t>
            </w:r>
            <w:r>
              <w:rPr>
                <w:rFonts w:ascii="宋体" w:hAnsi="宋体"/>
                <w:color w:val="auto"/>
                <w:sz w:val="24"/>
                <w:szCs w:val="24"/>
                <w:highlight w:val="none"/>
              </w:rPr>
              <w:t>90</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0D2A85A2">
        <w:tblPrEx>
          <w:tblCellMar>
            <w:top w:w="0" w:type="dxa"/>
            <w:left w:w="108" w:type="dxa"/>
            <w:bottom w:w="0" w:type="dxa"/>
            <w:right w:w="108" w:type="dxa"/>
          </w:tblCellMar>
        </w:tblPrEx>
        <w:trPr>
          <w:trHeight w:val="890" w:hRule="atLeast"/>
        </w:trPr>
        <w:tc>
          <w:tcPr>
            <w:tcW w:w="780" w:type="dxa"/>
            <w:tcBorders>
              <w:top w:val="single" w:color="auto" w:sz="4" w:space="0"/>
              <w:left w:val="single" w:color="auto" w:sz="12" w:space="0"/>
              <w:bottom w:val="single" w:color="auto" w:sz="4" w:space="0"/>
              <w:right w:val="single" w:color="auto" w:sz="4" w:space="0"/>
            </w:tcBorders>
            <w:noWrap w:val="0"/>
            <w:vAlign w:val="center"/>
          </w:tcPr>
          <w:p w14:paraId="6A83A89E">
            <w:pPr>
              <w:jc w:val="center"/>
              <w:rPr>
                <w:rFonts w:ascii="宋体"/>
                <w:color w:val="auto"/>
                <w:sz w:val="24"/>
                <w:szCs w:val="24"/>
                <w:highlight w:val="none"/>
              </w:rPr>
            </w:pPr>
            <w:r>
              <w:rPr>
                <w:rFonts w:hint="eastAsia" w:ascii="宋体" w:hAnsi="宋体"/>
                <w:color w:val="auto"/>
                <w:sz w:val="24"/>
                <w:szCs w:val="24"/>
                <w:highlight w:val="none"/>
              </w:rPr>
              <w:t>六</w:t>
            </w:r>
          </w:p>
        </w:tc>
        <w:tc>
          <w:tcPr>
            <w:tcW w:w="1339" w:type="dxa"/>
            <w:tcBorders>
              <w:top w:val="single" w:color="auto" w:sz="4" w:space="0"/>
              <w:left w:val="nil"/>
              <w:bottom w:val="single" w:color="auto" w:sz="4" w:space="0"/>
              <w:right w:val="single" w:color="auto" w:sz="4" w:space="0"/>
            </w:tcBorders>
            <w:noWrap w:val="0"/>
            <w:vAlign w:val="center"/>
          </w:tcPr>
          <w:p w14:paraId="2C91982B">
            <w:pPr>
              <w:jc w:val="center"/>
              <w:rPr>
                <w:rFonts w:ascii="宋体"/>
                <w:color w:val="auto"/>
                <w:sz w:val="24"/>
                <w:szCs w:val="24"/>
                <w:highlight w:val="none"/>
              </w:rPr>
            </w:pPr>
            <w:r>
              <w:rPr>
                <w:rFonts w:hint="eastAsia" w:ascii="宋体" w:hAnsi="宋体"/>
                <w:color w:val="auto"/>
                <w:sz w:val="24"/>
                <w:szCs w:val="24"/>
                <w:highlight w:val="none"/>
              </w:rPr>
              <w:t>病虫害</w:t>
            </w:r>
          </w:p>
          <w:p w14:paraId="028C63DB">
            <w:pPr>
              <w:jc w:val="center"/>
              <w:rPr>
                <w:rFonts w:ascii="宋体"/>
                <w:color w:val="auto"/>
                <w:sz w:val="24"/>
                <w:szCs w:val="24"/>
                <w:highlight w:val="none"/>
              </w:rPr>
            </w:pPr>
            <w:r>
              <w:rPr>
                <w:rFonts w:hint="eastAsia" w:ascii="宋体" w:hAnsi="宋体"/>
                <w:color w:val="auto"/>
                <w:sz w:val="24"/>
                <w:szCs w:val="24"/>
                <w:highlight w:val="none"/>
              </w:rPr>
              <w:t>控制</w:t>
            </w:r>
          </w:p>
        </w:tc>
        <w:tc>
          <w:tcPr>
            <w:tcW w:w="7479" w:type="dxa"/>
            <w:tcBorders>
              <w:top w:val="single" w:color="auto" w:sz="4" w:space="0"/>
              <w:left w:val="nil"/>
              <w:bottom w:val="single" w:color="auto" w:sz="4" w:space="0"/>
              <w:right w:val="single" w:color="auto" w:sz="12" w:space="0"/>
            </w:tcBorders>
            <w:noWrap w:val="0"/>
            <w:vAlign w:val="center"/>
          </w:tcPr>
          <w:p w14:paraId="7176AD5C">
            <w:pPr>
              <w:ind w:firstLine="480" w:firstLineChars="200"/>
              <w:rPr>
                <w:rFonts w:ascii="宋体"/>
                <w:color w:val="auto"/>
                <w:sz w:val="24"/>
                <w:szCs w:val="24"/>
                <w:highlight w:val="none"/>
              </w:rPr>
            </w:pPr>
            <w:r>
              <w:rPr>
                <w:rFonts w:hint="eastAsia" w:ascii="宋体" w:hAnsi="宋体"/>
                <w:color w:val="auto"/>
                <w:sz w:val="24"/>
                <w:szCs w:val="24"/>
                <w:highlight w:val="none"/>
              </w:rPr>
              <w:t>无明显危害迹象；总的病虫害</w:t>
            </w:r>
            <w:r>
              <w:rPr>
                <w:rFonts w:hint="eastAsia" w:ascii="宋体" w:hAnsi="宋体"/>
                <w:color w:val="auto"/>
                <w:sz w:val="22"/>
                <w:szCs w:val="22"/>
                <w:highlight w:val="none"/>
                <w:lang w:val="en-US" w:eastAsia="zh-CN"/>
              </w:rPr>
              <w:t>危</w:t>
            </w:r>
            <w:r>
              <w:rPr>
                <w:rFonts w:hint="eastAsia" w:ascii="宋体" w:hAnsi="宋体"/>
                <w:color w:val="auto"/>
                <w:sz w:val="24"/>
                <w:szCs w:val="24"/>
                <w:highlight w:val="none"/>
              </w:rPr>
              <w:t>害率＜</w:t>
            </w:r>
            <w:r>
              <w:rPr>
                <w:rFonts w:ascii="宋体" w:hAnsi="宋体"/>
                <w:color w:val="auto"/>
                <w:sz w:val="24"/>
                <w:szCs w:val="24"/>
                <w:highlight w:val="none"/>
              </w:rPr>
              <w:t>15</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，其中蛀干、根部害虫＜</w:t>
            </w:r>
            <w:r>
              <w:rPr>
                <w:rFonts w:ascii="宋体" w:hAnsi="宋体"/>
                <w:color w:val="auto"/>
                <w:sz w:val="24"/>
                <w:szCs w:val="24"/>
                <w:highlight w:val="none"/>
              </w:rPr>
              <w:t>5</w:t>
            </w:r>
            <w:r>
              <w:rPr>
                <w:rFonts w:hint="eastAsia" w:hAnsi="宋体"/>
                <w:color w:val="auto"/>
                <w:spacing w:val="-30"/>
                <w:sz w:val="24"/>
                <w:szCs w:val="24"/>
                <w:highlight w:val="none"/>
              </w:rPr>
              <w:t>％</w:t>
            </w:r>
            <w:r>
              <w:rPr>
                <w:rFonts w:hint="eastAsia" w:ascii="宋体" w:hAnsi="宋体"/>
                <w:color w:val="auto"/>
                <w:sz w:val="24"/>
                <w:szCs w:val="24"/>
                <w:highlight w:val="none"/>
              </w:rPr>
              <w:t>，食叶害虫＜</w:t>
            </w:r>
            <w:r>
              <w:rPr>
                <w:rFonts w:ascii="宋体" w:hAnsi="宋体"/>
                <w:color w:val="auto"/>
                <w:sz w:val="24"/>
                <w:szCs w:val="24"/>
                <w:highlight w:val="none"/>
              </w:rPr>
              <w:t>10</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，刺吸性害虫＜</w:t>
            </w:r>
            <w:r>
              <w:rPr>
                <w:rFonts w:ascii="宋体" w:hAnsi="宋体"/>
                <w:color w:val="auto"/>
                <w:sz w:val="24"/>
                <w:szCs w:val="24"/>
                <w:highlight w:val="none"/>
              </w:rPr>
              <w:t>15</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，病害感染率＜</w:t>
            </w:r>
            <w:r>
              <w:rPr>
                <w:rFonts w:ascii="宋体" w:hAnsi="宋体"/>
                <w:color w:val="auto"/>
                <w:sz w:val="24"/>
                <w:szCs w:val="24"/>
                <w:highlight w:val="none"/>
              </w:rPr>
              <w:t>10</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，寄生＜</w:t>
            </w:r>
            <w:r>
              <w:rPr>
                <w:rFonts w:ascii="宋体" w:hAnsi="宋体"/>
                <w:color w:val="auto"/>
                <w:sz w:val="24"/>
                <w:szCs w:val="24"/>
                <w:highlight w:val="none"/>
              </w:rPr>
              <w:t>5</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25AA61D4">
        <w:tblPrEx>
          <w:tblCellMar>
            <w:top w:w="0" w:type="dxa"/>
            <w:left w:w="108" w:type="dxa"/>
            <w:bottom w:w="0" w:type="dxa"/>
            <w:right w:w="108" w:type="dxa"/>
          </w:tblCellMar>
        </w:tblPrEx>
        <w:trPr>
          <w:trHeight w:val="1217" w:hRule="atLeast"/>
        </w:trPr>
        <w:tc>
          <w:tcPr>
            <w:tcW w:w="780" w:type="dxa"/>
            <w:tcBorders>
              <w:top w:val="single" w:color="auto" w:sz="4" w:space="0"/>
              <w:left w:val="single" w:color="auto" w:sz="12" w:space="0"/>
              <w:bottom w:val="single" w:color="auto" w:sz="4" w:space="0"/>
              <w:right w:val="single" w:color="auto" w:sz="4" w:space="0"/>
            </w:tcBorders>
            <w:noWrap w:val="0"/>
            <w:vAlign w:val="center"/>
          </w:tcPr>
          <w:p w14:paraId="45B50086">
            <w:pPr>
              <w:jc w:val="center"/>
              <w:rPr>
                <w:rFonts w:ascii="宋体"/>
                <w:color w:val="auto"/>
                <w:sz w:val="24"/>
                <w:szCs w:val="24"/>
                <w:highlight w:val="none"/>
              </w:rPr>
            </w:pPr>
            <w:r>
              <w:rPr>
                <w:rFonts w:hint="eastAsia" w:ascii="宋体" w:hAnsi="宋体"/>
                <w:color w:val="auto"/>
                <w:sz w:val="24"/>
                <w:szCs w:val="24"/>
                <w:highlight w:val="none"/>
              </w:rPr>
              <w:t>七</w:t>
            </w:r>
          </w:p>
        </w:tc>
        <w:tc>
          <w:tcPr>
            <w:tcW w:w="1339" w:type="dxa"/>
            <w:tcBorders>
              <w:top w:val="single" w:color="auto" w:sz="4" w:space="0"/>
              <w:left w:val="nil"/>
              <w:bottom w:val="single" w:color="auto" w:sz="4" w:space="0"/>
              <w:right w:val="single" w:color="auto" w:sz="4" w:space="0"/>
            </w:tcBorders>
            <w:noWrap w:val="0"/>
            <w:vAlign w:val="center"/>
          </w:tcPr>
          <w:p w14:paraId="12282D8C">
            <w:pPr>
              <w:jc w:val="center"/>
              <w:rPr>
                <w:rFonts w:ascii="宋体"/>
                <w:color w:val="auto"/>
                <w:sz w:val="24"/>
                <w:szCs w:val="24"/>
                <w:highlight w:val="none"/>
              </w:rPr>
            </w:pPr>
            <w:r>
              <w:rPr>
                <w:rFonts w:hint="eastAsia" w:ascii="宋体" w:hAnsi="宋体"/>
                <w:color w:val="auto"/>
                <w:sz w:val="24"/>
                <w:szCs w:val="24"/>
                <w:highlight w:val="none"/>
              </w:rPr>
              <w:t>保存率与</w:t>
            </w:r>
          </w:p>
          <w:p w14:paraId="17C1BBC3">
            <w:pPr>
              <w:jc w:val="center"/>
              <w:rPr>
                <w:rFonts w:ascii="宋体"/>
                <w:color w:val="auto"/>
                <w:sz w:val="24"/>
                <w:szCs w:val="24"/>
                <w:highlight w:val="none"/>
              </w:rPr>
            </w:pPr>
            <w:r>
              <w:rPr>
                <w:rFonts w:hint="eastAsia" w:ascii="宋体" w:hAnsi="宋体"/>
                <w:color w:val="auto"/>
                <w:sz w:val="24"/>
                <w:szCs w:val="24"/>
                <w:highlight w:val="none"/>
              </w:rPr>
              <w:t>覆盖率</w:t>
            </w:r>
          </w:p>
        </w:tc>
        <w:tc>
          <w:tcPr>
            <w:tcW w:w="7479" w:type="dxa"/>
            <w:tcBorders>
              <w:top w:val="single" w:color="auto" w:sz="4" w:space="0"/>
              <w:left w:val="nil"/>
              <w:bottom w:val="single" w:color="auto" w:sz="4" w:space="0"/>
              <w:right w:val="single" w:color="auto" w:sz="12" w:space="0"/>
            </w:tcBorders>
            <w:noWrap w:val="0"/>
            <w:vAlign w:val="center"/>
          </w:tcPr>
          <w:p w14:paraId="5559920A">
            <w:pPr>
              <w:ind w:firstLine="480" w:firstLineChars="200"/>
              <w:rPr>
                <w:rFonts w:ascii="宋体"/>
                <w:color w:val="auto"/>
                <w:sz w:val="24"/>
                <w:szCs w:val="24"/>
                <w:highlight w:val="none"/>
              </w:rPr>
            </w:pPr>
            <w:r>
              <w:rPr>
                <w:rFonts w:hint="eastAsia" w:ascii="宋体" w:hAnsi="宋体"/>
                <w:color w:val="auto"/>
                <w:sz w:val="24"/>
                <w:szCs w:val="24"/>
                <w:highlight w:val="none"/>
              </w:rPr>
              <w:t>及时补种与改造，黄土裸露率＜</w:t>
            </w:r>
            <w:r>
              <w:rPr>
                <w:rFonts w:ascii="宋体" w:hAnsi="宋体"/>
                <w:color w:val="auto"/>
                <w:sz w:val="24"/>
                <w:szCs w:val="24"/>
                <w:highlight w:val="none"/>
              </w:rPr>
              <w:t>3</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，乔灌木缺株率＜</w:t>
            </w:r>
            <w:r>
              <w:rPr>
                <w:rFonts w:ascii="宋体" w:hAnsi="宋体"/>
                <w:color w:val="auto"/>
                <w:sz w:val="24"/>
                <w:szCs w:val="24"/>
                <w:highlight w:val="none"/>
              </w:rPr>
              <w:t>3</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，单处明显裸露面积＜</w:t>
            </w:r>
            <w:r>
              <w:rPr>
                <w:rFonts w:ascii="宋体" w:hAnsi="宋体"/>
                <w:color w:val="auto"/>
                <w:sz w:val="24"/>
                <w:szCs w:val="24"/>
                <w:highlight w:val="none"/>
              </w:rPr>
              <w:t>5</w:t>
            </w:r>
            <w:r>
              <w:rPr>
                <w:rFonts w:hAnsi="宋体"/>
                <w:color w:val="auto"/>
                <w:spacing w:val="-30"/>
                <w:sz w:val="24"/>
                <w:szCs w:val="24"/>
                <w:highlight w:val="none"/>
              </w:rPr>
              <w:t> </w:t>
            </w:r>
            <w:r>
              <w:rPr>
                <w:rFonts w:ascii="宋体" w:hAnsi="宋体"/>
                <w:color w:val="auto"/>
                <w:sz w:val="24"/>
                <w:szCs w:val="24"/>
                <w:highlight w:val="none"/>
              </w:rPr>
              <w:t>m</w:t>
            </w:r>
            <w:r>
              <w:rPr>
                <w:rFonts w:ascii="宋体" w:hAnsi="宋体"/>
                <w:color w:val="auto"/>
                <w:sz w:val="24"/>
                <w:szCs w:val="24"/>
                <w:highlight w:val="none"/>
                <w:vertAlign w:val="superscript"/>
              </w:rPr>
              <w:t>2</w:t>
            </w:r>
            <w:r>
              <w:rPr>
                <w:rFonts w:hint="eastAsia" w:ascii="宋体" w:hAnsi="宋体"/>
                <w:color w:val="auto"/>
                <w:sz w:val="24"/>
                <w:szCs w:val="24"/>
                <w:highlight w:val="none"/>
              </w:rPr>
              <w:t>；花坛色块中的时花及时换种，一年中</w:t>
            </w:r>
            <w:r>
              <w:rPr>
                <w:rFonts w:ascii="宋体" w:hAnsi="宋体"/>
                <w:color w:val="auto"/>
                <w:sz w:val="24"/>
                <w:szCs w:val="24"/>
                <w:highlight w:val="none"/>
              </w:rPr>
              <w:t>6</w:t>
            </w:r>
            <w:r>
              <w:rPr>
                <w:rFonts w:hint="eastAsia" w:ascii="宋体" w:hAnsi="宋体"/>
                <w:color w:val="auto"/>
                <w:sz w:val="24"/>
                <w:szCs w:val="24"/>
                <w:highlight w:val="none"/>
              </w:rPr>
              <w:t>个月以上有花观赏。</w:t>
            </w:r>
          </w:p>
        </w:tc>
      </w:tr>
      <w:tr w14:paraId="76F6D65C">
        <w:tblPrEx>
          <w:tblCellMar>
            <w:top w:w="0" w:type="dxa"/>
            <w:left w:w="108" w:type="dxa"/>
            <w:bottom w:w="0" w:type="dxa"/>
            <w:right w:w="108" w:type="dxa"/>
          </w:tblCellMar>
        </w:tblPrEx>
        <w:trPr>
          <w:trHeight w:val="1217" w:hRule="atLeast"/>
        </w:trPr>
        <w:tc>
          <w:tcPr>
            <w:tcW w:w="780" w:type="dxa"/>
            <w:tcBorders>
              <w:top w:val="single" w:color="auto" w:sz="4" w:space="0"/>
              <w:left w:val="single" w:color="auto" w:sz="12" w:space="0"/>
              <w:bottom w:val="single" w:color="auto" w:sz="8" w:space="0"/>
              <w:right w:val="single" w:color="auto" w:sz="4" w:space="0"/>
            </w:tcBorders>
            <w:noWrap w:val="0"/>
            <w:vAlign w:val="center"/>
          </w:tcPr>
          <w:p w14:paraId="4744DEAB">
            <w:pPr>
              <w:jc w:val="center"/>
              <w:rPr>
                <w:rFonts w:ascii="宋体"/>
                <w:color w:val="auto"/>
                <w:sz w:val="24"/>
                <w:szCs w:val="24"/>
                <w:highlight w:val="none"/>
              </w:rPr>
            </w:pPr>
            <w:r>
              <w:rPr>
                <w:rFonts w:hint="eastAsia" w:ascii="宋体" w:hAnsi="宋体"/>
                <w:color w:val="auto"/>
                <w:sz w:val="24"/>
                <w:szCs w:val="24"/>
                <w:highlight w:val="none"/>
              </w:rPr>
              <w:t>八</w:t>
            </w:r>
          </w:p>
        </w:tc>
        <w:tc>
          <w:tcPr>
            <w:tcW w:w="1339" w:type="dxa"/>
            <w:tcBorders>
              <w:top w:val="single" w:color="auto" w:sz="4" w:space="0"/>
              <w:left w:val="nil"/>
              <w:bottom w:val="single" w:color="auto" w:sz="8" w:space="0"/>
              <w:right w:val="single" w:color="auto" w:sz="4" w:space="0"/>
            </w:tcBorders>
            <w:noWrap w:val="0"/>
            <w:vAlign w:val="center"/>
          </w:tcPr>
          <w:p w14:paraId="0BB44558">
            <w:pPr>
              <w:jc w:val="center"/>
              <w:rPr>
                <w:rFonts w:ascii="宋体"/>
                <w:color w:val="auto"/>
                <w:sz w:val="24"/>
                <w:szCs w:val="24"/>
                <w:highlight w:val="none"/>
              </w:rPr>
            </w:pPr>
            <w:r>
              <w:rPr>
                <w:rFonts w:hint="eastAsia" w:ascii="宋体" w:hAnsi="宋体"/>
                <w:color w:val="auto"/>
                <w:sz w:val="24"/>
                <w:szCs w:val="24"/>
                <w:highlight w:val="none"/>
              </w:rPr>
              <w:t>环境卫生</w:t>
            </w:r>
          </w:p>
        </w:tc>
        <w:tc>
          <w:tcPr>
            <w:tcW w:w="7479" w:type="dxa"/>
            <w:tcBorders>
              <w:top w:val="single" w:color="auto" w:sz="4" w:space="0"/>
              <w:left w:val="nil"/>
              <w:bottom w:val="single" w:color="auto" w:sz="8" w:space="0"/>
              <w:right w:val="single" w:color="auto" w:sz="12" w:space="0"/>
            </w:tcBorders>
            <w:noWrap w:val="0"/>
            <w:vAlign w:val="center"/>
          </w:tcPr>
          <w:p w14:paraId="4F2F2613">
            <w:pPr>
              <w:ind w:firstLine="480" w:firstLineChars="200"/>
              <w:rPr>
                <w:rFonts w:ascii="宋体"/>
                <w:color w:val="auto"/>
                <w:sz w:val="24"/>
                <w:szCs w:val="24"/>
                <w:highlight w:val="none"/>
              </w:rPr>
            </w:pPr>
            <w:r>
              <w:rPr>
                <w:rFonts w:hint="eastAsia" w:ascii="宋体" w:hAnsi="宋体"/>
                <w:color w:val="auto"/>
                <w:sz w:val="24"/>
                <w:szCs w:val="24"/>
                <w:highlight w:val="none"/>
              </w:rPr>
              <w:t>绿地设施完好、整洁；无死树、残桩头及陈旧堆积物；水池无明显悬浮物，水体基本清洁；无明显垃圾，基本无果皮、烟头、瓜子壳、纸屑等垃圾。达标率＞</w:t>
            </w:r>
            <w:r>
              <w:rPr>
                <w:rFonts w:ascii="宋体" w:hAnsi="宋体"/>
                <w:color w:val="auto"/>
                <w:sz w:val="24"/>
                <w:szCs w:val="24"/>
                <w:highlight w:val="none"/>
              </w:rPr>
              <w:t>90</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1E0E6575">
        <w:tblPrEx>
          <w:tblCellMar>
            <w:top w:w="0" w:type="dxa"/>
            <w:left w:w="108" w:type="dxa"/>
            <w:bottom w:w="0" w:type="dxa"/>
            <w:right w:w="108" w:type="dxa"/>
          </w:tblCellMar>
        </w:tblPrEx>
        <w:trPr>
          <w:cantSplit/>
          <w:trHeight w:val="913" w:hRule="atLeast"/>
        </w:trPr>
        <w:tc>
          <w:tcPr>
            <w:tcW w:w="9598" w:type="dxa"/>
            <w:gridSpan w:val="3"/>
            <w:tcBorders>
              <w:top w:val="single" w:color="auto" w:sz="8" w:space="0"/>
              <w:left w:val="single" w:color="auto" w:sz="12" w:space="0"/>
              <w:bottom w:val="single" w:color="auto" w:sz="12" w:space="0"/>
              <w:right w:val="single" w:color="auto" w:sz="12" w:space="0"/>
            </w:tcBorders>
            <w:noWrap w:val="0"/>
            <w:vAlign w:val="center"/>
          </w:tcPr>
          <w:p w14:paraId="6104017D">
            <w:pPr>
              <w:ind w:firstLine="480" w:firstLineChars="200"/>
              <w:rPr>
                <w:rFonts w:ascii="宋体"/>
                <w:color w:val="auto"/>
                <w:sz w:val="24"/>
                <w:szCs w:val="24"/>
                <w:highlight w:val="none"/>
              </w:rPr>
            </w:pPr>
            <w:r>
              <w:rPr>
                <w:rFonts w:hint="eastAsia" w:ascii="宋体" w:hAnsi="宋体"/>
                <w:color w:val="auto"/>
                <w:sz w:val="24"/>
                <w:szCs w:val="24"/>
                <w:highlight w:val="none"/>
              </w:rPr>
              <w:t>注：达标率指乔木、灌木、地被、草坪等被检目标达到相应要求的植株数（或面积）占总株数（或总面积）的百分比。</w:t>
            </w:r>
          </w:p>
        </w:tc>
      </w:tr>
    </w:tbl>
    <w:p w14:paraId="37C6CF4B">
      <w:pPr>
        <w:pStyle w:val="42"/>
        <w:spacing w:before="165"/>
        <w:ind w:left="0" w:firstLine="527" w:firstLineChars="250"/>
        <w:outlineLvl w:val="9"/>
        <w:rPr>
          <w:b/>
          <w:bCs/>
          <w:color w:val="auto"/>
          <w:highlight w:val="none"/>
        </w:rPr>
      </w:pPr>
      <w:r>
        <w:rPr>
          <w:b/>
          <w:bCs/>
          <w:color w:val="auto"/>
          <w:highlight w:val="none"/>
        </w:rPr>
        <w:br w:type="page"/>
      </w:r>
      <w:r>
        <w:rPr>
          <w:rFonts w:hint="eastAsia"/>
          <w:b/>
          <w:bCs/>
          <w:color w:val="auto"/>
          <w:sz w:val="22"/>
          <w:szCs w:val="22"/>
          <w:highlight w:val="none"/>
        </w:rPr>
        <w:t>（</w:t>
      </w:r>
      <w:r>
        <w:rPr>
          <w:b/>
          <w:bCs/>
          <w:color w:val="auto"/>
          <w:sz w:val="22"/>
          <w:szCs w:val="22"/>
          <w:highlight w:val="none"/>
        </w:rPr>
        <w:t>2</w:t>
      </w:r>
      <w:r>
        <w:rPr>
          <w:rFonts w:hint="eastAsia"/>
          <w:b/>
          <w:bCs/>
          <w:color w:val="auto"/>
          <w:sz w:val="22"/>
          <w:szCs w:val="22"/>
          <w:highlight w:val="none"/>
        </w:rPr>
        <w:t>）二级行道树养护质量要求表</w:t>
      </w:r>
    </w:p>
    <w:tbl>
      <w:tblPr>
        <w:tblStyle w:val="22"/>
        <w:tblW w:w="9344" w:type="dxa"/>
        <w:tblInd w:w="77" w:type="dxa"/>
        <w:tblLayout w:type="fixed"/>
        <w:tblCellMar>
          <w:top w:w="0" w:type="dxa"/>
          <w:left w:w="108" w:type="dxa"/>
          <w:bottom w:w="0" w:type="dxa"/>
          <w:right w:w="108" w:type="dxa"/>
        </w:tblCellMar>
      </w:tblPr>
      <w:tblGrid>
        <w:gridCol w:w="723"/>
        <w:gridCol w:w="1145"/>
        <w:gridCol w:w="7476"/>
      </w:tblGrid>
      <w:tr w14:paraId="00076B27">
        <w:trPr>
          <w:trHeight w:val="476"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72A4C6F7">
            <w:pPr>
              <w:jc w:val="center"/>
              <w:rPr>
                <w:rFonts w:ascii="宋体"/>
                <w:color w:val="auto"/>
                <w:sz w:val="24"/>
                <w:szCs w:val="24"/>
                <w:highlight w:val="none"/>
              </w:rPr>
            </w:pPr>
            <w:r>
              <w:rPr>
                <w:rFonts w:hint="eastAsia" w:ascii="宋体" w:hAnsi="宋体"/>
                <w:color w:val="auto"/>
                <w:sz w:val="24"/>
                <w:szCs w:val="24"/>
                <w:highlight w:val="none"/>
              </w:rPr>
              <w:t>序号</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2EA70277">
            <w:pPr>
              <w:jc w:val="center"/>
              <w:rPr>
                <w:rFonts w:ascii="宋体"/>
                <w:color w:val="auto"/>
                <w:sz w:val="24"/>
                <w:szCs w:val="24"/>
                <w:highlight w:val="none"/>
              </w:rPr>
            </w:pPr>
            <w:r>
              <w:rPr>
                <w:rFonts w:hint="eastAsia" w:ascii="宋体" w:hAnsi="宋体"/>
                <w:color w:val="auto"/>
                <w:sz w:val="24"/>
                <w:szCs w:val="24"/>
                <w:highlight w:val="none"/>
              </w:rPr>
              <w:t>项目</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2A6E9A21">
            <w:pPr>
              <w:jc w:val="center"/>
              <w:rPr>
                <w:rFonts w:ascii="宋体"/>
                <w:color w:val="auto"/>
                <w:sz w:val="24"/>
                <w:szCs w:val="24"/>
                <w:highlight w:val="none"/>
              </w:rPr>
            </w:pPr>
            <w:r>
              <w:rPr>
                <w:rFonts w:hint="eastAsia" w:ascii="宋体" w:hAnsi="宋体"/>
                <w:color w:val="auto"/>
                <w:sz w:val="24"/>
                <w:szCs w:val="24"/>
                <w:highlight w:val="none"/>
              </w:rPr>
              <w:t>质量要求</w:t>
            </w:r>
          </w:p>
        </w:tc>
      </w:tr>
      <w:tr w14:paraId="16B3A6CF">
        <w:tblPrEx>
          <w:tblCellMar>
            <w:top w:w="0" w:type="dxa"/>
            <w:left w:w="108" w:type="dxa"/>
            <w:bottom w:w="0" w:type="dxa"/>
            <w:right w:w="108" w:type="dxa"/>
          </w:tblCellMar>
        </w:tblPrEx>
        <w:trPr>
          <w:trHeight w:val="599"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3EDD0F5B">
            <w:pPr>
              <w:jc w:val="center"/>
              <w:rPr>
                <w:rFonts w:ascii="宋体"/>
                <w:color w:val="auto"/>
                <w:sz w:val="24"/>
                <w:szCs w:val="24"/>
                <w:highlight w:val="none"/>
              </w:rPr>
            </w:pPr>
            <w:r>
              <w:rPr>
                <w:rFonts w:hint="eastAsia" w:ascii="宋体" w:hAnsi="宋体"/>
                <w:color w:val="auto"/>
                <w:sz w:val="24"/>
                <w:szCs w:val="24"/>
                <w:highlight w:val="none"/>
              </w:rPr>
              <w:t>一</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86A9170">
            <w:pPr>
              <w:jc w:val="center"/>
              <w:rPr>
                <w:rFonts w:ascii="宋体"/>
                <w:color w:val="auto"/>
                <w:sz w:val="24"/>
                <w:szCs w:val="24"/>
                <w:highlight w:val="none"/>
              </w:rPr>
            </w:pPr>
            <w:r>
              <w:rPr>
                <w:rFonts w:hint="eastAsia" w:ascii="宋体" w:hAnsi="宋体"/>
                <w:color w:val="auto"/>
                <w:sz w:val="24"/>
                <w:szCs w:val="24"/>
                <w:highlight w:val="none"/>
              </w:rPr>
              <w:t>整体效果</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469B66E6">
            <w:pPr>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同一路段的第一排行道树、分车绿带上的行道树及其间的灌木，同品种的树</w:t>
            </w:r>
            <w:r>
              <w:rPr>
                <w:rFonts w:hint="eastAsia" w:ascii="宋体" w:hAnsi="宋体"/>
                <w:color w:val="auto"/>
                <w:sz w:val="24"/>
                <w:szCs w:val="24"/>
                <w:highlight w:val="none"/>
                <w:lang w:val="en-US" w:eastAsia="zh-CN"/>
              </w:rPr>
              <w:t>形</w:t>
            </w:r>
            <w:r>
              <w:rPr>
                <w:rFonts w:hint="eastAsia" w:ascii="宋体" w:hAnsi="宋体" w:eastAsia="宋体" w:cs="Times New Roman"/>
                <w:color w:val="auto"/>
                <w:sz w:val="24"/>
                <w:szCs w:val="24"/>
                <w:highlight w:val="none"/>
                <w:lang w:val="en-US" w:eastAsia="zh-CN"/>
              </w:rPr>
              <w:t>与高度基本一致；树体基本干净，无明显积尘；具有较好的整体观赏效果。</w:t>
            </w:r>
          </w:p>
        </w:tc>
      </w:tr>
      <w:tr w14:paraId="282E060B">
        <w:tblPrEx>
          <w:tblCellMar>
            <w:top w:w="0" w:type="dxa"/>
            <w:left w:w="108" w:type="dxa"/>
            <w:bottom w:w="0" w:type="dxa"/>
            <w:right w:w="108" w:type="dxa"/>
          </w:tblCellMar>
        </w:tblPrEx>
        <w:trPr>
          <w:trHeight w:val="472"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22C18559">
            <w:pPr>
              <w:jc w:val="center"/>
              <w:rPr>
                <w:rFonts w:ascii="宋体"/>
                <w:color w:val="auto"/>
                <w:sz w:val="24"/>
                <w:szCs w:val="24"/>
                <w:highlight w:val="none"/>
              </w:rPr>
            </w:pPr>
            <w:r>
              <w:rPr>
                <w:rFonts w:hint="eastAsia" w:ascii="宋体" w:hAnsi="宋体"/>
                <w:color w:val="auto"/>
                <w:sz w:val="24"/>
                <w:szCs w:val="24"/>
                <w:highlight w:val="none"/>
              </w:rPr>
              <w:t>二</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2738896">
            <w:pPr>
              <w:jc w:val="center"/>
              <w:rPr>
                <w:rFonts w:ascii="宋体"/>
                <w:color w:val="auto"/>
                <w:sz w:val="24"/>
                <w:szCs w:val="24"/>
                <w:highlight w:val="none"/>
              </w:rPr>
            </w:pPr>
            <w:r>
              <w:rPr>
                <w:rFonts w:hint="eastAsia" w:ascii="宋体" w:hAnsi="宋体"/>
                <w:color w:val="auto"/>
                <w:sz w:val="24"/>
                <w:szCs w:val="24"/>
                <w:highlight w:val="none"/>
              </w:rPr>
              <w:t>植物生长</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5C8FA96A">
            <w:pPr>
              <w:ind w:firstLine="480" w:firstLineChars="200"/>
              <w:rPr>
                <w:rFonts w:ascii="宋体"/>
                <w:color w:val="auto"/>
                <w:sz w:val="24"/>
                <w:szCs w:val="24"/>
                <w:highlight w:val="none"/>
              </w:rPr>
            </w:pPr>
            <w:r>
              <w:rPr>
                <w:rFonts w:hint="eastAsia" w:ascii="宋体" w:hAnsi="宋体"/>
                <w:color w:val="auto"/>
                <w:sz w:val="24"/>
                <w:szCs w:val="24"/>
                <w:highlight w:val="none"/>
              </w:rPr>
              <w:t>生长良好，符合物候状况，枝叶健壮，树体正直不偏斜，观花植物适时开花。达标率＞</w:t>
            </w:r>
            <w:r>
              <w:rPr>
                <w:rFonts w:ascii="宋体" w:hAnsi="宋体"/>
                <w:color w:val="auto"/>
                <w:sz w:val="24"/>
                <w:szCs w:val="24"/>
                <w:highlight w:val="none"/>
              </w:rPr>
              <w:t>90</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08ED80A4">
        <w:tblPrEx>
          <w:tblCellMar>
            <w:top w:w="0" w:type="dxa"/>
            <w:left w:w="108" w:type="dxa"/>
            <w:bottom w:w="0" w:type="dxa"/>
            <w:right w:w="108" w:type="dxa"/>
          </w:tblCellMar>
        </w:tblPrEx>
        <w:trPr>
          <w:trHeight w:val="1865"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1050EC87">
            <w:pPr>
              <w:jc w:val="center"/>
              <w:rPr>
                <w:rFonts w:ascii="宋体"/>
                <w:color w:val="auto"/>
                <w:sz w:val="24"/>
                <w:szCs w:val="24"/>
                <w:highlight w:val="none"/>
              </w:rPr>
            </w:pPr>
            <w:r>
              <w:rPr>
                <w:rFonts w:hint="eastAsia" w:ascii="宋体" w:hAnsi="宋体"/>
                <w:color w:val="auto"/>
                <w:sz w:val="24"/>
                <w:szCs w:val="24"/>
                <w:highlight w:val="none"/>
              </w:rPr>
              <w:t>三</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ED2A66F">
            <w:pPr>
              <w:jc w:val="center"/>
              <w:rPr>
                <w:rFonts w:ascii="宋体"/>
                <w:color w:val="auto"/>
                <w:sz w:val="24"/>
                <w:szCs w:val="24"/>
                <w:highlight w:val="none"/>
              </w:rPr>
            </w:pPr>
            <w:r>
              <w:rPr>
                <w:rFonts w:hint="eastAsia" w:ascii="宋体" w:hAnsi="宋体"/>
                <w:color w:val="auto"/>
                <w:sz w:val="24"/>
                <w:szCs w:val="24"/>
                <w:highlight w:val="none"/>
              </w:rPr>
              <w:t>整形修剪</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6C21871E">
            <w:pPr>
              <w:ind w:firstLine="480" w:firstLineChars="200"/>
              <w:rPr>
                <w:rFonts w:ascii="宋体"/>
                <w:color w:val="auto"/>
                <w:sz w:val="24"/>
                <w:szCs w:val="24"/>
                <w:highlight w:val="none"/>
              </w:rPr>
            </w:pPr>
            <w:r>
              <w:rPr>
                <w:rFonts w:hint="eastAsia" w:ascii="宋体" w:hAnsi="宋体"/>
                <w:color w:val="auto"/>
                <w:sz w:val="24"/>
                <w:szCs w:val="24"/>
                <w:highlight w:val="none"/>
              </w:rPr>
              <w:t>整形乔灌木按要求修剪并保持一定形状，同路段同品种的树冠形状、大小基本一致，树</w:t>
            </w:r>
            <w:r>
              <w:rPr>
                <w:rFonts w:hint="eastAsia" w:ascii="宋体" w:hAnsi="宋体"/>
                <w:color w:val="auto"/>
                <w:sz w:val="24"/>
                <w:szCs w:val="24"/>
                <w:highlight w:val="none"/>
                <w:lang w:val="en-US" w:eastAsia="zh-CN"/>
              </w:rPr>
              <w:t>形</w:t>
            </w:r>
            <w:r>
              <w:rPr>
                <w:rFonts w:hint="eastAsia" w:ascii="宋体" w:hAnsi="宋体"/>
                <w:color w:val="auto"/>
                <w:sz w:val="24"/>
                <w:szCs w:val="24"/>
                <w:highlight w:val="none"/>
              </w:rPr>
              <w:t>良好，线条流畅；一般乔木修剪要求维持树种特征，树冠匀称，分枝合理，基本无病虫枝、过密枝、交叉枝、低垂枝、伤残枝，无明显钉挂物、缠绕物；一般孤植灌木按要求养成观花或观叶形态，树</w:t>
            </w:r>
            <w:r>
              <w:rPr>
                <w:rFonts w:hint="eastAsia" w:ascii="宋体" w:hAnsi="宋体"/>
                <w:color w:val="auto"/>
                <w:sz w:val="24"/>
                <w:szCs w:val="24"/>
                <w:highlight w:val="none"/>
                <w:lang w:val="en-US" w:eastAsia="zh-CN"/>
              </w:rPr>
              <w:t>形</w:t>
            </w:r>
            <w:r>
              <w:rPr>
                <w:rFonts w:hint="eastAsia" w:ascii="宋体" w:hAnsi="宋体"/>
                <w:color w:val="auto"/>
                <w:sz w:val="24"/>
                <w:szCs w:val="24"/>
                <w:highlight w:val="none"/>
              </w:rPr>
              <w:t>良好，无枯枝，同品种的植株高度基本一致；无死树、残桩头，修剪的枝叶及时清理。达标率＞</w:t>
            </w:r>
            <w:r>
              <w:rPr>
                <w:rFonts w:ascii="宋体" w:hAnsi="宋体"/>
                <w:color w:val="auto"/>
                <w:sz w:val="24"/>
                <w:szCs w:val="24"/>
                <w:highlight w:val="none"/>
              </w:rPr>
              <w:t>90</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6D60C70D">
        <w:tblPrEx>
          <w:tblCellMar>
            <w:top w:w="0" w:type="dxa"/>
            <w:left w:w="108" w:type="dxa"/>
            <w:bottom w:w="0" w:type="dxa"/>
            <w:right w:w="108" w:type="dxa"/>
          </w:tblCellMar>
        </w:tblPrEx>
        <w:trPr>
          <w:trHeight w:val="1636"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3D5A029E">
            <w:pPr>
              <w:jc w:val="center"/>
              <w:rPr>
                <w:rFonts w:ascii="宋体"/>
                <w:color w:val="auto"/>
                <w:sz w:val="24"/>
                <w:szCs w:val="24"/>
                <w:highlight w:val="none"/>
              </w:rPr>
            </w:pPr>
            <w:r>
              <w:rPr>
                <w:rFonts w:hint="eastAsia" w:ascii="宋体" w:hAnsi="宋体"/>
                <w:color w:val="auto"/>
                <w:sz w:val="24"/>
                <w:szCs w:val="24"/>
                <w:highlight w:val="none"/>
              </w:rPr>
              <w:t>四</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5B8EB1D">
            <w:pPr>
              <w:jc w:val="center"/>
              <w:rPr>
                <w:rFonts w:ascii="宋体"/>
                <w:color w:val="auto"/>
                <w:sz w:val="24"/>
                <w:szCs w:val="24"/>
                <w:highlight w:val="none"/>
              </w:rPr>
            </w:pPr>
            <w:r>
              <w:rPr>
                <w:rFonts w:hint="eastAsia" w:ascii="宋体" w:hAnsi="宋体"/>
                <w:color w:val="auto"/>
                <w:sz w:val="24"/>
                <w:szCs w:val="24"/>
                <w:highlight w:val="none"/>
              </w:rPr>
              <w:t>定干高度</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7FB54787">
            <w:pPr>
              <w:ind w:firstLine="480" w:firstLineChars="200"/>
              <w:rPr>
                <w:rFonts w:ascii="宋体"/>
                <w:color w:val="auto"/>
                <w:sz w:val="24"/>
                <w:szCs w:val="24"/>
                <w:highlight w:val="none"/>
              </w:rPr>
            </w:pPr>
            <w:r>
              <w:rPr>
                <w:rFonts w:hint="eastAsia" w:ascii="宋体" w:hAnsi="宋体"/>
                <w:color w:val="auto"/>
                <w:sz w:val="24"/>
                <w:szCs w:val="24"/>
                <w:highlight w:val="none"/>
              </w:rPr>
              <w:t>树木的定干高度和枝下高不能影响车辆行驶及行人安全。位于人行道和非机动车车行道边的行道树，胸径在</w:t>
            </w:r>
            <w:r>
              <w:rPr>
                <w:rFonts w:ascii="宋体" w:hAnsi="宋体"/>
                <w:color w:val="auto"/>
                <w:sz w:val="24"/>
                <w:szCs w:val="24"/>
                <w:highlight w:val="none"/>
              </w:rPr>
              <w:t>5</w:t>
            </w:r>
            <w:r>
              <w:rPr>
                <w:rFonts w:hAnsi="宋体"/>
                <w:color w:val="auto"/>
                <w:spacing w:val="-30"/>
                <w:sz w:val="24"/>
                <w:szCs w:val="24"/>
                <w:highlight w:val="none"/>
              </w:rPr>
              <w:t> </w:t>
            </w:r>
            <w:r>
              <w:rPr>
                <w:rFonts w:ascii="宋体" w:hAnsi="宋体"/>
                <w:color w:val="auto"/>
                <w:sz w:val="24"/>
                <w:szCs w:val="24"/>
                <w:highlight w:val="none"/>
              </w:rPr>
              <w:t>cm</w:t>
            </w:r>
            <w:r>
              <w:rPr>
                <w:rFonts w:hint="eastAsia" w:ascii="宋体" w:hAnsi="宋体"/>
                <w:color w:val="auto"/>
                <w:sz w:val="24"/>
                <w:szCs w:val="24"/>
                <w:highlight w:val="none"/>
              </w:rPr>
              <w:t>～</w:t>
            </w:r>
            <w:r>
              <w:rPr>
                <w:rFonts w:ascii="宋体" w:hAnsi="宋体"/>
                <w:color w:val="auto"/>
                <w:sz w:val="24"/>
                <w:szCs w:val="24"/>
                <w:highlight w:val="none"/>
              </w:rPr>
              <w:t>9</w:t>
            </w:r>
            <w:r>
              <w:rPr>
                <w:rFonts w:hAnsi="宋体"/>
                <w:color w:val="auto"/>
                <w:spacing w:val="-30"/>
                <w:sz w:val="24"/>
                <w:szCs w:val="24"/>
                <w:highlight w:val="none"/>
              </w:rPr>
              <w:t> </w:t>
            </w:r>
            <w:r>
              <w:rPr>
                <w:rFonts w:ascii="宋体" w:hAnsi="宋体"/>
                <w:color w:val="auto"/>
                <w:sz w:val="24"/>
                <w:szCs w:val="24"/>
                <w:highlight w:val="none"/>
              </w:rPr>
              <w:t>cm</w:t>
            </w:r>
            <w:r>
              <w:rPr>
                <w:rFonts w:hint="eastAsia" w:ascii="宋体" w:hAnsi="宋体"/>
                <w:color w:val="auto"/>
                <w:sz w:val="24"/>
                <w:szCs w:val="24"/>
                <w:highlight w:val="none"/>
              </w:rPr>
              <w:t>的阔叶小乔木定干高度不应低于</w:t>
            </w:r>
            <w:r>
              <w:rPr>
                <w:rFonts w:ascii="宋体" w:hAnsi="宋体"/>
                <w:color w:val="auto"/>
                <w:sz w:val="24"/>
                <w:szCs w:val="24"/>
                <w:highlight w:val="none"/>
              </w:rPr>
              <w:t>2</w:t>
            </w:r>
            <w:r>
              <w:rPr>
                <w:rFonts w:hAnsi="宋体"/>
                <w:color w:val="auto"/>
                <w:spacing w:val="-30"/>
                <w:sz w:val="24"/>
                <w:szCs w:val="24"/>
                <w:highlight w:val="none"/>
              </w:rPr>
              <w:t> </w:t>
            </w:r>
            <w:r>
              <w:rPr>
                <w:rFonts w:ascii="宋体" w:hAnsi="宋体"/>
                <w:color w:val="auto"/>
                <w:sz w:val="24"/>
                <w:szCs w:val="24"/>
                <w:highlight w:val="none"/>
              </w:rPr>
              <w:t>m</w:t>
            </w:r>
            <w:r>
              <w:rPr>
                <w:rFonts w:hint="eastAsia" w:ascii="宋体" w:hAnsi="宋体"/>
                <w:color w:val="auto"/>
                <w:sz w:val="24"/>
                <w:szCs w:val="24"/>
                <w:highlight w:val="none"/>
              </w:rPr>
              <w:t>；其它乔木的定干高度不应低于</w:t>
            </w:r>
            <w:r>
              <w:rPr>
                <w:rFonts w:ascii="宋体" w:hAnsi="宋体"/>
                <w:color w:val="auto"/>
                <w:sz w:val="24"/>
                <w:szCs w:val="24"/>
                <w:highlight w:val="none"/>
              </w:rPr>
              <w:t>2.5</w:t>
            </w:r>
            <w:r>
              <w:rPr>
                <w:rFonts w:hAnsi="宋体"/>
                <w:color w:val="auto"/>
                <w:spacing w:val="-30"/>
                <w:sz w:val="24"/>
                <w:szCs w:val="24"/>
                <w:highlight w:val="none"/>
              </w:rPr>
              <w:t> </w:t>
            </w:r>
            <w:r>
              <w:rPr>
                <w:rFonts w:ascii="宋体" w:hAnsi="宋体"/>
                <w:color w:val="auto"/>
                <w:sz w:val="24"/>
                <w:szCs w:val="24"/>
                <w:highlight w:val="none"/>
              </w:rPr>
              <w:t>m</w:t>
            </w:r>
            <w:r>
              <w:rPr>
                <w:rFonts w:hint="eastAsia" w:ascii="宋体" w:hAnsi="宋体"/>
                <w:color w:val="auto"/>
                <w:sz w:val="24"/>
                <w:szCs w:val="24"/>
                <w:highlight w:val="none"/>
              </w:rPr>
              <w:t>，枝下高不应低于</w:t>
            </w:r>
            <w:r>
              <w:rPr>
                <w:rFonts w:ascii="宋体" w:hAnsi="宋体"/>
                <w:color w:val="auto"/>
                <w:sz w:val="24"/>
                <w:szCs w:val="24"/>
                <w:highlight w:val="none"/>
              </w:rPr>
              <w:t>3m</w:t>
            </w:r>
            <w:r>
              <w:rPr>
                <w:rFonts w:hint="eastAsia" w:ascii="宋体" w:hAnsi="宋体"/>
                <w:color w:val="auto"/>
                <w:sz w:val="24"/>
                <w:szCs w:val="24"/>
                <w:highlight w:val="none"/>
              </w:rPr>
              <w:t>。位于机动车车行道边的行道树定干高度不应低于</w:t>
            </w:r>
            <w:r>
              <w:rPr>
                <w:rFonts w:ascii="宋体" w:hAnsi="宋体"/>
                <w:color w:val="auto"/>
                <w:sz w:val="24"/>
                <w:szCs w:val="24"/>
                <w:highlight w:val="none"/>
              </w:rPr>
              <w:t>2.5</w:t>
            </w:r>
            <w:r>
              <w:rPr>
                <w:rFonts w:hAnsi="宋体"/>
                <w:color w:val="auto"/>
                <w:spacing w:val="-30"/>
                <w:sz w:val="24"/>
                <w:szCs w:val="24"/>
                <w:highlight w:val="none"/>
              </w:rPr>
              <w:t> </w:t>
            </w:r>
            <w:r>
              <w:rPr>
                <w:rFonts w:ascii="宋体" w:hAnsi="宋体"/>
                <w:color w:val="auto"/>
                <w:sz w:val="24"/>
                <w:szCs w:val="24"/>
                <w:highlight w:val="none"/>
              </w:rPr>
              <w:t>m</w:t>
            </w:r>
            <w:r>
              <w:rPr>
                <w:rFonts w:hint="eastAsia" w:ascii="宋体" w:hAnsi="宋体"/>
                <w:color w:val="auto"/>
                <w:sz w:val="24"/>
                <w:szCs w:val="24"/>
                <w:highlight w:val="none"/>
              </w:rPr>
              <w:t>，伸出车行道路上方的枝条距离路面高度不应低于</w:t>
            </w:r>
            <w:r>
              <w:rPr>
                <w:rFonts w:ascii="宋体" w:hAnsi="宋体"/>
                <w:color w:val="auto"/>
                <w:sz w:val="24"/>
                <w:szCs w:val="24"/>
                <w:highlight w:val="none"/>
              </w:rPr>
              <w:t>4.5</w:t>
            </w:r>
            <w:r>
              <w:rPr>
                <w:rFonts w:hAnsi="宋体"/>
                <w:color w:val="auto"/>
                <w:spacing w:val="-30"/>
                <w:sz w:val="24"/>
                <w:szCs w:val="24"/>
                <w:highlight w:val="none"/>
              </w:rPr>
              <w:t> </w:t>
            </w:r>
            <w:r>
              <w:rPr>
                <w:rFonts w:ascii="宋体" w:hAnsi="宋体"/>
                <w:color w:val="auto"/>
                <w:sz w:val="24"/>
                <w:szCs w:val="24"/>
                <w:highlight w:val="none"/>
              </w:rPr>
              <w:t>m</w:t>
            </w:r>
            <w:r>
              <w:rPr>
                <w:rFonts w:hint="eastAsia" w:ascii="宋体" w:hAnsi="宋体"/>
                <w:color w:val="auto"/>
                <w:sz w:val="24"/>
                <w:szCs w:val="24"/>
                <w:highlight w:val="none"/>
              </w:rPr>
              <w:t>。达标率＞</w:t>
            </w:r>
            <w:r>
              <w:rPr>
                <w:rFonts w:ascii="宋体" w:hAnsi="宋体"/>
                <w:color w:val="auto"/>
                <w:sz w:val="24"/>
                <w:szCs w:val="24"/>
                <w:highlight w:val="none"/>
              </w:rPr>
              <w:t>90%</w:t>
            </w:r>
            <w:r>
              <w:rPr>
                <w:rFonts w:hint="eastAsia" w:ascii="宋体" w:hAnsi="宋体"/>
                <w:color w:val="auto"/>
                <w:sz w:val="24"/>
                <w:szCs w:val="24"/>
                <w:highlight w:val="none"/>
              </w:rPr>
              <w:t>。</w:t>
            </w:r>
          </w:p>
        </w:tc>
      </w:tr>
      <w:tr w14:paraId="61557538">
        <w:tblPrEx>
          <w:tblCellMar>
            <w:top w:w="0" w:type="dxa"/>
            <w:left w:w="108" w:type="dxa"/>
            <w:bottom w:w="0" w:type="dxa"/>
            <w:right w:w="108" w:type="dxa"/>
          </w:tblCellMar>
        </w:tblPrEx>
        <w:trPr>
          <w:trHeight w:val="1334"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1A2EEEF3">
            <w:pPr>
              <w:jc w:val="center"/>
              <w:rPr>
                <w:rFonts w:ascii="宋体"/>
                <w:color w:val="auto"/>
                <w:sz w:val="24"/>
                <w:szCs w:val="24"/>
                <w:highlight w:val="none"/>
              </w:rPr>
            </w:pPr>
            <w:r>
              <w:rPr>
                <w:rFonts w:hint="eastAsia" w:ascii="宋体" w:hAnsi="宋体"/>
                <w:color w:val="auto"/>
                <w:sz w:val="24"/>
                <w:szCs w:val="24"/>
                <w:highlight w:val="none"/>
              </w:rPr>
              <w:t>五</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8EC5892">
            <w:pPr>
              <w:jc w:val="center"/>
              <w:rPr>
                <w:rFonts w:ascii="宋体"/>
                <w:color w:val="auto"/>
                <w:sz w:val="24"/>
                <w:szCs w:val="24"/>
                <w:highlight w:val="none"/>
              </w:rPr>
            </w:pPr>
            <w:r>
              <w:rPr>
                <w:rFonts w:hint="eastAsia" w:ascii="宋体" w:hAnsi="宋体"/>
                <w:color w:val="auto"/>
                <w:sz w:val="24"/>
                <w:szCs w:val="24"/>
                <w:highlight w:val="none"/>
              </w:rPr>
              <w:t>树盘</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5DA97005">
            <w:pPr>
              <w:ind w:firstLine="480" w:firstLineChars="200"/>
              <w:rPr>
                <w:rFonts w:ascii="宋体"/>
                <w:color w:val="auto"/>
                <w:sz w:val="24"/>
                <w:szCs w:val="24"/>
                <w:highlight w:val="none"/>
              </w:rPr>
            </w:pPr>
            <w:r>
              <w:rPr>
                <w:rFonts w:hint="eastAsia" w:ascii="宋体" w:hAnsi="宋体"/>
                <w:color w:val="auto"/>
                <w:sz w:val="24"/>
                <w:szCs w:val="24"/>
                <w:highlight w:val="none"/>
              </w:rPr>
              <w:t>树穴有条件的应满植地被，且树穴地被生长良好，基本整齐，不缠绕树木，无明显杂草、杂物。不宜种植地被的树穴盘面应略低于路面，无明显杂草、杂物，新植乔木的树穴，无明显杂草杂物，土壤疏松通透。达标率＞</w:t>
            </w:r>
            <w:r>
              <w:rPr>
                <w:rFonts w:ascii="宋体" w:hAnsi="宋体"/>
                <w:color w:val="auto"/>
                <w:sz w:val="24"/>
                <w:szCs w:val="24"/>
                <w:highlight w:val="none"/>
              </w:rPr>
              <w:t>90</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79EF8F32">
        <w:tblPrEx>
          <w:tblCellMar>
            <w:top w:w="0" w:type="dxa"/>
            <w:left w:w="108" w:type="dxa"/>
            <w:bottom w:w="0" w:type="dxa"/>
            <w:right w:w="108" w:type="dxa"/>
          </w:tblCellMar>
        </w:tblPrEx>
        <w:trPr>
          <w:trHeight w:val="912"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4E5D9C15">
            <w:pPr>
              <w:jc w:val="center"/>
              <w:rPr>
                <w:rFonts w:ascii="宋体"/>
                <w:color w:val="auto"/>
                <w:sz w:val="24"/>
                <w:szCs w:val="24"/>
                <w:highlight w:val="none"/>
              </w:rPr>
            </w:pPr>
            <w:r>
              <w:rPr>
                <w:rFonts w:hint="eastAsia" w:ascii="宋体" w:hAnsi="宋体"/>
                <w:color w:val="auto"/>
                <w:sz w:val="24"/>
                <w:szCs w:val="24"/>
                <w:highlight w:val="none"/>
              </w:rPr>
              <w:t>六</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5BD0599">
            <w:pPr>
              <w:jc w:val="center"/>
              <w:rPr>
                <w:rFonts w:ascii="宋体"/>
                <w:color w:val="auto"/>
                <w:sz w:val="24"/>
                <w:szCs w:val="24"/>
                <w:highlight w:val="none"/>
              </w:rPr>
            </w:pPr>
            <w:r>
              <w:rPr>
                <w:rFonts w:hint="eastAsia" w:ascii="宋体" w:hAnsi="宋体"/>
                <w:color w:val="auto"/>
                <w:sz w:val="24"/>
                <w:szCs w:val="24"/>
                <w:highlight w:val="none"/>
              </w:rPr>
              <w:t>病虫害</w:t>
            </w:r>
          </w:p>
          <w:p w14:paraId="2062CB2D">
            <w:pPr>
              <w:jc w:val="center"/>
              <w:rPr>
                <w:rFonts w:ascii="宋体"/>
                <w:color w:val="auto"/>
                <w:sz w:val="24"/>
                <w:szCs w:val="24"/>
                <w:highlight w:val="none"/>
              </w:rPr>
            </w:pPr>
            <w:r>
              <w:rPr>
                <w:rFonts w:hint="eastAsia" w:ascii="宋体" w:hAnsi="宋体"/>
                <w:color w:val="auto"/>
                <w:sz w:val="24"/>
                <w:szCs w:val="24"/>
                <w:highlight w:val="none"/>
              </w:rPr>
              <w:t>控制</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404E61EA">
            <w:pPr>
              <w:ind w:firstLine="480" w:firstLineChars="200"/>
              <w:rPr>
                <w:rFonts w:ascii="宋体"/>
                <w:color w:val="auto"/>
                <w:sz w:val="24"/>
                <w:szCs w:val="24"/>
                <w:highlight w:val="none"/>
              </w:rPr>
            </w:pPr>
            <w:r>
              <w:rPr>
                <w:rFonts w:hint="eastAsia" w:ascii="宋体" w:hAnsi="宋体"/>
                <w:color w:val="auto"/>
                <w:sz w:val="24"/>
                <w:szCs w:val="24"/>
                <w:highlight w:val="none"/>
              </w:rPr>
              <w:t>无明显危害迹象；总的病虫危害率＜</w:t>
            </w:r>
            <w:r>
              <w:rPr>
                <w:rFonts w:ascii="宋体" w:hAnsi="宋体"/>
                <w:color w:val="auto"/>
                <w:sz w:val="24"/>
                <w:szCs w:val="24"/>
                <w:highlight w:val="none"/>
              </w:rPr>
              <w:t>15</w:t>
            </w:r>
            <w:r>
              <w:rPr>
                <w:rFonts w:hint="eastAsia" w:hAnsi="宋体"/>
                <w:color w:val="auto"/>
                <w:spacing w:val="-30"/>
                <w:sz w:val="24"/>
                <w:szCs w:val="24"/>
                <w:highlight w:val="none"/>
              </w:rPr>
              <w:t>％</w:t>
            </w:r>
            <w:r>
              <w:rPr>
                <w:rFonts w:hint="eastAsia" w:ascii="宋体" w:hAnsi="宋体"/>
                <w:color w:val="auto"/>
                <w:sz w:val="24"/>
                <w:szCs w:val="24"/>
                <w:highlight w:val="none"/>
              </w:rPr>
              <w:t>，其中蛀干、根部害虫＜</w:t>
            </w:r>
            <w:r>
              <w:rPr>
                <w:rFonts w:ascii="宋体" w:hAnsi="宋体"/>
                <w:color w:val="auto"/>
                <w:sz w:val="24"/>
                <w:szCs w:val="24"/>
                <w:highlight w:val="none"/>
              </w:rPr>
              <w:t>5</w:t>
            </w:r>
            <w:r>
              <w:rPr>
                <w:rFonts w:hAnsi="宋体"/>
                <w:color w:val="auto"/>
                <w:spacing w:val="-30"/>
                <w:sz w:val="24"/>
                <w:szCs w:val="24"/>
                <w:highlight w:val="none"/>
              </w:rPr>
              <w:t> </w:t>
            </w:r>
            <w:r>
              <w:rPr>
                <w:rFonts w:hint="eastAsia" w:hAnsi="宋体"/>
                <w:color w:val="auto"/>
                <w:spacing w:val="-30"/>
                <w:sz w:val="24"/>
                <w:szCs w:val="24"/>
                <w:highlight w:val="none"/>
              </w:rPr>
              <w:t>％</w:t>
            </w:r>
            <w:r>
              <w:rPr>
                <w:rFonts w:hint="eastAsia" w:ascii="宋体" w:hAnsi="宋体"/>
                <w:color w:val="auto"/>
                <w:sz w:val="24"/>
                <w:szCs w:val="24"/>
                <w:highlight w:val="none"/>
              </w:rPr>
              <w:t>，食叶害虫＜</w:t>
            </w:r>
            <w:r>
              <w:rPr>
                <w:rFonts w:ascii="宋体" w:hAnsi="宋体"/>
                <w:color w:val="auto"/>
                <w:sz w:val="24"/>
                <w:szCs w:val="24"/>
                <w:highlight w:val="none"/>
              </w:rPr>
              <w:t>15</w:t>
            </w:r>
            <w:r>
              <w:rPr>
                <w:rFonts w:hint="eastAsia" w:hAnsi="宋体"/>
                <w:color w:val="auto"/>
                <w:spacing w:val="-30"/>
                <w:sz w:val="24"/>
                <w:szCs w:val="24"/>
                <w:highlight w:val="none"/>
              </w:rPr>
              <w:t>％</w:t>
            </w:r>
            <w:r>
              <w:rPr>
                <w:rFonts w:hint="eastAsia" w:ascii="宋体" w:hAnsi="宋体"/>
                <w:color w:val="auto"/>
                <w:sz w:val="24"/>
                <w:szCs w:val="24"/>
                <w:highlight w:val="none"/>
              </w:rPr>
              <w:t>，刺吸性害虫＜</w:t>
            </w:r>
            <w:r>
              <w:rPr>
                <w:rFonts w:ascii="宋体" w:hAnsi="宋体"/>
                <w:color w:val="auto"/>
                <w:sz w:val="24"/>
                <w:szCs w:val="24"/>
                <w:highlight w:val="none"/>
              </w:rPr>
              <w:t>15</w:t>
            </w:r>
            <w:r>
              <w:rPr>
                <w:rFonts w:hint="eastAsia" w:hAnsi="宋体"/>
                <w:color w:val="auto"/>
                <w:spacing w:val="-30"/>
                <w:sz w:val="24"/>
                <w:szCs w:val="24"/>
                <w:highlight w:val="none"/>
              </w:rPr>
              <w:t>％</w:t>
            </w:r>
            <w:r>
              <w:rPr>
                <w:rFonts w:hint="eastAsia" w:ascii="宋体" w:hAnsi="宋体"/>
                <w:color w:val="auto"/>
                <w:sz w:val="24"/>
                <w:szCs w:val="24"/>
                <w:highlight w:val="none"/>
              </w:rPr>
              <w:t>，病害感染率＜</w:t>
            </w:r>
            <w:r>
              <w:rPr>
                <w:rFonts w:ascii="宋体" w:hAnsi="宋体"/>
                <w:color w:val="auto"/>
                <w:sz w:val="24"/>
                <w:szCs w:val="24"/>
                <w:highlight w:val="none"/>
              </w:rPr>
              <w:t>10</w:t>
            </w:r>
            <w:r>
              <w:rPr>
                <w:rFonts w:hint="eastAsia" w:hAnsi="宋体"/>
                <w:color w:val="auto"/>
                <w:spacing w:val="-30"/>
                <w:sz w:val="24"/>
                <w:szCs w:val="24"/>
                <w:highlight w:val="none"/>
              </w:rPr>
              <w:t>％</w:t>
            </w:r>
            <w:r>
              <w:rPr>
                <w:rFonts w:hint="eastAsia" w:ascii="宋体" w:hAnsi="宋体"/>
                <w:color w:val="auto"/>
                <w:sz w:val="24"/>
                <w:szCs w:val="24"/>
                <w:highlight w:val="none"/>
              </w:rPr>
              <w:t>，寄生＜</w:t>
            </w:r>
            <w:r>
              <w:rPr>
                <w:rFonts w:ascii="宋体" w:hAnsi="宋体"/>
                <w:color w:val="auto"/>
                <w:sz w:val="24"/>
                <w:szCs w:val="24"/>
                <w:highlight w:val="none"/>
              </w:rPr>
              <w:t>10</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572F3BF5">
        <w:tblPrEx>
          <w:tblCellMar>
            <w:top w:w="0" w:type="dxa"/>
            <w:left w:w="108" w:type="dxa"/>
            <w:bottom w:w="0" w:type="dxa"/>
            <w:right w:w="108" w:type="dxa"/>
          </w:tblCellMar>
        </w:tblPrEx>
        <w:trPr>
          <w:trHeight w:val="711"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359C30C3">
            <w:pPr>
              <w:jc w:val="center"/>
              <w:rPr>
                <w:rFonts w:ascii="宋体"/>
                <w:color w:val="auto"/>
                <w:sz w:val="24"/>
                <w:szCs w:val="24"/>
                <w:highlight w:val="none"/>
              </w:rPr>
            </w:pPr>
            <w:r>
              <w:rPr>
                <w:rFonts w:hint="eastAsia" w:ascii="宋体" w:hAnsi="宋体"/>
                <w:color w:val="auto"/>
                <w:sz w:val="24"/>
                <w:szCs w:val="24"/>
                <w:highlight w:val="none"/>
              </w:rPr>
              <w:t>七</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76DE26D2">
            <w:pPr>
              <w:jc w:val="center"/>
              <w:rPr>
                <w:rFonts w:ascii="宋体"/>
                <w:color w:val="auto"/>
                <w:sz w:val="24"/>
                <w:szCs w:val="24"/>
                <w:highlight w:val="none"/>
              </w:rPr>
            </w:pPr>
            <w:r>
              <w:rPr>
                <w:rFonts w:hint="eastAsia" w:ascii="宋体" w:hAnsi="宋体"/>
                <w:color w:val="auto"/>
                <w:sz w:val="24"/>
                <w:szCs w:val="24"/>
                <w:highlight w:val="none"/>
              </w:rPr>
              <w:t>防护设施</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2EB44A26">
            <w:pPr>
              <w:ind w:firstLine="480" w:firstLineChars="200"/>
              <w:rPr>
                <w:rFonts w:ascii="宋体"/>
                <w:color w:val="auto"/>
                <w:sz w:val="24"/>
                <w:szCs w:val="24"/>
                <w:highlight w:val="none"/>
              </w:rPr>
            </w:pPr>
            <w:r>
              <w:rPr>
                <w:rFonts w:hint="eastAsia" w:ascii="宋体" w:hAnsi="宋体"/>
                <w:color w:val="auto"/>
                <w:sz w:val="24"/>
                <w:szCs w:val="24"/>
                <w:highlight w:val="none"/>
              </w:rPr>
              <w:t>对有安全隐患的行道树必须设置防护设施；防护设施稳固、完好，整齐、美观。达标率＞</w:t>
            </w:r>
            <w:r>
              <w:rPr>
                <w:rFonts w:ascii="宋体" w:hAnsi="宋体"/>
                <w:color w:val="auto"/>
                <w:sz w:val="24"/>
                <w:szCs w:val="24"/>
                <w:highlight w:val="none"/>
              </w:rPr>
              <w:t>90</w:t>
            </w:r>
            <w:r>
              <w:rPr>
                <w:rFonts w:hint="eastAsia" w:hAnsi="宋体"/>
                <w:color w:val="auto"/>
                <w:spacing w:val="-30"/>
                <w:sz w:val="24"/>
                <w:szCs w:val="24"/>
                <w:highlight w:val="none"/>
              </w:rPr>
              <w:t>％</w:t>
            </w:r>
            <w:r>
              <w:rPr>
                <w:rFonts w:hint="eastAsia" w:ascii="宋体" w:hAnsi="宋体"/>
                <w:color w:val="auto"/>
                <w:sz w:val="24"/>
                <w:szCs w:val="24"/>
                <w:highlight w:val="none"/>
              </w:rPr>
              <w:t>。</w:t>
            </w:r>
          </w:p>
        </w:tc>
      </w:tr>
      <w:tr w14:paraId="076DF80D">
        <w:tblPrEx>
          <w:tblCellMar>
            <w:top w:w="0" w:type="dxa"/>
            <w:left w:w="108" w:type="dxa"/>
            <w:bottom w:w="0" w:type="dxa"/>
            <w:right w:w="108" w:type="dxa"/>
          </w:tblCellMar>
        </w:tblPrEx>
        <w:trPr>
          <w:trHeight w:val="1334" w:hRule="atLeast"/>
        </w:trPr>
        <w:tc>
          <w:tcPr>
            <w:tcW w:w="723" w:type="dxa"/>
            <w:tcBorders>
              <w:top w:val="single" w:color="auto" w:sz="4" w:space="0"/>
              <w:left w:val="single" w:color="auto" w:sz="4" w:space="0"/>
              <w:bottom w:val="single" w:color="auto" w:sz="4" w:space="0"/>
              <w:right w:val="single" w:color="auto" w:sz="4" w:space="0"/>
            </w:tcBorders>
            <w:noWrap w:val="0"/>
            <w:vAlign w:val="center"/>
          </w:tcPr>
          <w:p w14:paraId="01091308">
            <w:pPr>
              <w:pStyle w:val="44"/>
              <w:widowControl w:val="0"/>
              <w:spacing w:before="0"/>
              <w:rPr>
                <w:rFonts w:cs="Times New Roman"/>
                <w:color w:val="auto"/>
                <w:kern w:val="2"/>
                <w:sz w:val="24"/>
                <w:szCs w:val="24"/>
                <w:highlight w:val="none"/>
              </w:rPr>
            </w:pPr>
            <w:r>
              <w:rPr>
                <w:rFonts w:hint="eastAsia" w:cs="Times New Roman"/>
                <w:color w:val="auto"/>
                <w:kern w:val="2"/>
                <w:sz w:val="24"/>
                <w:szCs w:val="24"/>
                <w:highlight w:val="none"/>
              </w:rPr>
              <w:t>八</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17A09CFA">
            <w:pPr>
              <w:jc w:val="center"/>
              <w:rPr>
                <w:rFonts w:ascii="宋体"/>
                <w:color w:val="auto"/>
                <w:sz w:val="24"/>
                <w:szCs w:val="24"/>
                <w:highlight w:val="none"/>
              </w:rPr>
            </w:pPr>
            <w:r>
              <w:rPr>
                <w:rFonts w:hint="eastAsia" w:ascii="宋体" w:hAnsi="宋体"/>
                <w:color w:val="auto"/>
                <w:sz w:val="24"/>
                <w:szCs w:val="24"/>
                <w:highlight w:val="none"/>
              </w:rPr>
              <w:t>保存率与补种</w:t>
            </w:r>
          </w:p>
        </w:tc>
        <w:tc>
          <w:tcPr>
            <w:tcW w:w="7476" w:type="dxa"/>
            <w:tcBorders>
              <w:top w:val="single" w:color="auto" w:sz="4" w:space="0"/>
              <w:left w:val="single" w:color="auto" w:sz="4" w:space="0"/>
              <w:bottom w:val="single" w:color="auto" w:sz="4" w:space="0"/>
              <w:right w:val="single" w:color="auto" w:sz="4" w:space="0"/>
            </w:tcBorders>
            <w:noWrap w:val="0"/>
            <w:vAlign w:val="center"/>
          </w:tcPr>
          <w:p w14:paraId="3BD068A8">
            <w:pPr>
              <w:ind w:firstLine="480" w:firstLineChars="200"/>
              <w:rPr>
                <w:rFonts w:ascii="宋体"/>
                <w:color w:val="auto"/>
                <w:sz w:val="24"/>
                <w:szCs w:val="24"/>
                <w:highlight w:val="none"/>
              </w:rPr>
            </w:pPr>
            <w:r>
              <w:rPr>
                <w:rFonts w:hint="eastAsia" w:ascii="宋体" w:hAnsi="宋体"/>
                <w:color w:val="auto"/>
                <w:sz w:val="24"/>
                <w:szCs w:val="24"/>
                <w:highlight w:val="none"/>
              </w:rPr>
              <w:t>第一排行道树以及分车绿带上的行道树基本无缺株，缺株率＜</w:t>
            </w:r>
            <w:r>
              <w:rPr>
                <w:rFonts w:ascii="宋体" w:hAnsi="宋体"/>
                <w:color w:val="auto"/>
                <w:sz w:val="24"/>
                <w:szCs w:val="24"/>
                <w:highlight w:val="none"/>
              </w:rPr>
              <w:t>1</w:t>
            </w:r>
            <w:r>
              <w:rPr>
                <w:rFonts w:hint="eastAsia" w:hAnsi="宋体"/>
                <w:color w:val="auto"/>
                <w:spacing w:val="-30"/>
                <w:sz w:val="24"/>
                <w:szCs w:val="24"/>
                <w:highlight w:val="none"/>
              </w:rPr>
              <w:t>％</w:t>
            </w:r>
            <w:r>
              <w:rPr>
                <w:rFonts w:hint="eastAsia" w:ascii="宋体" w:hAnsi="宋体"/>
                <w:color w:val="auto"/>
                <w:sz w:val="24"/>
                <w:szCs w:val="24"/>
                <w:highlight w:val="none"/>
              </w:rPr>
              <w:t>；其它乔灌木缺株率＜</w:t>
            </w:r>
            <w:r>
              <w:rPr>
                <w:rFonts w:ascii="宋体" w:hAnsi="宋体"/>
                <w:color w:val="auto"/>
                <w:sz w:val="24"/>
                <w:szCs w:val="24"/>
                <w:highlight w:val="none"/>
              </w:rPr>
              <w:t>3</w:t>
            </w:r>
            <w:r>
              <w:rPr>
                <w:rFonts w:hint="eastAsia" w:hAnsi="宋体"/>
                <w:color w:val="auto"/>
                <w:spacing w:val="-30"/>
                <w:sz w:val="24"/>
                <w:szCs w:val="24"/>
                <w:highlight w:val="none"/>
              </w:rPr>
              <w:t>％</w:t>
            </w:r>
            <w:r>
              <w:rPr>
                <w:rFonts w:hint="eastAsia" w:ascii="宋体" w:hAnsi="宋体"/>
                <w:color w:val="auto"/>
                <w:sz w:val="24"/>
                <w:szCs w:val="24"/>
                <w:highlight w:val="none"/>
              </w:rPr>
              <w:t>；补种的乔灌木品种、规格、株距应与同路段原种植的相同；补植苗木规格：棕榈科乔木地径＞</w:t>
            </w:r>
            <w:r>
              <w:rPr>
                <w:rFonts w:ascii="宋体" w:hAnsi="宋体"/>
                <w:color w:val="auto"/>
                <w:sz w:val="24"/>
                <w:szCs w:val="24"/>
                <w:highlight w:val="none"/>
              </w:rPr>
              <w:t>20</w:t>
            </w:r>
            <w:r>
              <w:rPr>
                <w:rFonts w:hint="eastAsia" w:ascii="宋体" w:hAnsi="宋体"/>
                <w:color w:val="auto"/>
                <w:sz w:val="24"/>
                <w:szCs w:val="24"/>
                <w:highlight w:val="none"/>
              </w:rPr>
              <w:t>㎝，其它乔木胸径＞</w:t>
            </w:r>
            <w:r>
              <w:rPr>
                <w:rFonts w:ascii="宋体" w:hAnsi="宋体"/>
                <w:color w:val="auto"/>
                <w:sz w:val="24"/>
                <w:szCs w:val="24"/>
                <w:highlight w:val="none"/>
              </w:rPr>
              <w:t>6</w:t>
            </w:r>
            <w:r>
              <w:rPr>
                <w:rFonts w:hint="eastAsia" w:ascii="宋体" w:hAnsi="宋体"/>
                <w:color w:val="auto"/>
                <w:sz w:val="24"/>
                <w:szCs w:val="24"/>
                <w:highlight w:val="none"/>
              </w:rPr>
              <w:t>㎝。</w:t>
            </w:r>
          </w:p>
        </w:tc>
      </w:tr>
      <w:tr w14:paraId="00790CB0">
        <w:tblPrEx>
          <w:tblCellMar>
            <w:top w:w="0" w:type="dxa"/>
            <w:left w:w="108" w:type="dxa"/>
            <w:bottom w:w="0" w:type="dxa"/>
            <w:right w:w="108" w:type="dxa"/>
          </w:tblCellMar>
        </w:tblPrEx>
        <w:trPr>
          <w:cantSplit/>
          <w:trHeight w:val="622" w:hRule="atLeast"/>
        </w:trPr>
        <w:tc>
          <w:tcPr>
            <w:tcW w:w="9344" w:type="dxa"/>
            <w:gridSpan w:val="3"/>
            <w:tcBorders>
              <w:top w:val="single" w:color="auto" w:sz="4" w:space="0"/>
              <w:left w:val="single" w:color="auto" w:sz="4" w:space="0"/>
              <w:bottom w:val="single" w:color="auto" w:sz="4" w:space="0"/>
              <w:right w:val="single" w:color="auto" w:sz="4" w:space="0"/>
            </w:tcBorders>
            <w:noWrap w:val="0"/>
            <w:vAlign w:val="center"/>
          </w:tcPr>
          <w:p w14:paraId="4C077C12">
            <w:pPr>
              <w:ind w:firstLine="480" w:firstLineChars="200"/>
              <w:rPr>
                <w:rFonts w:ascii="宋体"/>
                <w:color w:val="auto"/>
                <w:sz w:val="24"/>
                <w:szCs w:val="24"/>
                <w:highlight w:val="none"/>
              </w:rPr>
            </w:pPr>
            <w:r>
              <w:rPr>
                <w:rFonts w:hint="eastAsia" w:ascii="宋体" w:hAnsi="宋体"/>
                <w:color w:val="auto"/>
                <w:sz w:val="24"/>
                <w:szCs w:val="24"/>
                <w:highlight w:val="none"/>
              </w:rPr>
              <w:t>注：达标率指乔木、灌木、地被、草坪等被检目标达到相应要求的植株数（或面积）占总株数（或总面积）的百分比。</w:t>
            </w:r>
          </w:p>
        </w:tc>
      </w:tr>
    </w:tbl>
    <w:p w14:paraId="3A418058">
      <w:pPr>
        <w:rPr>
          <w:rFonts w:ascii="Calibri" w:hAnsi="Calibri"/>
          <w:color w:val="auto"/>
          <w:highlight w:val="none"/>
        </w:rPr>
      </w:pPr>
    </w:p>
    <w:p w14:paraId="3C2BD454">
      <w:pPr>
        <w:pStyle w:val="42"/>
        <w:spacing w:before="165"/>
        <w:outlineLvl w:val="9"/>
        <w:rPr>
          <w:b/>
          <w:bCs/>
          <w:color w:val="auto"/>
          <w:highlight w:val="none"/>
        </w:rPr>
      </w:pPr>
      <w:r>
        <w:rPr>
          <w:b/>
          <w:bCs/>
          <w:color w:val="auto"/>
          <w:highlight w:val="none"/>
        </w:rPr>
        <w:br w:type="page"/>
      </w:r>
      <w:r>
        <w:rPr>
          <w:rFonts w:hint="eastAsia"/>
          <w:b/>
          <w:bCs/>
          <w:color w:val="auto"/>
          <w:highlight w:val="none"/>
        </w:rPr>
        <w:t>（</w:t>
      </w:r>
      <w:r>
        <w:rPr>
          <w:b/>
          <w:bCs/>
          <w:color w:val="auto"/>
          <w:highlight w:val="none"/>
        </w:rPr>
        <w:t>3</w:t>
      </w:r>
      <w:r>
        <w:rPr>
          <w:rFonts w:hint="eastAsia"/>
          <w:b/>
          <w:bCs/>
          <w:color w:val="auto"/>
          <w:highlight w:val="none"/>
        </w:rPr>
        <w:t>）</w:t>
      </w:r>
      <w:r>
        <w:rPr>
          <w:b/>
          <w:bCs/>
          <w:color w:val="auto"/>
          <w:highlight w:val="none"/>
        </w:rPr>
        <w:t xml:space="preserve"> </w:t>
      </w:r>
      <w:r>
        <w:rPr>
          <w:rFonts w:hint="eastAsia"/>
          <w:b/>
          <w:bCs/>
          <w:color w:val="auto"/>
          <w:highlight w:val="none"/>
        </w:rPr>
        <w:t>二级花坛养护质量要求表</w:t>
      </w:r>
    </w:p>
    <w:tbl>
      <w:tblPr>
        <w:tblStyle w:val="22"/>
        <w:tblW w:w="9283" w:type="dxa"/>
        <w:tblInd w:w="108" w:type="dxa"/>
        <w:tblLayout w:type="fixed"/>
        <w:tblCellMar>
          <w:top w:w="0" w:type="dxa"/>
          <w:left w:w="108" w:type="dxa"/>
          <w:bottom w:w="0" w:type="dxa"/>
          <w:right w:w="108" w:type="dxa"/>
        </w:tblCellMar>
      </w:tblPr>
      <w:tblGrid>
        <w:gridCol w:w="773"/>
        <w:gridCol w:w="1095"/>
        <w:gridCol w:w="7415"/>
      </w:tblGrid>
      <w:tr w14:paraId="399EA84C">
        <w:tblPrEx>
          <w:tblCellMar>
            <w:top w:w="0" w:type="dxa"/>
            <w:left w:w="108" w:type="dxa"/>
            <w:bottom w:w="0" w:type="dxa"/>
            <w:right w:w="108" w:type="dxa"/>
          </w:tblCellMar>
        </w:tblPrEx>
        <w:trPr>
          <w:trHeight w:val="481"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42820E0D">
            <w:pPr>
              <w:jc w:val="center"/>
              <w:rPr>
                <w:rFonts w:ascii="宋体"/>
                <w:b/>
                <w:bCs/>
                <w:color w:val="auto"/>
                <w:sz w:val="21"/>
                <w:szCs w:val="21"/>
                <w:highlight w:val="none"/>
              </w:rPr>
            </w:pPr>
            <w:r>
              <w:rPr>
                <w:rFonts w:hint="eastAsia" w:ascii="宋体" w:hAnsi="宋体"/>
                <w:b/>
                <w:bCs/>
                <w:color w:val="auto"/>
                <w:sz w:val="21"/>
                <w:szCs w:val="21"/>
                <w:highlight w:val="none"/>
              </w:rPr>
              <w:t>序号</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7A334CF">
            <w:pPr>
              <w:jc w:val="center"/>
              <w:rPr>
                <w:rFonts w:ascii="宋体"/>
                <w:b/>
                <w:bCs/>
                <w:color w:val="auto"/>
                <w:sz w:val="21"/>
                <w:szCs w:val="21"/>
                <w:highlight w:val="none"/>
              </w:rPr>
            </w:pPr>
            <w:r>
              <w:rPr>
                <w:rFonts w:hint="eastAsia" w:ascii="宋体" w:hAnsi="宋体"/>
                <w:b/>
                <w:bCs/>
                <w:color w:val="auto"/>
                <w:sz w:val="21"/>
                <w:szCs w:val="21"/>
                <w:highlight w:val="none"/>
              </w:rPr>
              <w:t>项目</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055CCC75">
            <w:pPr>
              <w:jc w:val="center"/>
              <w:rPr>
                <w:rFonts w:ascii="宋体"/>
                <w:b/>
                <w:bCs/>
                <w:color w:val="auto"/>
                <w:sz w:val="21"/>
                <w:szCs w:val="21"/>
                <w:highlight w:val="none"/>
              </w:rPr>
            </w:pPr>
            <w:r>
              <w:rPr>
                <w:rFonts w:hint="eastAsia" w:ascii="宋体" w:hAnsi="宋体"/>
                <w:b/>
                <w:bCs/>
                <w:color w:val="auto"/>
                <w:sz w:val="21"/>
                <w:szCs w:val="21"/>
                <w:highlight w:val="none"/>
              </w:rPr>
              <w:t>质量要求</w:t>
            </w:r>
          </w:p>
        </w:tc>
      </w:tr>
      <w:tr w14:paraId="0C4694DF">
        <w:tblPrEx>
          <w:tblCellMar>
            <w:top w:w="0" w:type="dxa"/>
            <w:left w:w="108" w:type="dxa"/>
            <w:bottom w:w="0" w:type="dxa"/>
            <w:right w:w="108" w:type="dxa"/>
          </w:tblCellMar>
        </w:tblPrEx>
        <w:trPr>
          <w:trHeight w:val="865"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68CD1BD2">
            <w:pPr>
              <w:jc w:val="center"/>
              <w:rPr>
                <w:rFonts w:ascii="宋体"/>
                <w:color w:val="auto"/>
                <w:sz w:val="21"/>
                <w:szCs w:val="21"/>
                <w:highlight w:val="none"/>
              </w:rPr>
            </w:pPr>
            <w:r>
              <w:rPr>
                <w:rFonts w:hint="eastAsia" w:ascii="宋体" w:hAnsi="宋体"/>
                <w:color w:val="auto"/>
                <w:sz w:val="21"/>
                <w:szCs w:val="21"/>
                <w:highlight w:val="none"/>
              </w:rPr>
              <w:t>一</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CB7B320">
            <w:pPr>
              <w:jc w:val="center"/>
              <w:rPr>
                <w:rFonts w:ascii="宋体"/>
                <w:color w:val="auto"/>
                <w:sz w:val="21"/>
                <w:szCs w:val="21"/>
                <w:highlight w:val="none"/>
              </w:rPr>
            </w:pPr>
            <w:r>
              <w:rPr>
                <w:rFonts w:hint="eastAsia" w:ascii="宋体" w:hAnsi="宋体"/>
                <w:color w:val="auto"/>
                <w:sz w:val="21"/>
                <w:szCs w:val="21"/>
                <w:highlight w:val="none"/>
              </w:rPr>
              <w:t>整体效果</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566600A3">
            <w:pPr>
              <w:ind w:firstLine="420" w:firstLineChars="200"/>
              <w:rPr>
                <w:rFonts w:ascii="宋体"/>
                <w:color w:val="auto"/>
                <w:sz w:val="21"/>
                <w:szCs w:val="21"/>
                <w:highlight w:val="none"/>
              </w:rPr>
            </w:pPr>
            <w:r>
              <w:rPr>
                <w:rFonts w:hint="eastAsia" w:ascii="宋体" w:hAnsi="宋体"/>
                <w:color w:val="auto"/>
                <w:sz w:val="21"/>
                <w:szCs w:val="21"/>
                <w:highlight w:val="none"/>
              </w:rPr>
              <w:t>花卉、饰物、设施、环境等配置相互协调，花坛花卉色彩搭配与层次处理得当，色块分界明显，线条流畅，同一色块顶面高度保持一致，整体观赏效果良好。</w:t>
            </w:r>
          </w:p>
        </w:tc>
      </w:tr>
      <w:tr w14:paraId="76C4AB5E">
        <w:tblPrEx>
          <w:tblCellMar>
            <w:top w:w="0" w:type="dxa"/>
            <w:left w:w="108" w:type="dxa"/>
            <w:bottom w:w="0" w:type="dxa"/>
            <w:right w:w="108" w:type="dxa"/>
          </w:tblCellMar>
        </w:tblPrEx>
        <w:trPr>
          <w:trHeight w:val="846"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1B81B21B">
            <w:pPr>
              <w:jc w:val="center"/>
              <w:rPr>
                <w:rFonts w:ascii="宋体"/>
                <w:color w:val="auto"/>
                <w:sz w:val="21"/>
                <w:szCs w:val="21"/>
                <w:highlight w:val="none"/>
              </w:rPr>
            </w:pPr>
            <w:r>
              <w:rPr>
                <w:rFonts w:hint="eastAsia" w:ascii="宋体" w:hAnsi="宋体"/>
                <w:color w:val="auto"/>
                <w:sz w:val="21"/>
                <w:szCs w:val="21"/>
                <w:highlight w:val="none"/>
              </w:rPr>
              <w:t>二</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CE68FB0">
            <w:pPr>
              <w:jc w:val="center"/>
              <w:rPr>
                <w:rFonts w:ascii="宋体"/>
                <w:color w:val="auto"/>
                <w:sz w:val="21"/>
                <w:szCs w:val="21"/>
                <w:highlight w:val="none"/>
              </w:rPr>
            </w:pPr>
            <w:r>
              <w:rPr>
                <w:rFonts w:hint="eastAsia" w:ascii="宋体" w:hAnsi="宋体"/>
                <w:color w:val="auto"/>
                <w:sz w:val="21"/>
                <w:szCs w:val="21"/>
                <w:highlight w:val="none"/>
              </w:rPr>
              <w:t>植物生长</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29468765">
            <w:pPr>
              <w:ind w:firstLine="420" w:firstLineChars="200"/>
              <w:rPr>
                <w:rFonts w:ascii="宋体"/>
                <w:color w:val="auto"/>
                <w:sz w:val="21"/>
                <w:szCs w:val="21"/>
                <w:highlight w:val="none"/>
              </w:rPr>
            </w:pPr>
            <w:r>
              <w:rPr>
                <w:rFonts w:hint="eastAsia" w:ascii="宋体" w:hAnsi="宋体"/>
                <w:color w:val="auto"/>
                <w:sz w:val="21"/>
                <w:szCs w:val="21"/>
                <w:highlight w:val="none"/>
              </w:rPr>
              <w:t>植株健壮，叶的形状、大小、色泽正常，开花整齐、应时，花型正，花色艳，花期达至规定要求。达标率＞</w:t>
            </w:r>
            <w:r>
              <w:rPr>
                <w:rFonts w:ascii="宋体" w:hAnsi="宋体"/>
                <w:color w:val="auto"/>
                <w:sz w:val="21"/>
                <w:szCs w:val="21"/>
                <w:highlight w:val="none"/>
              </w:rPr>
              <w:t>90</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2A89943F">
        <w:tblPrEx>
          <w:tblCellMar>
            <w:top w:w="0" w:type="dxa"/>
            <w:left w:w="108" w:type="dxa"/>
            <w:bottom w:w="0" w:type="dxa"/>
            <w:right w:w="108" w:type="dxa"/>
          </w:tblCellMar>
        </w:tblPrEx>
        <w:trPr>
          <w:trHeight w:val="967"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4B431E94">
            <w:pPr>
              <w:jc w:val="center"/>
              <w:rPr>
                <w:rFonts w:ascii="宋体"/>
                <w:color w:val="auto"/>
                <w:sz w:val="21"/>
                <w:szCs w:val="21"/>
                <w:highlight w:val="none"/>
              </w:rPr>
            </w:pPr>
            <w:r>
              <w:rPr>
                <w:rFonts w:hint="eastAsia" w:ascii="宋体" w:hAnsi="宋体"/>
                <w:color w:val="auto"/>
                <w:sz w:val="21"/>
                <w:szCs w:val="21"/>
                <w:highlight w:val="none"/>
              </w:rPr>
              <w:t>三</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533EBC0">
            <w:pPr>
              <w:jc w:val="center"/>
              <w:rPr>
                <w:rFonts w:ascii="宋体"/>
                <w:color w:val="auto"/>
                <w:sz w:val="21"/>
                <w:szCs w:val="21"/>
                <w:highlight w:val="none"/>
              </w:rPr>
            </w:pPr>
            <w:r>
              <w:rPr>
                <w:rFonts w:hint="eastAsia" w:ascii="宋体" w:hAnsi="宋体"/>
                <w:color w:val="auto"/>
                <w:sz w:val="21"/>
                <w:szCs w:val="21"/>
                <w:highlight w:val="none"/>
              </w:rPr>
              <w:t>整形修剪</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24239263">
            <w:pPr>
              <w:ind w:firstLine="420" w:firstLineChars="200"/>
              <w:rPr>
                <w:rFonts w:ascii="宋体"/>
                <w:color w:val="auto"/>
                <w:sz w:val="21"/>
                <w:szCs w:val="21"/>
                <w:highlight w:val="none"/>
              </w:rPr>
            </w:pPr>
            <w:r>
              <w:rPr>
                <w:rFonts w:hint="eastAsia" w:ascii="宋体" w:hAnsi="宋体"/>
                <w:color w:val="auto"/>
                <w:sz w:val="21"/>
                <w:szCs w:val="21"/>
                <w:highlight w:val="none"/>
              </w:rPr>
              <w:t>无残花、枯枝、黄叶，基本无杂草，无倒伏现象，保持花坛同一色块顶面高度一致，保持良好的观赏效果。达标率＞</w:t>
            </w:r>
            <w:r>
              <w:rPr>
                <w:rFonts w:ascii="宋体" w:hAnsi="宋体"/>
                <w:color w:val="auto"/>
                <w:sz w:val="21"/>
                <w:szCs w:val="21"/>
                <w:highlight w:val="none"/>
              </w:rPr>
              <w:t>90</w:t>
            </w:r>
            <w:r>
              <w:rPr>
                <w:rFonts w:hAnsi="宋体"/>
                <w:color w:val="auto"/>
                <w:spacing w:val="-30"/>
                <w:sz w:val="24"/>
                <w:szCs w:val="32"/>
                <w:highlight w:val="none"/>
              </w:rPr>
              <w:t> </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7F9A42B4">
        <w:tblPrEx>
          <w:tblCellMar>
            <w:top w:w="0" w:type="dxa"/>
            <w:left w:w="108" w:type="dxa"/>
            <w:bottom w:w="0" w:type="dxa"/>
            <w:right w:w="108" w:type="dxa"/>
          </w:tblCellMar>
        </w:tblPrEx>
        <w:trPr>
          <w:trHeight w:val="423"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001ACE60">
            <w:pPr>
              <w:pStyle w:val="44"/>
              <w:widowControl w:val="0"/>
              <w:rPr>
                <w:rFonts w:cs="Times New Roman"/>
                <w:color w:val="auto"/>
                <w:kern w:val="2"/>
                <w:sz w:val="21"/>
                <w:szCs w:val="21"/>
                <w:highlight w:val="none"/>
              </w:rPr>
            </w:pPr>
            <w:r>
              <w:rPr>
                <w:rFonts w:hint="eastAsia" w:cs="Times New Roman"/>
                <w:color w:val="auto"/>
                <w:kern w:val="2"/>
                <w:sz w:val="21"/>
                <w:szCs w:val="21"/>
                <w:highlight w:val="none"/>
              </w:rPr>
              <w:t>四</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25AB9F4">
            <w:pPr>
              <w:pStyle w:val="44"/>
              <w:widowControl w:val="0"/>
              <w:rPr>
                <w:rFonts w:cs="Times New Roman"/>
                <w:color w:val="auto"/>
                <w:kern w:val="2"/>
                <w:sz w:val="21"/>
                <w:szCs w:val="21"/>
                <w:highlight w:val="none"/>
              </w:rPr>
            </w:pPr>
            <w:r>
              <w:rPr>
                <w:rFonts w:hint="eastAsia" w:cs="Times New Roman"/>
                <w:color w:val="auto"/>
                <w:kern w:val="2"/>
                <w:sz w:val="21"/>
                <w:szCs w:val="21"/>
                <w:highlight w:val="none"/>
              </w:rPr>
              <w:t>病虫害控制</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4460A8B7">
            <w:pPr>
              <w:pStyle w:val="44"/>
              <w:widowControl w:val="0"/>
              <w:ind w:firstLine="315" w:firstLineChars="150"/>
              <w:jc w:val="both"/>
              <w:rPr>
                <w:rFonts w:cs="Times New Roman"/>
                <w:color w:val="auto"/>
                <w:kern w:val="2"/>
                <w:sz w:val="21"/>
                <w:szCs w:val="21"/>
                <w:highlight w:val="none"/>
              </w:rPr>
            </w:pPr>
            <w:r>
              <w:rPr>
                <w:rFonts w:hint="eastAsia" w:cs="Times New Roman"/>
                <w:color w:val="auto"/>
                <w:kern w:val="2"/>
                <w:sz w:val="21"/>
                <w:szCs w:val="21"/>
                <w:highlight w:val="none"/>
              </w:rPr>
              <w:t>无明显危害迹象；总的病虫</w:t>
            </w:r>
            <w:r>
              <w:rPr>
                <w:rFonts w:hint="eastAsia" w:cs="Times New Roman"/>
                <w:color w:val="auto"/>
                <w:kern w:val="2"/>
                <w:sz w:val="21"/>
                <w:szCs w:val="21"/>
                <w:highlight w:val="none"/>
                <w:lang w:val="en-US" w:eastAsia="zh-CN"/>
              </w:rPr>
              <w:t>危</w:t>
            </w:r>
            <w:r>
              <w:rPr>
                <w:rFonts w:hint="eastAsia" w:cs="Times New Roman"/>
                <w:color w:val="auto"/>
                <w:kern w:val="2"/>
                <w:sz w:val="21"/>
                <w:szCs w:val="21"/>
                <w:highlight w:val="none"/>
              </w:rPr>
              <w:t>害率＜</w:t>
            </w:r>
            <w:r>
              <w:rPr>
                <w:rFonts w:cs="Times New Roman"/>
                <w:color w:val="auto"/>
                <w:kern w:val="2"/>
                <w:sz w:val="21"/>
                <w:szCs w:val="21"/>
                <w:highlight w:val="none"/>
              </w:rPr>
              <w:t>10</w:t>
            </w:r>
            <w:r>
              <w:rPr>
                <w:rFonts w:hint="eastAsia" w:cs="Times New Roman"/>
                <w:color w:val="auto"/>
                <w:spacing w:val="-30"/>
                <w:sz w:val="21"/>
                <w:szCs w:val="21"/>
                <w:highlight w:val="none"/>
              </w:rPr>
              <w:t>％</w:t>
            </w:r>
            <w:r>
              <w:rPr>
                <w:rFonts w:hint="eastAsia" w:cs="Times New Roman"/>
                <w:color w:val="auto"/>
                <w:kern w:val="2"/>
                <w:sz w:val="21"/>
                <w:szCs w:val="21"/>
                <w:highlight w:val="none"/>
              </w:rPr>
              <w:t>。</w:t>
            </w:r>
          </w:p>
        </w:tc>
      </w:tr>
      <w:tr w14:paraId="225FF109">
        <w:tblPrEx>
          <w:tblCellMar>
            <w:top w:w="0" w:type="dxa"/>
            <w:left w:w="108" w:type="dxa"/>
            <w:bottom w:w="0" w:type="dxa"/>
            <w:right w:w="108" w:type="dxa"/>
          </w:tblCellMar>
        </w:tblPrEx>
        <w:trPr>
          <w:trHeight w:val="1135"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3FA42118">
            <w:pPr>
              <w:jc w:val="center"/>
              <w:rPr>
                <w:rFonts w:ascii="宋体"/>
                <w:color w:val="auto"/>
                <w:sz w:val="21"/>
                <w:szCs w:val="21"/>
                <w:highlight w:val="none"/>
              </w:rPr>
            </w:pPr>
            <w:r>
              <w:rPr>
                <w:rFonts w:hint="eastAsia" w:ascii="宋体" w:hAnsi="宋体"/>
                <w:color w:val="auto"/>
                <w:sz w:val="21"/>
                <w:szCs w:val="21"/>
                <w:highlight w:val="none"/>
              </w:rPr>
              <w:t>五</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D5AFFBF">
            <w:pPr>
              <w:jc w:val="center"/>
              <w:rPr>
                <w:rFonts w:ascii="宋体"/>
                <w:color w:val="auto"/>
                <w:sz w:val="21"/>
                <w:szCs w:val="21"/>
                <w:highlight w:val="none"/>
              </w:rPr>
            </w:pPr>
            <w:r>
              <w:rPr>
                <w:rFonts w:hint="eastAsia" w:ascii="宋体" w:hAnsi="宋体"/>
                <w:color w:val="auto"/>
                <w:sz w:val="21"/>
                <w:szCs w:val="21"/>
                <w:highlight w:val="none"/>
              </w:rPr>
              <w:t>补种与</w:t>
            </w:r>
          </w:p>
          <w:p w14:paraId="7CE27874">
            <w:pPr>
              <w:jc w:val="center"/>
              <w:rPr>
                <w:rFonts w:ascii="宋体"/>
                <w:color w:val="auto"/>
                <w:sz w:val="21"/>
                <w:szCs w:val="21"/>
                <w:highlight w:val="none"/>
              </w:rPr>
            </w:pPr>
            <w:r>
              <w:rPr>
                <w:rFonts w:hint="eastAsia" w:ascii="宋体" w:hAnsi="宋体"/>
                <w:color w:val="auto"/>
                <w:sz w:val="21"/>
                <w:szCs w:val="21"/>
                <w:highlight w:val="none"/>
              </w:rPr>
              <w:t>更换</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1FAB5D69">
            <w:pPr>
              <w:ind w:firstLine="315" w:firstLineChars="150"/>
              <w:rPr>
                <w:rFonts w:ascii="宋体"/>
                <w:color w:val="auto"/>
                <w:sz w:val="21"/>
                <w:szCs w:val="21"/>
                <w:highlight w:val="none"/>
              </w:rPr>
            </w:pPr>
            <w:r>
              <w:rPr>
                <w:rFonts w:hint="eastAsia" w:ascii="宋体" w:hAnsi="宋体"/>
                <w:color w:val="auto"/>
                <w:sz w:val="21"/>
                <w:szCs w:val="21"/>
                <w:highlight w:val="none"/>
              </w:rPr>
              <w:t>花坛应无黄土裸露、缺株和萎蔫现象。存在黄土裸露、缺株和萎蔫现象时应及时补种和更换；更换时边缘土面低于花坛边缘石顶</w:t>
            </w:r>
            <w:r>
              <w:rPr>
                <w:rFonts w:ascii="宋体" w:hAnsi="宋体"/>
                <w:color w:val="auto"/>
                <w:sz w:val="21"/>
                <w:szCs w:val="21"/>
                <w:highlight w:val="none"/>
              </w:rPr>
              <w:t>5cm</w:t>
            </w:r>
            <w:r>
              <w:rPr>
                <w:rFonts w:hint="eastAsia" w:ascii="宋体" w:hAnsi="宋体"/>
                <w:color w:val="auto"/>
                <w:sz w:val="21"/>
                <w:szCs w:val="21"/>
                <w:highlight w:val="none"/>
              </w:rPr>
              <w:t>～</w:t>
            </w:r>
            <w:r>
              <w:rPr>
                <w:rFonts w:ascii="宋体" w:hAnsi="宋体"/>
                <w:color w:val="auto"/>
                <w:sz w:val="21"/>
                <w:szCs w:val="21"/>
                <w:highlight w:val="none"/>
              </w:rPr>
              <w:t>7cm</w:t>
            </w:r>
            <w:r>
              <w:rPr>
                <w:rFonts w:hint="eastAsia" w:ascii="宋体" w:hAnsi="宋体"/>
                <w:color w:val="auto"/>
                <w:sz w:val="21"/>
                <w:szCs w:val="21"/>
                <w:highlight w:val="none"/>
              </w:rPr>
              <w:t>，同一色块的顶面保持一致。达标率＞</w:t>
            </w:r>
            <w:r>
              <w:rPr>
                <w:rFonts w:ascii="宋体" w:hAnsi="宋体"/>
                <w:color w:val="auto"/>
                <w:sz w:val="21"/>
                <w:szCs w:val="21"/>
                <w:highlight w:val="none"/>
              </w:rPr>
              <w:t>95</w:t>
            </w:r>
            <w:r>
              <w:rPr>
                <w:rFonts w:hint="eastAsia" w:hAnsi="宋体"/>
                <w:color w:val="auto"/>
                <w:spacing w:val="-30"/>
                <w:sz w:val="21"/>
                <w:szCs w:val="21"/>
                <w:highlight w:val="none"/>
              </w:rPr>
              <w:t>％</w:t>
            </w:r>
            <w:r>
              <w:rPr>
                <w:rFonts w:hint="eastAsia" w:ascii="宋体" w:hAnsi="宋体"/>
                <w:color w:val="auto"/>
                <w:sz w:val="21"/>
                <w:szCs w:val="21"/>
                <w:highlight w:val="none"/>
              </w:rPr>
              <w:t>。</w:t>
            </w:r>
            <w:r>
              <w:rPr>
                <w:rFonts w:ascii="宋体" w:hAnsi="宋体"/>
                <w:color w:val="auto"/>
                <w:sz w:val="21"/>
                <w:szCs w:val="21"/>
                <w:highlight w:val="none"/>
              </w:rPr>
              <w:t xml:space="preserve"> </w:t>
            </w:r>
          </w:p>
        </w:tc>
      </w:tr>
      <w:tr w14:paraId="2451BCB7">
        <w:tblPrEx>
          <w:tblCellMar>
            <w:top w:w="0" w:type="dxa"/>
            <w:left w:w="108" w:type="dxa"/>
            <w:bottom w:w="0" w:type="dxa"/>
            <w:right w:w="108" w:type="dxa"/>
          </w:tblCellMar>
        </w:tblPrEx>
        <w:trPr>
          <w:trHeight w:val="569"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007ED55D">
            <w:pPr>
              <w:jc w:val="center"/>
              <w:rPr>
                <w:rFonts w:ascii="宋体"/>
                <w:color w:val="auto"/>
                <w:sz w:val="21"/>
                <w:szCs w:val="21"/>
                <w:highlight w:val="none"/>
              </w:rPr>
            </w:pPr>
            <w:r>
              <w:rPr>
                <w:rFonts w:hint="eastAsia" w:ascii="宋体" w:hAnsi="宋体"/>
                <w:color w:val="auto"/>
                <w:sz w:val="21"/>
                <w:szCs w:val="21"/>
                <w:highlight w:val="none"/>
              </w:rPr>
              <w:t>六</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E163E03">
            <w:pPr>
              <w:jc w:val="center"/>
              <w:rPr>
                <w:rFonts w:ascii="宋体"/>
                <w:color w:val="auto"/>
                <w:sz w:val="21"/>
                <w:szCs w:val="21"/>
                <w:highlight w:val="none"/>
              </w:rPr>
            </w:pPr>
            <w:r>
              <w:rPr>
                <w:rFonts w:hint="eastAsia" w:ascii="宋体" w:hAnsi="宋体"/>
                <w:color w:val="auto"/>
                <w:sz w:val="21"/>
                <w:szCs w:val="21"/>
                <w:highlight w:val="none"/>
              </w:rPr>
              <w:t>防护设施</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64CB34F6">
            <w:pPr>
              <w:rPr>
                <w:rFonts w:ascii="宋体"/>
                <w:color w:val="auto"/>
                <w:sz w:val="21"/>
                <w:szCs w:val="21"/>
                <w:highlight w:val="none"/>
              </w:rPr>
            </w:pPr>
            <w:r>
              <w:rPr>
                <w:rFonts w:hint="eastAsia" w:ascii="宋体" w:hAnsi="宋体"/>
                <w:color w:val="auto"/>
                <w:sz w:val="21"/>
                <w:szCs w:val="21"/>
                <w:highlight w:val="none"/>
              </w:rPr>
              <w:t>设施稳固、整洁、完好，与花坛协调美观；饰物和雕塑等应安全、美观。达标率＞</w:t>
            </w:r>
            <w:r>
              <w:rPr>
                <w:rFonts w:ascii="宋体" w:hAnsi="宋体"/>
                <w:color w:val="auto"/>
                <w:sz w:val="21"/>
                <w:szCs w:val="21"/>
                <w:highlight w:val="none"/>
              </w:rPr>
              <w:t>90</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61A15D13">
        <w:tblPrEx>
          <w:tblCellMar>
            <w:top w:w="0" w:type="dxa"/>
            <w:left w:w="108" w:type="dxa"/>
            <w:bottom w:w="0" w:type="dxa"/>
            <w:right w:w="108" w:type="dxa"/>
          </w:tblCellMar>
        </w:tblPrEx>
        <w:trPr>
          <w:trHeight w:val="721" w:hRule="atLeast"/>
        </w:trPr>
        <w:tc>
          <w:tcPr>
            <w:tcW w:w="773" w:type="dxa"/>
            <w:tcBorders>
              <w:top w:val="single" w:color="auto" w:sz="4" w:space="0"/>
              <w:left w:val="single" w:color="auto" w:sz="4" w:space="0"/>
              <w:bottom w:val="single" w:color="auto" w:sz="4" w:space="0"/>
              <w:right w:val="single" w:color="auto" w:sz="4" w:space="0"/>
            </w:tcBorders>
            <w:noWrap w:val="0"/>
            <w:vAlign w:val="center"/>
          </w:tcPr>
          <w:p w14:paraId="3611BF6F">
            <w:pPr>
              <w:jc w:val="center"/>
              <w:rPr>
                <w:rFonts w:ascii="宋体"/>
                <w:color w:val="auto"/>
                <w:sz w:val="21"/>
                <w:szCs w:val="21"/>
                <w:highlight w:val="none"/>
              </w:rPr>
            </w:pPr>
            <w:r>
              <w:rPr>
                <w:rFonts w:hint="eastAsia" w:ascii="宋体" w:hAnsi="宋体"/>
                <w:color w:val="auto"/>
                <w:sz w:val="21"/>
                <w:szCs w:val="21"/>
                <w:highlight w:val="none"/>
              </w:rPr>
              <w:t>七</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782BD5D">
            <w:pPr>
              <w:jc w:val="center"/>
              <w:rPr>
                <w:rFonts w:ascii="宋体"/>
                <w:color w:val="auto"/>
                <w:sz w:val="21"/>
                <w:szCs w:val="21"/>
                <w:highlight w:val="none"/>
              </w:rPr>
            </w:pPr>
            <w:r>
              <w:rPr>
                <w:rFonts w:hint="eastAsia" w:ascii="宋体" w:hAnsi="宋体"/>
                <w:color w:val="auto"/>
                <w:sz w:val="21"/>
                <w:szCs w:val="21"/>
                <w:highlight w:val="none"/>
              </w:rPr>
              <w:t>环境卫生</w:t>
            </w:r>
          </w:p>
        </w:tc>
        <w:tc>
          <w:tcPr>
            <w:tcW w:w="7415" w:type="dxa"/>
            <w:tcBorders>
              <w:top w:val="single" w:color="auto" w:sz="4" w:space="0"/>
              <w:left w:val="single" w:color="auto" w:sz="4" w:space="0"/>
              <w:bottom w:val="single" w:color="auto" w:sz="4" w:space="0"/>
              <w:right w:val="single" w:color="auto" w:sz="4" w:space="0"/>
            </w:tcBorders>
            <w:noWrap w:val="0"/>
            <w:vAlign w:val="center"/>
          </w:tcPr>
          <w:p w14:paraId="368CC170">
            <w:pPr>
              <w:rPr>
                <w:rFonts w:ascii="宋体"/>
                <w:color w:val="auto"/>
                <w:sz w:val="21"/>
                <w:szCs w:val="21"/>
                <w:highlight w:val="none"/>
              </w:rPr>
            </w:pPr>
            <w:r>
              <w:rPr>
                <w:rFonts w:hint="eastAsia" w:ascii="宋体" w:hAnsi="宋体"/>
                <w:color w:val="auto"/>
                <w:sz w:val="21"/>
                <w:szCs w:val="21"/>
                <w:highlight w:val="none"/>
              </w:rPr>
              <w:t>无垃圾，无泥土散落、弄脏道路及周围环境现象；假花无散落现象；设施完好、整洁、美观。达标率＞</w:t>
            </w:r>
            <w:r>
              <w:rPr>
                <w:rFonts w:ascii="宋体" w:hAnsi="宋体"/>
                <w:color w:val="auto"/>
                <w:sz w:val="21"/>
                <w:szCs w:val="21"/>
                <w:highlight w:val="none"/>
              </w:rPr>
              <w:t>95</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57BDAAF3">
        <w:tblPrEx>
          <w:tblCellMar>
            <w:top w:w="0" w:type="dxa"/>
            <w:left w:w="108" w:type="dxa"/>
            <w:bottom w:w="0" w:type="dxa"/>
            <w:right w:w="108" w:type="dxa"/>
          </w:tblCellMar>
        </w:tblPrEx>
        <w:trPr>
          <w:cantSplit/>
          <w:trHeight w:val="622" w:hRule="atLeast"/>
        </w:trPr>
        <w:tc>
          <w:tcPr>
            <w:tcW w:w="9283" w:type="dxa"/>
            <w:gridSpan w:val="3"/>
            <w:tcBorders>
              <w:top w:val="single" w:color="auto" w:sz="4" w:space="0"/>
              <w:left w:val="single" w:color="auto" w:sz="4" w:space="0"/>
              <w:bottom w:val="single" w:color="auto" w:sz="4" w:space="0"/>
              <w:right w:val="single" w:color="auto" w:sz="4" w:space="0"/>
            </w:tcBorders>
            <w:noWrap w:val="0"/>
            <w:vAlign w:val="center"/>
          </w:tcPr>
          <w:p w14:paraId="577323E7">
            <w:pPr>
              <w:ind w:firstLine="420" w:firstLineChars="200"/>
              <w:rPr>
                <w:rFonts w:ascii="宋体"/>
                <w:color w:val="auto"/>
                <w:sz w:val="21"/>
                <w:szCs w:val="21"/>
                <w:highlight w:val="none"/>
              </w:rPr>
            </w:pPr>
            <w:r>
              <w:rPr>
                <w:rFonts w:hint="eastAsia" w:ascii="宋体" w:hAnsi="宋体"/>
                <w:color w:val="auto"/>
                <w:sz w:val="21"/>
                <w:szCs w:val="21"/>
                <w:highlight w:val="none"/>
              </w:rPr>
              <w:t>注：达标率指乔木、灌木、地被、草坪等被检目标达到相应要求的植株数（或面积）占总株数（或总面积）的百分比。</w:t>
            </w:r>
          </w:p>
        </w:tc>
      </w:tr>
    </w:tbl>
    <w:p w14:paraId="498E618F">
      <w:pPr>
        <w:pStyle w:val="42"/>
        <w:spacing w:before="165"/>
        <w:outlineLvl w:val="9"/>
        <w:rPr>
          <w:rFonts w:hint="eastAsia" w:hAnsi="宋体" w:cs="宋体"/>
          <w:b/>
          <w:bCs/>
          <w:color w:val="auto"/>
          <w:highlight w:val="none"/>
        </w:rPr>
      </w:pPr>
      <w:r>
        <w:rPr>
          <w:rFonts w:hint="eastAsia" w:hAnsi="宋体" w:cs="宋体"/>
          <w:b/>
          <w:bCs/>
          <w:color w:val="auto"/>
          <w:highlight w:val="none"/>
        </w:rPr>
        <w:t>（4）二级护坡养护质量要求表</w:t>
      </w:r>
    </w:p>
    <w:tbl>
      <w:tblPr>
        <w:tblStyle w:val="22"/>
        <w:tblW w:w="9387" w:type="dxa"/>
        <w:tblInd w:w="77" w:type="dxa"/>
        <w:tblLayout w:type="fixed"/>
        <w:tblCellMar>
          <w:top w:w="0" w:type="dxa"/>
          <w:left w:w="108" w:type="dxa"/>
          <w:bottom w:w="0" w:type="dxa"/>
          <w:right w:w="108" w:type="dxa"/>
        </w:tblCellMar>
      </w:tblPr>
      <w:tblGrid>
        <w:gridCol w:w="698"/>
        <w:gridCol w:w="1328"/>
        <w:gridCol w:w="7361"/>
      </w:tblGrid>
      <w:tr w14:paraId="0DBF815B">
        <w:tblPrEx>
          <w:tblCellMar>
            <w:top w:w="0" w:type="dxa"/>
            <w:left w:w="108" w:type="dxa"/>
            <w:bottom w:w="0" w:type="dxa"/>
            <w:right w:w="108" w:type="dxa"/>
          </w:tblCellMar>
        </w:tblPrEx>
        <w:trPr>
          <w:trHeight w:val="470"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341E1DD1">
            <w:pPr>
              <w:jc w:val="center"/>
              <w:rPr>
                <w:rFonts w:ascii="宋体"/>
                <w:color w:val="auto"/>
                <w:sz w:val="21"/>
                <w:szCs w:val="21"/>
                <w:highlight w:val="none"/>
              </w:rPr>
            </w:pPr>
            <w:r>
              <w:rPr>
                <w:rFonts w:hint="eastAsia" w:ascii="宋体" w:hAnsi="宋体"/>
                <w:color w:val="auto"/>
                <w:sz w:val="21"/>
                <w:szCs w:val="21"/>
                <w:highlight w:val="none"/>
              </w:rPr>
              <w:t>序号</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ABE24B5">
            <w:pPr>
              <w:jc w:val="center"/>
              <w:rPr>
                <w:rFonts w:ascii="宋体"/>
                <w:color w:val="auto"/>
                <w:sz w:val="21"/>
                <w:szCs w:val="21"/>
                <w:highlight w:val="none"/>
              </w:rPr>
            </w:pPr>
            <w:r>
              <w:rPr>
                <w:rFonts w:hint="eastAsia" w:ascii="宋体" w:hAnsi="宋体"/>
                <w:color w:val="auto"/>
                <w:sz w:val="21"/>
                <w:szCs w:val="21"/>
                <w:highlight w:val="none"/>
              </w:rPr>
              <w:t>项目</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7088EEF4">
            <w:pPr>
              <w:jc w:val="center"/>
              <w:rPr>
                <w:rFonts w:ascii="宋体"/>
                <w:color w:val="auto"/>
                <w:sz w:val="21"/>
                <w:szCs w:val="21"/>
                <w:highlight w:val="none"/>
              </w:rPr>
            </w:pPr>
            <w:r>
              <w:rPr>
                <w:rFonts w:hint="eastAsia" w:ascii="宋体" w:hAnsi="宋体"/>
                <w:color w:val="auto"/>
                <w:sz w:val="21"/>
                <w:szCs w:val="21"/>
                <w:highlight w:val="none"/>
              </w:rPr>
              <w:t>质量要求</w:t>
            </w:r>
          </w:p>
        </w:tc>
      </w:tr>
      <w:tr w14:paraId="3FB7D903">
        <w:tblPrEx>
          <w:tblCellMar>
            <w:top w:w="0" w:type="dxa"/>
            <w:left w:w="108" w:type="dxa"/>
            <w:bottom w:w="0" w:type="dxa"/>
            <w:right w:w="108" w:type="dxa"/>
          </w:tblCellMar>
        </w:tblPrEx>
        <w:trPr>
          <w:trHeight w:val="555"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1AEBC746">
            <w:pPr>
              <w:jc w:val="center"/>
              <w:rPr>
                <w:rFonts w:ascii="宋体"/>
                <w:color w:val="auto"/>
                <w:sz w:val="21"/>
                <w:szCs w:val="21"/>
                <w:highlight w:val="none"/>
              </w:rPr>
            </w:pPr>
            <w:r>
              <w:rPr>
                <w:rFonts w:hint="eastAsia" w:ascii="宋体" w:hAnsi="宋体"/>
                <w:color w:val="auto"/>
                <w:sz w:val="21"/>
                <w:szCs w:val="21"/>
                <w:highlight w:val="none"/>
              </w:rPr>
              <w:t>一</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B51483F">
            <w:pPr>
              <w:jc w:val="center"/>
              <w:rPr>
                <w:rFonts w:ascii="宋体"/>
                <w:color w:val="auto"/>
                <w:sz w:val="21"/>
                <w:szCs w:val="21"/>
                <w:highlight w:val="none"/>
              </w:rPr>
            </w:pPr>
            <w:r>
              <w:rPr>
                <w:rFonts w:hint="eastAsia" w:ascii="宋体" w:hAnsi="宋体"/>
                <w:color w:val="auto"/>
                <w:sz w:val="21"/>
                <w:szCs w:val="21"/>
                <w:highlight w:val="none"/>
              </w:rPr>
              <w:t>整体效果</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218FEDD9">
            <w:pPr>
              <w:rPr>
                <w:rFonts w:hAnsi="宋体"/>
                <w:color w:val="auto"/>
                <w:kern w:val="2"/>
                <w:sz w:val="24"/>
                <w:szCs w:val="28"/>
                <w:highlight w:val="none"/>
                <w:lang w:val="en-US" w:eastAsia="zh-CN"/>
              </w:rPr>
            </w:pPr>
            <w:r>
              <w:rPr>
                <w:rFonts w:hint="eastAsia" w:ascii="宋体" w:hAnsi="宋体" w:eastAsia="宋体" w:cs="Times New Roman"/>
                <w:color w:val="auto"/>
                <w:sz w:val="21"/>
                <w:szCs w:val="21"/>
                <w:highlight w:val="none"/>
                <w:lang w:val="en-US" w:eastAsia="zh-CN"/>
              </w:rPr>
              <w:t>植物配置基本合理，具固土护坡作用和较好的绿化效果。</w:t>
            </w:r>
          </w:p>
        </w:tc>
      </w:tr>
      <w:tr w14:paraId="183EE1DD">
        <w:tblPrEx>
          <w:tblCellMar>
            <w:top w:w="0" w:type="dxa"/>
            <w:left w:w="108" w:type="dxa"/>
            <w:bottom w:w="0" w:type="dxa"/>
            <w:right w:w="108" w:type="dxa"/>
          </w:tblCellMar>
        </w:tblPrEx>
        <w:trPr>
          <w:trHeight w:val="710"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56FAB2FC">
            <w:pPr>
              <w:jc w:val="center"/>
              <w:rPr>
                <w:rFonts w:ascii="宋体"/>
                <w:color w:val="auto"/>
                <w:sz w:val="21"/>
                <w:szCs w:val="21"/>
                <w:highlight w:val="none"/>
              </w:rPr>
            </w:pPr>
            <w:r>
              <w:rPr>
                <w:rFonts w:hint="eastAsia" w:ascii="宋体" w:hAnsi="宋体"/>
                <w:color w:val="auto"/>
                <w:sz w:val="21"/>
                <w:szCs w:val="21"/>
                <w:highlight w:val="none"/>
              </w:rPr>
              <w:t>二</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CD75D32">
            <w:pPr>
              <w:jc w:val="center"/>
              <w:rPr>
                <w:rFonts w:ascii="宋体"/>
                <w:color w:val="auto"/>
                <w:sz w:val="21"/>
                <w:szCs w:val="21"/>
                <w:highlight w:val="none"/>
              </w:rPr>
            </w:pPr>
            <w:r>
              <w:rPr>
                <w:rFonts w:hint="eastAsia" w:ascii="宋体" w:hAnsi="宋体"/>
                <w:color w:val="auto"/>
                <w:sz w:val="21"/>
                <w:szCs w:val="21"/>
                <w:highlight w:val="none"/>
              </w:rPr>
              <w:t>植物生长</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0C826EDD">
            <w:pPr>
              <w:rPr>
                <w:rFonts w:ascii="宋体"/>
                <w:color w:val="auto"/>
                <w:sz w:val="21"/>
                <w:szCs w:val="21"/>
                <w:highlight w:val="none"/>
              </w:rPr>
            </w:pPr>
            <w:r>
              <w:rPr>
                <w:rFonts w:hint="eastAsia" w:ascii="宋体" w:hAnsi="宋体"/>
                <w:color w:val="auto"/>
                <w:sz w:val="21"/>
                <w:szCs w:val="21"/>
                <w:highlight w:val="none"/>
              </w:rPr>
              <w:t>生长季节植物生长正常，符合物候状况；旱季片植地被植物无成片枯死现象。达标率＞</w:t>
            </w:r>
            <w:r>
              <w:rPr>
                <w:rFonts w:ascii="宋体" w:hAnsi="宋体"/>
                <w:color w:val="auto"/>
                <w:sz w:val="21"/>
                <w:szCs w:val="21"/>
                <w:highlight w:val="none"/>
              </w:rPr>
              <w:t>85</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7009D21C">
        <w:tblPrEx>
          <w:tblCellMar>
            <w:top w:w="0" w:type="dxa"/>
            <w:left w:w="108" w:type="dxa"/>
            <w:bottom w:w="0" w:type="dxa"/>
            <w:right w:w="108" w:type="dxa"/>
          </w:tblCellMar>
        </w:tblPrEx>
        <w:trPr>
          <w:trHeight w:val="573"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19C4E008">
            <w:pPr>
              <w:jc w:val="center"/>
              <w:rPr>
                <w:rFonts w:ascii="宋体"/>
                <w:color w:val="auto"/>
                <w:sz w:val="21"/>
                <w:szCs w:val="21"/>
                <w:highlight w:val="none"/>
              </w:rPr>
            </w:pPr>
            <w:r>
              <w:rPr>
                <w:rFonts w:hint="eastAsia" w:ascii="宋体" w:hAnsi="宋体"/>
                <w:color w:val="auto"/>
                <w:sz w:val="21"/>
                <w:szCs w:val="21"/>
                <w:highlight w:val="none"/>
              </w:rPr>
              <w:t>三</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1AC3E552">
            <w:pPr>
              <w:jc w:val="center"/>
              <w:rPr>
                <w:rFonts w:ascii="宋体"/>
                <w:color w:val="auto"/>
                <w:sz w:val="21"/>
                <w:szCs w:val="21"/>
                <w:highlight w:val="none"/>
              </w:rPr>
            </w:pPr>
            <w:r>
              <w:rPr>
                <w:rFonts w:hint="eastAsia" w:ascii="宋体" w:hAnsi="宋体"/>
                <w:color w:val="auto"/>
                <w:sz w:val="21"/>
                <w:szCs w:val="21"/>
                <w:highlight w:val="none"/>
              </w:rPr>
              <w:t>整形修剪</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5AB1504D">
            <w:pPr>
              <w:rPr>
                <w:rFonts w:ascii="宋体"/>
                <w:color w:val="auto"/>
                <w:sz w:val="21"/>
                <w:szCs w:val="21"/>
                <w:highlight w:val="none"/>
              </w:rPr>
            </w:pPr>
            <w:r>
              <w:rPr>
                <w:rFonts w:hint="eastAsia" w:ascii="宋体" w:hAnsi="宋体"/>
                <w:color w:val="auto"/>
                <w:sz w:val="21"/>
                <w:szCs w:val="21"/>
                <w:highlight w:val="none"/>
              </w:rPr>
              <w:t>乔木、一般孤植灌木：无明显的干枯枝、病虫枝。片植灌木及地被植物：基本平整，无明显的枯枝、黄叶、杂草。达标率＞</w:t>
            </w:r>
            <w:r>
              <w:rPr>
                <w:rFonts w:ascii="宋体" w:hAnsi="宋体"/>
                <w:color w:val="auto"/>
                <w:sz w:val="21"/>
                <w:szCs w:val="21"/>
                <w:highlight w:val="none"/>
              </w:rPr>
              <w:t>85</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4B71CD85">
        <w:tblPrEx>
          <w:tblCellMar>
            <w:top w:w="0" w:type="dxa"/>
            <w:left w:w="108" w:type="dxa"/>
            <w:bottom w:w="0" w:type="dxa"/>
            <w:right w:w="108" w:type="dxa"/>
          </w:tblCellMar>
        </w:tblPrEx>
        <w:trPr>
          <w:trHeight w:val="452"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0B4916C1">
            <w:pPr>
              <w:jc w:val="center"/>
              <w:rPr>
                <w:rFonts w:ascii="宋体"/>
                <w:color w:val="auto"/>
                <w:sz w:val="21"/>
                <w:szCs w:val="21"/>
                <w:highlight w:val="none"/>
              </w:rPr>
            </w:pPr>
            <w:r>
              <w:rPr>
                <w:rFonts w:hint="eastAsia" w:ascii="宋体" w:hAnsi="宋体"/>
                <w:color w:val="auto"/>
                <w:sz w:val="21"/>
                <w:szCs w:val="21"/>
                <w:highlight w:val="none"/>
              </w:rPr>
              <w:t>四</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7DF78258">
            <w:pPr>
              <w:jc w:val="center"/>
              <w:rPr>
                <w:rFonts w:ascii="宋体"/>
                <w:color w:val="auto"/>
                <w:sz w:val="21"/>
                <w:szCs w:val="21"/>
                <w:highlight w:val="none"/>
              </w:rPr>
            </w:pPr>
            <w:r>
              <w:rPr>
                <w:rFonts w:hint="eastAsia" w:ascii="宋体" w:hAnsi="宋体"/>
                <w:color w:val="auto"/>
                <w:sz w:val="21"/>
                <w:szCs w:val="21"/>
                <w:highlight w:val="none"/>
              </w:rPr>
              <w:t>树盘</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52C09FE1">
            <w:pPr>
              <w:ind w:firstLine="420" w:firstLineChars="200"/>
              <w:rPr>
                <w:rFonts w:ascii="宋体"/>
                <w:color w:val="auto"/>
                <w:sz w:val="21"/>
                <w:szCs w:val="21"/>
                <w:highlight w:val="none"/>
              </w:rPr>
            </w:pPr>
            <w:r>
              <w:rPr>
                <w:rFonts w:hint="eastAsia" w:ascii="宋体" w:hAnsi="宋体"/>
                <w:color w:val="auto"/>
                <w:sz w:val="21"/>
                <w:szCs w:val="21"/>
                <w:highlight w:val="none"/>
              </w:rPr>
              <w:t>小乔木应做树盘，树盘土壤疏松，无明显的杂草、杂物。达标率＞</w:t>
            </w:r>
            <w:r>
              <w:rPr>
                <w:rFonts w:ascii="宋体" w:hAnsi="宋体"/>
                <w:color w:val="auto"/>
                <w:sz w:val="21"/>
                <w:szCs w:val="21"/>
                <w:highlight w:val="none"/>
              </w:rPr>
              <w:t>85</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470B77A4">
        <w:tblPrEx>
          <w:tblCellMar>
            <w:top w:w="0" w:type="dxa"/>
            <w:left w:w="108" w:type="dxa"/>
            <w:bottom w:w="0" w:type="dxa"/>
            <w:right w:w="108" w:type="dxa"/>
          </w:tblCellMar>
        </w:tblPrEx>
        <w:trPr>
          <w:trHeight w:val="456"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32E0B5D5">
            <w:pPr>
              <w:jc w:val="center"/>
              <w:rPr>
                <w:rFonts w:ascii="宋体"/>
                <w:color w:val="auto"/>
                <w:sz w:val="21"/>
                <w:szCs w:val="21"/>
                <w:highlight w:val="none"/>
              </w:rPr>
            </w:pPr>
            <w:r>
              <w:rPr>
                <w:rFonts w:hint="eastAsia" w:ascii="宋体" w:hAnsi="宋体"/>
                <w:color w:val="auto"/>
                <w:sz w:val="21"/>
                <w:szCs w:val="21"/>
                <w:highlight w:val="none"/>
              </w:rPr>
              <w:t>五</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45F6F72">
            <w:pPr>
              <w:jc w:val="center"/>
              <w:rPr>
                <w:rFonts w:ascii="宋体"/>
                <w:color w:val="auto"/>
                <w:sz w:val="21"/>
                <w:szCs w:val="21"/>
                <w:highlight w:val="none"/>
              </w:rPr>
            </w:pPr>
            <w:r>
              <w:rPr>
                <w:rFonts w:hint="eastAsia" w:ascii="宋体" w:hAnsi="宋体"/>
                <w:color w:val="auto"/>
                <w:sz w:val="21"/>
                <w:szCs w:val="21"/>
                <w:highlight w:val="none"/>
              </w:rPr>
              <w:t>草坪</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18E24512">
            <w:pPr>
              <w:ind w:firstLine="420" w:firstLineChars="200"/>
              <w:rPr>
                <w:rFonts w:ascii="宋体"/>
                <w:color w:val="auto"/>
                <w:sz w:val="21"/>
                <w:szCs w:val="21"/>
                <w:highlight w:val="none"/>
              </w:rPr>
            </w:pPr>
            <w:r>
              <w:rPr>
                <w:rFonts w:hint="eastAsia" w:ascii="宋体" w:hAnsi="宋体"/>
                <w:color w:val="auto"/>
                <w:sz w:val="21"/>
                <w:szCs w:val="21"/>
                <w:highlight w:val="none"/>
              </w:rPr>
              <w:t>草坪生长季节基本青绿；高度控制在</w:t>
            </w:r>
            <w:r>
              <w:rPr>
                <w:rFonts w:ascii="宋体" w:hAnsi="宋体"/>
                <w:color w:val="auto"/>
                <w:sz w:val="21"/>
                <w:szCs w:val="21"/>
                <w:highlight w:val="none"/>
              </w:rPr>
              <w:t>20cm</w:t>
            </w:r>
            <w:r>
              <w:rPr>
                <w:rFonts w:hint="eastAsia" w:ascii="宋体" w:hAnsi="宋体"/>
                <w:color w:val="auto"/>
                <w:sz w:val="21"/>
                <w:szCs w:val="21"/>
                <w:highlight w:val="none"/>
              </w:rPr>
              <w:t>以下。达标率＞</w:t>
            </w:r>
            <w:r>
              <w:rPr>
                <w:rFonts w:ascii="宋体" w:hAnsi="宋体"/>
                <w:color w:val="auto"/>
                <w:sz w:val="21"/>
                <w:szCs w:val="21"/>
                <w:highlight w:val="none"/>
              </w:rPr>
              <w:t>85</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3BDD0C76">
        <w:tblPrEx>
          <w:tblCellMar>
            <w:top w:w="0" w:type="dxa"/>
            <w:left w:w="108" w:type="dxa"/>
            <w:bottom w:w="0" w:type="dxa"/>
            <w:right w:w="108" w:type="dxa"/>
          </w:tblCellMar>
        </w:tblPrEx>
        <w:trPr>
          <w:trHeight w:val="476"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2B9618D9">
            <w:pPr>
              <w:jc w:val="center"/>
              <w:rPr>
                <w:rFonts w:ascii="宋体"/>
                <w:color w:val="auto"/>
                <w:sz w:val="21"/>
                <w:szCs w:val="21"/>
                <w:highlight w:val="none"/>
              </w:rPr>
            </w:pPr>
            <w:r>
              <w:rPr>
                <w:rFonts w:hint="eastAsia" w:ascii="宋体" w:hAnsi="宋体"/>
                <w:color w:val="auto"/>
                <w:sz w:val="21"/>
                <w:szCs w:val="21"/>
                <w:highlight w:val="none"/>
              </w:rPr>
              <w:t>六</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032A273F">
            <w:pPr>
              <w:jc w:val="center"/>
              <w:rPr>
                <w:rFonts w:ascii="宋体"/>
                <w:color w:val="auto"/>
                <w:sz w:val="21"/>
                <w:szCs w:val="21"/>
                <w:highlight w:val="none"/>
              </w:rPr>
            </w:pPr>
            <w:r>
              <w:rPr>
                <w:rFonts w:hint="eastAsia" w:ascii="宋体" w:hAnsi="宋体"/>
                <w:color w:val="auto"/>
                <w:sz w:val="21"/>
                <w:szCs w:val="21"/>
                <w:highlight w:val="none"/>
              </w:rPr>
              <w:t>病虫害控制</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016C8A22">
            <w:pPr>
              <w:ind w:firstLine="420" w:firstLineChars="200"/>
              <w:rPr>
                <w:rFonts w:ascii="宋体"/>
                <w:color w:val="auto"/>
                <w:sz w:val="21"/>
                <w:szCs w:val="21"/>
                <w:highlight w:val="none"/>
              </w:rPr>
            </w:pPr>
            <w:r>
              <w:rPr>
                <w:rFonts w:hint="eastAsia" w:ascii="宋体" w:hAnsi="宋体"/>
                <w:color w:val="auto"/>
                <w:sz w:val="21"/>
                <w:szCs w:val="21"/>
                <w:highlight w:val="none"/>
              </w:rPr>
              <w:t>无严重的危害迹象；病虫害总</w:t>
            </w:r>
            <w:r>
              <w:rPr>
                <w:rFonts w:hint="eastAsia" w:ascii="宋体" w:hAnsi="宋体"/>
                <w:color w:val="auto"/>
                <w:sz w:val="21"/>
                <w:szCs w:val="21"/>
                <w:highlight w:val="none"/>
                <w:lang w:val="en-US" w:eastAsia="zh-CN"/>
              </w:rPr>
              <w:t>危</w:t>
            </w:r>
            <w:r>
              <w:rPr>
                <w:rFonts w:hint="eastAsia" w:ascii="宋体" w:hAnsi="宋体"/>
                <w:color w:val="auto"/>
                <w:sz w:val="21"/>
                <w:szCs w:val="21"/>
                <w:highlight w:val="none"/>
              </w:rPr>
              <w:t>害率＜</w:t>
            </w:r>
            <w:r>
              <w:rPr>
                <w:rFonts w:ascii="宋体" w:hAnsi="宋体"/>
                <w:color w:val="auto"/>
                <w:sz w:val="21"/>
                <w:szCs w:val="21"/>
                <w:highlight w:val="none"/>
              </w:rPr>
              <w:t>25</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72E66494">
        <w:tblPrEx>
          <w:tblCellMar>
            <w:top w:w="0" w:type="dxa"/>
            <w:left w:w="108" w:type="dxa"/>
            <w:bottom w:w="0" w:type="dxa"/>
            <w:right w:w="108" w:type="dxa"/>
          </w:tblCellMar>
        </w:tblPrEx>
        <w:trPr>
          <w:trHeight w:val="543"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41B88510">
            <w:pPr>
              <w:jc w:val="center"/>
              <w:rPr>
                <w:rFonts w:ascii="宋体"/>
                <w:color w:val="auto"/>
                <w:sz w:val="21"/>
                <w:szCs w:val="21"/>
                <w:highlight w:val="none"/>
              </w:rPr>
            </w:pPr>
            <w:r>
              <w:rPr>
                <w:rFonts w:hint="eastAsia" w:ascii="宋体" w:hAnsi="宋体"/>
                <w:color w:val="auto"/>
                <w:sz w:val="21"/>
                <w:szCs w:val="21"/>
                <w:highlight w:val="none"/>
              </w:rPr>
              <w:t>七</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68070FF2">
            <w:pPr>
              <w:jc w:val="center"/>
              <w:rPr>
                <w:rFonts w:ascii="宋体"/>
                <w:color w:val="auto"/>
                <w:sz w:val="21"/>
                <w:szCs w:val="21"/>
                <w:highlight w:val="none"/>
              </w:rPr>
            </w:pPr>
            <w:r>
              <w:rPr>
                <w:rFonts w:hint="eastAsia" w:ascii="宋体" w:hAnsi="宋体"/>
                <w:color w:val="auto"/>
                <w:sz w:val="21"/>
                <w:szCs w:val="21"/>
                <w:highlight w:val="none"/>
              </w:rPr>
              <w:t>补种与</w:t>
            </w:r>
          </w:p>
          <w:p w14:paraId="365126A0">
            <w:pPr>
              <w:jc w:val="center"/>
              <w:rPr>
                <w:rFonts w:ascii="宋体"/>
                <w:color w:val="auto"/>
                <w:sz w:val="21"/>
                <w:szCs w:val="21"/>
                <w:highlight w:val="none"/>
              </w:rPr>
            </w:pPr>
            <w:r>
              <w:rPr>
                <w:rFonts w:hint="eastAsia" w:ascii="宋体" w:hAnsi="宋体"/>
                <w:color w:val="auto"/>
                <w:sz w:val="21"/>
                <w:szCs w:val="21"/>
                <w:highlight w:val="none"/>
              </w:rPr>
              <w:t>改造</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1183107F">
            <w:pPr>
              <w:ind w:firstLine="420" w:firstLineChars="200"/>
              <w:rPr>
                <w:rFonts w:ascii="宋体"/>
                <w:color w:val="auto"/>
                <w:sz w:val="21"/>
                <w:szCs w:val="21"/>
                <w:highlight w:val="none"/>
              </w:rPr>
            </w:pPr>
            <w:r>
              <w:rPr>
                <w:rFonts w:hint="eastAsia" w:ascii="宋体" w:hAnsi="宋体"/>
                <w:color w:val="auto"/>
                <w:sz w:val="21"/>
                <w:szCs w:val="21"/>
                <w:highlight w:val="none"/>
              </w:rPr>
              <w:t>黄土裸露率＜</w:t>
            </w:r>
            <w:r>
              <w:rPr>
                <w:rFonts w:ascii="宋体" w:hAnsi="宋体"/>
                <w:color w:val="auto"/>
                <w:sz w:val="21"/>
                <w:szCs w:val="21"/>
                <w:highlight w:val="none"/>
              </w:rPr>
              <w:t>5</w:t>
            </w:r>
            <w:r>
              <w:rPr>
                <w:rFonts w:hint="eastAsia" w:hAnsi="宋体"/>
                <w:color w:val="auto"/>
                <w:spacing w:val="-30"/>
                <w:sz w:val="21"/>
                <w:szCs w:val="21"/>
                <w:highlight w:val="none"/>
              </w:rPr>
              <w:t>％</w:t>
            </w:r>
            <w:r>
              <w:rPr>
                <w:rFonts w:hint="eastAsia" w:ascii="宋体" w:hAnsi="宋体"/>
                <w:color w:val="auto"/>
                <w:sz w:val="21"/>
                <w:szCs w:val="21"/>
                <w:highlight w:val="none"/>
              </w:rPr>
              <w:t>，乔灌木缺株率＜</w:t>
            </w:r>
            <w:r>
              <w:rPr>
                <w:rFonts w:ascii="宋体" w:hAnsi="宋体"/>
                <w:color w:val="auto"/>
                <w:sz w:val="21"/>
                <w:szCs w:val="21"/>
                <w:highlight w:val="none"/>
              </w:rPr>
              <w:t>8</w:t>
            </w:r>
            <w:r>
              <w:rPr>
                <w:rFonts w:hint="eastAsia" w:hAnsi="宋体"/>
                <w:color w:val="auto"/>
                <w:spacing w:val="-30"/>
                <w:sz w:val="21"/>
                <w:szCs w:val="21"/>
                <w:highlight w:val="none"/>
              </w:rPr>
              <w:t>％</w:t>
            </w:r>
            <w:r>
              <w:rPr>
                <w:rFonts w:hint="eastAsia" w:ascii="宋体" w:hAnsi="宋体"/>
                <w:color w:val="auto"/>
                <w:sz w:val="21"/>
                <w:szCs w:val="21"/>
                <w:highlight w:val="none"/>
              </w:rPr>
              <w:t>，单处明显裸露面积＜</w:t>
            </w:r>
            <w:r>
              <w:rPr>
                <w:rFonts w:ascii="宋体" w:hAnsi="宋体"/>
                <w:color w:val="auto"/>
                <w:sz w:val="21"/>
                <w:szCs w:val="21"/>
                <w:highlight w:val="none"/>
              </w:rPr>
              <w:t>20m</w:t>
            </w:r>
            <w:r>
              <w:rPr>
                <w:rFonts w:ascii="宋体" w:hAnsi="宋体"/>
                <w:color w:val="auto"/>
                <w:sz w:val="21"/>
                <w:szCs w:val="21"/>
                <w:highlight w:val="none"/>
                <w:vertAlign w:val="superscript"/>
              </w:rPr>
              <w:t>2</w:t>
            </w:r>
            <w:r>
              <w:rPr>
                <w:rFonts w:hint="eastAsia" w:ascii="宋体" w:hAnsi="宋体"/>
                <w:color w:val="auto"/>
                <w:sz w:val="21"/>
                <w:szCs w:val="21"/>
                <w:highlight w:val="none"/>
              </w:rPr>
              <w:t>。</w:t>
            </w:r>
          </w:p>
        </w:tc>
      </w:tr>
      <w:tr w14:paraId="3F615D95">
        <w:tblPrEx>
          <w:tblCellMar>
            <w:top w:w="0" w:type="dxa"/>
            <w:left w:w="108" w:type="dxa"/>
            <w:bottom w:w="0" w:type="dxa"/>
            <w:right w:w="108" w:type="dxa"/>
          </w:tblCellMar>
        </w:tblPrEx>
        <w:trPr>
          <w:trHeight w:val="762" w:hRule="atLeast"/>
        </w:trPr>
        <w:tc>
          <w:tcPr>
            <w:tcW w:w="698" w:type="dxa"/>
            <w:tcBorders>
              <w:top w:val="single" w:color="auto" w:sz="4" w:space="0"/>
              <w:left w:val="single" w:color="auto" w:sz="4" w:space="0"/>
              <w:bottom w:val="single" w:color="auto" w:sz="4" w:space="0"/>
              <w:right w:val="single" w:color="auto" w:sz="4" w:space="0"/>
            </w:tcBorders>
            <w:noWrap w:val="0"/>
            <w:vAlign w:val="center"/>
          </w:tcPr>
          <w:p w14:paraId="5CA56FD1">
            <w:pPr>
              <w:jc w:val="center"/>
              <w:rPr>
                <w:rFonts w:ascii="宋体"/>
                <w:color w:val="auto"/>
                <w:sz w:val="21"/>
                <w:szCs w:val="21"/>
                <w:highlight w:val="none"/>
              </w:rPr>
            </w:pPr>
            <w:r>
              <w:rPr>
                <w:rFonts w:hint="eastAsia" w:ascii="宋体" w:hAnsi="宋体"/>
                <w:color w:val="auto"/>
                <w:sz w:val="21"/>
                <w:szCs w:val="21"/>
                <w:highlight w:val="none"/>
              </w:rPr>
              <w:t>八</w:t>
            </w:r>
          </w:p>
        </w:tc>
        <w:tc>
          <w:tcPr>
            <w:tcW w:w="1328" w:type="dxa"/>
            <w:tcBorders>
              <w:top w:val="single" w:color="auto" w:sz="4" w:space="0"/>
              <w:left w:val="single" w:color="auto" w:sz="4" w:space="0"/>
              <w:bottom w:val="single" w:color="auto" w:sz="4" w:space="0"/>
              <w:right w:val="single" w:color="auto" w:sz="4" w:space="0"/>
            </w:tcBorders>
            <w:noWrap w:val="0"/>
            <w:vAlign w:val="center"/>
          </w:tcPr>
          <w:p w14:paraId="396795AB">
            <w:pPr>
              <w:jc w:val="center"/>
              <w:rPr>
                <w:rFonts w:ascii="宋体"/>
                <w:color w:val="auto"/>
                <w:sz w:val="21"/>
                <w:szCs w:val="21"/>
                <w:highlight w:val="none"/>
              </w:rPr>
            </w:pPr>
            <w:r>
              <w:rPr>
                <w:rFonts w:hint="eastAsia" w:ascii="宋体" w:hAnsi="宋体"/>
                <w:color w:val="auto"/>
                <w:sz w:val="21"/>
                <w:szCs w:val="21"/>
                <w:highlight w:val="none"/>
              </w:rPr>
              <w:t>环境卫生</w:t>
            </w:r>
          </w:p>
        </w:tc>
        <w:tc>
          <w:tcPr>
            <w:tcW w:w="7361" w:type="dxa"/>
            <w:tcBorders>
              <w:top w:val="single" w:color="auto" w:sz="4" w:space="0"/>
              <w:left w:val="single" w:color="auto" w:sz="4" w:space="0"/>
              <w:bottom w:val="single" w:color="auto" w:sz="4" w:space="0"/>
              <w:right w:val="single" w:color="auto" w:sz="4" w:space="0"/>
            </w:tcBorders>
            <w:noWrap w:val="0"/>
            <w:vAlign w:val="center"/>
          </w:tcPr>
          <w:p w14:paraId="26093AC5">
            <w:pPr>
              <w:ind w:firstLine="420" w:firstLineChars="200"/>
              <w:rPr>
                <w:rFonts w:ascii="宋体"/>
                <w:color w:val="auto"/>
                <w:sz w:val="21"/>
                <w:szCs w:val="21"/>
                <w:highlight w:val="none"/>
              </w:rPr>
            </w:pPr>
            <w:r>
              <w:rPr>
                <w:rFonts w:hint="eastAsia" w:ascii="宋体" w:hAnsi="宋体"/>
                <w:color w:val="auto"/>
                <w:sz w:val="21"/>
                <w:szCs w:val="21"/>
                <w:highlight w:val="none"/>
              </w:rPr>
              <w:t>无明显塌方现象；无死树、堆积物；远观无明显垃圾，修剪枝叶当天清理。达标率＞</w:t>
            </w:r>
            <w:r>
              <w:rPr>
                <w:rFonts w:ascii="宋体" w:hAnsi="宋体"/>
                <w:color w:val="auto"/>
                <w:sz w:val="21"/>
                <w:szCs w:val="21"/>
                <w:highlight w:val="none"/>
              </w:rPr>
              <w:t>90</w:t>
            </w:r>
            <w:r>
              <w:rPr>
                <w:rFonts w:hint="eastAsia" w:hAnsi="宋体"/>
                <w:color w:val="auto"/>
                <w:spacing w:val="-30"/>
                <w:sz w:val="21"/>
                <w:szCs w:val="21"/>
                <w:highlight w:val="none"/>
              </w:rPr>
              <w:t>％</w:t>
            </w:r>
            <w:r>
              <w:rPr>
                <w:rFonts w:hint="eastAsia" w:ascii="宋体" w:hAnsi="宋体"/>
                <w:color w:val="auto"/>
                <w:sz w:val="21"/>
                <w:szCs w:val="21"/>
                <w:highlight w:val="none"/>
              </w:rPr>
              <w:t>。</w:t>
            </w:r>
          </w:p>
        </w:tc>
      </w:tr>
      <w:tr w14:paraId="37B8E646">
        <w:tblPrEx>
          <w:tblCellMar>
            <w:top w:w="0" w:type="dxa"/>
            <w:left w:w="108" w:type="dxa"/>
            <w:bottom w:w="0" w:type="dxa"/>
            <w:right w:w="108" w:type="dxa"/>
          </w:tblCellMar>
        </w:tblPrEx>
        <w:trPr>
          <w:cantSplit/>
          <w:trHeight w:val="344" w:hRule="atLeast"/>
        </w:trPr>
        <w:tc>
          <w:tcPr>
            <w:tcW w:w="9387" w:type="dxa"/>
            <w:gridSpan w:val="3"/>
            <w:tcBorders>
              <w:top w:val="single" w:color="auto" w:sz="4" w:space="0"/>
              <w:left w:val="single" w:color="auto" w:sz="4" w:space="0"/>
              <w:bottom w:val="single" w:color="auto" w:sz="4" w:space="0"/>
              <w:right w:val="single" w:color="auto" w:sz="4" w:space="0"/>
            </w:tcBorders>
            <w:noWrap w:val="0"/>
            <w:vAlign w:val="center"/>
          </w:tcPr>
          <w:p w14:paraId="4A35E990">
            <w:pPr>
              <w:ind w:firstLine="420" w:firstLineChars="200"/>
              <w:rPr>
                <w:rFonts w:ascii="宋体"/>
                <w:color w:val="auto"/>
                <w:sz w:val="21"/>
                <w:szCs w:val="21"/>
                <w:highlight w:val="none"/>
              </w:rPr>
            </w:pPr>
            <w:r>
              <w:rPr>
                <w:rFonts w:hint="eastAsia" w:ascii="宋体" w:hAnsi="宋体"/>
                <w:color w:val="auto"/>
                <w:sz w:val="21"/>
                <w:szCs w:val="21"/>
                <w:highlight w:val="none"/>
              </w:rPr>
              <w:t>注：达标率指乔木、灌木、地被、草坪等被检目标达到相应要求的植株数（或面积）占总株数（或总面积）的百分比。</w:t>
            </w:r>
          </w:p>
        </w:tc>
      </w:tr>
    </w:tbl>
    <w:p w14:paraId="33CF4AC8">
      <w:pPr>
        <w:pageBreakBefore w:val="0"/>
        <w:numPr>
          <w:ilvl w:val="0"/>
          <w:numId w:val="0"/>
        </w:numPr>
        <w:kinsoku/>
        <w:wordWrap w:val="0"/>
        <w:overflowPunct/>
        <w:topLinePunct w:val="0"/>
        <w:bidi w:val="0"/>
        <w:ind w:firstLine="321" w:firstLineChars="100"/>
        <w:outlineLvl w:val="2"/>
        <w:rPr>
          <w:rFonts w:hint="eastAsia" w:ascii="宋体" w:hAnsi="宋体" w:eastAsia="宋体" w:cs="宋体"/>
          <w:b/>
          <w:color w:val="auto"/>
          <w:sz w:val="32"/>
          <w:szCs w:val="32"/>
          <w:highlight w:val="none"/>
        </w:rPr>
        <w:sectPr>
          <w:pgSz w:w="11906" w:h="16838"/>
          <w:pgMar w:top="1020" w:right="1134" w:bottom="1020" w:left="1134" w:header="851" w:footer="992" w:gutter="0"/>
          <w:pgBorders>
            <w:top w:val="none" w:sz="0" w:space="0"/>
            <w:left w:val="none" w:sz="0" w:space="0"/>
            <w:bottom w:val="none" w:sz="0" w:space="0"/>
            <w:right w:val="none" w:sz="0" w:space="0"/>
          </w:pgBorders>
          <w:cols w:space="720" w:num="1"/>
          <w:docGrid w:type="lines" w:linePitch="312" w:charSpace="0"/>
        </w:sectPr>
      </w:pPr>
    </w:p>
    <w:p w14:paraId="76D52402">
      <w:pPr>
        <w:jc w:val="left"/>
        <w:outlineLvl w:val="1"/>
        <w:rPr>
          <w:rFonts w:hint="eastAsia" w:ascii="宋体" w:hAnsi="宋体"/>
          <w:b/>
          <w:color w:val="auto"/>
          <w:sz w:val="28"/>
          <w:szCs w:val="28"/>
          <w:highlight w:val="none"/>
          <w:lang w:val="en-US" w:eastAsia="zh-CN"/>
        </w:rPr>
      </w:pPr>
      <w:r>
        <w:rPr>
          <w:rFonts w:hint="eastAsia" w:ascii="宋体" w:hAnsi="宋体"/>
          <w:b/>
          <w:color w:val="auto"/>
          <w:sz w:val="28"/>
          <w:szCs w:val="28"/>
          <w:highlight w:val="none"/>
        </w:rPr>
        <w:t>附件</w:t>
      </w:r>
      <w:r>
        <w:rPr>
          <w:rFonts w:hint="eastAsia" w:ascii="宋体" w:hAnsi="宋体"/>
          <w:b/>
          <w:color w:val="auto"/>
          <w:sz w:val="28"/>
          <w:szCs w:val="28"/>
          <w:highlight w:val="none"/>
          <w:lang w:val="en-US" w:eastAsia="zh-CN"/>
        </w:rPr>
        <w:t>5</w:t>
      </w:r>
      <w:r>
        <w:rPr>
          <w:rFonts w:hint="eastAsia" w:ascii="宋体" w:hAnsi="宋体"/>
          <w:b/>
          <w:color w:val="auto"/>
          <w:sz w:val="28"/>
          <w:szCs w:val="28"/>
          <w:highlight w:val="none"/>
          <w:lang w:eastAsia="zh-CN"/>
        </w:rPr>
        <w:t>：</w:t>
      </w:r>
      <w:r>
        <w:rPr>
          <w:rFonts w:hint="eastAsia" w:ascii="宋体" w:hAnsi="宋体"/>
          <w:b/>
          <w:color w:val="auto"/>
          <w:sz w:val="28"/>
          <w:szCs w:val="28"/>
          <w:highlight w:val="none"/>
          <w:lang w:val="en-US" w:eastAsia="zh-CN"/>
        </w:rPr>
        <w:t>南宁市花卉公园绿化养护服务范围图和考核办法</w:t>
      </w:r>
    </w:p>
    <w:p w14:paraId="4E9E5AAE">
      <w:pPr>
        <w:jc w:val="left"/>
        <w:outlineLvl w:val="9"/>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t>附件5-1南宁市花卉公园绿化养护服务范围图</w:t>
      </w:r>
    </w:p>
    <w:p w14:paraId="76BE332A">
      <w:pPr>
        <w:pageBreakBefore w:val="0"/>
        <w:numPr>
          <w:ilvl w:val="0"/>
          <w:numId w:val="0"/>
        </w:numPr>
        <w:kinsoku/>
        <w:wordWrap w:val="0"/>
        <w:overflowPunct/>
        <w:topLinePunct w:val="0"/>
        <w:bidi w:val="0"/>
        <w:ind w:firstLine="361" w:firstLineChars="100"/>
        <w:outlineLvl w:val="9"/>
        <w:rPr>
          <w:rFonts w:hint="eastAsia" w:ascii="宋体" w:hAnsi="宋体" w:eastAsia="宋体" w:cs="宋体"/>
          <w:b/>
          <w:color w:val="auto"/>
          <w:sz w:val="32"/>
          <w:szCs w:val="32"/>
          <w:highlight w:val="none"/>
        </w:rPr>
      </w:pPr>
      <w:r>
        <w:rPr>
          <w:rFonts w:hint="eastAsia" w:hAnsi="宋体"/>
          <w:b/>
          <w:color w:val="auto"/>
          <w:sz w:val="36"/>
          <w:highlight w:val="none"/>
        </w:rPr>
        <w:drawing>
          <wp:anchor distT="0" distB="0" distL="114300" distR="114300" simplePos="0" relativeHeight="251667456" behindDoc="1" locked="0" layoutInCell="1" allowOverlap="1">
            <wp:simplePos x="0" y="0"/>
            <wp:positionH relativeFrom="column">
              <wp:posOffset>-212090</wp:posOffset>
            </wp:positionH>
            <wp:positionV relativeFrom="paragraph">
              <wp:posOffset>81280</wp:posOffset>
            </wp:positionV>
            <wp:extent cx="5805170" cy="7171055"/>
            <wp:effectExtent l="0" t="0" r="5080" b="10795"/>
            <wp:wrapNone/>
            <wp:docPr id="20" name="图片 6" descr="168446864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1684468641511"/>
                    <pic:cNvPicPr>
                      <a:picLocks noChangeAspect="1"/>
                    </pic:cNvPicPr>
                  </pic:nvPicPr>
                  <pic:blipFill>
                    <a:blip r:embed="rId23"/>
                    <a:stretch>
                      <a:fillRect/>
                    </a:stretch>
                  </pic:blipFill>
                  <pic:spPr>
                    <a:xfrm>
                      <a:off x="0" y="0"/>
                      <a:ext cx="5805170" cy="7171055"/>
                    </a:xfrm>
                    <a:prstGeom prst="rect">
                      <a:avLst/>
                    </a:prstGeom>
                    <a:noFill/>
                    <a:ln>
                      <a:noFill/>
                    </a:ln>
                  </pic:spPr>
                </pic:pic>
              </a:graphicData>
            </a:graphic>
          </wp:anchor>
        </w:drawing>
      </w:r>
    </w:p>
    <w:p w14:paraId="76DF7465">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6697EC23">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378B8FC6">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18985CE4">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12DACB55">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79367B55">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04937A28">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022E498C">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5FBCBFC3">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17B6DB50">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58FB8EF3">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4395B845">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405952BE">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50BF21F8">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0DB2D6FC">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6414F58E">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2AD063A8">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480933BB">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rPr>
      </w:pPr>
    </w:p>
    <w:p w14:paraId="65EF29E6">
      <w:pPr>
        <w:ind w:firstLine="420" w:firstLineChars="200"/>
        <w:jc w:val="left"/>
        <w:rPr>
          <w:rFonts w:hint="eastAsia"/>
          <w:color w:val="auto"/>
          <w:highlight w:val="none"/>
        </w:rPr>
      </w:pPr>
    </w:p>
    <w:p w14:paraId="391B1535">
      <w:pPr>
        <w:ind w:firstLine="420" w:firstLineChars="200"/>
        <w:jc w:val="left"/>
        <w:rPr>
          <w:rFonts w:hint="eastAsia"/>
          <w:color w:val="auto"/>
          <w:highlight w:val="none"/>
        </w:rPr>
      </w:pPr>
    </w:p>
    <w:p w14:paraId="65EB93EF">
      <w:pPr>
        <w:ind w:firstLine="420" w:firstLineChars="200"/>
        <w:jc w:val="left"/>
        <w:rPr>
          <w:rFonts w:hint="eastAsia"/>
          <w:color w:val="auto"/>
          <w:highlight w:val="none"/>
        </w:rPr>
      </w:pPr>
    </w:p>
    <w:p w14:paraId="3CAF546C">
      <w:pPr>
        <w:ind w:firstLine="420" w:firstLineChars="200"/>
        <w:jc w:val="left"/>
        <w:rPr>
          <w:rFonts w:hint="eastAsia"/>
          <w:color w:val="auto"/>
          <w:highlight w:val="none"/>
        </w:rPr>
      </w:pPr>
    </w:p>
    <w:p w14:paraId="0ADDC595">
      <w:pPr>
        <w:ind w:firstLine="420" w:firstLineChars="200"/>
        <w:jc w:val="left"/>
        <w:rPr>
          <w:rFonts w:hint="eastAsia"/>
          <w:color w:val="auto"/>
          <w:highlight w:val="none"/>
        </w:rPr>
      </w:pPr>
    </w:p>
    <w:p w14:paraId="1875E0CE">
      <w:pPr>
        <w:ind w:firstLine="420" w:firstLineChars="200"/>
        <w:jc w:val="left"/>
        <w:rPr>
          <w:rFonts w:hint="eastAsia"/>
          <w:color w:val="auto"/>
          <w:highlight w:val="none"/>
        </w:rPr>
      </w:pPr>
    </w:p>
    <w:p w14:paraId="79868471">
      <w:pPr>
        <w:ind w:firstLine="420" w:firstLineChars="200"/>
        <w:jc w:val="left"/>
        <w:rPr>
          <w:rFonts w:hint="eastAsia"/>
          <w:color w:val="auto"/>
          <w:highlight w:val="none"/>
        </w:rPr>
      </w:pPr>
    </w:p>
    <w:p w14:paraId="193C1285">
      <w:pPr>
        <w:ind w:firstLine="420" w:firstLineChars="200"/>
        <w:jc w:val="left"/>
        <w:rPr>
          <w:rFonts w:hint="eastAsia"/>
          <w:color w:val="auto"/>
          <w:highlight w:val="none"/>
        </w:rPr>
      </w:pPr>
    </w:p>
    <w:p w14:paraId="07FE5E9D">
      <w:pPr>
        <w:ind w:firstLine="420" w:firstLineChars="200"/>
        <w:jc w:val="left"/>
        <w:rPr>
          <w:rFonts w:hint="eastAsia"/>
          <w:color w:val="auto"/>
          <w:highlight w:val="none"/>
        </w:rPr>
      </w:pPr>
    </w:p>
    <w:p w14:paraId="3BE2B83A">
      <w:pPr>
        <w:ind w:firstLine="420" w:firstLineChars="200"/>
        <w:jc w:val="left"/>
        <w:rPr>
          <w:rFonts w:hint="eastAsia"/>
          <w:color w:val="auto"/>
          <w:highlight w:val="none"/>
        </w:rPr>
      </w:pPr>
    </w:p>
    <w:p w14:paraId="6886A73B">
      <w:pPr>
        <w:ind w:firstLine="420" w:firstLineChars="200"/>
        <w:jc w:val="left"/>
        <w:rPr>
          <w:rFonts w:hint="eastAsia"/>
          <w:color w:val="auto"/>
          <w:highlight w:val="none"/>
        </w:rPr>
      </w:pPr>
    </w:p>
    <w:p w14:paraId="56EAA8D8">
      <w:pPr>
        <w:ind w:firstLine="420" w:firstLineChars="200"/>
        <w:jc w:val="left"/>
        <w:rPr>
          <w:rFonts w:hint="eastAsia"/>
          <w:color w:val="auto"/>
          <w:highlight w:val="none"/>
        </w:rPr>
      </w:pPr>
    </w:p>
    <w:p w14:paraId="7E79B7DF">
      <w:pPr>
        <w:ind w:firstLine="420" w:firstLineChars="200"/>
        <w:jc w:val="left"/>
        <w:rPr>
          <w:rFonts w:hint="eastAsia"/>
          <w:color w:val="auto"/>
          <w:highlight w:val="none"/>
        </w:rPr>
      </w:pPr>
    </w:p>
    <w:p w14:paraId="5AC45DF3">
      <w:pPr>
        <w:ind w:firstLine="420" w:firstLineChars="200"/>
        <w:jc w:val="left"/>
        <w:rPr>
          <w:rFonts w:hint="eastAsia"/>
          <w:color w:val="auto"/>
          <w:highlight w:val="none"/>
        </w:rPr>
      </w:pPr>
    </w:p>
    <w:p w14:paraId="7FDDA105">
      <w:pPr>
        <w:ind w:firstLine="420" w:firstLineChars="200"/>
        <w:jc w:val="left"/>
        <w:rPr>
          <w:rFonts w:hint="eastAsia"/>
          <w:color w:val="auto"/>
          <w:highlight w:val="none"/>
        </w:rPr>
      </w:pPr>
    </w:p>
    <w:p w14:paraId="2AC6B014">
      <w:pPr>
        <w:ind w:firstLine="420" w:firstLineChars="200"/>
        <w:jc w:val="left"/>
        <w:rPr>
          <w:rFonts w:hAnsi="宋体"/>
          <w:b/>
          <w:color w:val="auto"/>
          <w:sz w:val="36"/>
          <w:highlight w:val="none"/>
        </w:rPr>
      </w:pPr>
      <w:r>
        <w:rPr>
          <w:rFonts w:hint="eastAsia"/>
          <w:color w:val="auto"/>
          <w:highlight w:val="none"/>
        </w:rPr>
        <w:t>备注：蓝色（颜色较深）标注范围为一级养护标准范围，</w:t>
      </w:r>
      <w:r>
        <w:rPr>
          <w:rFonts w:hint="eastAsia"/>
          <w:color w:val="auto"/>
          <w:highlight w:val="none"/>
          <w:lang w:eastAsia="zh-CN"/>
        </w:rPr>
        <w:t>绿地</w:t>
      </w:r>
      <w:r>
        <w:rPr>
          <w:rFonts w:hint="eastAsia"/>
          <w:color w:val="auto"/>
          <w:highlight w:val="none"/>
        </w:rPr>
        <w:t>面积约</w:t>
      </w:r>
      <w:r>
        <w:rPr>
          <w:rFonts w:hint="eastAsia"/>
          <w:color w:val="auto"/>
          <w:szCs w:val="21"/>
          <w:highlight w:val="none"/>
          <w:lang w:val="en-US" w:eastAsia="zh-CN"/>
        </w:rPr>
        <w:t>15.87万平方米</w:t>
      </w:r>
      <w:r>
        <w:rPr>
          <w:rFonts w:hint="eastAsia"/>
          <w:color w:val="auto"/>
          <w:highlight w:val="none"/>
        </w:rPr>
        <w:t>；其余面积为二级养护标准范围，面积约</w:t>
      </w:r>
      <w:r>
        <w:rPr>
          <w:rFonts w:hint="eastAsia"/>
          <w:color w:val="auto"/>
          <w:szCs w:val="21"/>
          <w:highlight w:val="none"/>
          <w:lang w:val="en-US" w:eastAsia="zh-CN"/>
        </w:rPr>
        <w:t>23.74万平方米</w:t>
      </w:r>
      <w:r>
        <w:rPr>
          <w:rFonts w:hint="eastAsia"/>
          <w:color w:val="auto"/>
          <w:highlight w:val="none"/>
        </w:rPr>
        <w:t>。</w:t>
      </w:r>
    </w:p>
    <w:p w14:paraId="411B953D">
      <w:pPr>
        <w:rPr>
          <w:rFonts w:ascii="宋体" w:hAnsi="宋体"/>
          <w:b/>
          <w:color w:val="auto"/>
          <w:sz w:val="24"/>
          <w:highlight w:val="none"/>
        </w:rPr>
      </w:pPr>
      <w:r>
        <w:rPr>
          <w:rFonts w:ascii="宋体" w:hAnsi="宋体"/>
          <w:b/>
          <w:color w:val="auto"/>
          <w:sz w:val="24"/>
          <w:highlight w:val="none"/>
        </w:rPr>
        <w:br w:type="page"/>
      </w:r>
    </w:p>
    <w:p w14:paraId="1431A642">
      <w:pPr>
        <w:jc w:val="left"/>
        <w:outlineLvl w:val="9"/>
        <w:rPr>
          <w:rFonts w:hint="eastAsia" w:ascii="宋体" w:hAnsi="宋体"/>
          <w:b/>
          <w:color w:val="auto"/>
          <w:sz w:val="24"/>
          <w:highlight w:val="none"/>
          <w:lang w:val="en-US" w:eastAsia="zh-CN"/>
        </w:rPr>
      </w:pPr>
      <w:r>
        <w:rPr>
          <w:rFonts w:hint="eastAsia" w:ascii="宋体" w:hAnsi="宋体"/>
          <w:b/>
          <w:color w:val="auto"/>
          <w:sz w:val="24"/>
          <w:highlight w:val="none"/>
        </w:rPr>
        <w:t>附件</w:t>
      </w:r>
      <w:r>
        <w:rPr>
          <w:rFonts w:hint="eastAsia" w:ascii="宋体" w:hAnsi="宋体"/>
          <w:b/>
          <w:color w:val="auto"/>
          <w:sz w:val="24"/>
          <w:highlight w:val="none"/>
          <w:lang w:val="en-US" w:eastAsia="zh-CN"/>
        </w:rPr>
        <w:t>5-2</w:t>
      </w:r>
    </w:p>
    <w:p w14:paraId="01441E36">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南宁市花卉公园绿化养护服务管理及考核办法</w:t>
      </w:r>
    </w:p>
    <w:p w14:paraId="0D92819F">
      <w:pPr>
        <w:spacing w:line="440" w:lineRule="exact"/>
        <w:rPr>
          <w:rFonts w:ascii="宋体" w:hAnsi="宋体" w:cs="宋体"/>
          <w:color w:val="auto"/>
          <w:sz w:val="24"/>
          <w:highlight w:val="none"/>
        </w:rPr>
      </w:pPr>
    </w:p>
    <w:p w14:paraId="1424EAA6">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第一章    总则</w:t>
      </w:r>
    </w:p>
    <w:p w14:paraId="58BF581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加强南宁市花卉公园（以下简称公园）绿化养护管理作业的监督考核，提升公园绿地养护质量和景观效果，使绿化养护工作实现制度化、规范化、程序化，根据《南宁市公园条例》，结合花卉公园管理实际制定本办法。</w:t>
      </w:r>
    </w:p>
    <w:p w14:paraId="793D2B10">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第二章    管理内容</w:t>
      </w:r>
    </w:p>
    <w:p w14:paraId="540AB5B4">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负责公园所辖红线、绿线范围内绿化养护（含补植、灌溉设施维修）。</w:t>
      </w:r>
    </w:p>
    <w:p w14:paraId="44D06D4B">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第三章    绿化养护标准</w:t>
      </w:r>
    </w:p>
    <w:p w14:paraId="09678EA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绿化养护各级养护标准及质量要求执行《广西城市绿化养护规范及验收要求》（DB45/T 449—2007）、《南宁市花卉公园绿化养护日常检查评分标准》和《南宁市花卉公园绿化养护月度检查评分标准》。</w:t>
      </w:r>
    </w:p>
    <w:p w14:paraId="14C07212">
      <w:pPr>
        <w:spacing w:line="440" w:lineRule="exact"/>
        <w:jc w:val="center"/>
        <w:rPr>
          <w:rFonts w:ascii="宋体" w:hAnsi="宋体" w:cs="宋体"/>
          <w:color w:val="auto"/>
          <w:sz w:val="24"/>
          <w:highlight w:val="none"/>
        </w:rPr>
      </w:pPr>
      <w:r>
        <w:rPr>
          <w:rFonts w:hint="eastAsia" w:ascii="宋体" w:hAnsi="宋体" w:cs="宋体"/>
          <w:b/>
          <w:color w:val="auto"/>
          <w:sz w:val="24"/>
          <w:highlight w:val="none"/>
        </w:rPr>
        <w:t>第四章    实施与监督</w:t>
      </w:r>
    </w:p>
    <w:p w14:paraId="0517E070">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一、考核实施机构</w:t>
      </w:r>
    </w:p>
    <w:p w14:paraId="4A1EE8C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为确保公园绿化养护管理各项规范能贯彻执行，维护公园良好的游园景观环境，南宁市花卉公园负责对全园绿化养护进行直接管理，具体工作由公园园容管理室负责实施。</w:t>
      </w:r>
    </w:p>
    <w:p w14:paraId="4A02154B">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二、考核责任分工</w:t>
      </w:r>
    </w:p>
    <w:p w14:paraId="31ED30FD">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检查考核采取日常检查、月度检查及专项考评相结合的办法，考核评分结果作为养护工作质量评价、费用核拨及其它奖惩的重要依据。</w:t>
      </w:r>
    </w:p>
    <w:p w14:paraId="25D244B2">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一)公园绿化养护日常检查工作由公园负责，成立日常检查工作小组，小组成员由公园园容管理室技术员、中标单位现场负责人或技术员组成。具体职责包括：组织人员巡查、日常检查记录、下发整改通知、参与月度考核评分、结果整理保存、上报。中标单位必须委派1名现场负责人或技术员参加日常检查工作。</w:t>
      </w:r>
    </w:p>
    <w:p w14:paraId="3DD7F4DF">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(二)绿化养护月度考核工作由公园相关领导和园容管理室工作人员、中标单位项目管理人员组成月度考核小组，具体职责包括：组织人员、检查记录、月度考核评分、经费核拨。</w:t>
      </w:r>
    </w:p>
    <w:p w14:paraId="61B6C281">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专项考评按照实际工作情况安排，由中标单位上报专项工作计划，经公园及园容管理室相关领导审批后，指派技术员现场监督及指导工作计划开展，同时公园安排相关领导及园容管理室工作人员、中标单位现场负责人等人员组成专项检查小组就专项工作执行情况进行考评。</w:t>
      </w:r>
    </w:p>
    <w:p w14:paraId="106BE6C6">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四)中标单位要按“服务需求一览表”中的服务项目的具体内容和考核标准做好日常管理和作业，并积极配合公园开展日常检查及月度检查、专项检查等考核工作。如遇突发事故或其他不可抗力因素，中标单位要按制定的应急预案开展工作。</w:t>
      </w:r>
    </w:p>
    <w:p w14:paraId="137B81D5">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rPr>
        <w:t>第五章    考核实施办法</w:t>
      </w:r>
    </w:p>
    <w:p w14:paraId="4A704122">
      <w:pPr>
        <w:spacing w:line="44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一、</w:t>
      </w:r>
      <w:r>
        <w:rPr>
          <w:rFonts w:hint="eastAsia" w:ascii="宋体" w:hAnsi="宋体" w:cs="宋体"/>
          <w:b/>
          <w:bCs/>
          <w:color w:val="auto"/>
          <w:sz w:val="24"/>
          <w:highlight w:val="none"/>
        </w:rPr>
        <w:t>日常检查</w:t>
      </w:r>
    </w:p>
    <w:p w14:paraId="7F213E9A">
      <w:pPr>
        <w:spacing w:line="440" w:lineRule="exact"/>
        <w:ind w:firstLine="448" w:firstLineChars="187"/>
        <w:rPr>
          <w:rFonts w:ascii="宋体" w:hAnsi="宋体" w:cs="宋体"/>
          <w:b/>
          <w:bCs/>
          <w:color w:val="auto"/>
          <w:sz w:val="24"/>
          <w:highlight w:val="none"/>
        </w:rPr>
      </w:pPr>
      <w:r>
        <w:rPr>
          <w:rFonts w:hint="eastAsia" w:ascii="宋体" w:hAnsi="宋体" w:cs="宋体"/>
          <w:color w:val="auto"/>
          <w:sz w:val="24"/>
          <w:highlight w:val="none"/>
        </w:rPr>
        <w:t>日常检查由公园园容管理室负责，以考核日常养护工作情况为主。</w:t>
      </w:r>
      <w:r>
        <w:rPr>
          <w:rFonts w:hint="eastAsia" w:ascii="宋体" w:hAnsi="宋体" w:cs="宋体"/>
          <w:b/>
          <w:bCs/>
          <w:color w:val="auto"/>
          <w:sz w:val="24"/>
          <w:highlight w:val="none"/>
        </w:rPr>
        <w:t xml:space="preserve"> </w:t>
      </w:r>
    </w:p>
    <w:p w14:paraId="1447592F">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公园园容管理室根据绿化养护标准要求以及中标单位提供的工作计划，定期或不定期对中标单位的养护工作进行检查，检查内容包括人员投入、机械设备、安全生产和作业规范、乔木、灌木、草坪、地被、垂直绿化、花卉等植物的绿化日常养护工作。主要包括水分管理、松土除杂、树盘及片植植物边线修整、施肥、植物修剪、勾干枯枝、病虫害防治、灭四害、绿地保洁、补植及移植、消除黄土裸露、植物清洗、清理过高土、应急抢险或突发事件处理、重大活动保障等涉及绿化养护、绿地管理等。</w:t>
      </w:r>
    </w:p>
    <w:p w14:paraId="653C7C09">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日常检查作出扣分决定的，园容管理室检查人员应及时告知中标单位管理人员，并拍照或摄像留档，记入《南宁市花卉公园日常检查记录表》，记录情况应当场由检査人员及中标单位管理人员签字确认。若需要中标单位到现场接受指导时，中标单位应在半小时内派人到场。中标单位若对扣分有异议，可向园容管理室提出现场申诉，申诉原则上需中标单位自行提交申诉证据材料。申诉有效期为一个工作日，逾期视为自动放弃申诉权。</w:t>
      </w:r>
    </w:p>
    <w:p w14:paraId="03FA5D3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中标单位应进行自查，发现问题及时整改。</w:t>
      </w:r>
    </w:p>
    <w:p w14:paraId="6C73E03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程序: 现场巡查→下发整改通知→复查验收→上报结果→纳入当月考核</w:t>
      </w:r>
    </w:p>
    <w:p w14:paraId="7F89D7AC">
      <w:pPr>
        <w:spacing w:line="440" w:lineRule="exact"/>
        <w:ind w:firstLine="482" w:firstLineChars="200"/>
        <w:rPr>
          <w:rFonts w:ascii="宋体" w:hAnsi="宋体" w:cs="宋体"/>
          <w:b/>
          <w:color w:val="auto"/>
          <w:sz w:val="24"/>
          <w:highlight w:val="none"/>
        </w:rPr>
      </w:pPr>
      <w:r>
        <w:rPr>
          <w:rFonts w:hint="eastAsia" w:ascii="宋体" w:hAnsi="宋体" w:cs="宋体"/>
          <w:b/>
          <w:bCs/>
          <w:color w:val="auto"/>
          <w:sz w:val="24"/>
          <w:highlight w:val="none"/>
        </w:rPr>
        <w:t>二、</w:t>
      </w:r>
      <w:r>
        <w:rPr>
          <w:rFonts w:hint="eastAsia" w:ascii="宋体" w:hAnsi="宋体" w:cs="宋体"/>
          <w:b/>
          <w:color w:val="auto"/>
          <w:sz w:val="24"/>
          <w:highlight w:val="none"/>
        </w:rPr>
        <w:t>月度检查</w:t>
      </w:r>
    </w:p>
    <w:p w14:paraId="680F465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月度考核每月进行一次，由公园园容管理室负责组织实施，主要对中标单位全月绿化养护工作进行全面检查考核。每月月度考核结果详细列明考核情况及存在问题，扣分情况，双方项目管理人员签字确认。</w:t>
      </w:r>
    </w:p>
    <w:p w14:paraId="42D7DE70">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（一）现场检查</w:t>
      </w:r>
    </w:p>
    <w:p w14:paraId="19A572EC">
      <w:pPr>
        <w:spacing w:line="44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按照《南宁市花卉公园绿化养护月度检查评分标准》内容进行检查评分，检查时中标单位项目负责人与技术人员均需到场。</w:t>
      </w:r>
    </w:p>
    <w:p w14:paraId="294C4725">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（二）内业管理检查</w:t>
      </w:r>
    </w:p>
    <w:p w14:paraId="076D3D8C">
      <w:pPr>
        <w:spacing w:line="440" w:lineRule="exact"/>
        <w:ind w:firstLine="480" w:firstLineChars="200"/>
        <w:rPr>
          <w:rFonts w:ascii="宋体" w:hAnsi="宋体" w:cs="宋体"/>
          <w:color w:val="auto"/>
          <w:sz w:val="32"/>
          <w:highlight w:val="none"/>
        </w:rPr>
      </w:pPr>
      <w:r>
        <w:rPr>
          <w:rFonts w:hint="eastAsia" w:ascii="宋体" w:hAnsi="宋体" w:cs="宋体"/>
          <w:color w:val="auto"/>
          <w:sz w:val="24"/>
          <w:highlight w:val="none"/>
        </w:rPr>
        <w:t>考核月结束后</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日内检查内业管理工作台</w:t>
      </w:r>
      <w:r>
        <w:rPr>
          <w:rFonts w:hint="eastAsia" w:ascii="宋体" w:hAnsi="宋体" w:cs="宋体"/>
          <w:color w:val="auto"/>
          <w:sz w:val="24"/>
          <w:highlight w:val="none"/>
          <w:lang w:val="en-US" w:eastAsia="zh-CN"/>
        </w:rPr>
        <w:t>账</w:t>
      </w:r>
      <w:r>
        <w:rPr>
          <w:rFonts w:hint="eastAsia" w:ascii="宋体" w:hAnsi="宋体" w:cs="宋体"/>
          <w:color w:val="auto"/>
          <w:sz w:val="24"/>
          <w:highlight w:val="none"/>
        </w:rPr>
        <w:t>，主要内容有：</w:t>
      </w:r>
      <w:r>
        <w:rPr>
          <w:rFonts w:hint="eastAsia"/>
          <w:color w:val="auto"/>
          <w:sz w:val="24"/>
          <w:highlight w:val="none"/>
        </w:rPr>
        <w:t>考勤记录、日常检查记录、月工作计划（含安全和技术培训计划）、月工作总结及临时通知的其它资料。</w:t>
      </w:r>
    </w:p>
    <w:p w14:paraId="0A134912">
      <w:pPr>
        <w:spacing w:line="440" w:lineRule="exact"/>
        <w:ind w:firstLine="480" w:firstLineChars="200"/>
        <w:rPr>
          <w:rFonts w:ascii="宋体" w:hAnsi="宋体" w:cs="宋体"/>
          <w:color w:val="auto"/>
          <w:sz w:val="24"/>
          <w:highlight w:val="none"/>
        </w:rPr>
      </w:pPr>
    </w:p>
    <w:p w14:paraId="7437EAA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注：上述资料检查时间如遇节假日则顺延至正常工作日上交。</w:t>
      </w:r>
    </w:p>
    <w:p w14:paraId="70DDA133">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（三）专项工作检查</w:t>
      </w:r>
    </w:p>
    <w:p w14:paraId="1BD3F485">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中标单位按要求上交专项工作计划，经公园及园容管理室相关领导审批后，由园容管理室指派技术员现场监督及指导中标单位现场负责人按工作计划实施。实施完毕后，根据工作计划内容制表，由专项检查小组复查验收。如专项工作未能按质按量完成，专项检查小组视实际情况及工作完成度进行扣分，每项专项工作扣分上限为10分。</w:t>
      </w:r>
    </w:p>
    <w:p w14:paraId="7441B551">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1.水肥管理专项检查</w:t>
      </w:r>
    </w:p>
    <w:p w14:paraId="1A0E785E">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春冬两季，中标单位应对管养绿地全面施肥至少各一次，观花乔灌木有特别施肥需要的（如孕蕾期、花后），应增加施肥次数。每年1月初及9月初，中标单位应及时上交当年施肥工作计划至公园园容管理室。</w:t>
      </w:r>
    </w:p>
    <w:p w14:paraId="27E894C9">
      <w:pPr>
        <w:spacing w:line="440" w:lineRule="exact"/>
        <w:ind w:firstLine="448" w:firstLineChars="187"/>
        <w:rPr>
          <w:rFonts w:ascii="宋体" w:hAnsi="宋体" w:cs="宋体"/>
          <w:b/>
          <w:color w:val="auto"/>
          <w:sz w:val="24"/>
          <w:highlight w:val="none"/>
        </w:rPr>
      </w:pPr>
      <w:r>
        <w:rPr>
          <w:rFonts w:hint="eastAsia" w:ascii="宋体" w:hAnsi="宋体" w:cs="宋体"/>
          <w:color w:val="auto"/>
          <w:sz w:val="24"/>
          <w:highlight w:val="none"/>
        </w:rPr>
        <w:t>旱季（一般为9-12月），中标单位应根据实际情况对管养绿地开展大面积淋水抗旱工作。每年8月下旬，中标单位应及时上交淋水抗旱工作计划至公园园容管理室。</w:t>
      </w:r>
    </w:p>
    <w:p w14:paraId="594F5E97">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2.病虫害防治专项检查</w:t>
      </w:r>
    </w:p>
    <w:p w14:paraId="46E55BC1">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及时做好蛀干害虫、白蚁、红火蚁、“四害”等病虫害防治专项工作或上级通知的相关工作。</w:t>
      </w:r>
    </w:p>
    <w:p w14:paraId="604D5240">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3.灾害应对专项检查</w:t>
      </w:r>
    </w:p>
    <w:p w14:paraId="332EA5A5">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出现台风预警、长时间低温、洪涝等极端恶劣天气灾害，或其他因不可抗力因素产生的突击维护工作。</w:t>
      </w:r>
    </w:p>
    <w:p w14:paraId="1CBA7AB8">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三、专项活动考评</w:t>
      </w:r>
    </w:p>
    <w:p w14:paraId="57F5714A">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创建“创文明城”“创卫生城”“美丽南宁”等系列行动以及国家级、区级、市级迎检工作作为专项活动进行考评。</w:t>
      </w:r>
    </w:p>
    <w:p w14:paraId="18C0F985">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因特殊情况需开展重点整治或重要突击活动时，经公园下发通知，中标单位按要求上交专项工作计划；公园未专门下发通知的，不需中标单位上交专项工作计划。</w:t>
      </w:r>
    </w:p>
    <w:p w14:paraId="6DC03E49">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（一）程序</w:t>
      </w:r>
    </w:p>
    <w:p w14:paraId="5E7E474F">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1.中标单位上交专项工作计划→公园领导审批通过→公园指派技术员现场监督及指导→工作计划开展→复查验收→上报结果→纳入工作计划和当月考核</w:t>
      </w:r>
    </w:p>
    <w:p w14:paraId="39999004">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2.不需中标单位上交专项工作计划的程序为：上级检查、各级媒体曝光及市民投诉等问题→下发整改通知→复查验收→上报结果→纳入当月考核</w:t>
      </w:r>
    </w:p>
    <w:p w14:paraId="518B14FA">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（二）考评办法：</w:t>
      </w:r>
    </w:p>
    <w:p w14:paraId="36F82183">
      <w:pPr>
        <w:spacing w:line="440" w:lineRule="exact"/>
        <w:ind w:firstLine="448" w:firstLineChars="187"/>
        <w:rPr>
          <w:rFonts w:hint="eastAsia" w:ascii="宋体" w:hAnsi="宋体" w:cs="宋体"/>
          <w:b w:val="0"/>
          <w:bCs w:val="0"/>
          <w:color w:val="auto"/>
          <w:kern w:val="2"/>
          <w:sz w:val="24"/>
          <w:szCs w:val="24"/>
          <w:highlight w:val="none"/>
          <w:lang w:bidi="ar"/>
        </w:rPr>
      </w:pPr>
      <w:r>
        <w:rPr>
          <w:rFonts w:hint="eastAsia" w:ascii="宋体" w:hAnsi="宋体" w:cs="宋体"/>
          <w:color w:val="auto"/>
          <w:sz w:val="24"/>
          <w:szCs w:val="24"/>
          <w:highlight w:val="none"/>
        </w:rPr>
        <w:t>创建“创文明城”“创卫生城”“美丽南宁”等系列行动以及国家级、自治区级、市级迎检工作纳入月度考核，但不计入月度分项考核评分中，直接在中标方的当月服务经费中扣除。</w:t>
      </w:r>
      <w:r>
        <w:rPr>
          <w:rFonts w:hint="eastAsia" w:ascii="宋体" w:hAnsi="宋体" w:cs="宋体"/>
          <w:b/>
          <w:bCs/>
          <w:color w:val="auto"/>
          <w:kern w:val="2"/>
          <w:sz w:val="24"/>
          <w:szCs w:val="24"/>
          <w:highlight w:val="none"/>
          <w:lang w:bidi="ar"/>
        </w:rPr>
        <w:t>在创建“创文明城”“创卫生城”“美丽南宁”等系列行动以及国家级、自治区级、市级迎检工作中，因岗位工作不到位在迎检工作中被上级部门扣分的，按被扣分项相应分值的</w:t>
      </w:r>
      <w:r>
        <w:rPr>
          <w:rFonts w:hint="eastAsia" w:ascii="宋体" w:hAnsi="宋体" w:cs="宋体"/>
          <w:b/>
          <w:bCs/>
          <w:color w:val="auto"/>
          <w:kern w:val="2"/>
          <w:sz w:val="24"/>
          <w:szCs w:val="24"/>
          <w:highlight w:val="none"/>
          <w:lang w:val="en-US" w:eastAsia="zh-CN" w:bidi="ar"/>
        </w:rPr>
        <w:t>两</w:t>
      </w:r>
      <w:r>
        <w:rPr>
          <w:rFonts w:hint="eastAsia" w:ascii="宋体" w:hAnsi="宋体" w:cs="宋体"/>
          <w:b/>
          <w:bCs/>
          <w:color w:val="auto"/>
          <w:kern w:val="2"/>
          <w:sz w:val="24"/>
          <w:szCs w:val="24"/>
          <w:highlight w:val="none"/>
          <w:lang w:bidi="ar"/>
        </w:rPr>
        <w:t>倍进行扣分，扣分不设上限，每扣0.1分扣除服务费50元。若被上级通报并无具体扣分分值的按案件数直接扣款，自治区级以上检查每个案件按照1000元/件，市级检查每个案件按照500元/件，城区、主管局检查每个案件按照100元/件。</w:t>
      </w:r>
    </w:p>
    <w:p w14:paraId="4AAD4174">
      <w:pPr>
        <w:spacing w:line="460" w:lineRule="exact"/>
        <w:ind w:firstLine="480" w:firstLineChars="200"/>
        <w:rPr>
          <w:rFonts w:ascii="宋体" w:hAnsi="宋体" w:cs="宋体"/>
          <w:color w:val="auto"/>
          <w:szCs w:val="21"/>
          <w:highlight w:val="none"/>
        </w:rPr>
      </w:pPr>
      <w:r>
        <w:rPr>
          <w:rFonts w:hint="eastAsia" w:ascii="宋体" w:hAnsi="宋体" w:cs="宋体"/>
          <w:color w:val="auto"/>
          <w:sz w:val="24"/>
          <w:szCs w:val="24"/>
          <w:highlight w:val="none"/>
        </w:rPr>
        <w:t>公园反馈的问题信息时已过问题发生当月月考核的，纳入收到月份或收到月份次月的考核。</w:t>
      </w:r>
    </w:p>
    <w:p w14:paraId="779CA9D4">
      <w:pPr>
        <w:spacing w:line="44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四、考核评分及等级评定</w:t>
      </w:r>
    </w:p>
    <w:p w14:paraId="1B79B63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每月月度考核结果由公园统一编制《南宁市花卉公园绿化养护月度考核通报表》，详细列明日常检查、月度检查、专项检查等项的扣分情况、综合得分、扣款情况、实发款（当月服务费）数额，双方签字盖章，一式三份，一份作为申请当月服务费用的凭证之一，公园和中标单位各存一份。</w:t>
      </w:r>
    </w:p>
    <w:p w14:paraId="2232D885">
      <w:pPr>
        <w:spacing w:line="44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1.程序：</w:t>
      </w:r>
      <w:r>
        <w:rPr>
          <w:rFonts w:hint="eastAsia" w:ascii="宋体" w:hAnsi="宋体" w:cs="宋体"/>
          <w:color w:val="auto"/>
          <w:sz w:val="24"/>
          <w:highlight w:val="none"/>
        </w:rPr>
        <w:t>通知中标单位→现场检查→评分↓→下发整改通知→复查验收</w:t>
      </w:r>
    </w:p>
    <w:p w14:paraId="2B42C54A">
      <w:pPr>
        <w:spacing w:line="440" w:lineRule="exact"/>
        <w:ind w:firstLine="4560" w:firstLineChars="1900"/>
        <w:rPr>
          <w:rFonts w:ascii="宋体" w:hAnsi="宋体" w:cs="宋体"/>
          <w:color w:val="auto"/>
          <w:sz w:val="24"/>
          <w:highlight w:val="none"/>
        </w:rPr>
      </w:pPr>
      <w:r>
        <w:rPr>
          <w:rFonts w:hint="eastAsia" w:ascii="宋体" w:hAnsi="宋体" w:cs="宋体"/>
          <w:color w:val="auto"/>
          <w:sz w:val="24"/>
          <w:highlight w:val="none"/>
        </w:rPr>
        <w:t>↓→综合评分→通报月度考核结果→结算服务费</w:t>
      </w:r>
    </w:p>
    <w:p w14:paraId="602754E5">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2.评分办法：</w:t>
      </w:r>
    </w:p>
    <w:p w14:paraId="0F012E4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采用综合评分法计分，分数采用百分制。月度考核综合得分计算方式为：</w:t>
      </w:r>
    </w:p>
    <w:p w14:paraId="7558953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月度考核综合得分＝100－日常检查扣分分值×30%－月度检查扣分分值×70%</w:t>
      </w:r>
      <w:r>
        <w:rPr>
          <w:rFonts w:ascii="宋体" w:hAnsi="宋体" w:cs="宋体"/>
          <w:color w:val="auto"/>
          <w:sz w:val="24"/>
          <w:highlight w:val="none"/>
        </w:rPr>
        <w:t xml:space="preserve"> </w:t>
      </w:r>
    </w:p>
    <w:p w14:paraId="39A8E7F3">
      <w:pPr>
        <w:spacing w:line="44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3.考核等级评定：</w:t>
      </w:r>
    </w:p>
    <w:p w14:paraId="40A6222C">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按月度考核综合得分高低评为优秀（得分≥90分）、合格（90分&gt;得分≥85分）、不合格（得分＜85分）三个等级。</w:t>
      </w:r>
    </w:p>
    <w:p w14:paraId="67DEB320">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五、考核结果的运用</w:t>
      </w:r>
    </w:p>
    <w:p w14:paraId="327F814E">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（一）扣款</w:t>
      </w:r>
    </w:p>
    <w:p w14:paraId="7797EFF2">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1.人员扣款</w:t>
      </w:r>
    </w:p>
    <w:p w14:paraId="69DF3C66">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 xml:space="preserve">考核月内绿化养护人员每少一工日扣100元，管理人员每少一工日扣200元。 </w:t>
      </w:r>
    </w:p>
    <w:p w14:paraId="13DADEFC">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2.逾期整改扣款</w:t>
      </w:r>
    </w:p>
    <w:p w14:paraId="1054DBBD">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各项检查考核中发现的问题，中标单位应在收到公园下达的整改通知后在整改时限内完成整改工作。如情况特殊无法在规定期限内完成存在问题整改工作的，中标单位应及时将实际情况上报园容管理室，经园容管理室审批后，视实际情况适当延长整改期限。整改工作完成后须将整改结果及相关材料（如现场整改照片）及时反馈至园容管理室。若未能按时按质按量完成整改或无法整改或虽整改但造成实际损失的，则按未整改问题逾期天数和未整改问题扣分分值予以扣款，扣除500元/天·分,计算公式如下：</w:t>
      </w:r>
    </w:p>
    <w:p w14:paraId="43A1D7A9">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逾期整改扣款＝逾期整改天数×逾期整改问题扣分分值×500元</w:t>
      </w:r>
    </w:p>
    <w:p w14:paraId="2B4646CB">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3.专项活动扣款</w:t>
      </w:r>
    </w:p>
    <w:p w14:paraId="5782EFA5">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专项活动考评扣分分值不计入月度考核综合得分中</w:t>
      </w:r>
      <w:r>
        <w:rPr>
          <w:rFonts w:hint="eastAsia" w:ascii="宋体" w:hAnsi="宋体" w:cs="宋体"/>
          <w:color w:val="auto"/>
          <w:sz w:val="24"/>
          <w:highlight w:val="none"/>
          <w:lang w:eastAsia="zh-CN"/>
        </w:rPr>
        <w:t>。</w:t>
      </w:r>
    </w:p>
    <w:p w14:paraId="22D7030C">
      <w:pPr>
        <w:spacing w:line="440" w:lineRule="exact"/>
        <w:ind w:firstLine="451" w:firstLineChars="187"/>
        <w:rPr>
          <w:rFonts w:ascii="宋体" w:hAnsi="宋体" w:cs="宋体"/>
          <w:b/>
          <w:color w:val="auto"/>
          <w:sz w:val="24"/>
          <w:highlight w:val="none"/>
        </w:rPr>
      </w:pPr>
      <w:r>
        <w:rPr>
          <w:rFonts w:hint="eastAsia" w:ascii="宋体" w:hAnsi="宋体" w:cs="宋体"/>
          <w:b/>
          <w:color w:val="auto"/>
          <w:sz w:val="24"/>
          <w:highlight w:val="none"/>
        </w:rPr>
        <w:t>4.考核等级扣款</w:t>
      </w:r>
    </w:p>
    <w:p w14:paraId="5E3AC58A">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月度考核评分中的扣款按以下方式计算每分扣款基数：</w:t>
      </w:r>
    </w:p>
    <w:p w14:paraId="17B041FC">
      <w:pPr>
        <w:spacing w:line="440" w:lineRule="exact"/>
        <w:ind w:firstLine="448" w:firstLineChars="187"/>
        <w:rPr>
          <w:rFonts w:ascii="宋体" w:hAnsi="宋体" w:cs="宋体"/>
          <w:color w:val="auto"/>
          <w:sz w:val="24"/>
          <w:highlight w:val="none"/>
        </w:rPr>
      </w:pPr>
      <w:r>
        <w:rPr>
          <w:rFonts w:hint="eastAsia" w:ascii="宋体" w:hAnsi="宋体" w:cs="宋体"/>
          <w:color w:val="auto"/>
          <w:sz w:val="24"/>
          <w:highlight w:val="none"/>
        </w:rPr>
        <w:t>每分扣款基数=中标价÷12个月÷100分（考核满分）</w:t>
      </w:r>
    </w:p>
    <w:p w14:paraId="66DAE061">
      <w:pPr>
        <w:spacing w:line="44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（1）考核等级评定优秀（月度考核综合得分≥90分），无等级评定扣款。</w:t>
      </w:r>
    </w:p>
    <w:p w14:paraId="1513DF3C">
      <w:pPr>
        <w:pStyle w:val="1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（2）考核等级评定合格（</w:t>
      </w:r>
      <w:r>
        <w:rPr>
          <w:rFonts w:hint="eastAsia" w:ascii="宋体" w:hAnsi="宋体"/>
          <w:color w:val="auto"/>
          <w:sz w:val="24"/>
          <w:highlight w:val="none"/>
        </w:rPr>
        <w:t>90分&gt;月度考核综合得分≥85分）</w:t>
      </w:r>
      <w:r>
        <w:rPr>
          <w:rFonts w:hint="eastAsia" w:ascii="宋体" w:hAnsi="宋体" w:cs="宋体"/>
          <w:color w:val="auto"/>
          <w:sz w:val="24"/>
          <w:highlight w:val="none"/>
        </w:rPr>
        <w:t>，等级评定扣款计算公式如下：</w:t>
      </w:r>
    </w:p>
    <w:p w14:paraId="2A1E85B4">
      <w:pPr>
        <w:pStyle w:val="1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考核等级扣款 =（90-月度考核综合得分）×每分扣款基数</w:t>
      </w:r>
    </w:p>
    <w:p w14:paraId="3035C2C1">
      <w:pPr>
        <w:pStyle w:val="10"/>
        <w:spacing w:line="440" w:lineRule="exact"/>
        <w:ind w:firstLine="480" w:firstLineChars="200"/>
        <w:rPr>
          <w:rFonts w:ascii="宋体" w:hAnsi="宋体"/>
          <w:color w:val="auto"/>
          <w:sz w:val="24"/>
          <w:highlight w:val="none"/>
        </w:rPr>
      </w:pPr>
      <w:r>
        <w:rPr>
          <w:rFonts w:hint="eastAsia" w:ascii="宋体" w:hAnsi="宋体" w:cs="宋体"/>
          <w:color w:val="auto"/>
          <w:sz w:val="24"/>
          <w:highlight w:val="none"/>
        </w:rPr>
        <w:t>（3）考核等级评定不合格（</w:t>
      </w:r>
      <w:r>
        <w:rPr>
          <w:rFonts w:hint="eastAsia" w:ascii="宋体" w:hAnsi="宋体"/>
          <w:color w:val="auto"/>
          <w:sz w:val="24"/>
          <w:highlight w:val="none"/>
        </w:rPr>
        <w:t>月度考核综合得分＜85分），</w:t>
      </w:r>
      <w:r>
        <w:rPr>
          <w:rFonts w:hint="eastAsia" w:ascii="宋体" w:hAnsi="宋体" w:cs="宋体"/>
          <w:color w:val="auto"/>
          <w:sz w:val="24"/>
          <w:highlight w:val="none"/>
        </w:rPr>
        <w:t>等级评定扣款</w:t>
      </w:r>
      <w:r>
        <w:rPr>
          <w:rFonts w:hint="eastAsia" w:ascii="宋体" w:hAnsi="宋体"/>
          <w:color w:val="auto"/>
          <w:sz w:val="24"/>
          <w:highlight w:val="none"/>
        </w:rPr>
        <w:t>计算公式如下：</w:t>
      </w:r>
    </w:p>
    <w:p w14:paraId="6844FA9D">
      <w:pPr>
        <w:spacing w:line="440" w:lineRule="exact"/>
        <w:ind w:firstLine="480" w:firstLineChars="200"/>
        <w:jc w:val="left"/>
        <w:rPr>
          <w:rFonts w:ascii="宋体" w:hAnsi="宋体"/>
          <w:color w:val="auto"/>
          <w:sz w:val="24"/>
          <w:highlight w:val="none"/>
        </w:rPr>
      </w:pPr>
      <w:r>
        <w:rPr>
          <w:rFonts w:hint="eastAsia" w:ascii="宋体" w:hAnsi="宋体" w:cs="宋体"/>
          <w:color w:val="auto"/>
          <w:sz w:val="24"/>
          <w:highlight w:val="none"/>
        </w:rPr>
        <w:t>等级评定扣款 =</w:t>
      </w:r>
      <w:r>
        <w:rPr>
          <w:rFonts w:hint="eastAsia" w:ascii="宋体" w:hAnsi="宋体"/>
          <w:color w:val="auto"/>
          <w:sz w:val="24"/>
          <w:highlight w:val="none"/>
        </w:rPr>
        <w:t>（100分－月度考核综合得分）×每分扣款基数</w:t>
      </w:r>
    </w:p>
    <w:p w14:paraId="6B456158">
      <w:pPr>
        <w:spacing w:line="44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（二）养护经费支付</w:t>
      </w:r>
    </w:p>
    <w:p w14:paraId="36DA4D07">
      <w:pPr>
        <w:spacing w:line="440" w:lineRule="exact"/>
        <w:ind w:firstLine="480" w:firstLineChars="200"/>
        <w:rPr>
          <w:rFonts w:ascii="宋体" w:hAnsi="宋体" w:cs="宋体"/>
          <w:b/>
          <w:bCs/>
          <w:color w:val="auto"/>
          <w:sz w:val="24"/>
          <w:highlight w:val="none"/>
        </w:rPr>
      </w:pPr>
      <w:r>
        <w:rPr>
          <w:rFonts w:hint="eastAsia" w:ascii="宋体" w:hAnsi="宋体" w:cs="宋体"/>
          <w:bCs/>
          <w:color w:val="auto"/>
          <w:sz w:val="24"/>
          <w:highlight w:val="none"/>
        </w:rPr>
        <w:t xml:space="preserve">原则上按月支付养护经费，月应付款= 合同款÷12 </w:t>
      </w:r>
      <w:r>
        <w:rPr>
          <w:rFonts w:hint="eastAsia" w:ascii="宋体" w:hAnsi="宋体" w:cs="宋体"/>
          <w:b/>
          <w:bCs/>
          <w:color w:val="auto"/>
          <w:sz w:val="24"/>
          <w:highlight w:val="none"/>
        </w:rPr>
        <w:t>，</w:t>
      </w:r>
      <w:r>
        <w:rPr>
          <w:rFonts w:hint="eastAsia" w:ascii="宋体" w:hAnsi="宋体" w:cs="宋体"/>
          <w:bCs/>
          <w:color w:val="auto"/>
          <w:sz w:val="24"/>
          <w:highlight w:val="none"/>
        </w:rPr>
        <w:t>经考核后，月实付款=月应付款-扣款</w:t>
      </w:r>
    </w:p>
    <w:p w14:paraId="31874B8A">
      <w:pPr>
        <w:rPr>
          <w:rFonts w:hint="default" w:ascii="宋体" w:hAnsi="宋体"/>
          <w:b/>
          <w:color w:val="auto"/>
          <w:sz w:val="24"/>
          <w:highlight w:val="none"/>
          <w:lang w:val="en-US" w:eastAsia="zh-CN"/>
        </w:rPr>
      </w:pPr>
      <w:r>
        <w:rPr>
          <w:rFonts w:hint="eastAsia" w:ascii="宋体" w:hAnsi="宋体"/>
          <w:b/>
          <w:color w:val="auto"/>
          <w:sz w:val="24"/>
          <w:highlight w:val="none"/>
          <w:lang w:val="en-US" w:eastAsia="zh-CN"/>
        </w:rPr>
        <w:br w:type="page"/>
      </w:r>
      <w:r>
        <w:rPr>
          <w:rFonts w:hint="eastAsia" w:ascii="宋体" w:hAnsi="宋体"/>
          <w:b/>
          <w:color w:val="auto"/>
          <w:sz w:val="24"/>
          <w:highlight w:val="none"/>
          <w:lang w:val="en-US" w:eastAsia="zh-CN"/>
        </w:rPr>
        <w:t>附件5-2-1</w:t>
      </w:r>
    </w:p>
    <w:p w14:paraId="2856B275">
      <w:pPr>
        <w:jc w:val="center"/>
        <w:rPr>
          <w:rFonts w:ascii="宋体" w:hAnsi="宋体"/>
          <w:b/>
          <w:color w:val="auto"/>
          <w:sz w:val="24"/>
          <w:highlight w:val="none"/>
        </w:rPr>
      </w:pPr>
      <w:r>
        <w:rPr>
          <w:rFonts w:hint="eastAsia" w:ascii="宋体" w:hAnsi="宋体"/>
          <w:b/>
          <w:color w:val="auto"/>
          <w:sz w:val="24"/>
          <w:highlight w:val="none"/>
        </w:rPr>
        <w:t>广西城市绿化养护规范及验收要求</w:t>
      </w:r>
    </w:p>
    <w:p w14:paraId="3B433CEF">
      <w:pPr>
        <w:jc w:val="center"/>
        <w:rPr>
          <w:color w:val="auto"/>
          <w:highlight w:val="none"/>
        </w:rPr>
      </w:pPr>
      <w:r>
        <w:rPr>
          <w:rFonts w:hint="eastAsia"/>
          <w:color w:val="auto"/>
          <w:highlight w:val="none"/>
        </w:rPr>
        <w:t>（DB45/T 449—2007）</w:t>
      </w:r>
      <w:bookmarkStart w:id="45" w:name="SectionMark1"/>
    </w:p>
    <w:bookmarkEnd w:id="45"/>
    <w:p w14:paraId="5323966B">
      <w:pPr>
        <w:jc w:val="center"/>
        <w:rPr>
          <w:rFonts w:ascii="黑体" w:hAnsi="黑体" w:eastAsia="黑体"/>
          <w:color w:val="auto"/>
          <w:sz w:val="28"/>
          <w:szCs w:val="28"/>
          <w:highlight w:val="none"/>
        </w:rPr>
      </w:pPr>
      <w:bookmarkStart w:id="46" w:name="SectionMark4"/>
      <w:r>
        <w:rPr>
          <w:rFonts w:hint="eastAsia" w:ascii="黑体" w:hAnsi="黑体" w:eastAsia="黑体"/>
          <w:color w:val="auto"/>
          <w:sz w:val="28"/>
          <w:szCs w:val="28"/>
          <w:highlight w:val="none"/>
        </w:rPr>
        <w:t>城市绿化  养护规范及验收要求</w:t>
      </w:r>
    </w:p>
    <w:bookmarkEnd w:id="46"/>
    <w:p w14:paraId="7592A273">
      <w:pPr>
        <w:pStyle w:val="45"/>
        <w:spacing w:before="120" w:after="120" w:line="440" w:lineRule="exact"/>
        <w:outlineLvl w:val="9"/>
        <w:rPr>
          <w:rFonts w:ascii="宋体" w:hAnsi="宋体" w:eastAsia="宋体" w:cs="宋体"/>
          <w:color w:val="auto"/>
          <w:sz w:val="24"/>
          <w:szCs w:val="24"/>
          <w:highlight w:val="none"/>
        </w:rPr>
      </w:pPr>
      <w:bookmarkStart w:id="47" w:name="_Toc180458999"/>
      <w:bookmarkStart w:id="48" w:name="_Toc182365471"/>
      <w:bookmarkStart w:id="49" w:name="_Toc182996257"/>
      <w:bookmarkStart w:id="50" w:name="_Toc182365798"/>
      <w:bookmarkStart w:id="51" w:name="_Toc180215338"/>
      <w:bookmarkStart w:id="52" w:name="_Toc182365667"/>
      <w:bookmarkStart w:id="53" w:name="_Toc182979464"/>
      <w:bookmarkStart w:id="54" w:name="_Toc506194935"/>
      <w:r>
        <w:rPr>
          <w:rFonts w:hint="eastAsia" w:ascii="宋体" w:hAnsi="宋体" w:eastAsia="宋体" w:cs="宋体"/>
          <w:color w:val="auto"/>
          <w:sz w:val="24"/>
          <w:szCs w:val="24"/>
          <w:highlight w:val="none"/>
        </w:rPr>
        <w:t>范围</w:t>
      </w:r>
      <w:bookmarkEnd w:id="47"/>
      <w:bookmarkEnd w:id="48"/>
      <w:bookmarkEnd w:id="49"/>
      <w:bookmarkEnd w:id="50"/>
      <w:bookmarkEnd w:id="51"/>
      <w:bookmarkEnd w:id="52"/>
      <w:bookmarkEnd w:id="53"/>
    </w:p>
    <w:p w14:paraId="3F936F5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标准规定了广西壮族自治区城市绿化养护术语、养护验收、养护质量要求，并规定了水分管理、土肥管理、修剪、松土除杂、病虫害控制、植物防护、清理工作、补种、古树名木养护、环境卫生等城市绿化养护操作。</w:t>
      </w:r>
    </w:p>
    <w:p w14:paraId="21486BB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本标准适用于广西壮族自治区城市公园绿地、防护绿地、附属绿地、其他绿地等绿化养护。</w:t>
      </w:r>
    </w:p>
    <w:p w14:paraId="525E93BE">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各类绿地的养护，除应按本规范执行外，还应遵守国家、行业、地方有关标准的规定。</w:t>
      </w:r>
    </w:p>
    <w:p w14:paraId="090E20B2">
      <w:pPr>
        <w:pStyle w:val="45"/>
        <w:spacing w:before="120" w:after="120" w:line="440" w:lineRule="exact"/>
        <w:outlineLvl w:val="9"/>
        <w:rPr>
          <w:rFonts w:ascii="宋体" w:hAnsi="宋体" w:eastAsia="宋体" w:cs="宋体"/>
          <w:color w:val="auto"/>
          <w:sz w:val="24"/>
          <w:szCs w:val="24"/>
          <w:highlight w:val="none"/>
        </w:rPr>
      </w:pPr>
      <w:bookmarkStart w:id="55" w:name="_Toc182996258"/>
      <w:bookmarkStart w:id="56" w:name="_Toc182365799"/>
      <w:bookmarkStart w:id="57" w:name="_Toc180459000"/>
      <w:bookmarkStart w:id="58" w:name="_Toc177184015"/>
      <w:bookmarkStart w:id="59" w:name="_Toc179784839"/>
      <w:bookmarkStart w:id="60" w:name="_Toc170095756"/>
      <w:bookmarkStart w:id="61" w:name="_Toc182365668"/>
      <w:bookmarkStart w:id="62" w:name="_Toc182979465"/>
      <w:bookmarkStart w:id="63" w:name="_Toc182365472"/>
      <w:bookmarkStart w:id="64" w:name="_Toc180215339"/>
      <w:r>
        <w:rPr>
          <w:rFonts w:hint="eastAsia" w:ascii="宋体" w:hAnsi="宋体" w:eastAsia="宋体" w:cs="宋体"/>
          <w:color w:val="auto"/>
          <w:sz w:val="24"/>
          <w:szCs w:val="24"/>
          <w:highlight w:val="none"/>
        </w:rPr>
        <w:t>术语</w:t>
      </w:r>
      <w:bookmarkEnd w:id="55"/>
      <w:bookmarkEnd w:id="56"/>
      <w:bookmarkEnd w:id="57"/>
      <w:bookmarkEnd w:id="58"/>
      <w:bookmarkEnd w:id="59"/>
      <w:bookmarkEnd w:id="60"/>
      <w:bookmarkEnd w:id="61"/>
      <w:bookmarkEnd w:id="62"/>
      <w:bookmarkEnd w:id="63"/>
      <w:bookmarkEnd w:id="64"/>
    </w:p>
    <w:p w14:paraId="3A9773EF">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下列术语和定义适用于本标准。</w:t>
      </w:r>
    </w:p>
    <w:p w14:paraId="17DEF556">
      <w:pPr>
        <w:pStyle w:val="46"/>
        <w:spacing w:line="440" w:lineRule="exact"/>
        <w:outlineLvl w:val="9"/>
        <w:rPr>
          <w:rFonts w:ascii="宋体" w:hAnsi="宋体" w:eastAsia="宋体" w:cs="宋体"/>
          <w:color w:val="auto"/>
          <w:sz w:val="24"/>
          <w:szCs w:val="24"/>
          <w:highlight w:val="none"/>
        </w:rPr>
      </w:pPr>
      <w:bookmarkStart w:id="65" w:name="_Toc182365474"/>
      <w:bookmarkStart w:id="66" w:name="_Toc182365670"/>
      <w:r>
        <w:rPr>
          <w:rFonts w:hint="eastAsia" w:ascii="宋体" w:hAnsi="宋体" w:eastAsia="宋体" w:cs="宋体"/>
          <w:color w:val="auto"/>
          <w:sz w:val="24"/>
          <w:szCs w:val="24"/>
          <w:highlight w:val="none"/>
        </w:rPr>
        <w:t>树盘</w:t>
      </w:r>
      <w:bookmarkEnd w:id="65"/>
      <w:bookmarkEnd w:id="66"/>
    </w:p>
    <w:p w14:paraId="6EB31B23">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种植乔灌木位置并与周围有明显界线的一定地面范围。</w:t>
      </w:r>
    </w:p>
    <w:p w14:paraId="716D9B43">
      <w:pPr>
        <w:pStyle w:val="46"/>
        <w:spacing w:line="440" w:lineRule="exact"/>
        <w:outlineLvl w:val="9"/>
        <w:rPr>
          <w:rFonts w:ascii="宋体" w:hAnsi="宋体" w:eastAsia="宋体" w:cs="宋体"/>
          <w:color w:val="auto"/>
          <w:sz w:val="24"/>
          <w:szCs w:val="24"/>
          <w:highlight w:val="none"/>
        </w:rPr>
      </w:pPr>
      <w:bookmarkStart w:id="67" w:name="_Toc182365476"/>
      <w:bookmarkStart w:id="68" w:name="_Toc182365672"/>
      <w:r>
        <w:rPr>
          <w:rFonts w:hint="eastAsia" w:ascii="宋体" w:hAnsi="宋体" w:eastAsia="宋体" w:cs="宋体"/>
          <w:color w:val="auto"/>
          <w:sz w:val="24"/>
          <w:szCs w:val="24"/>
          <w:highlight w:val="none"/>
        </w:rPr>
        <w:t>有地被树盘</w:t>
      </w:r>
      <w:bookmarkEnd w:id="67"/>
      <w:bookmarkEnd w:id="68"/>
    </w:p>
    <w:p w14:paraId="2CB73E84">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在树干基部周围地面，种植有地被植物的树盘。</w:t>
      </w:r>
    </w:p>
    <w:p w14:paraId="5E7F76EC">
      <w:pPr>
        <w:pStyle w:val="46"/>
        <w:spacing w:line="440" w:lineRule="exact"/>
        <w:outlineLvl w:val="9"/>
        <w:rPr>
          <w:rFonts w:ascii="宋体" w:hAnsi="宋体" w:eastAsia="宋体" w:cs="宋体"/>
          <w:color w:val="auto"/>
          <w:sz w:val="24"/>
          <w:szCs w:val="24"/>
          <w:highlight w:val="none"/>
        </w:rPr>
      </w:pPr>
      <w:bookmarkStart w:id="69" w:name="_Toc182365478"/>
      <w:bookmarkStart w:id="70" w:name="_Toc182365674"/>
      <w:r>
        <w:rPr>
          <w:rFonts w:hint="eastAsia" w:ascii="宋体" w:hAnsi="宋体" w:eastAsia="宋体" w:cs="宋体"/>
          <w:color w:val="auto"/>
          <w:sz w:val="24"/>
          <w:szCs w:val="24"/>
          <w:highlight w:val="none"/>
        </w:rPr>
        <w:t>无地被树盘</w:t>
      </w:r>
      <w:bookmarkEnd w:id="69"/>
      <w:bookmarkEnd w:id="70"/>
    </w:p>
    <w:p w14:paraId="6E432E6E">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在树干基部周围地面，没有种植地被的树盘。</w:t>
      </w:r>
    </w:p>
    <w:p w14:paraId="2771D638">
      <w:pPr>
        <w:pStyle w:val="46"/>
        <w:spacing w:line="440" w:lineRule="exact"/>
        <w:outlineLvl w:val="9"/>
        <w:rPr>
          <w:rFonts w:ascii="宋体" w:hAnsi="宋体" w:eastAsia="宋体" w:cs="宋体"/>
          <w:color w:val="auto"/>
          <w:sz w:val="24"/>
          <w:szCs w:val="24"/>
          <w:highlight w:val="none"/>
        </w:rPr>
      </w:pPr>
      <w:bookmarkStart w:id="71" w:name="_Toc182365676"/>
      <w:bookmarkStart w:id="72" w:name="_Toc182365480"/>
      <w:r>
        <w:rPr>
          <w:rFonts w:hint="eastAsia" w:ascii="宋体" w:hAnsi="宋体" w:eastAsia="宋体" w:cs="宋体"/>
          <w:color w:val="auto"/>
          <w:sz w:val="24"/>
          <w:szCs w:val="24"/>
          <w:highlight w:val="none"/>
        </w:rPr>
        <w:t>孤植灌木</w:t>
      </w:r>
      <w:bookmarkEnd w:id="71"/>
      <w:bookmarkEnd w:id="72"/>
    </w:p>
    <w:p w14:paraId="57F72CF3">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单株或数株灌木种植在一个树穴内，树穴之间有明显距离，外观上可直观到一株或一丛，此类以孤植方式种植的灌木称为孤植灌木。</w:t>
      </w:r>
    </w:p>
    <w:p w14:paraId="2C6D5A13">
      <w:pPr>
        <w:pStyle w:val="46"/>
        <w:spacing w:line="440" w:lineRule="exact"/>
        <w:outlineLvl w:val="9"/>
        <w:rPr>
          <w:rFonts w:ascii="宋体" w:hAnsi="宋体" w:eastAsia="宋体" w:cs="宋体"/>
          <w:color w:val="auto"/>
          <w:sz w:val="24"/>
          <w:szCs w:val="24"/>
          <w:highlight w:val="none"/>
        </w:rPr>
      </w:pPr>
      <w:bookmarkStart w:id="73" w:name="_Toc182365678"/>
      <w:bookmarkStart w:id="74" w:name="_Toc182365482"/>
      <w:r>
        <w:rPr>
          <w:rFonts w:hint="eastAsia" w:ascii="宋体" w:hAnsi="宋体" w:eastAsia="宋体" w:cs="宋体"/>
          <w:color w:val="auto"/>
          <w:sz w:val="24"/>
          <w:szCs w:val="24"/>
          <w:highlight w:val="none"/>
        </w:rPr>
        <w:t>整形灌木</w:t>
      </w:r>
      <w:bookmarkEnd w:id="73"/>
      <w:bookmarkEnd w:id="74"/>
    </w:p>
    <w:p w14:paraId="2AE19A1F">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按设计要求和观赏要求将灌木修剪成各种特定的形状，主要以植物造型为观赏目的的灌木称为整形灌木。</w:t>
      </w:r>
    </w:p>
    <w:p w14:paraId="5F2BD244">
      <w:pPr>
        <w:pStyle w:val="46"/>
        <w:spacing w:line="440" w:lineRule="exact"/>
        <w:outlineLvl w:val="9"/>
        <w:rPr>
          <w:rFonts w:ascii="宋体" w:hAnsi="宋体" w:eastAsia="宋体" w:cs="宋体"/>
          <w:color w:val="auto"/>
          <w:sz w:val="24"/>
          <w:szCs w:val="24"/>
          <w:highlight w:val="none"/>
        </w:rPr>
      </w:pPr>
      <w:bookmarkStart w:id="75" w:name="_Toc182365680"/>
      <w:bookmarkStart w:id="76" w:name="_Toc182365484"/>
      <w:r>
        <w:rPr>
          <w:rFonts w:hint="eastAsia" w:ascii="宋体" w:hAnsi="宋体" w:eastAsia="宋体" w:cs="宋体"/>
          <w:color w:val="auto"/>
          <w:sz w:val="24"/>
          <w:szCs w:val="24"/>
          <w:highlight w:val="none"/>
        </w:rPr>
        <w:t>色块</w:t>
      </w:r>
      <w:bookmarkEnd w:id="75"/>
      <w:bookmarkEnd w:id="76"/>
    </w:p>
    <w:p w14:paraId="2CF2EF17">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指成片种植的灌木或草本植物，外观上没有明显的株行距。色块一般分为灌木色块和草本色块（也称草本地被）。</w:t>
      </w:r>
    </w:p>
    <w:p w14:paraId="5938BB86">
      <w:pPr>
        <w:pStyle w:val="46"/>
        <w:spacing w:line="440" w:lineRule="exact"/>
        <w:outlineLvl w:val="9"/>
        <w:rPr>
          <w:rFonts w:ascii="宋体" w:hAnsi="宋体" w:eastAsia="宋体" w:cs="宋体"/>
          <w:color w:val="auto"/>
          <w:sz w:val="24"/>
          <w:szCs w:val="24"/>
          <w:highlight w:val="none"/>
        </w:rPr>
      </w:pPr>
      <w:bookmarkStart w:id="77" w:name="_Toc182365486"/>
      <w:bookmarkStart w:id="78" w:name="_Toc182365682"/>
      <w:r>
        <w:rPr>
          <w:rFonts w:hint="eastAsia" w:ascii="宋体" w:hAnsi="宋体" w:eastAsia="宋体" w:cs="宋体"/>
          <w:color w:val="auto"/>
          <w:sz w:val="24"/>
          <w:szCs w:val="24"/>
          <w:highlight w:val="none"/>
        </w:rPr>
        <w:t>古树名木</w:t>
      </w:r>
      <w:bookmarkEnd w:id="77"/>
      <w:bookmarkEnd w:id="78"/>
    </w:p>
    <w:p w14:paraId="40C4B6AA">
      <w:pPr>
        <w:pStyle w:val="43"/>
        <w:spacing w:line="440" w:lineRule="exact"/>
        <w:ind w:firstLine="480"/>
        <w:rPr>
          <w:rFonts w:hAnsi="宋体" w:cs="宋体"/>
          <w:color w:val="auto"/>
          <w:kern w:val="2"/>
          <w:sz w:val="24"/>
          <w:szCs w:val="24"/>
          <w:highlight w:val="none"/>
        </w:rPr>
      </w:pPr>
      <w:r>
        <w:rPr>
          <w:rFonts w:hint="eastAsia" w:hAnsi="宋体" w:cs="宋体"/>
          <w:color w:val="auto"/>
          <w:kern w:val="2"/>
          <w:sz w:val="24"/>
          <w:szCs w:val="24"/>
          <w:highlight w:val="none"/>
        </w:rPr>
        <w:t>指树龄在一百年以上或稀有珍贵树木，或具有历史价值或重要纪念意义的树木。</w:t>
      </w:r>
    </w:p>
    <w:p w14:paraId="77D0EB19">
      <w:pPr>
        <w:pStyle w:val="46"/>
        <w:spacing w:line="440" w:lineRule="exact"/>
        <w:outlineLvl w:val="9"/>
        <w:rPr>
          <w:rFonts w:ascii="宋体" w:hAnsi="宋体" w:eastAsia="宋体" w:cs="宋体"/>
          <w:color w:val="auto"/>
          <w:sz w:val="24"/>
          <w:szCs w:val="24"/>
          <w:highlight w:val="none"/>
        </w:rPr>
      </w:pPr>
      <w:bookmarkStart w:id="79" w:name="_Toc182365488"/>
      <w:bookmarkStart w:id="80" w:name="_Toc182365684"/>
      <w:r>
        <w:rPr>
          <w:rFonts w:hint="eastAsia" w:ascii="宋体" w:hAnsi="宋体" w:eastAsia="宋体" w:cs="宋体"/>
          <w:color w:val="auto"/>
          <w:sz w:val="24"/>
          <w:szCs w:val="24"/>
          <w:highlight w:val="none"/>
        </w:rPr>
        <w:t>疏枝</w:t>
      </w:r>
      <w:bookmarkEnd w:id="79"/>
      <w:bookmarkEnd w:id="80"/>
    </w:p>
    <w:p w14:paraId="0C984528">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将枝条从其着生部位剪去。</w:t>
      </w:r>
    </w:p>
    <w:p w14:paraId="064BDA4C">
      <w:pPr>
        <w:pStyle w:val="46"/>
        <w:spacing w:line="440" w:lineRule="exact"/>
        <w:outlineLvl w:val="9"/>
        <w:rPr>
          <w:rFonts w:ascii="宋体" w:hAnsi="宋体" w:eastAsia="宋体" w:cs="宋体"/>
          <w:color w:val="auto"/>
          <w:sz w:val="24"/>
          <w:szCs w:val="24"/>
          <w:highlight w:val="none"/>
        </w:rPr>
      </w:pPr>
      <w:bookmarkStart w:id="81" w:name="_Toc182365490"/>
      <w:bookmarkStart w:id="82" w:name="_Toc182365686"/>
      <w:r>
        <w:rPr>
          <w:rFonts w:hint="eastAsia" w:ascii="宋体" w:hAnsi="宋体" w:eastAsia="宋体" w:cs="宋体"/>
          <w:color w:val="auto"/>
          <w:sz w:val="24"/>
          <w:szCs w:val="24"/>
          <w:highlight w:val="none"/>
        </w:rPr>
        <w:t>短截</w:t>
      </w:r>
      <w:bookmarkEnd w:id="81"/>
      <w:bookmarkEnd w:id="82"/>
    </w:p>
    <w:p w14:paraId="78F65545">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将枝条先端一部或大部剪去，保留基部枝段。</w:t>
      </w:r>
    </w:p>
    <w:p w14:paraId="3DFA5BD4">
      <w:pPr>
        <w:pStyle w:val="46"/>
        <w:spacing w:line="440" w:lineRule="exact"/>
        <w:outlineLvl w:val="9"/>
        <w:rPr>
          <w:rFonts w:ascii="宋体" w:hAnsi="宋体" w:eastAsia="宋体" w:cs="宋体"/>
          <w:color w:val="auto"/>
          <w:sz w:val="24"/>
          <w:szCs w:val="24"/>
          <w:highlight w:val="none"/>
        </w:rPr>
      </w:pPr>
      <w:bookmarkStart w:id="83" w:name="_Toc182365688"/>
      <w:bookmarkStart w:id="84" w:name="_Toc182365492"/>
      <w:r>
        <w:rPr>
          <w:rFonts w:hint="eastAsia" w:ascii="宋体" w:hAnsi="宋体" w:eastAsia="宋体" w:cs="宋体"/>
          <w:color w:val="auto"/>
          <w:sz w:val="24"/>
          <w:szCs w:val="24"/>
          <w:highlight w:val="none"/>
        </w:rPr>
        <w:t>行道树</w:t>
      </w:r>
      <w:bookmarkEnd w:id="83"/>
      <w:bookmarkEnd w:id="84"/>
    </w:p>
    <w:p w14:paraId="43BB5074">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指沿车行道或人行道边种植的乔木。</w:t>
      </w:r>
    </w:p>
    <w:p w14:paraId="38CA90D0">
      <w:pPr>
        <w:pStyle w:val="46"/>
        <w:spacing w:line="440" w:lineRule="exact"/>
        <w:outlineLvl w:val="9"/>
        <w:rPr>
          <w:rFonts w:ascii="宋体" w:hAnsi="宋体" w:eastAsia="宋体" w:cs="宋体"/>
          <w:color w:val="auto"/>
          <w:sz w:val="24"/>
          <w:szCs w:val="24"/>
          <w:highlight w:val="none"/>
        </w:rPr>
      </w:pPr>
      <w:bookmarkStart w:id="85" w:name="_Toc182365494"/>
      <w:bookmarkStart w:id="86" w:name="_Toc182365690"/>
      <w:r>
        <w:rPr>
          <w:rFonts w:hint="eastAsia" w:ascii="宋体" w:hAnsi="宋体" w:eastAsia="宋体" w:cs="宋体"/>
          <w:color w:val="auto"/>
          <w:sz w:val="24"/>
          <w:szCs w:val="24"/>
          <w:highlight w:val="none"/>
        </w:rPr>
        <w:t>分车绿带</w:t>
      </w:r>
      <w:bookmarkEnd w:id="85"/>
      <w:bookmarkEnd w:id="86"/>
    </w:p>
    <w:p w14:paraId="45BE6D60">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车行道之间可以绿化的分隔带,其位于上下行机动车道之间的为中间分车绿带；位于机动车道与非机动车道之间或同方向机动车道之间的为两侧分车绿带。</w:t>
      </w:r>
    </w:p>
    <w:p w14:paraId="303540ED">
      <w:pPr>
        <w:pStyle w:val="46"/>
        <w:spacing w:line="440" w:lineRule="exact"/>
        <w:outlineLvl w:val="9"/>
        <w:rPr>
          <w:rFonts w:ascii="宋体" w:hAnsi="宋体" w:eastAsia="宋体" w:cs="宋体"/>
          <w:color w:val="auto"/>
          <w:sz w:val="24"/>
          <w:szCs w:val="24"/>
          <w:highlight w:val="none"/>
        </w:rPr>
      </w:pPr>
      <w:bookmarkStart w:id="87" w:name="_Toc182365692"/>
      <w:bookmarkStart w:id="88" w:name="_Toc182365496"/>
      <w:r>
        <w:rPr>
          <w:rFonts w:hint="eastAsia" w:ascii="宋体" w:hAnsi="宋体" w:eastAsia="宋体" w:cs="宋体"/>
          <w:color w:val="auto"/>
          <w:sz w:val="24"/>
          <w:szCs w:val="24"/>
          <w:highlight w:val="none"/>
        </w:rPr>
        <w:t>定干高度</w:t>
      </w:r>
      <w:bookmarkEnd w:id="87"/>
      <w:bookmarkEnd w:id="88"/>
    </w:p>
    <w:p w14:paraId="1AB28089">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乔木主干第一个分叉点离地面高度。</w:t>
      </w:r>
    </w:p>
    <w:p w14:paraId="2EC1D3FF">
      <w:pPr>
        <w:pStyle w:val="45"/>
        <w:spacing w:before="120" w:after="120" w:line="440" w:lineRule="exact"/>
        <w:outlineLvl w:val="9"/>
        <w:rPr>
          <w:rFonts w:ascii="宋体" w:hAnsi="宋体" w:eastAsia="宋体" w:cs="宋体"/>
          <w:color w:val="auto"/>
          <w:sz w:val="24"/>
          <w:szCs w:val="24"/>
          <w:highlight w:val="none"/>
        </w:rPr>
      </w:pPr>
      <w:bookmarkStart w:id="89" w:name="_Toc170095757"/>
      <w:bookmarkStart w:id="90" w:name="_Toc177184016"/>
      <w:bookmarkStart w:id="91" w:name="_Toc182996259"/>
      <w:bookmarkStart w:id="92" w:name="_Toc180459001"/>
      <w:bookmarkStart w:id="93" w:name="_Toc182365693"/>
      <w:bookmarkStart w:id="94" w:name="_Toc179784840"/>
      <w:bookmarkStart w:id="95" w:name="_Toc182979466"/>
      <w:bookmarkStart w:id="96" w:name="_Toc182365497"/>
      <w:bookmarkStart w:id="97" w:name="_Toc180215340"/>
      <w:bookmarkStart w:id="98" w:name="_Toc182365800"/>
      <w:r>
        <w:rPr>
          <w:rFonts w:hint="eastAsia" w:ascii="宋体" w:hAnsi="宋体" w:eastAsia="宋体" w:cs="宋体"/>
          <w:color w:val="auto"/>
          <w:sz w:val="24"/>
          <w:szCs w:val="24"/>
          <w:highlight w:val="none"/>
        </w:rPr>
        <w:t>水分管理</w:t>
      </w:r>
      <w:bookmarkEnd w:id="89"/>
      <w:bookmarkEnd w:id="90"/>
      <w:bookmarkEnd w:id="91"/>
      <w:bookmarkEnd w:id="92"/>
      <w:bookmarkEnd w:id="93"/>
      <w:bookmarkEnd w:id="94"/>
      <w:bookmarkEnd w:id="95"/>
      <w:bookmarkEnd w:id="96"/>
      <w:bookmarkEnd w:id="97"/>
      <w:bookmarkEnd w:id="98"/>
    </w:p>
    <w:p w14:paraId="78DAEADA">
      <w:pPr>
        <w:pStyle w:val="46"/>
        <w:spacing w:line="440" w:lineRule="exact"/>
        <w:outlineLvl w:val="9"/>
        <w:rPr>
          <w:rFonts w:ascii="宋体" w:hAnsi="宋体" w:eastAsia="宋体" w:cs="宋体"/>
          <w:color w:val="auto"/>
          <w:sz w:val="24"/>
          <w:szCs w:val="24"/>
          <w:highlight w:val="none"/>
        </w:rPr>
      </w:pPr>
      <w:bookmarkStart w:id="99" w:name="_Toc182365694"/>
      <w:bookmarkStart w:id="100" w:name="_Toc182365498"/>
      <w:r>
        <w:rPr>
          <w:rFonts w:hint="eastAsia" w:ascii="宋体" w:hAnsi="宋体" w:eastAsia="宋体" w:cs="宋体"/>
          <w:color w:val="auto"/>
          <w:sz w:val="24"/>
          <w:szCs w:val="24"/>
          <w:highlight w:val="none"/>
        </w:rPr>
        <w:t>水质</w:t>
      </w:r>
      <w:bookmarkEnd w:id="99"/>
      <w:bookmarkEnd w:id="100"/>
    </w:p>
    <w:p w14:paraId="2E722135">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灌溉用水应使用自来水或经水质化验适用于灌溉的水源。</w:t>
      </w:r>
    </w:p>
    <w:p w14:paraId="213EAA25">
      <w:pPr>
        <w:pStyle w:val="46"/>
        <w:spacing w:line="440" w:lineRule="exact"/>
        <w:outlineLvl w:val="9"/>
        <w:rPr>
          <w:rFonts w:ascii="宋体" w:hAnsi="宋体" w:eastAsia="宋体" w:cs="宋体"/>
          <w:color w:val="auto"/>
          <w:sz w:val="24"/>
          <w:szCs w:val="24"/>
          <w:highlight w:val="none"/>
        </w:rPr>
      </w:pPr>
      <w:bookmarkStart w:id="101" w:name="_Toc182365695"/>
      <w:bookmarkStart w:id="102" w:name="_Toc182365499"/>
      <w:r>
        <w:rPr>
          <w:rFonts w:hint="eastAsia" w:ascii="宋体" w:hAnsi="宋体" w:eastAsia="宋体" w:cs="宋体"/>
          <w:color w:val="auto"/>
          <w:sz w:val="24"/>
          <w:szCs w:val="24"/>
          <w:highlight w:val="none"/>
        </w:rPr>
        <w:t>淋水时间</w:t>
      </w:r>
      <w:bookmarkEnd w:id="101"/>
      <w:bookmarkEnd w:id="102"/>
    </w:p>
    <w:p w14:paraId="0863810F">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阴天全天均可淋水，遇高温、太阳辐射强应在上午11时前或下午4时后淋水。</w:t>
      </w:r>
    </w:p>
    <w:p w14:paraId="71AF7DFF">
      <w:pPr>
        <w:pStyle w:val="46"/>
        <w:spacing w:line="440" w:lineRule="exact"/>
        <w:outlineLvl w:val="9"/>
        <w:rPr>
          <w:rFonts w:ascii="宋体" w:hAnsi="宋体" w:eastAsia="宋体" w:cs="宋体"/>
          <w:color w:val="auto"/>
          <w:sz w:val="24"/>
          <w:szCs w:val="24"/>
          <w:highlight w:val="none"/>
        </w:rPr>
      </w:pPr>
      <w:bookmarkStart w:id="103" w:name="_Toc182365500"/>
      <w:bookmarkStart w:id="104" w:name="_Toc182365696"/>
      <w:r>
        <w:rPr>
          <w:rFonts w:hint="eastAsia" w:ascii="宋体" w:hAnsi="宋体" w:eastAsia="宋体" w:cs="宋体"/>
          <w:color w:val="auto"/>
          <w:sz w:val="24"/>
          <w:szCs w:val="24"/>
          <w:highlight w:val="none"/>
        </w:rPr>
        <w:t>淋水量</w:t>
      </w:r>
      <w:bookmarkEnd w:id="103"/>
      <w:bookmarkEnd w:id="104"/>
    </w:p>
    <w:p w14:paraId="72778CBC">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水分供给以能保证植物正常生长、发育需要为宜。淋、灌水量应符合以下规定：</w:t>
      </w:r>
    </w:p>
    <w:p w14:paraId="4BFEA6A5">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新种植的乔灌木第一次定根水必须及时，并且淋足淋透，在植株未恢复正常生长之前经常性保持土壤湿润。幼龄树（种植5年内），干旱天气，每周灌、淋1次～2次； 不耐旱的成年乔木，干旱季节，每月应灌、淋1次～3次。灌木、草坪、遮</w:t>
      </w:r>
      <w:r>
        <w:rPr>
          <w:rFonts w:hint="eastAsia" w:ascii="宋体" w:hAnsi="宋体"/>
          <w:color w:val="auto"/>
          <w:kern w:val="0"/>
          <w:szCs w:val="21"/>
          <w:highlight w:val="none"/>
          <w:lang w:val="en-US" w:eastAsia="zh-CN"/>
        </w:rPr>
        <w:t>阴</w:t>
      </w:r>
      <w:r>
        <w:rPr>
          <w:rFonts w:hint="eastAsia" w:hAnsi="宋体" w:cs="宋体"/>
          <w:color w:val="auto"/>
          <w:sz w:val="24"/>
          <w:szCs w:val="24"/>
          <w:highlight w:val="none"/>
        </w:rPr>
        <w:t>的地被植物，淋水应湿透表层10</w:t>
      </w:r>
      <w:r>
        <w:rPr>
          <w:rFonts w:hint="eastAsia" w:hAnsi="宋体" w:cs="宋体"/>
          <w:color w:val="auto"/>
          <w:spacing w:val="-30"/>
          <w:sz w:val="24"/>
          <w:szCs w:val="24"/>
          <w:highlight w:val="none"/>
        </w:rPr>
        <w:t xml:space="preserve"> </w:t>
      </w:r>
      <w:r>
        <w:rPr>
          <w:rFonts w:hint="eastAsia" w:hAnsi="宋体" w:cs="宋体"/>
          <w:color w:val="auto"/>
          <w:sz w:val="24"/>
          <w:szCs w:val="24"/>
          <w:highlight w:val="none"/>
        </w:rPr>
        <w:t>cm以上；干旱天气，每周应喷淋2次～4次。无遮</w:t>
      </w:r>
      <w:r>
        <w:rPr>
          <w:rFonts w:hint="eastAsia" w:ascii="宋体" w:hAnsi="宋体"/>
          <w:color w:val="auto"/>
          <w:kern w:val="0"/>
          <w:szCs w:val="21"/>
          <w:highlight w:val="none"/>
          <w:lang w:val="en-US" w:eastAsia="zh-CN"/>
        </w:rPr>
        <w:t>阴</w:t>
      </w:r>
      <w:r>
        <w:rPr>
          <w:rFonts w:hint="eastAsia" w:hAnsi="宋体" w:cs="宋体"/>
          <w:color w:val="auto"/>
          <w:sz w:val="24"/>
          <w:szCs w:val="24"/>
          <w:highlight w:val="none"/>
        </w:rPr>
        <w:t>的地被及盆栽草花应每天淋水1次～2次（干旱天气）。</w:t>
      </w:r>
    </w:p>
    <w:p w14:paraId="4EA5EBD3">
      <w:pPr>
        <w:pStyle w:val="46"/>
        <w:spacing w:line="440" w:lineRule="exact"/>
        <w:outlineLvl w:val="9"/>
        <w:rPr>
          <w:rFonts w:ascii="宋体" w:hAnsi="宋体" w:eastAsia="宋体" w:cs="宋体"/>
          <w:color w:val="auto"/>
          <w:sz w:val="24"/>
          <w:szCs w:val="24"/>
          <w:highlight w:val="none"/>
        </w:rPr>
      </w:pPr>
      <w:bookmarkStart w:id="105" w:name="_Toc182365697"/>
      <w:bookmarkStart w:id="106" w:name="_Toc182365501"/>
      <w:r>
        <w:rPr>
          <w:rFonts w:hint="eastAsia" w:ascii="宋体" w:hAnsi="宋体" w:eastAsia="宋体" w:cs="宋体"/>
          <w:color w:val="auto"/>
          <w:sz w:val="24"/>
          <w:szCs w:val="24"/>
          <w:highlight w:val="none"/>
        </w:rPr>
        <w:t>淋水方法</w:t>
      </w:r>
      <w:bookmarkEnd w:id="105"/>
      <w:bookmarkEnd w:id="106"/>
    </w:p>
    <w:p w14:paraId="27C5BA56">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可采取滴灌、喷灌、喷淋、灌淋。养护要求精细、需水量多的时花类在条件的应采用滴灌或喷灌，以节约用水，提高淋水效果。采用喷淋方法淋水，必须掌握好出水量及喷淋方向，不得冲倒、冲歪植株及冲翻树根。对于乔灌木淋水应先给树体洗尘。</w:t>
      </w:r>
    </w:p>
    <w:p w14:paraId="2515311F">
      <w:pPr>
        <w:pStyle w:val="46"/>
        <w:spacing w:line="440" w:lineRule="exact"/>
        <w:outlineLvl w:val="9"/>
        <w:rPr>
          <w:rFonts w:ascii="宋体" w:hAnsi="宋体" w:eastAsia="宋体" w:cs="宋体"/>
          <w:color w:val="auto"/>
          <w:sz w:val="24"/>
          <w:szCs w:val="24"/>
          <w:highlight w:val="none"/>
        </w:rPr>
      </w:pPr>
      <w:bookmarkStart w:id="107" w:name="_Toc182365698"/>
      <w:bookmarkStart w:id="108" w:name="_Toc182365502"/>
      <w:r>
        <w:rPr>
          <w:rFonts w:hint="eastAsia" w:ascii="宋体" w:hAnsi="宋体" w:eastAsia="宋体" w:cs="宋体"/>
          <w:color w:val="auto"/>
          <w:sz w:val="24"/>
          <w:szCs w:val="24"/>
          <w:highlight w:val="none"/>
        </w:rPr>
        <w:t>排水</w:t>
      </w:r>
      <w:bookmarkEnd w:id="107"/>
      <w:bookmarkEnd w:id="108"/>
    </w:p>
    <w:p w14:paraId="6976184F">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乔灌木树盘、色块、地被、草坪必要时设排水盲沟，以保证雨季雨水能从地面顺畅排走，绿地不得有积水现象。</w:t>
      </w:r>
    </w:p>
    <w:p w14:paraId="49B82794">
      <w:pPr>
        <w:pStyle w:val="45"/>
        <w:spacing w:before="120" w:after="120" w:line="440" w:lineRule="exact"/>
        <w:outlineLvl w:val="9"/>
        <w:rPr>
          <w:rFonts w:ascii="宋体" w:hAnsi="宋体" w:eastAsia="宋体" w:cs="宋体"/>
          <w:color w:val="auto"/>
          <w:sz w:val="24"/>
          <w:szCs w:val="24"/>
          <w:highlight w:val="none"/>
        </w:rPr>
      </w:pPr>
      <w:bookmarkStart w:id="109" w:name="_Toc177184017"/>
      <w:bookmarkStart w:id="110" w:name="_Toc182365503"/>
      <w:bookmarkStart w:id="111" w:name="_Toc156712200"/>
      <w:bookmarkStart w:id="112" w:name="_Toc179784841"/>
      <w:bookmarkStart w:id="113" w:name="_Toc182979467"/>
      <w:bookmarkStart w:id="114" w:name="_Toc156710481"/>
      <w:bookmarkStart w:id="115" w:name="_Toc156711262"/>
      <w:bookmarkStart w:id="116" w:name="_Toc182996260"/>
      <w:bookmarkStart w:id="117" w:name="_Toc180215341"/>
      <w:bookmarkStart w:id="118" w:name="_Toc25519273"/>
      <w:bookmarkStart w:id="119" w:name="_Toc180459002"/>
      <w:bookmarkStart w:id="120" w:name="_Toc170095758"/>
      <w:bookmarkStart w:id="121" w:name="_Toc182365801"/>
      <w:bookmarkStart w:id="122" w:name="_Toc35785430"/>
      <w:bookmarkStart w:id="123" w:name="_Toc182365699"/>
      <w:r>
        <w:rPr>
          <w:rFonts w:hint="eastAsia" w:ascii="宋体" w:hAnsi="宋体" w:eastAsia="宋体" w:cs="宋体"/>
          <w:color w:val="auto"/>
          <w:sz w:val="24"/>
          <w:szCs w:val="24"/>
          <w:highlight w:val="none"/>
        </w:rPr>
        <w:t>土肥管理</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4160E08C">
      <w:pPr>
        <w:pStyle w:val="46"/>
        <w:spacing w:line="440" w:lineRule="exact"/>
        <w:outlineLvl w:val="9"/>
        <w:rPr>
          <w:rFonts w:ascii="宋体" w:hAnsi="宋体" w:eastAsia="宋体" w:cs="宋体"/>
          <w:color w:val="auto"/>
          <w:sz w:val="24"/>
          <w:szCs w:val="24"/>
          <w:highlight w:val="none"/>
        </w:rPr>
      </w:pPr>
      <w:bookmarkStart w:id="124" w:name="_Toc182365504"/>
      <w:bookmarkStart w:id="125" w:name="_Toc182365700"/>
      <w:r>
        <w:rPr>
          <w:rFonts w:hint="eastAsia" w:ascii="宋体" w:hAnsi="宋体" w:eastAsia="宋体" w:cs="宋体"/>
          <w:color w:val="auto"/>
          <w:sz w:val="24"/>
          <w:szCs w:val="24"/>
          <w:highlight w:val="none"/>
        </w:rPr>
        <w:t>土壤的疏松通透</w:t>
      </w:r>
      <w:bookmarkEnd w:id="124"/>
      <w:bookmarkEnd w:id="125"/>
    </w:p>
    <w:p w14:paraId="138AF177">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灌木色块及分车绿带土壤必须保持疏松通透，绿地种植5年内的乔木及整形灌木、孤植灌木应做树盘，即在树木周围距离树干留直径0.8</w:t>
      </w:r>
      <w:r>
        <w:rPr>
          <w:rFonts w:hint="eastAsia" w:hAnsi="宋体" w:cs="宋体"/>
          <w:color w:val="auto"/>
          <w:spacing w:val="-30"/>
          <w:sz w:val="24"/>
          <w:szCs w:val="24"/>
          <w:highlight w:val="none"/>
        </w:rPr>
        <w:t xml:space="preserve"> </w:t>
      </w:r>
      <w:r>
        <w:rPr>
          <w:rFonts w:hint="eastAsia" w:hAnsi="宋体" w:cs="宋体"/>
          <w:color w:val="auto"/>
          <w:sz w:val="24"/>
          <w:szCs w:val="24"/>
          <w:highlight w:val="none"/>
        </w:rPr>
        <w:t>m～1.2</w:t>
      </w:r>
      <w:r>
        <w:rPr>
          <w:rFonts w:hint="eastAsia" w:hAnsi="宋体" w:cs="宋体"/>
          <w:color w:val="auto"/>
          <w:spacing w:val="-30"/>
          <w:sz w:val="24"/>
          <w:szCs w:val="24"/>
          <w:highlight w:val="none"/>
        </w:rPr>
        <w:t xml:space="preserve"> </w:t>
      </w:r>
      <w:r>
        <w:rPr>
          <w:rFonts w:hint="eastAsia" w:hAnsi="宋体" w:cs="宋体"/>
          <w:color w:val="auto"/>
          <w:sz w:val="24"/>
          <w:szCs w:val="24"/>
          <w:highlight w:val="none"/>
        </w:rPr>
        <w:t>m的土壤裸露，定期松土保持土壤疏松。</w:t>
      </w:r>
    </w:p>
    <w:p w14:paraId="5A3D41B9">
      <w:pPr>
        <w:pStyle w:val="46"/>
        <w:spacing w:line="440" w:lineRule="exact"/>
        <w:outlineLvl w:val="9"/>
        <w:rPr>
          <w:rFonts w:ascii="宋体" w:hAnsi="宋体" w:eastAsia="宋体" w:cs="宋体"/>
          <w:color w:val="auto"/>
          <w:sz w:val="24"/>
          <w:szCs w:val="24"/>
          <w:highlight w:val="none"/>
        </w:rPr>
      </w:pPr>
      <w:bookmarkStart w:id="126" w:name="_Toc182365701"/>
      <w:bookmarkStart w:id="127" w:name="_Toc182365505"/>
      <w:r>
        <w:rPr>
          <w:rFonts w:hint="eastAsia" w:ascii="宋体" w:hAnsi="宋体" w:eastAsia="宋体" w:cs="宋体"/>
          <w:color w:val="auto"/>
          <w:sz w:val="24"/>
          <w:szCs w:val="24"/>
          <w:highlight w:val="none"/>
        </w:rPr>
        <w:t>各类植物种植土壤理化性状</w:t>
      </w:r>
      <w:bookmarkEnd w:id="126"/>
      <w:bookmarkEnd w:id="127"/>
    </w:p>
    <w:p w14:paraId="1883CF99">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各类植物的种植土必须达到以下要求(见表1)。</w:t>
      </w:r>
    </w:p>
    <w:p w14:paraId="161B1129">
      <w:pPr>
        <w:pStyle w:val="47"/>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各类植物种植土壤理化性状要求</w:t>
      </w:r>
    </w:p>
    <w:tbl>
      <w:tblPr>
        <w:tblStyle w:val="22"/>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376"/>
        <w:gridCol w:w="1376"/>
        <w:gridCol w:w="1376"/>
        <w:gridCol w:w="1376"/>
        <w:gridCol w:w="1377"/>
      </w:tblGrid>
      <w:tr w14:paraId="017F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59" w:type="dxa"/>
            <w:tcBorders>
              <w:top w:val="single" w:color="auto" w:sz="12" w:space="0"/>
              <w:left w:val="single" w:color="auto" w:sz="12" w:space="0"/>
              <w:bottom w:val="single" w:color="auto" w:sz="12" w:space="0"/>
              <w:right w:val="single" w:color="auto" w:sz="4" w:space="0"/>
            </w:tcBorders>
            <w:noWrap w:val="0"/>
            <w:vAlign w:val="center"/>
          </w:tcPr>
          <w:p w14:paraId="0EF2D215">
            <w:pPr>
              <w:spacing w:line="440" w:lineRule="exact"/>
              <w:ind w:right="265" w:rightChars="126"/>
              <w:jc w:val="center"/>
              <w:rPr>
                <w:rFonts w:ascii="宋体" w:hAnsi="宋体" w:cs="宋体"/>
                <w:color w:val="auto"/>
                <w:sz w:val="24"/>
                <w:highlight w:val="none"/>
              </w:rPr>
            </w:pPr>
          </w:p>
        </w:tc>
        <w:tc>
          <w:tcPr>
            <w:tcW w:w="1376" w:type="dxa"/>
            <w:tcBorders>
              <w:top w:val="single" w:color="auto" w:sz="12" w:space="0"/>
              <w:left w:val="single" w:color="auto" w:sz="4" w:space="0"/>
              <w:bottom w:val="single" w:color="auto" w:sz="12" w:space="0"/>
              <w:right w:val="single" w:color="auto" w:sz="4" w:space="0"/>
            </w:tcBorders>
            <w:noWrap w:val="0"/>
            <w:vAlign w:val="center"/>
          </w:tcPr>
          <w:p w14:paraId="2C686A0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乔木</w:t>
            </w:r>
          </w:p>
        </w:tc>
        <w:tc>
          <w:tcPr>
            <w:tcW w:w="1376" w:type="dxa"/>
            <w:tcBorders>
              <w:top w:val="single" w:color="auto" w:sz="12" w:space="0"/>
              <w:left w:val="single" w:color="auto" w:sz="4" w:space="0"/>
              <w:bottom w:val="single" w:color="auto" w:sz="12" w:space="0"/>
              <w:right w:val="single" w:color="auto" w:sz="4" w:space="0"/>
            </w:tcBorders>
            <w:noWrap w:val="0"/>
            <w:vAlign w:val="center"/>
          </w:tcPr>
          <w:p w14:paraId="6CCCF6E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灌木</w:t>
            </w:r>
          </w:p>
        </w:tc>
        <w:tc>
          <w:tcPr>
            <w:tcW w:w="1376" w:type="dxa"/>
            <w:tcBorders>
              <w:top w:val="single" w:color="auto" w:sz="12" w:space="0"/>
              <w:left w:val="single" w:color="auto" w:sz="4" w:space="0"/>
              <w:bottom w:val="single" w:color="auto" w:sz="12" w:space="0"/>
              <w:right w:val="single" w:color="auto" w:sz="4" w:space="0"/>
            </w:tcBorders>
            <w:noWrap w:val="0"/>
            <w:vAlign w:val="center"/>
          </w:tcPr>
          <w:p w14:paraId="358A25CB">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地被</w:t>
            </w:r>
          </w:p>
        </w:tc>
        <w:tc>
          <w:tcPr>
            <w:tcW w:w="1376" w:type="dxa"/>
            <w:tcBorders>
              <w:top w:val="single" w:color="auto" w:sz="12" w:space="0"/>
              <w:left w:val="single" w:color="auto" w:sz="4" w:space="0"/>
              <w:bottom w:val="single" w:color="auto" w:sz="12" w:space="0"/>
              <w:right w:val="single" w:color="auto" w:sz="4" w:space="0"/>
            </w:tcBorders>
            <w:noWrap w:val="0"/>
            <w:vAlign w:val="center"/>
          </w:tcPr>
          <w:p w14:paraId="53894722">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草坪</w:t>
            </w:r>
          </w:p>
        </w:tc>
        <w:tc>
          <w:tcPr>
            <w:tcW w:w="1377" w:type="dxa"/>
            <w:tcBorders>
              <w:top w:val="single" w:color="auto" w:sz="12" w:space="0"/>
              <w:left w:val="single" w:color="auto" w:sz="4" w:space="0"/>
              <w:bottom w:val="single" w:color="auto" w:sz="12" w:space="0"/>
              <w:right w:val="single" w:color="auto" w:sz="12" w:space="0"/>
            </w:tcBorders>
            <w:noWrap w:val="0"/>
            <w:vAlign w:val="center"/>
          </w:tcPr>
          <w:p w14:paraId="2F8FF408">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花坛</w:t>
            </w:r>
          </w:p>
        </w:tc>
      </w:tr>
      <w:tr w14:paraId="7F07B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459" w:type="dxa"/>
            <w:tcBorders>
              <w:top w:val="single" w:color="auto" w:sz="12" w:space="0"/>
              <w:left w:val="single" w:color="auto" w:sz="12" w:space="0"/>
              <w:bottom w:val="single" w:color="auto" w:sz="4" w:space="0"/>
              <w:right w:val="single" w:color="auto" w:sz="4" w:space="0"/>
            </w:tcBorders>
            <w:noWrap w:val="0"/>
            <w:vAlign w:val="center"/>
          </w:tcPr>
          <w:p w14:paraId="3419B23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PH值</w:t>
            </w:r>
          </w:p>
        </w:tc>
        <w:tc>
          <w:tcPr>
            <w:tcW w:w="1376" w:type="dxa"/>
            <w:tcBorders>
              <w:top w:val="single" w:color="auto" w:sz="12" w:space="0"/>
              <w:left w:val="single" w:color="auto" w:sz="4" w:space="0"/>
              <w:bottom w:val="single" w:color="auto" w:sz="4" w:space="0"/>
              <w:right w:val="single" w:color="auto" w:sz="4" w:space="0"/>
            </w:tcBorders>
            <w:noWrap w:val="0"/>
            <w:vAlign w:val="center"/>
          </w:tcPr>
          <w:p w14:paraId="645393E1">
            <w:pPr>
              <w:spacing w:line="440" w:lineRule="exac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5.0～8.0</w:t>
            </w:r>
          </w:p>
        </w:tc>
        <w:tc>
          <w:tcPr>
            <w:tcW w:w="1376" w:type="dxa"/>
            <w:tcBorders>
              <w:top w:val="single" w:color="auto" w:sz="12" w:space="0"/>
              <w:left w:val="single" w:color="auto" w:sz="4" w:space="0"/>
              <w:bottom w:val="single" w:color="auto" w:sz="4" w:space="0"/>
              <w:right w:val="single" w:color="auto" w:sz="4" w:space="0"/>
            </w:tcBorders>
            <w:noWrap w:val="0"/>
            <w:vAlign w:val="center"/>
          </w:tcPr>
          <w:p w14:paraId="174252F4">
            <w:pPr>
              <w:spacing w:line="440" w:lineRule="exac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5.5～8.0</w:t>
            </w:r>
          </w:p>
        </w:tc>
        <w:tc>
          <w:tcPr>
            <w:tcW w:w="1376" w:type="dxa"/>
            <w:tcBorders>
              <w:top w:val="single" w:color="auto" w:sz="12" w:space="0"/>
              <w:left w:val="single" w:color="auto" w:sz="4" w:space="0"/>
              <w:bottom w:val="single" w:color="auto" w:sz="4" w:space="0"/>
              <w:right w:val="single" w:color="auto" w:sz="4" w:space="0"/>
            </w:tcBorders>
            <w:noWrap w:val="0"/>
            <w:vAlign w:val="center"/>
          </w:tcPr>
          <w:p w14:paraId="14B0C4CD">
            <w:pPr>
              <w:spacing w:line="440" w:lineRule="exac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5.0～8.0</w:t>
            </w:r>
          </w:p>
        </w:tc>
        <w:tc>
          <w:tcPr>
            <w:tcW w:w="1376" w:type="dxa"/>
            <w:tcBorders>
              <w:top w:val="single" w:color="auto" w:sz="12" w:space="0"/>
              <w:left w:val="single" w:color="auto" w:sz="4" w:space="0"/>
              <w:bottom w:val="single" w:color="auto" w:sz="4" w:space="0"/>
              <w:right w:val="single" w:color="auto" w:sz="4" w:space="0"/>
            </w:tcBorders>
            <w:noWrap w:val="0"/>
            <w:vAlign w:val="center"/>
          </w:tcPr>
          <w:p w14:paraId="340A31C2">
            <w:pPr>
              <w:spacing w:line="440" w:lineRule="exac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5.0～8.0</w:t>
            </w:r>
          </w:p>
        </w:tc>
        <w:tc>
          <w:tcPr>
            <w:tcW w:w="1377" w:type="dxa"/>
            <w:tcBorders>
              <w:top w:val="single" w:color="auto" w:sz="12" w:space="0"/>
              <w:left w:val="single" w:color="auto" w:sz="4" w:space="0"/>
              <w:bottom w:val="single" w:color="auto" w:sz="4" w:space="0"/>
              <w:right w:val="single" w:color="auto" w:sz="12" w:space="0"/>
            </w:tcBorders>
            <w:noWrap w:val="0"/>
            <w:vAlign w:val="center"/>
          </w:tcPr>
          <w:p w14:paraId="2AC4D065">
            <w:pPr>
              <w:spacing w:line="440" w:lineRule="exact"/>
              <w:ind w:firstLine="240" w:firstLineChars="100"/>
              <w:jc w:val="center"/>
              <w:rPr>
                <w:rFonts w:ascii="宋体" w:hAnsi="宋体" w:cs="宋体"/>
                <w:color w:val="auto"/>
                <w:sz w:val="24"/>
                <w:highlight w:val="none"/>
              </w:rPr>
            </w:pPr>
            <w:r>
              <w:rPr>
                <w:rFonts w:hint="eastAsia" w:ascii="宋体" w:hAnsi="宋体" w:cs="宋体"/>
                <w:color w:val="auto"/>
                <w:sz w:val="24"/>
                <w:highlight w:val="none"/>
              </w:rPr>
              <w:t>5.5～7.5</w:t>
            </w:r>
          </w:p>
        </w:tc>
      </w:tr>
      <w:tr w14:paraId="2CED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14:paraId="5C4675AB">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有机质(g/㎏)</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2C22113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6760B57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713A8276">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1BABCCE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1377" w:type="dxa"/>
            <w:tcBorders>
              <w:top w:val="single" w:color="auto" w:sz="4" w:space="0"/>
              <w:left w:val="single" w:color="auto" w:sz="4" w:space="0"/>
              <w:bottom w:val="single" w:color="auto" w:sz="4" w:space="0"/>
              <w:right w:val="single" w:color="auto" w:sz="12" w:space="0"/>
            </w:tcBorders>
            <w:noWrap w:val="0"/>
            <w:vAlign w:val="center"/>
          </w:tcPr>
          <w:p w14:paraId="65BDB2FB">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≥25</w:t>
            </w:r>
          </w:p>
        </w:tc>
      </w:tr>
      <w:tr w14:paraId="5DB98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459" w:type="dxa"/>
            <w:tcBorders>
              <w:top w:val="single" w:color="auto" w:sz="4" w:space="0"/>
              <w:left w:val="single" w:color="auto" w:sz="12" w:space="0"/>
              <w:bottom w:val="single" w:color="auto" w:sz="4" w:space="0"/>
              <w:right w:val="single" w:color="auto" w:sz="4" w:space="0"/>
            </w:tcBorders>
            <w:noWrap w:val="0"/>
            <w:vAlign w:val="center"/>
          </w:tcPr>
          <w:p w14:paraId="43D82653">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通气空隙度(%)</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52CBE5A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78733186">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≥10</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001789D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1376" w:type="dxa"/>
            <w:tcBorders>
              <w:top w:val="single" w:color="auto" w:sz="4" w:space="0"/>
              <w:left w:val="single" w:color="auto" w:sz="4" w:space="0"/>
              <w:bottom w:val="single" w:color="auto" w:sz="4" w:space="0"/>
              <w:right w:val="single" w:color="auto" w:sz="4" w:space="0"/>
            </w:tcBorders>
            <w:noWrap w:val="0"/>
            <w:vAlign w:val="center"/>
          </w:tcPr>
          <w:p w14:paraId="292D37F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1377" w:type="dxa"/>
            <w:tcBorders>
              <w:top w:val="single" w:color="auto" w:sz="4" w:space="0"/>
              <w:left w:val="single" w:color="auto" w:sz="4" w:space="0"/>
              <w:bottom w:val="single" w:color="auto" w:sz="4" w:space="0"/>
              <w:right w:val="single" w:color="auto" w:sz="12" w:space="0"/>
            </w:tcBorders>
            <w:noWrap w:val="0"/>
            <w:vAlign w:val="center"/>
          </w:tcPr>
          <w:p w14:paraId="71D434F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≥10</w:t>
            </w:r>
          </w:p>
        </w:tc>
      </w:tr>
      <w:tr w14:paraId="3C56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459" w:type="dxa"/>
            <w:tcBorders>
              <w:top w:val="single" w:color="auto" w:sz="4" w:space="0"/>
              <w:left w:val="single" w:color="auto" w:sz="12" w:space="0"/>
              <w:bottom w:val="single" w:color="auto" w:sz="12" w:space="0"/>
              <w:right w:val="single" w:color="auto" w:sz="4" w:space="0"/>
            </w:tcBorders>
            <w:noWrap w:val="0"/>
            <w:vAlign w:val="center"/>
          </w:tcPr>
          <w:p w14:paraId="370009C5">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有效土层(㎝)</w:t>
            </w:r>
          </w:p>
        </w:tc>
        <w:tc>
          <w:tcPr>
            <w:tcW w:w="1376" w:type="dxa"/>
            <w:tcBorders>
              <w:top w:val="single" w:color="auto" w:sz="4" w:space="0"/>
              <w:left w:val="single" w:color="auto" w:sz="4" w:space="0"/>
              <w:bottom w:val="single" w:color="auto" w:sz="12" w:space="0"/>
              <w:right w:val="single" w:color="auto" w:sz="4" w:space="0"/>
            </w:tcBorders>
            <w:noWrap w:val="0"/>
            <w:vAlign w:val="center"/>
          </w:tcPr>
          <w:p w14:paraId="77931E4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≥100</w:t>
            </w:r>
          </w:p>
        </w:tc>
        <w:tc>
          <w:tcPr>
            <w:tcW w:w="1376" w:type="dxa"/>
            <w:tcBorders>
              <w:top w:val="single" w:color="auto" w:sz="4" w:space="0"/>
              <w:left w:val="single" w:color="auto" w:sz="4" w:space="0"/>
              <w:bottom w:val="single" w:color="auto" w:sz="12" w:space="0"/>
              <w:right w:val="single" w:color="auto" w:sz="4" w:space="0"/>
            </w:tcBorders>
            <w:noWrap w:val="0"/>
            <w:vAlign w:val="center"/>
          </w:tcPr>
          <w:p w14:paraId="24B24F4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≥60</w:t>
            </w:r>
          </w:p>
        </w:tc>
        <w:tc>
          <w:tcPr>
            <w:tcW w:w="1376" w:type="dxa"/>
            <w:tcBorders>
              <w:top w:val="single" w:color="auto" w:sz="4" w:space="0"/>
              <w:left w:val="single" w:color="auto" w:sz="4" w:space="0"/>
              <w:bottom w:val="single" w:color="auto" w:sz="12" w:space="0"/>
              <w:right w:val="single" w:color="auto" w:sz="4" w:space="0"/>
            </w:tcBorders>
            <w:noWrap w:val="0"/>
            <w:vAlign w:val="center"/>
          </w:tcPr>
          <w:p w14:paraId="1471BB4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≥30</w:t>
            </w:r>
          </w:p>
        </w:tc>
        <w:tc>
          <w:tcPr>
            <w:tcW w:w="1376" w:type="dxa"/>
            <w:tcBorders>
              <w:top w:val="single" w:color="auto" w:sz="4" w:space="0"/>
              <w:left w:val="single" w:color="auto" w:sz="4" w:space="0"/>
              <w:bottom w:val="single" w:color="auto" w:sz="12" w:space="0"/>
              <w:right w:val="single" w:color="auto" w:sz="4" w:space="0"/>
            </w:tcBorders>
            <w:noWrap w:val="0"/>
            <w:vAlign w:val="center"/>
          </w:tcPr>
          <w:p w14:paraId="47EC8E6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≥25</w:t>
            </w:r>
          </w:p>
        </w:tc>
        <w:tc>
          <w:tcPr>
            <w:tcW w:w="1377" w:type="dxa"/>
            <w:tcBorders>
              <w:top w:val="single" w:color="auto" w:sz="4" w:space="0"/>
              <w:left w:val="single" w:color="auto" w:sz="4" w:space="0"/>
              <w:bottom w:val="single" w:color="auto" w:sz="12" w:space="0"/>
              <w:right w:val="single" w:color="auto" w:sz="12" w:space="0"/>
            </w:tcBorders>
            <w:noWrap w:val="0"/>
            <w:vAlign w:val="center"/>
          </w:tcPr>
          <w:p w14:paraId="3A600187">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≥40</w:t>
            </w:r>
          </w:p>
        </w:tc>
      </w:tr>
    </w:tbl>
    <w:p w14:paraId="5F76649C">
      <w:pPr>
        <w:pStyle w:val="46"/>
        <w:spacing w:line="440" w:lineRule="exact"/>
        <w:outlineLvl w:val="9"/>
        <w:rPr>
          <w:rFonts w:ascii="宋体" w:hAnsi="宋体" w:eastAsia="宋体" w:cs="宋体"/>
          <w:color w:val="auto"/>
          <w:sz w:val="24"/>
          <w:szCs w:val="24"/>
          <w:highlight w:val="none"/>
        </w:rPr>
      </w:pPr>
      <w:bookmarkStart w:id="128" w:name="_Toc182365702"/>
      <w:bookmarkStart w:id="129" w:name="_Toc182365506"/>
      <w:r>
        <w:rPr>
          <w:rFonts w:hint="eastAsia" w:ascii="宋体" w:hAnsi="宋体" w:eastAsia="宋体" w:cs="宋体"/>
          <w:color w:val="auto"/>
          <w:sz w:val="24"/>
          <w:szCs w:val="24"/>
          <w:highlight w:val="none"/>
        </w:rPr>
        <w:t>施肥</w:t>
      </w:r>
      <w:bookmarkEnd w:id="128"/>
      <w:bookmarkEnd w:id="129"/>
    </w:p>
    <w:p w14:paraId="0222A6C3">
      <w:pPr>
        <w:pStyle w:val="48"/>
        <w:spacing w:line="440" w:lineRule="exact"/>
        <w:outlineLvl w:val="9"/>
        <w:rPr>
          <w:rFonts w:ascii="宋体" w:hAnsi="宋体" w:eastAsia="宋体" w:cs="宋体"/>
          <w:color w:val="auto"/>
          <w:sz w:val="24"/>
          <w:szCs w:val="24"/>
          <w:highlight w:val="none"/>
        </w:rPr>
      </w:pPr>
      <w:bookmarkStart w:id="130" w:name="_Toc182365507"/>
      <w:r>
        <w:rPr>
          <w:rFonts w:hint="eastAsia" w:ascii="宋体" w:hAnsi="宋体" w:eastAsia="宋体" w:cs="宋体"/>
          <w:color w:val="auto"/>
          <w:sz w:val="24"/>
          <w:szCs w:val="24"/>
          <w:highlight w:val="none"/>
        </w:rPr>
        <w:t>定植五年内的乔木，全年施肥1次～3次，春季以氮肥为主，秋季、冬季施复合肥或磷钾肥或有机肥，每株每次施尿素0.05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kg～0.15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kg或复合肥0.1</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kg～0.4</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w:t>
      </w:r>
      <w:bookmarkEnd w:id="130"/>
    </w:p>
    <w:p w14:paraId="4A8D3A86">
      <w:pPr>
        <w:pStyle w:val="48"/>
        <w:spacing w:line="440" w:lineRule="exact"/>
        <w:outlineLvl w:val="9"/>
        <w:rPr>
          <w:rFonts w:ascii="宋体" w:hAnsi="宋体" w:eastAsia="宋体" w:cs="宋体"/>
          <w:color w:val="auto"/>
          <w:sz w:val="24"/>
          <w:szCs w:val="24"/>
          <w:highlight w:val="none"/>
        </w:rPr>
      </w:pPr>
      <w:bookmarkStart w:id="131" w:name="_Toc182365508"/>
      <w:r>
        <w:rPr>
          <w:rFonts w:hint="eastAsia" w:ascii="宋体" w:hAnsi="宋体" w:eastAsia="宋体" w:cs="宋体"/>
          <w:color w:val="auto"/>
          <w:sz w:val="24"/>
          <w:szCs w:val="24"/>
          <w:highlight w:val="none"/>
        </w:rPr>
        <w:t>定植5年后的乔木，视长势定全年施1次～2次根外肥，肥料可用0.1</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～1.0</w:t>
      </w:r>
      <w:r>
        <w:rPr>
          <w:rFonts w:hint="eastAsia" w:ascii="宋体" w:hAnsi="宋体" w:eastAsia="宋体" w:cs="宋体"/>
          <w:color w:val="auto"/>
          <w:spacing w:val="-30"/>
          <w:sz w:val="24"/>
          <w:szCs w:val="24"/>
          <w:highlight w:val="none"/>
        </w:rPr>
        <w:t>％</w:t>
      </w:r>
      <w:r>
        <w:rPr>
          <w:rFonts w:hint="eastAsia" w:ascii="宋体" w:hAnsi="宋体" w:eastAsia="宋体" w:cs="宋体"/>
          <w:color w:val="auto"/>
          <w:sz w:val="24"/>
          <w:szCs w:val="24"/>
          <w:highlight w:val="none"/>
        </w:rPr>
        <w:t>尿素、磷酸二氢钾等；古树、衰老树冬季应深耕根施迟效性肥料一次，以骨粉、堆肥、垃圾肥等有机肥为主，平均每株施10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kg有机物或施复合肥0.3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kg，观花、观果类乔木还应在花后、果后追施一次复合肥或尿素。</w:t>
      </w:r>
      <w:bookmarkEnd w:id="131"/>
    </w:p>
    <w:p w14:paraId="1F50AA6A">
      <w:pPr>
        <w:pStyle w:val="48"/>
        <w:spacing w:line="440" w:lineRule="exact"/>
        <w:outlineLvl w:val="9"/>
        <w:rPr>
          <w:rFonts w:ascii="宋体" w:hAnsi="宋体" w:eastAsia="宋体" w:cs="宋体"/>
          <w:color w:val="auto"/>
          <w:sz w:val="24"/>
          <w:szCs w:val="24"/>
          <w:highlight w:val="none"/>
        </w:rPr>
      </w:pPr>
      <w:bookmarkStart w:id="132" w:name="_Toc182365509"/>
      <w:r>
        <w:rPr>
          <w:rFonts w:hint="eastAsia" w:ascii="宋体" w:hAnsi="宋体" w:eastAsia="宋体" w:cs="宋体"/>
          <w:color w:val="auto"/>
          <w:sz w:val="24"/>
          <w:szCs w:val="24"/>
          <w:highlight w:val="none"/>
        </w:rPr>
        <w:t>灌木全年施3次～8次（视植物长势而定），生长期以施氮肥为主，开花期、冬季以磷钾肥为主；片植灌木，每次每平方米施化肥0.025 kg～0.100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kg；孤植灌木，每株每次施化肥0.05 kg～0.15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w:t>
      </w:r>
      <w:bookmarkEnd w:id="132"/>
    </w:p>
    <w:p w14:paraId="1D28E4C4">
      <w:pPr>
        <w:pStyle w:val="48"/>
        <w:spacing w:line="440" w:lineRule="exact"/>
        <w:outlineLvl w:val="9"/>
        <w:rPr>
          <w:rFonts w:ascii="宋体" w:hAnsi="宋体" w:eastAsia="宋体" w:cs="宋体"/>
          <w:color w:val="auto"/>
          <w:sz w:val="24"/>
          <w:szCs w:val="24"/>
          <w:highlight w:val="none"/>
        </w:rPr>
      </w:pPr>
      <w:bookmarkStart w:id="133" w:name="_Toc182365510"/>
      <w:r>
        <w:rPr>
          <w:rFonts w:hint="eastAsia" w:ascii="宋体" w:hAnsi="宋体" w:eastAsia="宋体" w:cs="宋体"/>
          <w:color w:val="auto"/>
          <w:sz w:val="24"/>
          <w:szCs w:val="24"/>
          <w:highlight w:val="none"/>
        </w:rPr>
        <w:t>草坪、草本地被植物。全年施2次～4次，生长期施尿素或复合肥1次～3次，每平方米施0.01 kg～0.05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kg；入冬前施1次复合肥，观花地被花前施1次复合肥。</w:t>
      </w:r>
      <w:bookmarkEnd w:id="133"/>
    </w:p>
    <w:p w14:paraId="29CE5F41">
      <w:pPr>
        <w:pStyle w:val="48"/>
        <w:spacing w:line="440" w:lineRule="exact"/>
        <w:outlineLvl w:val="9"/>
        <w:rPr>
          <w:rFonts w:ascii="宋体" w:hAnsi="宋体" w:eastAsia="宋体" w:cs="宋体"/>
          <w:color w:val="auto"/>
          <w:sz w:val="24"/>
          <w:szCs w:val="24"/>
          <w:highlight w:val="none"/>
        </w:rPr>
      </w:pPr>
      <w:bookmarkStart w:id="134" w:name="_Toc182365511"/>
      <w:r>
        <w:rPr>
          <w:rFonts w:hint="eastAsia" w:ascii="宋体" w:hAnsi="宋体" w:eastAsia="宋体" w:cs="宋体"/>
          <w:color w:val="auto"/>
          <w:sz w:val="24"/>
          <w:szCs w:val="24"/>
          <w:highlight w:val="none"/>
        </w:rPr>
        <w:t>花坛种植后应施一次以上干肥（复合肥）或每隔10天施一次水肥（复合肥）。</w:t>
      </w:r>
      <w:bookmarkEnd w:id="134"/>
    </w:p>
    <w:p w14:paraId="118819BF">
      <w:pPr>
        <w:pStyle w:val="48"/>
        <w:spacing w:line="440" w:lineRule="exact"/>
        <w:outlineLvl w:val="9"/>
        <w:rPr>
          <w:rFonts w:ascii="宋体" w:hAnsi="宋体" w:eastAsia="宋体" w:cs="宋体"/>
          <w:color w:val="auto"/>
          <w:sz w:val="24"/>
          <w:szCs w:val="24"/>
          <w:highlight w:val="none"/>
        </w:rPr>
      </w:pPr>
      <w:bookmarkStart w:id="135" w:name="_Toc182365512"/>
      <w:r>
        <w:rPr>
          <w:rFonts w:hint="eastAsia" w:ascii="宋体" w:hAnsi="宋体" w:eastAsia="宋体" w:cs="宋体"/>
          <w:color w:val="auto"/>
          <w:sz w:val="24"/>
          <w:szCs w:val="24"/>
          <w:highlight w:val="none"/>
        </w:rPr>
        <w:t>应多施有机肥，尽量利用落叶及修剪出来的枝叶埋入土中或堆沤后施用，以改良土壤，增加土壤肥力。</w:t>
      </w:r>
      <w:bookmarkEnd w:id="135"/>
    </w:p>
    <w:p w14:paraId="1050DCE4">
      <w:pPr>
        <w:pStyle w:val="48"/>
        <w:spacing w:line="440" w:lineRule="exact"/>
        <w:outlineLvl w:val="9"/>
        <w:rPr>
          <w:rFonts w:ascii="宋体" w:hAnsi="宋体" w:eastAsia="宋体" w:cs="宋体"/>
          <w:color w:val="auto"/>
          <w:sz w:val="24"/>
          <w:szCs w:val="24"/>
          <w:highlight w:val="none"/>
        </w:rPr>
      </w:pPr>
      <w:bookmarkStart w:id="136" w:name="_Toc182365513"/>
      <w:r>
        <w:rPr>
          <w:rFonts w:hint="eastAsia" w:ascii="宋体" w:hAnsi="宋体" w:eastAsia="宋体" w:cs="宋体"/>
          <w:color w:val="auto"/>
          <w:sz w:val="24"/>
          <w:szCs w:val="24"/>
          <w:highlight w:val="none"/>
        </w:rPr>
        <w:t>乔木与孤植灌木可采用沟施、穴施或叶面喷施；沟施或穴施位置有地被的，先将地被植物带根移开，挖沟或穴深施，施肥盖土后再复植原位。片植地被、草坪、花坛可采用撤施或叶面喷施或淋水肥；撒施时，肥料不能粘在叶面上。</w:t>
      </w:r>
      <w:bookmarkEnd w:id="136"/>
    </w:p>
    <w:p w14:paraId="20968165">
      <w:pPr>
        <w:pStyle w:val="48"/>
        <w:spacing w:line="440" w:lineRule="exact"/>
        <w:outlineLvl w:val="9"/>
        <w:rPr>
          <w:rFonts w:ascii="宋体" w:hAnsi="宋体" w:eastAsia="宋体" w:cs="宋体"/>
          <w:color w:val="auto"/>
          <w:sz w:val="24"/>
          <w:szCs w:val="24"/>
          <w:highlight w:val="none"/>
        </w:rPr>
      </w:pPr>
      <w:bookmarkStart w:id="137" w:name="_Toc182365514"/>
      <w:r>
        <w:rPr>
          <w:rFonts w:hint="eastAsia" w:ascii="宋体" w:hAnsi="宋体" w:eastAsia="宋体" w:cs="宋体"/>
          <w:color w:val="auto"/>
          <w:sz w:val="24"/>
          <w:szCs w:val="24"/>
          <w:highlight w:val="none"/>
        </w:rPr>
        <w:t>使用化肥进行根施或撤施时,施肥后应及时淋水。</w:t>
      </w:r>
      <w:bookmarkEnd w:id="137"/>
    </w:p>
    <w:p w14:paraId="65BC833F">
      <w:pPr>
        <w:pStyle w:val="45"/>
        <w:spacing w:before="120" w:after="120" w:line="440" w:lineRule="exact"/>
        <w:outlineLvl w:val="9"/>
        <w:rPr>
          <w:rFonts w:ascii="宋体" w:hAnsi="宋体" w:eastAsia="宋体" w:cs="宋体"/>
          <w:color w:val="auto"/>
          <w:sz w:val="24"/>
          <w:szCs w:val="24"/>
          <w:highlight w:val="none"/>
        </w:rPr>
      </w:pPr>
      <w:bookmarkStart w:id="138" w:name="_Toc182365703"/>
      <w:bookmarkStart w:id="139" w:name="_Toc177184018"/>
      <w:bookmarkStart w:id="140" w:name="_Toc180215342"/>
      <w:bookmarkStart w:id="141" w:name="_Toc180459003"/>
      <w:bookmarkStart w:id="142" w:name="_Toc170095759"/>
      <w:bookmarkStart w:id="143" w:name="_Toc179784842"/>
      <w:bookmarkStart w:id="144" w:name="_Toc182979468"/>
      <w:bookmarkStart w:id="145" w:name="_Toc182365515"/>
      <w:bookmarkStart w:id="146" w:name="_Toc182365802"/>
      <w:bookmarkStart w:id="147" w:name="_Toc182996261"/>
      <w:r>
        <w:rPr>
          <w:rFonts w:hint="eastAsia" w:ascii="宋体" w:hAnsi="宋体" w:eastAsia="宋体" w:cs="宋体"/>
          <w:color w:val="auto"/>
          <w:sz w:val="24"/>
          <w:szCs w:val="24"/>
          <w:highlight w:val="none"/>
        </w:rPr>
        <w:t>修剪</w:t>
      </w:r>
      <w:bookmarkEnd w:id="138"/>
      <w:bookmarkEnd w:id="139"/>
      <w:bookmarkEnd w:id="140"/>
      <w:bookmarkEnd w:id="141"/>
      <w:bookmarkEnd w:id="142"/>
      <w:bookmarkEnd w:id="143"/>
      <w:bookmarkEnd w:id="144"/>
      <w:bookmarkEnd w:id="145"/>
      <w:bookmarkEnd w:id="146"/>
      <w:bookmarkEnd w:id="147"/>
    </w:p>
    <w:p w14:paraId="45122F98">
      <w:pPr>
        <w:pStyle w:val="46"/>
        <w:spacing w:line="440" w:lineRule="exact"/>
        <w:outlineLvl w:val="9"/>
        <w:rPr>
          <w:rFonts w:ascii="宋体" w:hAnsi="宋体" w:eastAsia="宋体" w:cs="宋体"/>
          <w:color w:val="auto"/>
          <w:sz w:val="24"/>
          <w:szCs w:val="24"/>
          <w:highlight w:val="none"/>
        </w:rPr>
      </w:pPr>
      <w:bookmarkStart w:id="148" w:name="_Toc182365704"/>
      <w:bookmarkStart w:id="149" w:name="_Toc182365516"/>
      <w:r>
        <w:rPr>
          <w:rFonts w:hint="eastAsia" w:ascii="宋体" w:hAnsi="宋体" w:eastAsia="宋体" w:cs="宋体"/>
          <w:color w:val="auto"/>
          <w:sz w:val="24"/>
          <w:szCs w:val="24"/>
          <w:highlight w:val="none"/>
        </w:rPr>
        <w:t>绿地乔木修剪</w:t>
      </w:r>
      <w:bookmarkEnd w:id="148"/>
      <w:bookmarkEnd w:id="149"/>
    </w:p>
    <w:p w14:paraId="0834AB48">
      <w:pPr>
        <w:pStyle w:val="48"/>
        <w:spacing w:line="440" w:lineRule="exact"/>
        <w:outlineLvl w:val="9"/>
        <w:rPr>
          <w:rFonts w:ascii="宋体" w:hAnsi="宋体" w:eastAsia="宋体" w:cs="宋体"/>
          <w:color w:val="auto"/>
          <w:sz w:val="24"/>
          <w:szCs w:val="24"/>
          <w:highlight w:val="none"/>
        </w:rPr>
      </w:pPr>
      <w:bookmarkStart w:id="150" w:name="_Toc182365517"/>
      <w:r>
        <w:rPr>
          <w:rFonts w:hint="eastAsia" w:ascii="宋体" w:hAnsi="宋体" w:eastAsia="宋体" w:cs="宋体"/>
          <w:color w:val="auto"/>
          <w:sz w:val="24"/>
          <w:szCs w:val="24"/>
          <w:highlight w:val="none"/>
        </w:rPr>
        <w:t>自然修剪</w:t>
      </w:r>
      <w:bookmarkEnd w:id="150"/>
    </w:p>
    <w:p w14:paraId="56DC5990">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幼龄树修剪，以培养树形为主，全年修剪2次，冬、夏各进行1次，剪去过密枝、下垂枝、交叉枝、病虫枝，剪口要求平滑，直径5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cm以上的剪口应涂上防腐剂。</w:t>
      </w:r>
    </w:p>
    <w:p w14:paraId="02A42F11">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成年树修剪，以维持本身树形特征为主，全年修剪数次，平时1个～2个月钩干枯枝1次；冬季和夏季台风到来之前进行适度修剪，把病虫枝、下垂枝、过密枝、交叉枝剪去，剪口要求平整，不留桩头，大枝的剪口应涂上防腐剂。</w:t>
      </w:r>
    </w:p>
    <w:p w14:paraId="3620BBF4">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对影响主要树种树体定向生长的其它次要树应进行避让修剪，以保证主体树有足够的生长定向空间。</w:t>
      </w:r>
    </w:p>
    <w:p w14:paraId="5F1D216E">
      <w:pPr>
        <w:pStyle w:val="48"/>
        <w:spacing w:line="440" w:lineRule="exact"/>
        <w:outlineLvl w:val="9"/>
        <w:rPr>
          <w:rFonts w:ascii="宋体" w:hAnsi="宋体" w:eastAsia="宋体" w:cs="宋体"/>
          <w:color w:val="auto"/>
          <w:sz w:val="24"/>
          <w:szCs w:val="24"/>
          <w:highlight w:val="none"/>
        </w:rPr>
      </w:pPr>
      <w:bookmarkStart w:id="151" w:name="_Toc182365518"/>
      <w:r>
        <w:rPr>
          <w:rFonts w:hint="eastAsia" w:ascii="宋体" w:hAnsi="宋体" w:eastAsia="宋体" w:cs="宋体"/>
          <w:color w:val="auto"/>
          <w:sz w:val="24"/>
          <w:szCs w:val="24"/>
          <w:highlight w:val="none"/>
        </w:rPr>
        <w:t>造型修剪</w:t>
      </w:r>
      <w:bookmarkEnd w:id="151"/>
    </w:p>
    <w:p w14:paraId="2167EF93">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根据设计和景观要求,把乔木剪成并维持特定的形状.修剪次数与强度以能维持其形状为宜,修剪时必须注意剪去过密的内膛枝、交叉枝，以利病虫害的防治。</w:t>
      </w:r>
    </w:p>
    <w:p w14:paraId="14A709F1">
      <w:pPr>
        <w:pStyle w:val="48"/>
        <w:spacing w:line="440" w:lineRule="exact"/>
        <w:outlineLvl w:val="9"/>
        <w:rPr>
          <w:rFonts w:ascii="宋体" w:hAnsi="宋体" w:eastAsia="宋体" w:cs="宋体"/>
          <w:color w:val="auto"/>
          <w:sz w:val="24"/>
          <w:szCs w:val="24"/>
          <w:highlight w:val="none"/>
        </w:rPr>
      </w:pPr>
      <w:bookmarkStart w:id="152" w:name="_Toc182365519"/>
      <w:r>
        <w:rPr>
          <w:rFonts w:hint="eastAsia" w:ascii="宋体" w:hAnsi="宋体" w:eastAsia="宋体" w:cs="宋体"/>
          <w:color w:val="auto"/>
          <w:sz w:val="24"/>
          <w:szCs w:val="24"/>
          <w:highlight w:val="none"/>
        </w:rPr>
        <w:t>行道树修剪</w:t>
      </w:r>
      <w:bookmarkEnd w:id="152"/>
    </w:p>
    <w:p w14:paraId="4A8E797F">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枝下高：胸径5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cm～9</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cm的小乔木，不低于2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m；胸径10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cm～19</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cm的中等乔木，不低于2.5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m；胸径20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cm～30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cm的大乔木，不低于3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m；胸径35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cm以上特大乔木，不低于3.5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w:t>
      </w:r>
    </w:p>
    <w:p w14:paraId="33A648BD">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同路段同树种的树形、高度应基本一致，且不得影响车辆和行人的安全，树冠不应遮挡交通指示灯。</w:t>
      </w:r>
    </w:p>
    <w:p w14:paraId="32E4845F">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中、小行道树，修剪应以培养树形或树种特征为主，每年冬季重剪1次，夏季适当轻剪。树体不应有钉挂物、缠绕物等。</w:t>
      </w:r>
    </w:p>
    <w:p w14:paraId="2EB710D0">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大、特大乔木，修剪应以维持树种特征为主，经常检查并钩除干枯枝，拆除钉挂物、缠绕物。冬季修剪1次，剪去病虫枝、交叉枝、过密枝、下垂枝。</w:t>
      </w:r>
    </w:p>
    <w:p w14:paraId="70DDB6EE">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行道树为棕榈科乔木的，中小乔木每月应钩干黄叶2次，高大的大王椰类应每周钩干黄叶两次。</w:t>
      </w:r>
    </w:p>
    <w:p w14:paraId="47DB4655">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及时处理危树，伐去死树。</w:t>
      </w:r>
    </w:p>
    <w:p w14:paraId="12057E91">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行道树上方有架空线的，必须定期修剪，树冠与电话线的垂直距离应保持1.5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m以上,与高压线的垂直距离视其电压的高低及电线的类型，应保持1.5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m～4.0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m以上。</w:t>
      </w:r>
    </w:p>
    <w:p w14:paraId="3C843C6D">
      <w:pPr>
        <w:pStyle w:val="46"/>
        <w:spacing w:line="440" w:lineRule="exact"/>
        <w:outlineLvl w:val="9"/>
        <w:rPr>
          <w:rFonts w:ascii="宋体" w:hAnsi="宋体" w:eastAsia="宋体" w:cs="宋体"/>
          <w:color w:val="auto"/>
          <w:sz w:val="24"/>
          <w:szCs w:val="24"/>
          <w:highlight w:val="none"/>
        </w:rPr>
      </w:pPr>
      <w:bookmarkStart w:id="153" w:name="_Toc182365705"/>
      <w:bookmarkStart w:id="154" w:name="_Toc182365520"/>
      <w:r>
        <w:rPr>
          <w:rFonts w:hint="eastAsia" w:ascii="宋体" w:hAnsi="宋体" w:eastAsia="宋体" w:cs="宋体"/>
          <w:color w:val="auto"/>
          <w:sz w:val="24"/>
          <w:szCs w:val="24"/>
          <w:highlight w:val="none"/>
        </w:rPr>
        <w:t>灌木修剪</w:t>
      </w:r>
      <w:bookmarkEnd w:id="153"/>
      <w:bookmarkEnd w:id="154"/>
    </w:p>
    <w:p w14:paraId="0CECC7B2">
      <w:pPr>
        <w:pStyle w:val="48"/>
        <w:spacing w:line="440" w:lineRule="exact"/>
        <w:outlineLvl w:val="9"/>
        <w:rPr>
          <w:rFonts w:ascii="宋体" w:hAnsi="宋体" w:eastAsia="宋体" w:cs="宋体"/>
          <w:color w:val="auto"/>
          <w:sz w:val="24"/>
          <w:szCs w:val="24"/>
          <w:highlight w:val="none"/>
        </w:rPr>
      </w:pPr>
      <w:bookmarkStart w:id="155" w:name="_Toc182365521"/>
      <w:r>
        <w:rPr>
          <w:rFonts w:hint="eastAsia" w:ascii="宋体" w:hAnsi="宋体" w:eastAsia="宋体" w:cs="宋体"/>
          <w:color w:val="auto"/>
          <w:sz w:val="24"/>
          <w:szCs w:val="24"/>
          <w:highlight w:val="none"/>
        </w:rPr>
        <w:t>孤植灌木修剪</w:t>
      </w:r>
      <w:bookmarkEnd w:id="155"/>
    </w:p>
    <w:p w14:paraId="16A8E3D0">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观叶、观茎的棕榈科灌木和其它慢生性观叶灌木，主要适当控制灌木的形状，根据树种特性进行疏枝、剪除枯枝黄叶。</w:t>
      </w:r>
    </w:p>
    <w:p w14:paraId="6EC0301C">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萌发力强，生长快的观花、观叶灌木，春季或花期过后进行重剪，以控制植株徒长，维持一定的高度与形状。</w:t>
      </w:r>
    </w:p>
    <w:p w14:paraId="00C99F3A">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疏枝，剪口必须贴近干枝，平滑、不撕裂，不伤及干枝，不留桩头。</w:t>
      </w:r>
    </w:p>
    <w:p w14:paraId="35D7BDD0">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短剪，剪口平滑稍斜，剪口芽方向合理，距离剪口芽约0.5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cm左右。</w:t>
      </w:r>
    </w:p>
    <w:p w14:paraId="6547EA57">
      <w:pPr>
        <w:pStyle w:val="48"/>
        <w:spacing w:line="440" w:lineRule="exact"/>
        <w:outlineLvl w:val="9"/>
        <w:rPr>
          <w:rFonts w:ascii="宋体" w:hAnsi="宋体" w:eastAsia="宋体" w:cs="宋体"/>
          <w:color w:val="auto"/>
          <w:sz w:val="24"/>
          <w:szCs w:val="24"/>
          <w:highlight w:val="none"/>
        </w:rPr>
      </w:pPr>
      <w:bookmarkStart w:id="156" w:name="_Toc182365522"/>
      <w:r>
        <w:rPr>
          <w:rFonts w:hint="eastAsia" w:ascii="宋体" w:hAnsi="宋体" w:eastAsia="宋体" w:cs="宋体"/>
          <w:color w:val="auto"/>
          <w:sz w:val="24"/>
          <w:szCs w:val="24"/>
          <w:highlight w:val="none"/>
        </w:rPr>
        <w:t>整形灌木修剪</w:t>
      </w:r>
      <w:bookmarkEnd w:id="156"/>
    </w:p>
    <w:p w14:paraId="27D283F2">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必须按设计要求或观赏要求，逐步修剪养成一定的形状，并且要求成形美观、曲线变化明显，与周围环境相协调；规则式的同一品种植物造型，其形状、大小应基本一致。</w:t>
      </w:r>
    </w:p>
    <w:p w14:paraId="3E8E3FD0">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整形灌木成形后应保持原来的形状，随着植物的生长，其形体大于设计观赏要求或因频繁修剪造成长势趋弱，应于春季进行回缩修剪。</w:t>
      </w:r>
    </w:p>
    <w:p w14:paraId="6FDA715C">
      <w:pPr>
        <w:pStyle w:val="48"/>
        <w:spacing w:line="440" w:lineRule="exact"/>
        <w:outlineLvl w:val="9"/>
        <w:rPr>
          <w:rFonts w:ascii="宋体" w:hAnsi="宋体" w:eastAsia="宋体" w:cs="宋体"/>
          <w:color w:val="auto"/>
          <w:sz w:val="24"/>
          <w:szCs w:val="24"/>
          <w:highlight w:val="none"/>
        </w:rPr>
      </w:pPr>
      <w:bookmarkStart w:id="157" w:name="_Toc182365523"/>
      <w:r>
        <w:rPr>
          <w:rFonts w:hint="eastAsia" w:ascii="宋体" w:hAnsi="宋体" w:eastAsia="宋体" w:cs="宋体"/>
          <w:color w:val="auto"/>
          <w:sz w:val="24"/>
          <w:szCs w:val="24"/>
          <w:highlight w:val="none"/>
        </w:rPr>
        <w:t>片植灌木</w:t>
      </w:r>
      <w:bookmarkEnd w:id="157"/>
    </w:p>
    <w:p w14:paraId="6FDF7069">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按设计或观赏要求修剪，并剪去干枯枝、寄生与缠绕物，要求图形清晰，线条明显，整体美观。</w:t>
      </w:r>
    </w:p>
    <w:p w14:paraId="7D156225">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萌芽力强、生长快的观叶片植灌木，应于春季进行回缩修剪，以控制整体高度和保持良好的长势。</w:t>
      </w:r>
    </w:p>
    <w:p w14:paraId="1759CF8D">
      <w:pPr>
        <w:pStyle w:val="49"/>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观花片植灌木应于花后适度修剪或重剪。</w:t>
      </w:r>
    </w:p>
    <w:p w14:paraId="741F8B2F">
      <w:pPr>
        <w:pStyle w:val="46"/>
        <w:spacing w:line="440" w:lineRule="exact"/>
        <w:outlineLvl w:val="9"/>
        <w:rPr>
          <w:rFonts w:ascii="宋体" w:hAnsi="宋体" w:eastAsia="宋体" w:cs="宋体"/>
          <w:color w:val="auto"/>
          <w:sz w:val="24"/>
          <w:szCs w:val="24"/>
          <w:highlight w:val="none"/>
        </w:rPr>
      </w:pPr>
      <w:bookmarkStart w:id="158" w:name="_Toc182365524"/>
      <w:bookmarkStart w:id="159" w:name="_Toc182365706"/>
      <w:r>
        <w:rPr>
          <w:rFonts w:hint="eastAsia" w:ascii="宋体" w:hAnsi="宋体" w:eastAsia="宋体" w:cs="宋体"/>
          <w:color w:val="auto"/>
          <w:sz w:val="24"/>
          <w:szCs w:val="24"/>
          <w:highlight w:val="none"/>
        </w:rPr>
        <w:t>地被修剪</w:t>
      </w:r>
      <w:bookmarkEnd w:id="158"/>
      <w:bookmarkEnd w:id="159"/>
    </w:p>
    <w:p w14:paraId="659C7A48">
      <w:pPr>
        <w:pStyle w:val="48"/>
        <w:spacing w:line="440" w:lineRule="exact"/>
        <w:outlineLvl w:val="9"/>
        <w:rPr>
          <w:rFonts w:ascii="宋体" w:hAnsi="宋体" w:eastAsia="宋体" w:cs="宋体"/>
          <w:color w:val="auto"/>
          <w:sz w:val="24"/>
          <w:szCs w:val="24"/>
          <w:highlight w:val="none"/>
        </w:rPr>
      </w:pPr>
      <w:bookmarkStart w:id="160" w:name="_Toc182365525"/>
      <w:r>
        <w:rPr>
          <w:rFonts w:hint="eastAsia" w:ascii="宋体" w:hAnsi="宋体" w:eastAsia="宋体" w:cs="宋体"/>
          <w:color w:val="auto"/>
          <w:sz w:val="24"/>
          <w:szCs w:val="24"/>
          <w:highlight w:val="none"/>
        </w:rPr>
        <w:t>球根地被及不耐修剪的地被，如麦冬、罗裙带，要求保持整洁，及时清除黄叶、杂物；过密的应适当疏株、移植；过高的应间高留矮，促萌新株，逐步更新。</w:t>
      </w:r>
      <w:bookmarkEnd w:id="160"/>
    </w:p>
    <w:p w14:paraId="62444822">
      <w:pPr>
        <w:pStyle w:val="48"/>
        <w:spacing w:line="440" w:lineRule="exact"/>
        <w:outlineLvl w:val="9"/>
        <w:rPr>
          <w:rFonts w:ascii="宋体" w:hAnsi="宋体" w:eastAsia="宋体" w:cs="宋体"/>
          <w:color w:val="auto"/>
          <w:sz w:val="24"/>
          <w:szCs w:val="24"/>
          <w:highlight w:val="none"/>
        </w:rPr>
      </w:pPr>
      <w:bookmarkStart w:id="161" w:name="_Toc182365526"/>
      <w:r>
        <w:rPr>
          <w:rFonts w:hint="eastAsia" w:ascii="宋体" w:hAnsi="宋体" w:eastAsia="宋体" w:cs="宋体"/>
          <w:color w:val="auto"/>
          <w:sz w:val="24"/>
          <w:szCs w:val="24"/>
          <w:highlight w:val="none"/>
        </w:rPr>
        <w:t>蔓生性较强的地被，应适当修剪，保持整体整齐或有规律变化。</w:t>
      </w:r>
      <w:bookmarkEnd w:id="161"/>
    </w:p>
    <w:p w14:paraId="2C700B5D">
      <w:pPr>
        <w:pStyle w:val="48"/>
        <w:spacing w:line="440" w:lineRule="exact"/>
        <w:outlineLvl w:val="9"/>
        <w:rPr>
          <w:rFonts w:ascii="宋体" w:hAnsi="宋体" w:eastAsia="宋体" w:cs="宋体"/>
          <w:color w:val="auto"/>
          <w:sz w:val="24"/>
          <w:szCs w:val="24"/>
          <w:highlight w:val="none"/>
        </w:rPr>
      </w:pPr>
      <w:bookmarkStart w:id="162" w:name="_Toc182365527"/>
      <w:r>
        <w:rPr>
          <w:rFonts w:hint="eastAsia" w:ascii="宋体" w:hAnsi="宋体" w:eastAsia="宋体" w:cs="宋体"/>
          <w:color w:val="auto"/>
          <w:sz w:val="24"/>
          <w:szCs w:val="24"/>
          <w:highlight w:val="none"/>
        </w:rPr>
        <w:t>树盘地被应定时修剪，形状、大小应规范、整齐；地被植物不能缠绕乔灌木。</w:t>
      </w:r>
      <w:bookmarkEnd w:id="162"/>
    </w:p>
    <w:p w14:paraId="38E5F5D3">
      <w:pPr>
        <w:pStyle w:val="46"/>
        <w:spacing w:line="440" w:lineRule="exact"/>
        <w:outlineLvl w:val="9"/>
        <w:rPr>
          <w:rFonts w:ascii="宋体" w:hAnsi="宋体" w:eastAsia="宋体" w:cs="宋体"/>
          <w:color w:val="auto"/>
          <w:sz w:val="24"/>
          <w:szCs w:val="24"/>
          <w:highlight w:val="none"/>
        </w:rPr>
      </w:pPr>
      <w:bookmarkStart w:id="163" w:name="_Toc182365707"/>
      <w:bookmarkStart w:id="164" w:name="_Toc182365528"/>
      <w:r>
        <w:rPr>
          <w:rFonts w:hint="eastAsia" w:ascii="宋体" w:hAnsi="宋体" w:eastAsia="宋体" w:cs="宋体"/>
          <w:color w:val="auto"/>
          <w:sz w:val="24"/>
          <w:szCs w:val="24"/>
          <w:highlight w:val="none"/>
        </w:rPr>
        <w:t>花坛修剪</w:t>
      </w:r>
      <w:bookmarkEnd w:id="163"/>
      <w:bookmarkEnd w:id="164"/>
    </w:p>
    <w:p w14:paraId="769E797E">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及时剪除残花、枯枝、黄叶，并短截或疏去过高的枝叶，保持花坛中同一色块顶面高度基本一致。</w:t>
      </w:r>
    </w:p>
    <w:p w14:paraId="512D9BAE">
      <w:pPr>
        <w:pStyle w:val="46"/>
        <w:spacing w:line="440" w:lineRule="exact"/>
        <w:outlineLvl w:val="9"/>
        <w:rPr>
          <w:rFonts w:ascii="宋体" w:hAnsi="宋体" w:eastAsia="宋体" w:cs="宋体"/>
          <w:color w:val="auto"/>
          <w:sz w:val="24"/>
          <w:szCs w:val="24"/>
          <w:highlight w:val="none"/>
        </w:rPr>
      </w:pPr>
      <w:bookmarkStart w:id="165" w:name="_Toc182365529"/>
      <w:bookmarkStart w:id="166" w:name="_Toc182365708"/>
      <w:r>
        <w:rPr>
          <w:rFonts w:hint="eastAsia" w:ascii="宋体" w:hAnsi="宋体" w:eastAsia="宋体" w:cs="宋体"/>
          <w:color w:val="auto"/>
          <w:sz w:val="24"/>
          <w:szCs w:val="24"/>
          <w:highlight w:val="none"/>
        </w:rPr>
        <w:t>草坪修剪</w:t>
      </w:r>
      <w:bookmarkEnd w:id="165"/>
      <w:bookmarkEnd w:id="166"/>
    </w:p>
    <w:p w14:paraId="19809816">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视草坪生长情况全年修剪6次～12次，秋、冬季1月～2月剪1次，春季、夏季每月剪1次。草坪高度应控制在8cm以下。</w:t>
      </w:r>
    </w:p>
    <w:p w14:paraId="7C33FEB6">
      <w:pPr>
        <w:pStyle w:val="46"/>
        <w:spacing w:line="440" w:lineRule="exact"/>
        <w:outlineLvl w:val="9"/>
        <w:rPr>
          <w:rFonts w:ascii="宋体" w:hAnsi="宋体" w:eastAsia="宋体" w:cs="宋体"/>
          <w:color w:val="auto"/>
          <w:sz w:val="24"/>
          <w:szCs w:val="24"/>
          <w:highlight w:val="none"/>
        </w:rPr>
      </w:pPr>
      <w:bookmarkStart w:id="167" w:name="_Toc182365530"/>
      <w:bookmarkStart w:id="168" w:name="_Toc182365709"/>
      <w:r>
        <w:rPr>
          <w:rFonts w:hint="eastAsia" w:ascii="宋体" w:hAnsi="宋体" w:eastAsia="宋体" w:cs="宋体"/>
          <w:color w:val="auto"/>
          <w:sz w:val="24"/>
          <w:szCs w:val="24"/>
          <w:highlight w:val="none"/>
        </w:rPr>
        <w:t>藤本植物修剪</w:t>
      </w:r>
      <w:bookmarkEnd w:id="167"/>
      <w:bookmarkEnd w:id="168"/>
    </w:p>
    <w:p w14:paraId="5A2A47B6">
      <w:pPr>
        <w:pStyle w:val="48"/>
        <w:spacing w:line="440" w:lineRule="exact"/>
        <w:outlineLvl w:val="9"/>
        <w:rPr>
          <w:rFonts w:ascii="宋体" w:hAnsi="宋体" w:eastAsia="宋体" w:cs="宋体"/>
          <w:color w:val="auto"/>
          <w:sz w:val="24"/>
          <w:szCs w:val="24"/>
          <w:highlight w:val="none"/>
        </w:rPr>
      </w:pPr>
      <w:bookmarkStart w:id="169" w:name="_Toc182365531"/>
      <w:r>
        <w:rPr>
          <w:rFonts w:hint="eastAsia" w:ascii="宋体" w:hAnsi="宋体" w:eastAsia="宋体" w:cs="宋体"/>
          <w:color w:val="auto"/>
          <w:sz w:val="24"/>
          <w:szCs w:val="24"/>
          <w:highlight w:val="none"/>
        </w:rPr>
        <w:t>桥上、栏杆上藤本植物，主要剪去过密枝、衰老枝，控制枝条下垂的长度基本一致，而又不影响交通、视线。花期过后应适当更新重剪。</w:t>
      </w:r>
      <w:bookmarkEnd w:id="169"/>
    </w:p>
    <w:p w14:paraId="65B1307D">
      <w:pPr>
        <w:pStyle w:val="48"/>
        <w:spacing w:line="440" w:lineRule="exact"/>
        <w:outlineLvl w:val="9"/>
        <w:rPr>
          <w:rFonts w:ascii="宋体" w:hAnsi="宋体" w:eastAsia="宋体" w:cs="宋体"/>
          <w:color w:val="auto"/>
          <w:sz w:val="24"/>
          <w:szCs w:val="24"/>
          <w:highlight w:val="none"/>
        </w:rPr>
      </w:pPr>
      <w:bookmarkStart w:id="170" w:name="_Toc182365532"/>
      <w:r>
        <w:rPr>
          <w:rFonts w:hint="eastAsia" w:ascii="宋体" w:hAnsi="宋体" w:eastAsia="宋体" w:cs="宋体"/>
          <w:color w:val="auto"/>
          <w:sz w:val="24"/>
          <w:szCs w:val="24"/>
          <w:highlight w:val="none"/>
        </w:rPr>
        <w:t>攀缘藤本，种植后进行重剪，每株促发几条健壮主蔓；爬满墙、棚后，主要适当修剪交叉蔓藤，病弱衰老蔓枝；有光脚或中空现象时，采用局部重剪、曲枝蔓诱引措施来弥补空缺。</w:t>
      </w:r>
      <w:bookmarkEnd w:id="170"/>
    </w:p>
    <w:p w14:paraId="4B0B88A5">
      <w:pPr>
        <w:pStyle w:val="45"/>
        <w:spacing w:before="120" w:after="120" w:line="440" w:lineRule="exact"/>
        <w:outlineLvl w:val="9"/>
        <w:rPr>
          <w:rFonts w:ascii="宋体" w:hAnsi="宋体" w:eastAsia="宋体" w:cs="宋体"/>
          <w:color w:val="auto"/>
          <w:sz w:val="24"/>
          <w:szCs w:val="24"/>
          <w:highlight w:val="none"/>
        </w:rPr>
      </w:pPr>
      <w:bookmarkStart w:id="171" w:name="_Toc156711264"/>
      <w:bookmarkStart w:id="172" w:name="_Toc170095760"/>
      <w:bookmarkStart w:id="173" w:name="_Toc182365533"/>
      <w:bookmarkStart w:id="174" w:name="_Toc35785432"/>
      <w:bookmarkStart w:id="175" w:name="_Toc182979469"/>
      <w:bookmarkStart w:id="176" w:name="_Toc156712202"/>
      <w:bookmarkStart w:id="177" w:name="_Toc180215343"/>
      <w:bookmarkStart w:id="178" w:name="_Toc180459004"/>
      <w:bookmarkStart w:id="179" w:name="_Toc156710483"/>
      <w:bookmarkStart w:id="180" w:name="_Toc179784843"/>
      <w:bookmarkStart w:id="181" w:name="_Toc182365803"/>
      <w:bookmarkStart w:id="182" w:name="_Toc182996262"/>
      <w:bookmarkStart w:id="183" w:name="_Toc177184019"/>
      <w:bookmarkStart w:id="184" w:name="_Toc25519275"/>
      <w:bookmarkStart w:id="185" w:name="_Toc182365710"/>
      <w:r>
        <w:rPr>
          <w:rFonts w:hint="eastAsia" w:ascii="宋体" w:hAnsi="宋体" w:eastAsia="宋体" w:cs="宋体"/>
          <w:color w:val="auto"/>
          <w:sz w:val="24"/>
          <w:szCs w:val="24"/>
          <w:highlight w:val="none"/>
        </w:rPr>
        <w:t>松土除杂</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4736E3E">
      <w:pPr>
        <w:pStyle w:val="46"/>
        <w:spacing w:line="440" w:lineRule="exact"/>
        <w:outlineLvl w:val="9"/>
        <w:rPr>
          <w:rFonts w:ascii="宋体" w:hAnsi="宋体" w:eastAsia="宋体" w:cs="宋体"/>
          <w:color w:val="auto"/>
          <w:sz w:val="24"/>
          <w:szCs w:val="24"/>
          <w:highlight w:val="none"/>
        </w:rPr>
      </w:pPr>
      <w:bookmarkStart w:id="186" w:name="_Toc182365534"/>
      <w:bookmarkStart w:id="187" w:name="_Toc182365711"/>
      <w:r>
        <w:rPr>
          <w:rFonts w:hint="eastAsia" w:ascii="宋体" w:hAnsi="宋体" w:eastAsia="宋体" w:cs="宋体"/>
          <w:color w:val="auto"/>
          <w:sz w:val="24"/>
          <w:szCs w:val="24"/>
          <w:highlight w:val="none"/>
        </w:rPr>
        <w:t>无地被树盘,片植灌木必须定期松土除杂，对小乔木的树盘可用中耕的方法连根锄掉，埋入土中，以改良土壤。</w:t>
      </w:r>
      <w:bookmarkEnd w:id="186"/>
      <w:bookmarkEnd w:id="187"/>
    </w:p>
    <w:p w14:paraId="38F7EC09">
      <w:pPr>
        <w:pStyle w:val="46"/>
        <w:spacing w:line="440" w:lineRule="exact"/>
        <w:outlineLvl w:val="9"/>
        <w:rPr>
          <w:rFonts w:ascii="宋体" w:hAnsi="宋体" w:eastAsia="宋体" w:cs="宋体"/>
          <w:color w:val="auto"/>
          <w:sz w:val="24"/>
          <w:szCs w:val="24"/>
          <w:highlight w:val="none"/>
        </w:rPr>
      </w:pPr>
      <w:bookmarkStart w:id="188" w:name="_Toc182365535"/>
      <w:bookmarkStart w:id="189" w:name="_Toc182365712"/>
      <w:r>
        <w:rPr>
          <w:rFonts w:hint="eastAsia" w:ascii="宋体" w:hAnsi="宋体" w:eastAsia="宋体" w:cs="宋体"/>
          <w:color w:val="auto"/>
          <w:sz w:val="24"/>
          <w:szCs w:val="24"/>
          <w:highlight w:val="none"/>
        </w:rPr>
        <w:t>应经常对草坪进行人工除杂，对生长快、侵延力强的杂草应除早、除小、除了。亦可采用除草剂除杂，结合剪草机定期剪草，控制杂草的开花及蔓延，草坪纯度应保持在85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以上，无大型、异型杂草。</w:t>
      </w:r>
      <w:bookmarkEnd w:id="188"/>
      <w:bookmarkEnd w:id="189"/>
    </w:p>
    <w:p w14:paraId="00598AB1">
      <w:pPr>
        <w:pStyle w:val="46"/>
        <w:spacing w:line="440" w:lineRule="exact"/>
        <w:outlineLvl w:val="9"/>
        <w:rPr>
          <w:rFonts w:ascii="宋体" w:hAnsi="宋体" w:eastAsia="宋体" w:cs="宋体"/>
          <w:color w:val="auto"/>
          <w:sz w:val="24"/>
          <w:szCs w:val="24"/>
          <w:highlight w:val="none"/>
        </w:rPr>
      </w:pPr>
      <w:bookmarkStart w:id="190" w:name="_Toc182365713"/>
      <w:bookmarkStart w:id="191" w:name="_Toc182365536"/>
      <w:r>
        <w:rPr>
          <w:rFonts w:hint="eastAsia" w:ascii="宋体" w:hAnsi="宋体" w:eastAsia="宋体" w:cs="宋体"/>
          <w:color w:val="auto"/>
          <w:sz w:val="24"/>
          <w:szCs w:val="24"/>
          <w:highlight w:val="none"/>
        </w:rPr>
        <w:t>每年春季或冬季用草坪疏草机或草坪打孔机，对草坪进行疏草或打孔，以防草过密起团，增加草坪土壤通透性。</w:t>
      </w:r>
      <w:bookmarkEnd w:id="190"/>
      <w:bookmarkEnd w:id="191"/>
    </w:p>
    <w:p w14:paraId="726CBBD6">
      <w:pPr>
        <w:pStyle w:val="45"/>
        <w:spacing w:before="120" w:after="120" w:line="440" w:lineRule="exact"/>
        <w:outlineLvl w:val="9"/>
        <w:rPr>
          <w:rFonts w:ascii="宋体" w:hAnsi="宋体" w:eastAsia="宋体" w:cs="宋体"/>
          <w:color w:val="auto"/>
          <w:sz w:val="24"/>
          <w:szCs w:val="24"/>
          <w:highlight w:val="none"/>
        </w:rPr>
      </w:pPr>
      <w:bookmarkStart w:id="192" w:name="_Toc182979470"/>
      <w:bookmarkStart w:id="193" w:name="_Toc182365714"/>
      <w:bookmarkStart w:id="194" w:name="_Toc156711265"/>
      <w:bookmarkStart w:id="195" w:name="_Toc170095761"/>
      <w:bookmarkStart w:id="196" w:name="_Toc182996263"/>
      <w:bookmarkStart w:id="197" w:name="_Toc180215344"/>
      <w:bookmarkStart w:id="198" w:name="_Toc179784844"/>
      <w:bookmarkStart w:id="199" w:name="_Toc182365537"/>
      <w:bookmarkStart w:id="200" w:name="_Toc35785433"/>
      <w:bookmarkStart w:id="201" w:name="_Toc156712203"/>
      <w:bookmarkStart w:id="202" w:name="_Toc25519276"/>
      <w:bookmarkStart w:id="203" w:name="_Toc182365804"/>
      <w:bookmarkStart w:id="204" w:name="_Toc177184020"/>
      <w:bookmarkStart w:id="205" w:name="_Toc156710484"/>
      <w:bookmarkStart w:id="206" w:name="_Toc180459005"/>
      <w:r>
        <w:rPr>
          <w:rFonts w:hint="eastAsia" w:ascii="宋体" w:hAnsi="宋体" w:eastAsia="宋体" w:cs="宋体"/>
          <w:color w:val="auto"/>
          <w:sz w:val="24"/>
          <w:szCs w:val="24"/>
          <w:highlight w:val="none"/>
        </w:rPr>
        <w:t>病虫害控制</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481BAE95">
      <w:pPr>
        <w:pStyle w:val="46"/>
        <w:spacing w:line="440" w:lineRule="exact"/>
        <w:outlineLvl w:val="9"/>
        <w:rPr>
          <w:rFonts w:ascii="宋体" w:hAnsi="宋体" w:eastAsia="宋体" w:cs="宋体"/>
          <w:color w:val="auto"/>
          <w:sz w:val="24"/>
          <w:szCs w:val="24"/>
          <w:highlight w:val="none"/>
        </w:rPr>
      </w:pPr>
      <w:bookmarkStart w:id="207" w:name="_Toc182365715"/>
      <w:bookmarkStart w:id="208" w:name="_Toc182365538"/>
      <w:r>
        <w:rPr>
          <w:rFonts w:hint="eastAsia" w:ascii="宋体" w:hAnsi="宋体" w:eastAsia="宋体" w:cs="宋体"/>
          <w:color w:val="auto"/>
          <w:sz w:val="24"/>
          <w:szCs w:val="24"/>
          <w:highlight w:val="none"/>
        </w:rPr>
        <w:t>经常检查，随时掌握病虫的生长繁殖及危害情况，做好预测预防工作。</w:t>
      </w:r>
      <w:bookmarkEnd w:id="207"/>
      <w:bookmarkEnd w:id="208"/>
    </w:p>
    <w:p w14:paraId="6D05BA4C">
      <w:pPr>
        <w:pStyle w:val="46"/>
        <w:spacing w:line="440" w:lineRule="exact"/>
        <w:outlineLvl w:val="9"/>
        <w:rPr>
          <w:rFonts w:ascii="宋体" w:hAnsi="宋体" w:eastAsia="宋体" w:cs="宋体"/>
          <w:color w:val="auto"/>
          <w:sz w:val="24"/>
          <w:szCs w:val="24"/>
          <w:highlight w:val="none"/>
        </w:rPr>
      </w:pPr>
      <w:bookmarkStart w:id="209" w:name="_Toc182365539"/>
      <w:bookmarkStart w:id="210" w:name="_Toc182365716"/>
      <w:r>
        <w:rPr>
          <w:rFonts w:hint="eastAsia" w:ascii="宋体" w:hAnsi="宋体" w:eastAsia="宋体" w:cs="宋体"/>
          <w:color w:val="auto"/>
          <w:sz w:val="24"/>
          <w:szCs w:val="24"/>
          <w:highlight w:val="none"/>
        </w:rPr>
        <w:t>掌握在幼虫期和病虫害大发生前进行防治，根据病虫害种类，天气情况、农药性质，合理使用农药。</w:t>
      </w:r>
      <w:bookmarkEnd w:id="209"/>
      <w:bookmarkEnd w:id="210"/>
    </w:p>
    <w:p w14:paraId="614FF739">
      <w:pPr>
        <w:pStyle w:val="46"/>
        <w:spacing w:line="440" w:lineRule="exact"/>
        <w:outlineLvl w:val="9"/>
        <w:rPr>
          <w:rFonts w:ascii="宋体" w:hAnsi="宋体" w:eastAsia="宋体" w:cs="宋体"/>
          <w:color w:val="auto"/>
          <w:sz w:val="24"/>
          <w:szCs w:val="24"/>
          <w:highlight w:val="none"/>
        </w:rPr>
      </w:pPr>
      <w:bookmarkStart w:id="211" w:name="_Toc182365717"/>
      <w:bookmarkStart w:id="212" w:name="_Toc182365540"/>
      <w:r>
        <w:rPr>
          <w:rFonts w:hint="eastAsia" w:ascii="宋体" w:hAnsi="宋体" w:eastAsia="宋体" w:cs="宋体"/>
          <w:color w:val="auto"/>
          <w:sz w:val="24"/>
          <w:szCs w:val="24"/>
          <w:highlight w:val="none"/>
        </w:rPr>
        <w:t>喷药应选择在无风无雨时进行，喷药必须到位、均匀，文明操作，药水不能喷到行人身上，对于人为活动多或人流量大的地段，应提前告示；根部埋药，应挖沟、坑，把药放在细根集中部位，并覆土。</w:t>
      </w:r>
      <w:bookmarkEnd w:id="211"/>
      <w:bookmarkEnd w:id="212"/>
    </w:p>
    <w:p w14:paraId="6E29AFA1">
      <w:pPr>
        <w:pStyle w:val="46"/>
        <w:spacing w:line="440" w:lineRule="exact"/>
        <w:outlineLvl w:val="9"/>
        <w:rPr>
          <w:rFonts w:ascii="宋体" w:hAnsi="宋体" w:eastAsia="宋体" w:cs="宋体"/>
          <w:color w:val="auto"/>
          <w:sz w:val="24"/>
          <w:szCs w:val="24"/>
          <w:highlight w:val="none"/>
        </w:rPr>
      </w:pPr>
      <w:bookmarkStart w:id="213" w:name="_Toc182365541"/>
      <w:bookmarkStart w:id="214" w:name="_Toc182365718"/>
      <w:r>
        <w:rPr>
          <w:rFonts w:hint="eastAsia" w:ascii="宋体" w:hAnsi="宋体" w:eastAsia="宋体" w:cs="宋体"/>
          <w:color w:val="auto"/>
          <w:sz w:val="24"/>
          <w:szCs w:val="24"/>
          <w:highlight w:val="none"/>
        </w:rPr>
        <w:t>药水随用随配，药水配用浓度应按使用说明，需要加大浓度或两种以上农药混用必须先小面积试用安全或经专业技术人员确认后才能大面积使用。</w:t>
      </w:r>
      <w:bookmarkEnd w:id="213"/>
      <w:bookmarkEnd w:id="214"/>
    </w:p>
    <w:p w14:paraId="4AC463A3">
      <w:pPr>
        <w:pStyle w:val="46"/>
        <w:spacing w:line="440" w:lineRule="exact"/>
        <w:outlineLvl w:val="9"/>
        <w:rPr>
          <w:rFonts w:ascii="宋体" w:hAnsi="宋体" w:eastAsia="宋体" w:cs="宋体"/>
          <w:color w:val="auto"/>
          <w:sz w:val="24"/>
          <w:szCs w:val="24"/>
          <w:highlight w:val="none"/>
        </w:rPr>
      </w:pPr>
      <w:bookmarkStart w:id="215" w:name="_Toc182365719"/>
      <w:bookmarkStart w:id="216" w:name="_Toc182365542"/>
      <w:r>
        <w:rPr>
          <w:rFonts w:hint="eastAsia" w:ascii="宋体" w:hAnsi="宋体" w:eastAsia="宋体" w:cs="宋体"/>
          <w:color w:val="auto"/>
          <w:sz w:val="24"/>
          <w:szCs w:val="24"/>
          <w:highlight w:val="none"/>
        </w:rPr>
        <w:t>应该选择使用低毒、低残留农药或生物制剂，尽量保护天敌，采用化学防治、生物防治相结合进行综合治理。</w:t>
      </w:r>
      <w:bookmarkEnd w:id="215"/>
      <w:bookmarkEnd w:id="216"/>
    </w:p>
    <w:p w14:paraId="6DC3605B">
      <w:pPr>
        <w:pStyle w:val="46"/>
        <w:spacing w:line="440" w:lineRule="exact"/>
        <w:outlineLvl w:val="9"/>
        <w:rPr>
          <w:rFonts w:ascii="宋体" w:hAnsi="宋体" w:eastAsia="宋体" w:cs="宋体"/>
          <w:color w:val="auto"/>
          <w:sz w:val="24"/>
          <w:szCs w:val="24"/>
          <w:highlight w:val="none"/>
        </w:rPr>
      </w:pPr>
      <w:bookmarkStart w:id="217" w:name="_Toc182365543"/>
      <w:bookmarkStart w:id="218" w:name="_Toc182365720"/>
      <w:r>
        <w:rPr>
          <w:rFonts w:hint="eastAsia" w:ascii="宋体" w:hAnsi="宋体" w:eastAsia="宋体" w:cs="宋体"/>
          <w:color w:val="auto"/>
          <w:sz w:val="24"/>
          <w:szCs w:val="24"/>
          <w:highlight w:val="none"/>
        </w:rPr>
        <w:t>交替使用农药，不能长期使用单一种农药防治同一病虫害，以防病菌和害虫产生抗药性。用药后应检查用药效果，做到对症下药，及时纠正。</w:t>
      </w:r>
      <w:bookmarkEnd w:id="217"/>
      <w:bookmarkEnd w:id="218"/>
    </w:p>
    <w:p w14:paraId="6123A110">
      <w:pPr>
        <w:pStyle w:val="46"/>
        <w:spacing w:line="440" w:lineRule="exact"/>
        <w:outlineLvl w:val="9"/>
        <w:rPr>
          <w:rFonts w:ascii="宋体" w:hAnsi="宋体" w:eastAsia="宋体" w:cs="宋体"/>
          <w:color w:val="auto"/>
          <w:sz w:val="24"/>
          <w:szCs w:val="24"/>
          <w:highlight w:val="none"/>
        </w:rPr>
      </w:pPr>
      <w:bookmarkStart w:id="219" w:name="_Toc182365544"/>
      <w:bookmarkStart w:id="220" w:name="_Toc182365721"/>
      <w:r>
        <w:rPr>
          <w:rFonts w:hint="eastAsia" w:ascii="宋体" w:hAnsi="宋体" w:eastAsia="宋体" w:cs="宋体"/>
          <w:color w:val="auto"/>
          <w:sz w:val="24"/>
          <w:szCs w:val="24"/>
          <w:highlight w:val="none"/>
        </w:rPr>
        <w:t>及时剪除销毁病虫害引起的树枝败叶，并结合修枝，把徒长枝、过密枝剪去，创造透风透光环境，杜绝病虫害滋生蔓延。</w:t>
      </w:r>
      <w:bookmarkEnd w:id="219"/>
      <w:bookmarkEnd w:id="220"/>
    </w:p>
    <w:p w14:paraId="16055728">
      <w:pPr>
        <w:pStyle w:val="46"/>
        <w:spacing w:line="440" w:lineRule="exact"/>
        <w:outlineLvl w:val="9"/>
        <w:rPr>
          <w:rFonts w:ascii="宋体" w:hAnsi="宋体" w:eastAsia="宋体" w:cs="宋体"/>
          <w:color w:val="auto"/>
          <w:sz w:val="24"/>
          <w:szCs w:val="24"/>
          <w:highlight w:val="none"/>
        </w:rPr>
      </w:pPr>
      <w:bookmarkStart w:id="221" w:name="_Toc182365545"/>
      <w:bookmarkStart w:id="222" w:name="_Toc182365722"/>
      <w:r>
        <w:rPr>
          <w:rFonts w:hint="eastAsia" w:ascii="宋体" w:hAnsi="宋体" w:eastAsia="宋体" w:cs="宋体"/>
          <w:color w:val="auto"/>
          <w:sz w:val="24"/>
          <w:szCs w:val="24"/>
          <w:highlight w:val="none"/>
        </w:rPr>
        <w:t>修剪时，对大枝的剪口应涂药以防病虫害的侵入。</w:t>
      </w:r>
      <w:bookmarkEnd w:id="221"/>
      <w:bookmarkEnd w:id="222"/>
    </w:p>
    <w:p w14:paraId="6FA885D8">
      <w:pPr>
        <w:pStyle w:val="46"/>
        <w:spacing w:line="440" w:lineRule="exact"/>
        <w:outlineLvl w:val="9"/>
        <w:rPr>
          <w:rFonts w:ascii="宋体" w:hAnsi="宋体" w:eastAsia="宋体" w:cs="宋体"/>
          <w:color w:val="auto"/>
          <w:sz w:val="24"/>
          <w:szCs w:val="24"/>
          <w:highlight w:val="none"/>
        </w:rPr>
      </w:pPr>
      <w:bookmarkStart w:id="223" w:name="_Toc182365546"/>
      <w:bookmarkStart w:id="224" w:name="_Toc182365723"/>
      <w:r>
        <w:rPr>
          <w:rFonts w:hint="eastAsia" w:ascii="宋体" w:hAnsi="宋体" w:eastAsia="宋体" w:cs="宋体"/>
          <w:color w:val="auto"/>
          <w:sz w:val="24"/>
          <w:szCs w:val="24"/>
          <w:highlight w:val="none"/>
        </w:rPr>
        <w:t>及时清除植株上的寄生物。</w:t>
      </w:r>
      <w:bookmarkEnd w:id="223"/>
      <w:bookmarkEnd w:id="224"/>
    </w:p>
    <w:p w14:paraId="7220CC1C">
      <w:pPr>
        <w:pStyle w:val="46"/>
        <w:spacing w:line="440" w:lineRule="exact"/>
        <w:outlineLvl w:val="9"/>
        <w:rPr>
          <w:rFonts w:ascii="宋体" w:hAnsi="宋体" w:eastAsia="宋体" w:cs="宋体"/>
          <w:color w:val="auto"/>
          <w:sz w:val="24"/>
          <w:szCs w:val="24"/>
          <w:highlight w:val="none"/>
        </w:rPr>
      </w:pPr>
      <w:bookmarkStart w:id="225" w:name="_Toc182365547"/>
      <w:bookmarkStart w:id="226" w:name="_Toc182365724"/>
      <w:r>
        <w:rPr>
          <w:rFonts w:hint="eastAsia" w:ascii="宋体" w:hAnsi="宋体" w:eastAsia="宋体" w:cs="宋体"/>
          <w:color w:val="auto"/>
          <w:sz w:val="24"/>
          <w:szCs w:val="24"/>
          <w:highlight w:val="none"/>
        </w:rPr>
        <w:t>严禁使用带检疫对象病虫的苗木进行补种，外地苗木必须经过检疫，本地苗木必须经检查及处理后没有病虫</w:t>
      </w:r>
      <w:r>
        <w:rPr>
          <w:rFonts w:hint="eastAsia" w:ascii="宋体" w:hAnsi="宋体" w:eastAsia="宋体" w:cs="宋体"/>
          <w:color w:val="auto"/>
          <w:sz w:val="24"/>
          <w:szCs w:val="24"/>
          <w:highlight w:val="none"/>
          <w:lang w:val="en-US" w:eastAsia="zh-CN"/>
        </w:rPr>
        <w:t>危</w:t>
      </w:r>
      <w:r>
        <w:rPr>
          <w:rFonts w:hint="eastAsia" w:ascii="宋体" w:hAnsi="宋体" w:eastAsia="宋体" w:cs="宋体"/>
          <w:color w:val="auto"/>
          <w:sz w:val="24"/>
          <w:szCs w:val="24"/>
          <w:highlight w:val="none"/>
        </w:rPr>
        <w:t>害的苗木才能使用。</w:t>
      </w:r>
      <w:bookmarkEnd w:id="225"/>
      <w:bookmarkEnd w:id="226"/>
    </w:p>
    <w:p w14:paraId="02CA6392">
      <w:pPr>
        <w:pStyle w:val="46"/>
        <w:spacing w:line="440" w:lineRule="exact"/>
        <w:outlineLvl w:val="9"/>
        <w:rPr>
          <w:rFonts w:ascii="宋体" w:hAnsi="宋体" w:eastAsia="宋体" w:cs="宋体"/>
          <w:color w:val="auto"/>
          <w:sz w:val="24"/>
          <w:szCs w:val="24"/>
          <w:highlight w:val="none"/>
        </w:rPr>
      </w:pPr>
      <w:bookmarkStart w:id="227" w:name="_Toc182365725"/>
      <w:bookmarkStart w:id="228" w:name="_Toc182365548"/>
      <w:r>
        <w:rPr>
          <w:rFonts w:hint="eastAsia" w:ascii="宋体" w:hAnsi="宋体" w:eastAsia="宋体" w:cs="宋体"/>
          <w:color w:val="auto"/>
          <w:sz w:val="24"/>
          <w:szCs w:val="24"/>
          <w:highlight w:val="none"/>
        </w:rPr>
        <w:t>病虫害控制必须在不影响景观效果程度之内。</w:t>
      </w:r>
      <w:bookmarkEnd w:id="227"/>
      <w:bookmarkEnd w:id="228"/>
    </w:p>
    <w:p w14:paraId="7093686B">
      <w:pPr>
        <w:pStyle w:val="45"/>
        <w:spacing w:before="120" w:after="120" w:line="440" w:lineRule="exact"/>
        <w:outlineLvl w:val="9"/>
        <w:rPr>
          <w:rFonts w:ascii="宋体" w:hAnsi="宋体" w:eastAsia="宋体" w:cs="宋体"/>
          <w:color w:val="auto"/>
          <w:sz w:val="24"/>
          <w:szCs w:val="24"/>
          <w:highlight w:val="none"/>
        </w:rPr>
      </w:pPr>
      <w:bookmarkStart w:id="229" w:name="_Toc182365805"/>
      <w:bookmarkStart w:id="230" w:name="_Toc170095762"/>
      <w:bookmarkStart w:id="231" w:name="_Toc180459006"/>
      <w:bookmarkStart w:id="232" w:name="_Toc182365549"/>
      <w:bookmarkStart w:id="233" w:name="_Toc180215345"/>
      <w:bookmarkStart w:id="234" w:name="_Toc156711266"/>
      <w:bookmarkStart w:id="235" w:name="_Toc156710485"/>
      <w:bookmarkStart w:id="236" w:name="_Toc35785434"/>
      <w:bookmarkStart w:id="237" w:name="_Toc182996264"/>
      <w:bookmarkStart w:id="238" w:name="_Toc156712204"/>
      <w:bookmarkStart w:id="239" w:name="_Toc182979471"/>
      <w:bookmarkStart w:id="240" w:name="_Toc182365726"/>
      <w:bookmarkStart w:id="241" w:name="_Toc177184021"/>
      <w:bookmarkStart w:id="242" w:name="_Toc179784845"/>
      <w:bookmarkStart w:id="243" w:name="_Toc25519277"/>
      <w:r>
        <w:rPr>
          <w:rFonts w:hint="eastAsia" w:ascii="宋体" w:hAnsi="宋体" w:eastAsia="宋体" w:cs="宋体"/>
          <w:color w:val="auto"/>
          <w:sz w:val="24"/>
          <w:szCs w:val="24"/>
          <w:highlight w:val="none"/>
        </w:rPr>
        <w:t>植物防护</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4269F12B">
      <w:pPr>
        <w:pStyle w:val="46"/>
        <w:spacing w:line="440" w:lineRule="exact"/>
        <w:outlineLvl w:val="9"/>
        <w:rPr>
          <w:rFonts w:ascii="宋体" w:hAnsi="宋体" w:eastAsia="宋体" w:cs="宋体"/>
          <w:color w:val="auto"/>
          <w:sz w:val="24"/>
          <w:szCs w:val="24"/>
          <w:highlight w:val="none"/>
        </w:rPr>
      </w:pPr>
      <w:bookmarkStart w:id="244" w:name="_Toc182365727"/>
      <w:bookmarkStart w:id="245" w:name="_Toc182365550"/>
      <w:r>
        <w:rPr>
          <w:rFonts w:hint="eastAsia" w:ascii="宋体" w:hAnsi="宋体" w:eastAsia="宋体" w:cs="宋体"/>
          <w:color w:val="auto"/>
          <w:sz w:val="24"/>
          <w:szCs w:val="24"/>
          <w:highlight w:val="none"/>
        </w:rPr>
        <w:t>防寒、防冻(对不耐寒的植物品种)</w:t>
      </w:r>
      <w:bookmarkEnd w:id="244"/>
      <w:bookmarkEnd w:id="245"/>
    </w:p>
    <w:p w14:paraId="0E700252">
      <w:pPr>
        <w:pStyle w:val="48"/>
        <w:spacing w:line="440" w:lineRule="exact"/>
        <w:outlineLvl w:val="9"/>
        <w:rPr>
          <w:rFonts w:ascii="宋体" w:hAnsi="宋体" w:eastAsia="宋体" w:cs="宋体"/>
          <w:color w:val="auto"/>
          <w:sz w:val="24"/>
          <w:szCs w:val="24"/>
          <w:highlight w:val="none"/>
        </w:rPr>
      </w:pPr>
      <w:bookmarkStart w:id="246" w:name="_Toc182365551"/>
      <w:r>
        <w:rPr>
          <w:rFonts w:hint="eastAsia" w:ascii="宋体" w:hAnsi="宋体" w:eastAsia="宋体" w:cs="宋体"/>
          <w:color w:val="auto"/>
          <w:sz w:val="24"/>
          <w:szCs w:val="24"/>
          <w:highlight w:val="none"/>
        </w:rPr>
        <w:t>浇封冻水和返青水</w:t>
      </w:r>
      <w:bookmarkEnd w:id="246"/>
    </w:p>
    <w:p w14:paraId="6998F09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应在土壤封冻前浇一次透水，并在早春浇返青水。原因是土壤中含有水分较多，严冬时能减缓表层地温的下降，开春表层地浊升温也缓慢，避免春寒危害植物根系。</w:t>
      </w:r>
    </w:p>
    <w:p w14:paraId="317CA232">
      <w:pPr>
        <w:pStyle w:val="48"/>
        <w:spacing w:line="440" w:lineRule="exact"/>
        <w:outlineLvl w:val="9"/>
        <w:rPr>
          <w:rFonts w:ascii="宋体" w:hAnsi="宋体" w:eastAsia="宋体" w:cs="宋体"/>
          <w:color w:val="auto"/>
          <w:sz w:val="24"/>
          <w:szCs w:val="24"/>
          <w:highlight w:val="none"/>
        </w:rPr>
      </w:pPr>
      <w:bookmarkStart w:id="247" w:name="_Toc182365552"/>
      <w:r>
        <w:rPr>
          <w:rFonts w:hint="eastAsia" w:ascii="宋体" w:hAnsi="宋体" w:eastAsia="宋体" w:cs="宋体"/>
          <w:color w:val="auto"/>
          <w:sz w:val="24"/>
          <w:szCs w:val="24"/>
          <w:highlight w:val="none"/>
        </w:rPr>
        <w:t>洗霜</w:t>
      </w:r>
      <w:bookmarkEnd w:id="247"/>
    </w:p>
    <w:p w14:paraId="642FD53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在有霜日，太阳未出来前，给植株洗霜，即用水喷洒叶面或枝干。</w:t>
      </w:r>
    </w:p>
    <w:p w14:paraId="62D75C5B">
      <w:pPr>
        <w:pStyle w:val="48"/>
        <w:spacing w:line="440" w:lineRule="exact"/>
        <w:outlineLvl w:val="9"/>
        <w:rPr>
          <w:rFonts w:ascii="宋体" w:hAnsi="宋体" w:eastAsia="宋体" w:cs="宋体"/>
          <w:color w:val="auto"/>
          <w:sz w:val="24"/>
          <w:szCs w:val="24"/>
          <w:highlight w:val="none"/>
        </w:rPr>
      </w:pPr>
      <w:bookmarkStart w:id="248" w:name="_Toc182365553"/>
      <w:r>
        <w:rPr>
          <w:rFonts w:hint="eastAsia" w:ascii="宋体" w:hAnsi="宋体" w:eastAsia="宋体" w:cs="宋体"/>
          <w:color w:val="auto"/>
          <w:sz w:val="24"/>
          <w:szCs w:val="24"/>
          <w:highlight w:val="none"/>
        </w:rPr>
        <w:t>加强水肥管理，增强抗寒能力</w:t>
      </w:r>
      <w:bookmarkEnd w:id="248"/>
    </w:p>
    <w:p w14:paraId="175D981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合理浇灌，科学施肥，如秋冬季应停止单纯施放尿素等氮肥，宜施用有机物或以磷、钾为主的化肥，或采用叶面喷施磷酸二氢钾、叶面宝等措施，控制植株徒长，促进植株生长健壮，增强其抗寒能力。</w:t>
      </w:r>
    </w:p>
    <w:p w14:paraId="39A8DC2A">
      <w:pPr>
        <w:pStyle w:val="48"/>
        <w:spacing w:line="440" w:lineRule="exact"/>
        <w:outlineLvl w:val="9"/>
        <w:rPr>
          <w:rFonts w:ascii="宋体" w:hAnsi="宋体" w:eastAsia="宋体" w:cs="宋体"/>
          <w:color w:val="auto"/>
          <w:sz w:val="24"/>
          <w:szCs w:val="24"/>
          <w:highlight w:val="none"/>
        </w:rPr>
      </w:pPr>
      <w:bookmarkStart w:id="249" w:name="_Toc182365554"/>
      <w:r>
        <w:rPr>
          <w:rFonts w:hint="eastAsia" w:ascii="宋体" w:hAnsi="宋体" w:eastAsia="宋体" w:cs="宋体"/>
          <w:color w:val="auto"/>
          <w:sz w:val="24"/>
          <w:szCs w:val="24"/>
          <w:highlight w:val="none"/>
        </w:rPr>
        <w:t>覆盖</w:t>
      </w:r>
      <w:bookmarkEnd w:id="249"/>
    </w:p>
    <w:p w14:paraId="7AA7BFB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对不耐寒树木，在霜冻和大雪来临前，根据树高用竹子搭一个方形棚架，外围用遮</w:t>
      </w:r>
      <w:r>
        <w:rPr>
          <w:rFonts w:hint="eastAsia" w:ascii="宋体" w:hAnsi="宋体"/>
          <w:color w:val="auto"/>
          <w:kern w:val="0"/>
          <w:szCs w:val="21"/>
          <w:highlight w:val="none"/>
          <w:lang w:val="en-US" w:eastAsia="zh-CN"/>
        </w:rPr>
        <w:t>阴</w:t>
      </w:r>
      <w:r>
        <w:rPr>
          <w:rFonts w:hint="eastAsia" w:ascii="宋体" w:hAnsi="宋体" w:cs="宋体"/>
          <w:color w:val="auto"/>
          <w:sz w:val="24"/>
          <w:highlight w:val="none"/>
        </w:rPr>
        <w:t>布或塑料布；对一些不耐寒的小</w:t>
      </w:r>
      <w:r>
        <w:rPr>
          <w:rFonts w:hint="eastAsia" w:ascii="宋体" w:hAnsi="宋体" w:cs="宋体"/>
          <w:color w:val="auto"/>
          <w:sz w:val="24"/>
          <w:highlight w:val="none"/>
          <w:lang w:val="en-US" w:eastAsia="zh-CN"/>
        </w:rPr>
        <w:t>型</w:t>
      </w:r>
      <w:r>
        <w:rPr>
          <w:rFonts w:hint="eastAsia" w:ascii="宋体" w:hAnsi="宋体" w:cs="宋体"/>
          <w:color w:val="auto"/>
          <w:sz w:val="24"/>
          <w:highlight w:val="none"/>
        </w:rPr>
        <w:t>植物、露地花卉、地被等可直接加盖草帘或遮</w:t>
      </w:r>
      <w:r>
        <w:rPr>
          <w:rFonts w:hint="eastAsia" w:ascii="宋体" w:hAnsi="宋体"/>
          <w:color w:val="auto"/>
          <w:kern w:val="0"/>
          <w:szCs w:val="21"/>
          <w:highlight w:val="none"/>
          <w:lang w:val="en-US" w:eastAsia="zh-CN"/>
        </w:rPr>
        <w:t>阴</w:t>
      </w:r>
      <w:r>
        <w:rPr>
          <w:rFonts w:hint="eastAsia" w:ascii="宋体" w:hAnsi="宋体" w:cs="宋体"/>
          <w:color w:val="auto"/>
          <w:sz w:val="24"/>
          <w:highlight w:val="none"/>
        </w:rPr>
        <w:t>布或塑料布。</w:t>
      </w:r>
    </w:p>
    <w:p w14:paraId="3F0A3EB2">
      <w:pPr>
        <w:pStyle w:val="48"/>
        <w:spacing w:line="440" w:lineRule="exact"/>
        <w:outlineLvl w:val="9"/>
        <w:rPr>
          <w:rFonts w:ascii="宋体" w:hAnsi="宋体" w:eastAsia="宋体" w:cs="宋体"/>
          <w:color w:val="auto"/>
          <w:sz w:val="24"/>
          <w:szCs w:val="24"/>
          <w:highlight w:val="none"/>
        </w:rPr>
      </w:pPr>
      <w:bookmarkStart w:id="250" w:name="_Toc182365555"/>
      <w:r>
        <w:rPr>
          <w:rFonts w:hint="eastAsia" w:ascii="宋体" w:hAnsi="宋体" w:eastAsia="宋体" w:cs="宋体"/>
          <w:color w:val="auto"/>
          <w:sz w:val="24"/>
          <w:szCs w:val="24"/>
          <w:highlight w:val="none"/>
        </w:rPr>
        <w:t>树干防护</w:t>
      </w:r>
      <w:bookmarkEnd w:id="250"/>
    </w:p>
    <w:p w14:paraId="750DE3A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常见的为树干包裹或涂白。树干包裹应在入冬前进行，将不耐寒的树木主干用草绳或麻袋片等缠绕或包裹起来，涂白高度在1.5</w:t>
      </w:r>
      <w:r>
        <w:rPr>
          <w:rFonts w:hint="eastAsia" w:ascii="宋体" w:hAnsi="宋体" w:cs="宋体"/>
          <w:color w:val="auto"/>
          <w:spacing w:val="-30"/>
          <w:sz w:val="24"/>
          <w:highlight w:val="none"/>
        </w:rPr>
        <w:t xml:space="preserve"> </w:t>
      </w:r>
      <w:r>
        <w:rPr>
          <w:rFonts w:hint="eastAsia" w:ascii="宋体" w:hAnsi="宋体" w:cs="宋体"/>
          <w:color w:val="auto"/>
          <w:sz w:val="24"/>
          <w:highlight w:val="none"/>
        </w:rPr>
        <w:t>m～2</w:t>
      </w:r>
      <w:r>
        <w:rPr>
          <w:rFonts w:hint="eastAsia" w:ascii="宋体" w:hAnsi="宋体" w:cs="宋体"/>
          <w:color w:val="auto"/>
          <w:spacing w:val="-30"/>
          <w:sz w:val="24"/>
          <w:highlight w:val="none"/>
        </w:rPr>
        <w:t xml:space="preserve"> </w:t>
      </w:r>
      <w:r>
        <w:rPr>
          <w:rFonts w:hint="eastAsia" w:ascii="宋体" w:hAnsi="宋体" w:cs="宋体"/>
          <w:color w:val="auto"/>
          <w:sz w:val="24"/>
          <w:highlight w:val="none"/>
        </w:rPr>
        <w:t>m。树干涂白宜在秋季进行, 用石灰加石硫合剂对枝干涂白。</w:t>
      </w:r>
    </w:p>
    <w:p w14:paraId="27EEBC7D">
      <w:pPr>
        <w:pStyle w:val="48"/>
        <w:spacing w:line="440" w:lineRule="exact"/>
        <w:outlineLvl w:val="9"/>
        <w:rPr>
          <w:rFonts w:ascii="宋体" w:hAnsi="宋体" w:eastAsia="宋体" w:cs="宋体"/>
          <w:color w:val="auto"/>
          <w:sz w:val="24"/>
          <w:szCs w:val="24"/>
          <w:highlight w:val="none"/>
        </w:rPr>
      </w:pPr>
      <w:bookmarkStart w:id="251" w:name="_Toc182365556"/>
      <w:r>
        <w:rPr>
          <w:rFonts w:hint="eastAsia" w:ascii="宋体" w:hAnsi="宋体" w:eastAsia="宋体" w:cs="宋体"/>
          <w:color w:val="auto"/>
          <w:sz w:val="24"/>
          <w:szCs w:val="24"/>
          <w:highlight w:val="none"/>
        </w:rPr>
        <w:t>防冻除雪</w:t>
      </w:r>
      <w:bookmarkEnd w:id="251"/>
    </w:p>
    <w:p w14:paraId="734EEBD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在下大雪期间或之后,应把树枝上的积雪及时打掉,以免雪压过重,使树枝弯垂,难以恢复原状,甚至折断。</w:t>
      </w:r>
    </w:p>
    <w:p w14:paraId="7FF56120">
      <w:pPr>
        <w:pStyle w:val="46"/>
        <w:spacing w:line="440" w:lineRule="exact"/>
        <w:outlineLvl w:val="9"/>
        <w:rPr>
          <w:rFonts w:ascii="宋体" w:hAnsi="宋体" w:eastAsia="宋体" w:cs="宋体"/>
          <w:color w:val="auto"/>
          <w:sz w:val="24"/>
          <w:szCs w:val="24"/>
          <w:highlight w:val="none"/>
        </w:rPr>
      </w:pPr>
      <w:bookmarkStart w:id="252" w:name="_Toc182365728"/>
      <w:bookmarkStart w:id="253" w:name="_Toc182365557"/>
      <w:r>
        <w:rPr>
          <w:rFonts w:hint="eastAsia" w:ascii="宋体" w:hAnsi="宋体" w:eastAsia="宋体" w:cs="宋体"/>
          <w:color w:val="auto"/>
          <w:sz w:val="24"/>
          <w:szCs w:val="24"/>
          <w:highlight w:val="none"/>
        </w:rPr>
        <w:t>防风(对高大乔木)</w:t>
      </w:r>
      <w:bookmarkEnd w:id="252"/>
      <w:bookmarkEnd w:id="253"/>
    </w:p>
    <w:p w14:paraId="61D7BC30">
      <w:pPr>
        <w:pStyle w:val="48"/>
        <w:spacing w:line="440" w:lineRule="exact"/>
        <w:outlineLvl w:val="9"/>
        <w:rPr>
          <w:rFonts w:ascii="宋体" w:hAnsi="宋体" w:eastAsia="宋体" w:cs="宋体"/>
          <w:color w:val="auto"/>
          <w:sz w:val="24"/>
          <w:szCs w:val="24"/>
          <w:highlight w:val="none"/>
        </w:rPr>
      </w:pPr>
      <w:bookmarkStart w:id="254" w:name="_Toc182365558"/>
      <w:r>
        <w:rPr>
          <w:rFonts w:hint="eastAsia" w:ascii="宋体" w:hAnsi="宋体" w:eastAsia="宋体" w:cs="宋体"/>
          <w:color w:val="auto"/>
          <w:sz w:val="24"/>
          <w:szCs w:val="24"/>
          <w:highlight w:val="none"/>
        </w:rPr>
        <w:t>对高大乔木尤其是行道树、衰老树，台风季节到来前必须进行适当修剪，剪除病虫枝、过密枝、干枯枝、下垂枝、回缩偏冠树枝。</w:t>
      </w:r>
      <w:bookmarkEnd w:id="254"/>
    </w:p>
    <w:p w14:paraId="6FDFC81E">
      <w:pPr>
        <w:pStyle w:val="48"/>
        <w:spacing w:line="440" w:lineRule="exact"/>
        <w:outlineLvl w:val="9"/>
        <w:rPr>
          <w:rFonts w:ascii="宋体" w:hAnsi="宋体" w:eastAsia="宋体" w:cs="宋体"/>
          <w:color w:val="auto"/>
          <w:sz w:val="24"/>
          <w:szCs w:val="24"/>
          <w:highlight w:val="none"/>
        </w:rPr>
      </w:pPr>
      <w:bookmarkStart w:id="255" w:name="_Toc182365559"/>
      <w:r>
        <w:rPr>
          <w:rFonts w:hint="eastAsia" w:ascii="宋体" w:hAnsi="宋体" w:eastAsia="宋体" w:cs="宋体"/>
          <w:color w:val="auto"/>
          <w:sz w:val="24"/>
          <w:szCs w:val="24"/>
          <w:highlight w:val="none"/>
        </w:rPr>
        <w:t>风雨过后应及时巡查行道树，及时处理风折、风倒、雷击树枝。</w:t>
      </w:r>
      <w:bookmarkEnd w:id="255"/>
    </w:p>
    <w:p w14:paraId="1ADDC5FD">
      <w:pPr>
        <w:pStyle w:val="48"/>
        <w:spacing w:line="440" w:lineRule="exact"/>
        <w:outlineLvl w:val="9"/>
        <w:rPr>
          <w:rFonts w:ascii="宋体" w:hAnsi="宋体" w:eastAsia="宋体" w:cs="宋体"/>
          <w:color w:val="auto"/>
          <w:sz w:val="24"/>
          <w:szCs w:val="24"/>
          <w:highlight w:val="none"/>
        </w:rPr>
      </w:pPr>
      <w:bookmarkStart w:id="256" w:name="_Toc182365560"/>
      <w:r>
        <w:rPr>
          <w:rFonts w:hint="eastAsia" w:ascii="宋体" w:hAnsi="宋体" w:eastAsia="宋体" w:cs="宋体"/>
          <w:color w:val="auto"/>
          <w:sz w:val="24"/>
          <w:szCs w:val="24"/>
          <w:highlight w:val="none"/>
        </w:rPr>
        <w:t>严重偏冠树或危树必须架设护桩，确保行人、车辆安全。</w:t>
      </w:r>
      <w:bookmarkEnd w:id="256"/>
    </w:p>
    <w:p w14:paraId="693431A2">
      <w:pPr>
        <w:pStyle w:val="48"/>
        <w:spacing w:line="440" w:lineRule="exact"/>
        <w:outlineLvl w:val="9"/>
        <w:rPr>
          <w:rFonts w:ascii="宋体" w:hAnsi="宋体" w:eastAsia="宋体" w:cs="宋体"/>
          <w:color w:val="auto"/>
          <w:sz w:val="24"/>
          <w:szCs w:val="24"/>
          <w:highlight w:val="none"/>
        </w:rPr>
      </w:pPr>
      <w:bookmarkStart w:id="257" w:name="_Toc182365561"/>
      <w:r>
        <w:rPr>
          <w:rFonts w:hint="eastAsia" w:ascii="宋体" w:hAnsi="宋体" w:eastAsia="宋体" w:cs="宋体"/>
          <w:color w:val="auto"/>
          <w:sz w:val="24"/>
          <w:szCs w:val="24"/>
          <w:highlight w:val="none"/>
        </w:rPr>
        <w:t>移植和管道施工应避免断粗2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cm以上的主根、侧根。</w:t>
      </w:r>
      <w:bookmarkEnd w:id="257"/>
    </w:p>
    <w:p w14:paraId="0ADF78DC">
      <w:pPr>
        <w:pStyle w:val="46"/>
        <w:spacing w:line="440" w:lineRule="exact"/>
        <w:outlineLvl w:val="9"/>
        <w:rPr>
          <w:rFonts w:ascii="宋体" w:hAnsi="宋体" w:eastAsia="宋体" w:cs="宋体"/>
          <w:color w:val="auto"/>
          <w:sz w:val="24"/>
          <w:szCs w:val="24"/>
          <w:highlight w:val="none"/>
        </w:rPr>
      </w:pPr>
      <w:bookmarkStart w:id="258" w:name="_Toc182365562"/>
      <w:bookmarkStart w:id="259" w:name="_Toc182365729"/>
      <w:r>
        <w:rPr>
          <w:rFonts w:hint="eastAsia" w:ascii="宋体" w:hAnsi="宋体" w:eastAsia="宋体" w:cs="宋体"/>
          <w:color w:val="auto"/>
          <w:sz w:val="24"/>
          <w:szCs w:val="24"/>
          <w:highlight w:val="none"/>
        </w:rPr>
        <w:t>设备设施</w:t>
      </w:r>
      <w:bookmarkEnd w:id="258"/>
      <w:bookmarkEnd w:id="259"/>
    </w:p>
    <w:p w14:paraId="58E23542">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定期维修游园、绿地的设备、设施、护桩，保持设备设施完好、整洁，护桩整齐、美观。</w:t>
      </w:r>
    </w:p>
    <w:p w14:paraId="65B0A978">
      <w:pPr>
        <w:pStyle w:val="45"/>
        <w:spacing w:before="120" w:after="120" w:line="440" w:lineRule="exact"/>
        <w:outlineLvl w:val="9"/>
        <w:rPr>
          <w:rFonts w:ascii="宋体" w:hAnsi="宋体" w:eastAsia="宋体" w:cs="宋体"/>
          <w:color w:val="auto"/>
          <w:sz w:val="24"/>
          <w:szCs w:val="24"/>
          <w:highlight w:val="none"/>
        </w:rPr>
      </w:pPr>
      <w:bookmarkStart w:id="260" w:name="_Toc156711267"/>
      <w:bookmarkStart w:id="261" w:name="_Toc156712205"/>
      <w:bookmarkStart w:id="262" w:name="_Toc182365730"/>
      <w:bookmarkStart w:id="263" w:name="_Toc156710486"/>
      <w:bookmarkStart w:id="264" w:name="_Toc182996265"/>
      <w:bookmarkStart w:id="265" w:name="_Toc170095763"/>
      <w:bookmarkStart w:id="266" w:name="_Toc179784846"/>
      <w:bookmarkStart w:id="267" w:name="_Toc25519278"/>
      <w:bookmarkStart w:id="268" w:name="_Toc177184022"/>
      <w:bookmarkStart w:id="269" w:name="_Toc182365806"/>
      <w:bookmarkStart w:id="270" w:name="_Toc180459007"/>
      <w:bookmarkStart w:id="271" w:name="_Toc35785435"/>
      <w:bookmarkStart w:id="272" w:name="_Toc180215346"/>
      <w:bookmarkStart w:id="273" w:name="_Toc182979472"/>
      <w:bookmarkStart w:id="274" w:name="_Toc182365563"/>
      <w:r>
        <w:rPr>
          <w:rFonts w:hint="eastAsia" w:ascii="宋体" w:hAnsi="宋体" w:eastAsia="宋体" w:cs="宋体"/>
          <w:color w:val="auto"/>
          <w:sz w:val="24"/>
          <w:szCs w:val="24"/>
          <w:highlight w:val="none"/>
        </w:rPr>
        <w:t>清理工作</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461122E9">
      <w:pPr>
        <w:pStyle w:val="46"/>
        <w:spacing w:line="440" w:lineRule="exact"/>
        <w:outlineLvl w:val="9"/>
        <w:rPr>
          <w:rFonts w:ascii="宋体" w:hAnsi="宋体" w:eastAsia="宋体" w:cs="宋体"/>
          <w:color w:val="auto"/>
          <w:sz w:val="24"/>
          <w:szCs w:val="24"/>
          <w:highlight w:val="none"/>
        </w:rPr>
      </w:pPr>
      <w:bookmarkStart w:id="275" w:name="_Toc182365564"/>
      <w:bookmarkStart w:id="276" w:name="_Toc182365731"/>
      <w:r>
        <w:rPr>
          <w:rFonts w:hint="eastAsia" w:ascii="宋体" w:hAnsi="宋体" w:eastAsia="宋体" w:cs="宋体"/>
          <w:color w:val="auto"/>
          <w:sz w:val="24"/>
          <w:szCs w:val="24"/>
          <w:highlight w:val="none"/>
        </w:rPr>
        <w:t>修剪后的枝叶必须当天清理。</w:t>
      </w:r>
      <w:bookmarkEnd w:id="275"/>
      <w:bookmarkEnd w:id="276"/>
    </w:p>
    <w:p w14:paraId="4759FA69">
      <w:pPr>
        <w:pStyle w:val="46"/>
        <w:spacing w:line="440" w:lineRule="exact"/>
        <w:outlineLvl w:val="9"/>
        <w:rPr>
          <w:rFonts w:ascii="宋体" w:hAnsi="宋体" w:eastAsia="宋体" w:cs="宋体"/>
          <w:color w:val="auto"/>
          <w:sz w:val="24"/>
          <w:szCs w:val="24"/>
          <w:highlight w:val="none"/>
        </w:rPr>
      </w:pPr>
      <w:bookmarkStart w:id="277" w:name="_Toc182365732"/>
      <w:bookmarkStart w:id="278" w:name="_Toc182365565"/>
      <w:r>
        <w:rPr>
          <w:rFonts w:hint="eastAsia" w:ascii="宋体" w:hAnsi="宋体" w:eastAsia="宋体" w:cs="宋体"/>
          <w:color w:val="auto"/>
          <w:sz w:val="24"/>
          <w:szCs w:val="24"/>
          <w:highlight w:val="none"/>
        </w:rPr>
        <w:t>因车祸、风雨造成的树木伤残枝、倒树应当天及时处理。</w:t>
      </w:r>
      <w:bookmarkEnd w:id="277"/>
      <w:bookmarkEnd w:id="278"/>
    </w:p>
    <w:p w14:paraId="146F27CE">
      <w:pPr>
        <w:pStyle w:val="46"/>
        <w:spacing w:line="440" w:lineRule="exact"/>
        <w:outlineLvl w:val="9"/>
        <w:rPr>
          <w:rFonts w:ascii="宋体" w:hAnsi="宋体" w:eastAsia="宋体" w:cs="宋体"/>
          <w:color w:val="auto"/>
          <w:sz w:val="24"/>
          <w:szCs w:val="24"/>
          <w:highlight w:val="none"/>
        </w:rPr>
      </w:pPr>
      <w:bookmarkStart w:id="279" w:name="_Toc182365733"/>
      <w:bookmarkStart w:id="280" w:name="_Toc182365566"/>
      <w:r>
        <w:rPr>
          <w:rFonts w:hint="eastAsia" w:ascii="宋体" w:hAnsi="宋体" w:eastAsia="宋体" w:cs="宋体"/>
          <w:color w:val="auto"/>
          <w:sz w:val="24"/>
          <w:szCs w:val="24"/>
          <w:highlight w:val="none"/>
        </w:rPr>
        <w:t>及时伐去死树，挖去树木桩头。</w:t>
      </w:r>
      <w:bookmarkEnd w:id="279"/>
      <w:bookmarkEnd w:id="280"/>
    </w:p>
    <w:p w14:paraId="0D0601D2">
      <w:pPr>
        <w:pStyle w:val="46"/>
        <w:spacing w:line="440" w:lineRule="exact"/>
        <w:outlineLvl w:val="9"/>
        <w:rPr>
          <w:rFonts w:ascii="宋体" w:hAnsi="宋体" w:eastAsia="宋体" w:cs="宋体"/>
          <w:color w:val="auto"/>
          <w:sz w:val="24"/>
          <w:szCs w:val="24"/>
          <w:highlight w:val="none"/>
        </w:rPr>
      </w:pPr>
      <w:bookmarkStart w:id="281" w:name="_Toc182365734"/>
      <w:bookmarkStart w:id="282" w:name="_Toc182365567"/>
      <w:r>
        <w:rPr>
          <w:rFonts w:hint="eastAsia" w:ascii="宋体" w:hAnsi="宋体" w:eastAsia="宋体" w:cs="宋体"/>
          <w:color w:val="auto"/>
          <w:sz w:val="24"/>
          <w:szCs w:val="24"/>
          <w:highlight w:val="none"/>
        </w:rPr>
        <w:t>挖埋管线或建筑施工时，泥、砖不能堆放在树盘及绿化带上；树盘、绿化带上有余泥、砖碎等杂物应督促施工单位及时清走。</w:t>
      </w:r>
      <w:bookmarkEnd w:id="281"/>
      <w:bookmarkEnd w:id="282"/>
    </w:p>
    <w:p w14:paraId="02E7FF09">
      <w:pPr>
        <w:pStyle w:val="45"/>
        <w:spacing w:before="120" w:after="120" w:line="440" w:lineRule="exact"/>
        <w:outlineLvl w:val="9"/>
        <w:rPr>
          <w:rFonts w:ascii="宋体" w:hAnsi="宋体" w:eastAsia="宋体" w:cs="宋体"/>
          <w:color w:val="auto"/>
          <w:sz w:val="24"/>
          <w:szCs w:val="24"/>
          <w:highlight w:val="none"/>
        </w:rPr>
      </w:pPr>
      <w:bookmarkStart w:id="283" w:name="_Toc156712206"/>
      <w:bookmarkStart w:id="284" w:name="_Toc182996266"/>
      <w:bookmarkStart w:id="285" w:name="_Toc182365735"/>
      <w:bookmarkStart w:id="286" w:name="_Toc177184023"/>
      <w:bookmarkStart w:id="287" w:name="_Toc182365568"/>
      <w:bookmarkStart w:id="288" w:name="_Toc179784847"/>
      <w:bookmarkStart w:id="289" w:name="_Toc156711268"/>
      <w:bookmarkStart w:id="290" w:name="_Toc25519279"/>
      <w:bookmarkStart w:id="291" w:name="_Toc156710487"/>
      <w:bookmarkStart w:id="292" w:name="_Toc182979473"/>
      <w:bookmarkStart w:id="293" w:name="_Toc182365807"/>
      <w:bookmarkStart w:id="294" w:name="_Toc170095764"/>
      <w:bookmarkStart w:id="295" w:name="_Toc35785436"/>
      <w:bookmarkStart w:id="296" w:name="_Toc180459008"/>
      <w:bookmarkStart w:id="297" w:name="_Toc180215347"/>
      <w:r>
        <w:rPr>
          <w:rFonts w:hint="eastAsia" w:ascii="宋体" w:hAnsi="宋体" w:eastAsia="宋体" w:cs="宋体"/>
          <w:color w:val="auto"/>
          <w:sz w:val="24"/>
          <w:szCs w:val="24"/>
          <w:highlight w:val="none"/>
        </w:rPr>
        <w:t>补种</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14:paraId="5ED632C5">
      <w:pPr>
        <w:pStyle w:val="46"/>
        <w:spacing w:line="440" w:lineRule="exact"/>
        <w:outlineLvl w:val="9"/>
        <w:rPr>
          <w:rFonts w:ascii="宋体" w:hAnsi="宋体" w:eastAsia="宋体" w:cs="宋体"/>
          <w:color w:val="auto"/>
          <w:sz w:val="24"/>
          <w:szCs w:val="24"/>
          <w:highlight w:val="none"/>
        </w:rPr>
      </w:pPr>
      <w:bookmarkStart w:id="298" w:name="_Toc182365569"/>
      <w:bookmarkStart w:id="299" w:name="_Toc182365736"/>
      <w:r>
        <w:rPr>
          <w:rFonts w:hint="eastAsia" w:ascii="宋体" w:hAnsi="宋体" w:eastAsia="宋体" w:cs="宋体"/>
          <w:color w:val="auto"/>
          <w:sz w:val="24"/>
          <w:szCs w:val="24"/>
          <w:highlight w:val="none"/>
        </w:rPr>
        <w:t>行道树不应缺株，补植的行道树必须是原来品种，树干正直，定干高度应2</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m以上。</w:t>
      </w:r>
      <w:bookmarkEnd w:id="298"/>
      <w:bookmarkEnd w:id="299"/>
    </w:p>
    <w:p w14:paraId="37E6DF6F">
      <w:pPr>
        <w:pStyle w:val="46"/>
        <w:spacing w:line="440" w:lineRule="exact"/>
        <w:outlineLvl w:val="9"/>
        <w:rPr>
          <w:rFonts w:ascii="宋体" w:hAnsi="宋体" w:eastAsia="宋体" w:cs="宋体"/>
          <w:color w:val="auto"/>
          <w:sz w:val="24"/>
          <w:szCs w:val="24"/>
          <w:highlight w:val="none"/>
        </w:rPr>
      </w:pPr>
      <w:bookmarkStart w:id="300" w:name="_Toc182365570"/>
      <w:bookmarkStart w:id="301" w:name="_Toc182365737"/>
      <w:r>
        <w:rPr>
          <w:rFonts w:hint="eastAsia" w:ascii="宋体" w:hAnsi="宋体" w:eastAsia="宋体" w:cs="宋体"/>
          <w:color w:val="auto"/>
          <w:sz w:val="24"/>
          <w:szCs w:val="24"/>
          <w:highlight w:val="none"/>
        </w:rPr>
        <w:t>主干道的行道树为幼龄树，补植乔木的规格、大小必须与同路段同品种乔木基本一致；主干道的行道树为成龄树，补植的阔叶树胸径必须8</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cm以上，棕榈科乔木地径必须25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w:t>
      </w:r>
      <w:bookmarkEnd w:id="300"/>
      <w:bookmarkEnd w:id="301"/>
    </w:p>
    <w:p w14:paraId="357DA5F4">
      <w:pPr>
        <w:pStyle w:val="46"/>
        <w:spacing w:line="440" w:lineRule="exact"/>
        <w:outlineLvl w:val="9"/>
        <w:rPr>
          <w:rFonts w:ascii="宋体" w:hAnsi="宋体" w:eastAsia="宋体" w:cs="宋体"/>
          <w:color w:val="auto"/>
          <w:sz w:val="24"/>
          <w:szCs w:val="24"/>
          <w:highlight w:val="none"/>
        </w:rPr>
      </w:pPr>
      <w:bookmarkStart w:id="302" w:name="_Toc182365571"/>
      <w:bookmarkStart w:id="303" w:name="_Toc182365738"/>
      <w:r>
        <w:rPr>
          <w:rFonts w:hint="eastAsia" w:ascii="宋体" w:hAnsi="宋体" w:eastAsia="宋体" w:cs="宋体"/>
          <w:color w:val="auto"/>
          <w:sz w:val="24"/>
          <w:szCs w:val="24"/>
          <w:highlight w:val="none"/>
        </w:rPr>
        <w:t>次干道行道树补种，阔叶树胸径必须5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cm以上，高度2.5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m以上；棕榈科乔木胸径必须20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cm以上，自然高度3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m以上。</w:t>
      </w:r>
      <w:bookmarkEnd w:id="302"/>
      <w:bookmarkEnd w:id="303"/>
    </w:p>
    <w:p w14:paraId="35FDF5B9">
      <w:pPr>
        <w:pStyle w:val="46"/>
        <w:spacing w:line="440" w:lineRule="exact"/>
        <w:outlineLvl w:val="9"/>
        <w:rPr>
          <w:rFonts w:ascii="宋体" w:hAnsi="宋体" w:eastAsia="宋体" w:cs="宋体"/>
          <w:color w:val="auto"/>
          <w:sz w:val="24"/>
          <w:szCs w:val="24"/>
          <w:highlight w:val="none"/>
        </w:rPr>
      </w:pPr>
      <w:bookmarkStart w:id="304" w:name="_Toc182365739"/>
      <w:bookmarkStart w:id="305" w:name="_Toc182365572"/>
      <w:r>
        <w:rPr>
          <w:rFonts w:hint="eastAsia" w:ascii="宋体" w:hAnsi="宋体" w:eastAsia="宋体" w:cs="宋体"/>
          <w:color w:val="auto"/>
          <w:sz w:val="24"/>
          <w:szCs w:val="24"/>
          <w:highlight w:val="none"/>
        </w:rPr>
        <w:t>绿地缺株或黄土裸露的，应在一个月内完成补种；因车祸或其它原因造成缺株或黄土裸露的，应在一周内完成补种。补种的品种应与原品种一致。</w:t>
      </w:r>
      <w:bookmarkEnd w:id="304"/>
      <w:bookmarkEnd w:id="305"/>
    </w:p>
    <w:p w14:paraId="07E068DC">
      <w:pPr>
        <w:pStyle w:val="46"/>
        <w:spacing w:line="440" w:lineRule="exact"/>
        <w:outlineLvl w:val="9"/>
        <w:rPr>
          <w:rFonts w:ascii="宋体" w:hAnsi="宋体" w:eastAsia="宋体" w:cs="宋体"/>
          <w:color w:val="auto"/>
          <w:sz w:val="24"/>
          <w:szCs w:val="24"/>
          <w:highlight w:val="none"/>
        </w:rPr>
      </w:pPr>
      <w:bookmarkStart w:id="306" w:name="_Toc182365573"/>
      <w:bookmarkStart w:id="307" w:name="_Toc182365740"/>
      <w:r>
        <w:rPr>
          <w:rFonts w:hint="eastAsia" w:ascii="宋体" w:hAnsi="宋体" w:eastAsia="宋体" w:cs="宋体"/>
          <w:color w:val="auto"/>
          <w:sz w:val="24"/>
          <w:szCs w:val="24"/>
          <w:highlight w:val="none"/>
        </w:rPr>
        <w:t>补种的苗木必须健壮，无病虫害。草坪纯度必须达95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以上。</w:t>
      </w:r>
      <w:bookmarkEnd w:id="306"/>
      <w:bookmarkEnd w:id="307"/>
    </w:p>
    <w:p w14:paraId="1A8E56E9">
      <w:pPr>
        <w:pStyle w:val="46"/>
        <w:spacing w:line="440" w:lineRule="exact"/>
        <w:outlineLvl w:val="9"/>
        <w:rPr>
          <w:rFonts w:ascii="宋体" w:hAnsi="宋体" w:eastAsia="宋体" w:cs="宋体"/>
          <w:color w:val="auto"/>
          <w:sz w:val="24"/>
          <w:szCs w:val="24"/>
          <w:highlight w:val="none"/>
        </w:rPr>
      </w:pPr>
      <w:bookmarkStart w:id="308" w:name="_Toc182365741"/>
      <w:bookmarkStart w:id="309" w:name="_Toc182365574"/>
      <w:r>
        <w:rPr>
          <w:rFonts w:hint="eastAsia" w:ascii="宋体" w:hAnsi="宋体" w:eastAsia="宋体" w:cs="宋体"/>
          <w:color w:val="auto"/>
          <w:sz w:val="24"/>
          <w:szCs w:val="24"/>
          <w:highlight w:val="none"/>
        </w:rPr>
        <w:t>草坪及灌木已老化的,应在衰老期到来初期更新改造。</w:t>
      </w:r>
      <w:bookmarkEnd w:id="308"/>
      <w:bookmarkEnd w:id="309"/>
    </w:p>
    <w:p w14:paraId="4299C604">
      <w:pPr>
        <w:pStyle w:val="45"/>
        <w:spacing w:before="120" w:after="120" w:line="440" w:lineRule="exact"/>
        <w:outlineLvl w:val="9"/>
        <w:rPr>
          <w:rFonts w:ascii="宋体" w:hAnsi="宋体" w:eastAsia="宋体" w:cs="宋体"/>
          <w:color w:val="auto"/>
          <w:sz w:val="24"/>
          <w:szCs w:val="24"/>
          <w:highlight w:val="none"/>
        </w:rPr>
      </w:pPr>
      <w:bookmarkStart w:id="310" w:name="_Toc182979474"/>
      <w:bookmarkStart w:id="311" w:name="_Toc182365808"/>
      <w:bookmarkStart w:id="312" w:name="_Toc156710488"/>
      <w:bookmarkStart w:id="313" w:name="_Toc182365742"/>
      <w:bookmarkStart w:id="314" w:name="_Toc156712207"/>
      <w:bookmarkStart w:id="315" w:name="_Toc25519280"/>
      <w:bookmarkStart w:id="316" w:name="_Toc180459009"/>
      <w:bookmarkStart w:id="317" w:name="_Toc170095765"/>
      <w:bookmarkStart w:id="318" w:name="_Toc180215348"/>
      <w:bookmarkStart w:id="319" w:name="_Toc177184024"/>
      <w:bookmarkStart w:id="320" w:name="_Toc182365575"/>
      <w:bookmarkStart w:id="321" w:name="_Toc35785437"/>
      <w:bookmarkStart w:id="322" w:name="_Toc182996267"/>
      <w:bookmarkStart w:id="323" w:name="_Toc179784848"/>
      <w:bookmarkStart w:id="324" w:name="_Toc156711269"/>
      <w:r>
        <w:rPr>
          <w:rFonts w:hint="eastAsia" w:ascii="宋体" w:hAnsi="宋体" w:eastAsia="宋体" w:cs="宋体"/>
          <w:color w:val="auto"/>
          <w:sz w:val="24"/>
          <w:szCs w:val="24"/>
          <w:highlight w:val="none"/>
        </w:rPr>
        <w:t>古树名木的养护</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023297C1">
      <w:pPr>
        <w:pStyle w:val="46"/>
        <w:spacing w:line="440" w:lineRule="exact"/>
        <w:outlineLvl w:val="9"/>
        <w:rPr>
          <w:rFonts w:ascii="宋体" w:hAnsi="宋体" w:eastAsia="宋体" w:cs="宋体"/>
          <w:color w:val="auto"/>
          <w:sz w:val="24"/>
          <w:szCs w:val="24"/>
          <w:highlight w:val="none"/>
        </w:rPr>
      </w:pPr>
      <w:bookmarkStart w:id="325" w:name="_Toc182365576"/>
      <w:bookmarkStart w:id="326" w:name="_Toc182365743"/>
      <w:r>
        <w:rPr>
          <w:rFonts w:hint="eastAsia" w:ascii="宋体" w:hAnsi="宋体" w:eastAsia="宋体" w:cs="宋体"/>
          <w:color w:val="auto"/>
          <w:sz w:val="24"/>
          <w:szCs w:val="24"/>
          <w:highlight w:val="none"/>
        </w:rPr>
        <w:t>不要随意改变生长环境条件，不宜在其周围建高大建筑、挖方、填方；距树干3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m以内不能有水泥、砖石等不透气铺装或建筑物。</w:t>
      </w:r>
      <w:bookmarkEnd w:id="325"/>
      <w:bookmarkEnd w:id="326"/>
    </w:p>
    <w:p w14:paraId="1169654E">
      <w:pPr>
        <w:pStyle w:val="46"/>
        <w:spacing w:line="440" w:lineRule="exact"/>
        <w:outlineLvl w:val="9"/>
        <w:rPr>
          <w:rFonts w:ascii="宋体" w:hAnsi="宋体" w:eastAsia="宋体" w:cs="宋体"/>
          <w:color w:val="auto"/>
          <w:sz w:val="24"/>
          <w:szCs w:val="24"/>
          <w:highlight w:val="none"/>
        </w:rPr>
      </w:pPr>
      <w:bookmarkStart w:id="327" w:name="_Toc182365744"/>
      <w:bookmarkStart w:id="328" w:name="_Toc182365577"/>
      <w:r>
        <w:rPr>
          <w:rFonts w:hint="eastAsia" w:ascii="宋体" w:hAnsi="宋体" w:eastAsia="宋体" w:cs="宋体"/>
          <w:color w:val="auto"/>
          <w:sz w:val="24"/>
          <w:szCs w:val="24"/>
          <w:highlight w:val="none"/>
        </w:rPr>
        <w:t>防止土壤板结改变通气条件，在距树干3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m内应设栅栏隔离或种植地被植物，以防行人入内践踏，每年在距树干5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m以内中耕松土2次～3次，对衰老树有条件的可逐步换土或改土（表层50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cm以上）。</w:t>
      </w:r>
      <w:bookmarkEnd w:id="327"/>
      <w:bookmarkEnd w:id="328"/>
    </w:p>
    <w:p w14:paraId="06372D26">
      <w:pPr>
        <w:pStyle w:val="46"/>
        <w:spacing w:line="440" w:lineRule="exact"/>
        <w:outlineLvl w:val="9"/>
        <w:rPr>
          <w:rFonts w:ascii="宋体" w:hAnsi="宋体" w:eastAsia="宋体" w:cs="宋体"/>
          <w:color w:val="auto"/>
          <w:sz w:val="24"/>
          <w:szCs w:val="24"/>
          <w:highlight w:val="none"/>
        </w:rPr>
      </w:pPr>
      <w:bookmarkStart w:id="329" w:name="_Toc182365578"/>
      <w:bookmarkStart w:id="330" w:name="_Toc182365745"/>
      <w:r>
        <w:rPr>
          <w:rFonts w:hint="eastAsia" w:ascii="宋体" w:hAnsi="宋体" w:eastAsia="宋体" w:cs="宋体"/>
          <w:color w:val="auto"/>
          <w:sz w:val="24"/>
          <w:szCs w:val="24"/>
          <w:highlight w:val="none"/>
        </w:rPr>
        <w:t>施肥，每年生长季节喷施叶面肥1次～3次，每年秋冬季在距树干5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m内开辐射状沟施放无病虫害的落叶、草加复合肥（每株施0.5</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kg～1.0</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kg复合肥）或施沤熟的有机肥。</w:t>
      </w:r>
      <w:bookmarkEnd w:id="329"/>
      <w:bookmarkEnd w:id="330"/>
    </w:p>
    <w:p w14:paraId="5FCFAF0F">
      <w:pPr>
        <w:pStyle w:val="46"/>
        <w:spacing w:line="440" w:lineRule="exact"/>
        <w:outlineLvl w:val="9"/>
        <w:rPr>
          <w:rFonts w:ascii="宋体" w:hAnsi="宋体" w:eastAsia="宋体" w:cs="宋体"/>
          <w:color w:val="auto"/>
          <w:sz w:val="24"/>
          <w:szCs w:val="24"/>
          <w:highlight w:val="none"/>
        </w:rPr>
      </w:pPr>
      <w:bookmarkStart w:id="331" w:name="_Toc182365579"/>
      <w:bookmarkStart w:id="332" w:name="_Toc182365746"/>
      <w:r>
        <w:rPr>
          <w:rFonts w:hint="eastAsia" w:ascii="宋体" w:hAnsi="宋体" w:eastAsia="宋体" w:cs="宋体"/>
          <w:color w:val="auto"/>
          <w:sz w:val="24"/>
          <w:szCs w:val="24"/>
          <w:highlight w:val="none"/>
        </w:rPr>
        <w:t>古树易受蛀干害虫及白蚁的危害，必须经常检查，及时防治。修剪的剪口及损伤部分应涂药防腐、防虫。有空洞的树干必须清理干净洞内污垢，涂药消毒后进行补洞；对洞抹上一层麻刀灰，洞大的可加入清洁的砖、石填满后，再外抹青灰或水泥，在水泥中加入颜料调色至跟原树干颜色一致。</w:t>
      </w:r>
      <w:bookmarkEnd w:id="331"/>
      <w:bookmarkEnd w:id="332"/>
    </w:p>
    <w:p w14:paraId="59CD847F">
      <w:pPr>
        <w:pStyle w:val="46"/>
        <w:spacing w:line="440" w:lineRule="exact"/>
        <w:outlineLvl w:val="9"/>
        <w:rPr>
          <w:rFonts w:ascii="宋体" w:hAnsi="宋体" w:eastAsia="宋体" w:cs="宋体"/>
          <w:color w:val="auto"/>
          <w:sz w:val="24"/>
          <w:szCs w:val="24"/>
          <w:highlight w:val="none"/>
        </w:rPr>
      </w:pPr>
      <w:bookmarkStart w:id="333" w:name="_Toc182365747"/>
      <w:bookmarkStart w:id="334" w:name="_Toc182365580"/>
      <w:r>
        <w:rPr>
          <w:rFonts w:hint="eastAsia" w:ascii="宋体" w:hAnsi="宋体" w:eastAsia="宋体" w:cs="宋体"/>
          <w:color w:val="auto"/>
          <w:sz w:val="24"/>
          <w:szCs w:val="24"/>
          <w:highlight w:val="none"/>
        </w:rPr>
        <w:t>修剪复壮，古树名木的修剪主要修剪干枯枝、病虫枝、下垂枝。对具潜芽且寿命长的树种，当树冠外围枝条衰老枯梢时，应该采取适当回缩修剪来更新。对无潜芽或寿命短的树种，通过深翻改土，切断1</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cm以下的粗根系、刺激诱发新根（亦可配制生根粉类兑水灌断根处），促进根系更新。修剪或断根后，必须加强水肥管理。</w:t>
      </w:r>
      <w:bookmarkEnd w:id="333"/>
      <w:bookmarkEnd w:id="334"/>
    </w:p>
    <w:p w14:paraId="241ADC24">
      <w:pPr>
        <w:pStyle w:val="46"/>
        <w:spacing w:line="440" w:lineRule="exact"/>
        <w:outlineLvl w:val="9"/>
        <w:rPr>
          <w:rFonts w:ascii="宋体" w:hAnsi="宋体" w:eastAsia="宋体" w:cs="宋体"/>
          <w:color w:val="auto"/>
          <w:sz w:val="24"/>
          <w:szCs w:val="24"/>
          <w:highlight w:val="none"/>
        </w:rPr>
      </w:pPr>
      <w:bookmarkStart w:id="335" w:name="_Toc182365581"/>
      <w:bookmarkStart w:id="336" w:name="_Toc182365748"/>
      <w:r>
        <w:rPr>
          <w:rFonts w:hint="eastAsia" w:ascii="宋体" w:hAnsi="宋体" w:eastAsia="宋体" w:cs="宋体"/>
          <w:color w:val="auto"/>
          <w:sz w:val="24"/>
          <w:szCs w:val="24"/>
          <w:highlight w:val="none"/>
        </w:rPr>
        <w:t>对生长不均衡树主干及延伸较长的枝杈，必须加设支柱或在树干适当部位打桩，以防风折。</w:t>
      </w:r>
      <w:bookmarkEnd w:id="335"/>
      <w:bookmarkEnd w:id="336"/>
    </w:p>
    <w:p w14:paraId="5E06EE86">
      <w:pPr>
        <w:pStyle w:val="45"/>
        <w:spacing w:before="120" w:after="120" w:line="440" w:lineRule="exact"/>
        <w:outlineLvl w:val="9"/>
        <w:rPr>
          <w:rFonts w:ascii="宋体" w:hAnsi="宋体" w:eastAsia="宋体" w:cs="宋体"/>
          <w:color w:val="auto"/>
          <w:sz w:val="24"/>
          <w:szCs w:val="24"/>
          <w:highlight w:val="none"/>
        </w:rPr>
      </w:pPr>
      <w:bookmarkStart w:id="337" w:name="_Toc170095766"/>
      <w:bookmarkStart w:id="338" w:name="_Toc25519281"/>
      <w:bookmarkStart w:id="339" w:name="_Toc182365749"/>
      <w:bookmarkStart w:id="340" w:name="_Toc182365582"/>
      <w:bookmarkStart w:id="341" w:name="_Toc182996268"/>
      <w:bookmarkStart w:id="342" w:name="_Toc35785438"/>
      <w:bookmarkStart w:id="343" w:name="_Toc182365809"/>
      <w:bookmarkStart w:id="344" w:name="_Toc156711270"/>
      <w:bookmarkStart w:id="345" w:name="_Toc177184025"/>
      <w:bookmarkStart w:id="346" w:name="_Toc182979475"/>
      <w:bookmarkStart w:id="347" w:name="_Toc156710489"/>
      <w:bookmarkStart w:id="348" w:name="_Toc180459010"/>
      <w:bookmarkStart w:id="349" w:name="_Toc180215349"/>
      <w:bookmarkStart w:id="350" w:name="_Toc156712208"/>
      <w:bookmarkStart w:id="351" w:name="_Toc179784849"/>
      <w:r>
        <w:rPr>
          <w:rFonts w:hint="eastAsia" w:ascii="宋体" w:hAnsi="宋体" w:eastAsia="宋体" w:cs="宋体"/>
          <w:color w:val="auto"/>
          <w:sz w:val="24"/>
          <w:szCs w:val="24"/>
          <w:highlight w:val="none"/>
        </w:rPr>
        <w:t>环境卫生</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012E12D8">
      <w:pPr>
        <w:pStyle w:val="46"/>
        <w:spacing w:line="440" w:lineRule="exact"/>
        <w:outlineLvl w:val="9"/>
        <w:rPr>
          <w:rFonts w:ascii="宋体" w:hAnsi="宋体" w:eastAsia="宋体" w:cs="宋体"/>
          <w:color w:val="auto"/>
          <w:sz w:val="24"/>
          <w:szCs w:val="24"/>
          <w:highlight w:val="none"/>
        </w:rPr>
      </w:pPr>
      <w:bookmarkStart w:id="352" w:name="_Toc182365583"/>
      <w:bookmarkStart w:id="353" w:name="_Toc182365750"/>
      <w:r>
        <w:rPr>
          <w:rFonts w:hint="eastAsia" w:ascii="宋体" w:hAnsi="宋体" w:eastAsia="宋体" w:cs="宋体"/>
          <w:color w:val="auto"/>
          <w:sz w:val="24"/>
          <w:szCs w:val="24"/>
          <w:highlight w:val="none"/>
        </w:rPr>
        <w:t>行道树树盘应保持清洁卫生。人行道乔木周围（直径3</w:t>
      </w:r>
      <w:r>
        <w:rPr>
          <w:rFonts w:hint="eastAsia" w:ascii="宋体" w:hAnsi="宋体" w:eastAsia="宋体" w:cs="宋体"/>
          <w:color w:val="auto"/>
          <w:spacing w:val="-30"/>
          <w:sz w:val="24"/>
          <w:szCs w:val="24"/>
          <w:highlight w:val="none"/>
        </w:rPr>
        <w:t xml:space="preserve"> </w:t>
      </w:r>
      <w:r>
        <w:rPr>
          <w:rFonts w:hint="eastAsia" w:ascii="宋体" w:hAnsi="宋体" w:eastAsia="宋体" w:cs="宋体"/>
          <w:color w:val="auto"/>
          <w:sz w:val="24"/>
          <w:szCs w:val="24"/>
          <w:highlight w:val="none"/>
        </w:rPr>
        <w:t>m以内）不应有建筑堆积物及圈棚、摆摊，树盘内无砖块、垃圾、杂物。</w:t>
      </w:r>
      <w:bookmarkEnd w:id="352"/>
      <w:bookmarkEnd w:id="353"/>
    </w:p>
    <w:p w14:paraId="06B23B15">
      <w:pPr>
        <w:pStyle w:val="46"/>
        <w:spacing w:line="440" w:lineRule="exact"/>
        <w:outlineLvl w:val="9"/>
        <w:rPr>
          <w:rFonts w:ascii="宋体" w:hAnsi="宋体" w:eastAsia="宋体" w:cs="宋体"/>
          <w:color w:val="auto"/>
          <w:sz w:val="24"/>
          <w:szCs w:val="24"/>
          <w:highlight w:val="none"/>
        </w:rPr>
      </w:pPr>
      <w:bookmarkStart w:id="354" w:name="_Toc182365584"/>
      <w:bookmarkStart w:id="355" w:name="_Toc182365751"/>
      <w:r>
        <w:rPr>
          <w:rFonts w:hint="eastAsia" w:ascii="宋体" w:hAnsi="宋体" w:eastAsia="宋体" w:cs="宋体"/>
          <w:color w:val="auto"/>
          <w:sz w:val="24"/>
          <w:szCs w:val="24"/>
          <w:highlight w:val="none"/>
        </w:rPr>
        <w:t>绿地及行道树花带、分车绿带清洁卫生，不能有砖石、堆积物及修剪过后的枝叶堆积，表面无明显垃圾，分车绿带及色块内无陈旧垃圾；花坛外缘的土面应略低于花池砌边顶面，行道树花带与分车绿带外缘土面略低于路缘石顶面，不能有泥土污染周围环境。</w:t>
      </w:r>
      <w:bookmarkEnd w:id="354"/>
      <w:bookmarkEnd w:id="355"/>
    </w:p>
    <w:p w14:paraId="66C98187">
      <w:pPr>
        <w:pStyle w:val="45"/>
        <w:spacing w:before="120" w:after="120" w:line="440" w:lineRule="exact"/>
        <w:outlineLvl w:val="9"/>
        <w:rPr>
          <w:rFonts w:ascii="宋体" w:hAnsi="宋体" w:eastAsia="宋体" w:cs="宋体"/>
          <w:color w:val="auto"/>
          <w:sz w:val="24"/>
          <w:szCs w:val="24"/>
          <w:highlight w:val="none"/>
        </w:rPr>
      </w:pPr>
      <w:bookmarkStart w:id="356" w:name="_Toc180215350"/>
      <w:bookmarkStart w:id="357" w:name="_Toc182365752"/>
      <w:bookmarkStart w:id="358" w:name="_Toc180459011"/>
      <w:bookmarkStart w:id="359" w:name="_Toc182365810"/>
      <w:bookmarkStart w:id="360" w:name="_Toc35785439"/>
      <w:bookmarkStart w:id="361" w:name="_Toc156711271"/>
      <w:bookmarkStart w:id="362" w:name="_Toc170095767"/>
      <w:bookmarkStart w:id="363" w:name="_Toc156712210"/>
      <w:bookmarkStart w:id="364" w:name="_Toc182996269"/>
      <w:bookmarkStart w:id="365" w:name="_Toc182365585"/>
      <w:bookmarkStart w:id="366" w:name="_Toc177184026"/>
      <w:bookmarkStart w:id="367" w:name="_Toc182979476"/>
      <w:bookmarkStart w:id="368" w:name="_Toc25519282"/>
      <w:bookmarkStart w:id="369" w:name="_Toc179784850"/>
      <w:bookmarkStart w:id="370" w:name="_Toc156710490"/>
      <w:r>
        <w:rPr>
          <w:rFonts w:hint="eastAsia" w:ascii="宋体" w:hAnsi="宋体" w:eastAsia="宋体" w:cs="宋体"/>
          <w:color w:val="auto"/>
          <w:sz w:val="24"/>
          <w:szCs w:val="24"/>
          <w:highlight w:val="none"/>
        </w:rPr>
        <w:t>绿地验收</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197C0A80">
      <w:pPr>
        <w:pStyle w:val="46"/>
        <w:spacing w:line="440" w:lineRule="exact"/>
        <w:outlineLvl w:val="9"/>
        <w:rPr>
          <w:rFonts w:ascii="宋体" w:hAnsi="宋体" w:eastAsia="宋体" w:cs="宋体"/>
          <w:color w:val="auto"/>
          <w:sz w:val="24"/>
          <w:szCs w:val="24"/>
          <w:highlight w:val="none"/>
        </w:rPr>
      </w:pPr>
      <w:bookmarkStart w:id="371" w:name="_Toc182365586"/>
      <w:bookmarkStart w:id="372" w:name="_Toc182365753"/>
      <w:r>
        <w:rPr>
          <w:rFonts w:hint="eastAsia" w:ascii="宋体" w:hAnsi="宋体" w:eastAsia="宋体" w:cs="宋体"/>
          <w:color w:val="auto"/>
          <w:sz w:val="24"/>
          <w:szCs w:val="24"/>
          <w:highlight w:val="none"/>
        </w:rPr>
        <w:t>绿地验收范围</w:t>
      </w:r>
      <w:bookmarkEnd w:id="371"/>
      <w:bookmarkEnd w:id="372"/>
    </w:p>
    <w:p w14:paraId="68B3356B">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绿地内所种植的乔木、灌木、地被及园林设施、防护设施等附属设施。</w:t>
      </w:r>
    </w:p>
    <w:p w14:paraId="681233D1">
      <w:pPr>
        <w:pStyle w:val="46"/>
        <w:spacing w:line="440" w:lineRule="exact"/>
        <w:outlineLvl w:val="9"/>
        <w:rPr>
          <w:rFonts w:ascii="宋体" w:hAnsi="宋体" w:eastAsia="宋体" w:cs="宋体"/>
          <w:color w:val="auto"/>
          <w:sz w:val="24"/>
          <w:szCs w:val="24"/>
          <w:highlight w:val="none"/>
        </w:rPr>
      </w:pPr>
      <w:bookmarkStart w:id="373" w:name="_Toc182365754"/>
      <w:bookmarkStart w:id="374" w:name="_Toc182365587"/>
      <w:r>
        <w:rPr>
          <w:rFonts w:hint="eastAsia" w:ascii="宋体" w:hAnsi="宋体" w:eastAsia="宋体" w:cs="宋体"/>
          <w:color w:val="auto"/>
          <w:sz w:val="24"/>
          <w:szCs w:val="24"/>
          <w:highlight w:val="none"/>
        </w:rPr>
        <w:t>绿地验收内容</w:t>
      </w:r>
      <w:bookmarkEnd w:id="373"/>
      <w:bookmarkEnd w:id="374"/>
    </w:p>
    <w:p w14:paraId="289BCD6A">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群落结构与整体效果、植物生长、整形修剪、树盘、病虫害控制、补种与改造、环境卫生。</w:t>
      </w:r>
    </w:p>
    <w:p w14:paraId="5D58342B">
      <w:pPr>
        <w:pStyle w:val="46"/>
        <w:spacing w:line="440" w:lineRule="exact"/>
        <w:outlineLvl w:val="9"/>
        <w:rPr>
          <w:rFonts w:ascii="宋体" w:hAnsi="宋体" w:eastAsia="宋体" w:cs="宋体"/>
          <w:color w:val="auto"/>
          <w:sz w:val="24"/>
          <w:szCs w:val="24"/>
          <w:highlight w:val="none"/>
        </w:rPr>
      </w:pPr>
      <w:bookmarkStart w:id="375" w:name="_Toc182365588"/>
      <w:bookmarkStart w:id="376" w:name="_Toc182365755"/>
      <w:r>
        <w:rPr>
          <w:rFonts w:hint="eastAsia" w:ascii="宋体" w:hAnsi="宋体" w:eastAsia="宋体" w:cs="宋体"/>
          <w:color w:val="auto"/>
          <w:sz w:val="24"/>
          <w:szCs w:val="24"/>
          <w:highlight w:val="none"/>
        </w:rPr>
        <w:t>绿地养护</w:t>
      </w:r>
      <w:bookmarkEnd w:id="375"/>
      <w:bookmarkEnd w:id="376"/>
      <w:r>
        <w:rPr>
          <w:rFonts w:hint="eastAsia" w:ascii="宋体" w:hAnsi="宋体" w:eastAsia="宋体" w:cs="宋体"/>
          <w:color w:val="auto"/>
          <w:sz w:val="24"/>
          <w:szCs w:val="24"/>
          <w:highlight w:val="none"/>
        </w:rPr>
        <w:t>质量要求</w:t>
      </w:r>
    </w:p>
    <w:p w14:paraId="02713F7C">
      <w:pPr>
        <w:pStyle w:val="48"/>
        <w:spacing w:line="440" w:lineRule="exact"/>
        <w:outlineLvl w:val="9"/>
        <w:rPr>
          <w:rFonts w:ascii="宋体" w:hAnsi="宋体" w:eastAsia="宋体" w:cs="宋体"/>
          <w:color w:val="auto"/>
          <w:sz w:val="24"/>
          <w:szCs w:val="24"/>
          <w:highlight w:val="none"/>
        </w:rPr>
      </w:pPr>
      <w:bookmarkStart w:id="377" w:name="_Toc182365589"/>
      <w:r>
        <w:rPr>
          <w:rFonts w:hint="eastAsia" w:ascii="宋体" w:hAnsi="宋体" w:eastAsia="宋体" w:cs="宋体"/>
          <w:color w:val="auto"/>
          <w:sz w:val="24"/>
          <w:szCs w:val="24"/>
          <w:highlight w:val="none"/>
        </w:rPr>
        <w:t>一级绿地</w:t>
      </w:r>
      <w:bookmarkEnd w:id="377"/>
    </w:p>
    <w:p w14:paraId="528F2B1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景观优良，以植物造景为主，具景观特色，观赏效果好；养护精细，植物长势良好，各类植物配置合理。详见表A.1。</w:t>
      </w:r>
    </w:p>
    <w:p w14:paraId="2AA60972">
      <w:pPr>
        <w:pStyle w:val="48"/>
        <w:spacing w:line="440" w:lineRule="exact"/>
        <w:outlineLvl w:val="9"/>
        <w:rPr>
          <w:rFonts w:ascii="宋体" w:hAnsi="宋体" w:eastAsia="宋体" w:cs="宋体"/>
          <w:color w:val="auto"/>
          <w:sz w:val="24"/>
          <w:szCs w:val="24"/>
          <w:highlight w:val="none"/>
        </w:rPr>
      </w:pPr>
      <w:bookmarkStart w:id="378" w:name="_Toc182365590"/>
      <w:r>
        <w:rPr>
          <w:rFonts w:hint="eastAsia" w:ascii="宋体" w:hAnsi="宋体" w:eastAsia="宋体" w:cs="宋体"/>
          <w:color w:val="auto"/>
          <w:sz w:val="24"/>
          <w:szCs w:val="24"/>
          <w:highlight w:val="none"/>
        </w:rPr>
        <w:t>二级绿地</w:t>
      </w:r>
      <w:bookmarkEnd w:id="378"/>
    </w:p>
    <w:p w14:paraId="42EDB0A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景观良好，植物造景具一定的观赏性；植物配置合理。详见表A.2。</w:t>
      </w:r>
    </w:p>
    <w:p w14:paraId="38F308E7">
      <w:pPr>
        <w:pStyle w:val="48"/>
        <w:spacing w:line="440" w:lineRule="exact"/>
        <w:outlineLvl w:val="9"/>
        <w:rPr>
          <w:rFonts w:ascii="宋体" w:hAnsi="宋体" w:eastAsia="宋体" w:cs="宋体"/>
          <w:color w:val="auto"/>
          <w:sz w:val="24"/>
          <w:szCs w:val="24"/>
          <w:highlight w:val="none"/>
        </w:rPr>
      </w:pPr>
      <w:bookmarkStart w:id="379" w:name="_Toc182365591"/>
      <w:r>
        <w:rPr>
          <w:rFonts w:hint="eastAsia" w:ascii="宋体" w:hAnsi="宋体" w:eastAsia="宋体" w:cs="宋体"/>
          <w:color w:val="auto"/>
          <w:sz w:val="24"/>
          <w:szCs w:val="24"/>
          <w:highlight w:val="none"/>
        </w:rPr>
        <w:t>三级绿地</w:t>
      </w:r>
      <w:bookmarkEnd w:id="379"/>
    </w:p>
    <w:p w14:paraId="7AF83C4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景观尚可，具绿化效果。详见表A.3。</w:t>
      </w:r>
    </w:p>
    <w:p w14:paraId="7B786CE3">
      <w:pPr>
        <w:pStyle w:val="45"/>
        <w:spacing w:before="120" w:after="120" w:line="440" w:lineRule="exact"/>
        <w:outlineLvl w:val="9"/>
        <w:rPr>
          <w:rFonts w:ascii="宋体" w:hAnsi="宋体" w:eastAsia="宋体" w:cs="宋体"/>
          <w:color w:val="auto"/>
          <w:sz w:val="24"/>
          <w:szCs w:val="24"/>
          <w:highlight w:val="none"/>
        </w:rPr>
      </w:pPr>
      <w:bookmarkStart w:id="380" w:name="_Toc177184027"/>
      <w:bookmarkStart w:id="381" w:name="_Toc182365594"/>
      <w:bookmarkStart w:id="382" w:name="_Toc182365811"/>
      <w:bookmarkStart w:id="383" w:name="_Toc170095768"/>
      <w:bookmarkStart w:id="384" w:name="_Toc180215351"/>
      <w:bookmarkStart w:id="385" w:name="_Toc179784851"/>
      <w:bookmarkStart w:id="386" w:name="_Toc182996270"/>
      <w:bookmarkStart w:id="387" w:name="_Toc182365757"/>
      <w:bookmarkStart w:id="388" w:name="_Toc180459012"/>
      <w:bookmarkStart w:id="389" w:name="_Toc182979477"/>
      <w:r>
        <w:rPr>
          <w:rFonts w:hint="eastAsia" w:ascii="宋体" w:hAnsi="宋体" w:eastAsia="宋体" w:cs="宋体"/>
          <w:color w:val="auto"/>
          <w:sz w:val="24"/>
          <w:szCs w:val="24"/>
          <w:highlight w:val="none"/>
        </w:rPr>
        <w:t>分车绿带验收</w:t>
      </w:r>
      <w:bookmarkEnd w:id="380"/>
      <w:bookmarkEnd w:id="381"/>
      <w:bookmarkEnd w:id="382"/>
      <w:bookmarkEnd w:id="383"/>
      <w:bookmarkEnd w:id="384"/>
      <w:bookmarkEnd w:id="385"/>
      <w:bookmarkEnd w:id="386"/>
      <w:bookmarkEnd w:id="387"/>
      <w:bookmarkEnd w:id="388"/>
      <w:bookmarkEnd w:id="389"/>
    </w:p>
    <w:p w14:paraId="42511DDC">
      <w:pPr>
        <w:pStyle w:val="46"/>
        <w:spacing w:line="440" w:lineRule="exact"/>
        <w:outlineLvl w:val="9"/>
        <w:rPr>
          <w:rFonts w:ascii="宋体" w:hAnsi="宋体" w:eastAsia="宋体" w:cs="宋体"/>
          <w:color w:val="auto"/>
          <w:sz w:val="24"/>
          <w:szCs w:val="24"/>
          <w:highlight w:val="none"/>
        </w:rPr>
      </w:pPr>
      <w:bookmarkStart w:id="390" w:name="_Toc182365758"/>
      <w:bookmarkStart w:id="391" w:name="_Toc182365595"/>
      <w:r>
        <w:rPr>
          <w:rFonts w:hint="eastAsia" w:ascii="宋体" w:hAnsi="宋体" w:eastAsia="宋体" w:cs="宋体"/>
          <w:color w:val="auto"/>
          <w:sz w:val="24"/>
          <w:szCs w:val="24"/>
          <w:highlight w:val="none"/>
        </w:rPr>
        <w:t>分车绿带验收范围</w:t>
      </w:r>
      <w:bookmarkEnd w:id="390"/>
      <w:bookmarkEnd w:id="391"/>
    </w:p>
    <w:p w14:paraId="401D0DB0">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包括分车绿带上的片植灌木、草本地被、草坪及行道树绿带上成带状配置的地被植物、灌木。</w:t>
      </w:r>
    </w:p>
    <w:p w14:paraId="49AA5273">
      <w:pPr>
        <w:pStyle w:val="46"/>
        <w:spacing w:line="440" w:lineRule="exact"/>
        <w:outlineLvl w:val="9"/>
        <w:rPr>
          <w:rFonts w:ascii="宋体" w:hAnsi="宋体" w:eastAsia="宋体" w:cs="宋体"/>
          <w:color w:val="auto"/>
          <w:sz w:val="24"/>
          <w:szCs w:val="24"/>
          <w:highlight w:val="none"/>
        </w:rPr>
      </w:pPr>
      <w:bookmarkStart w:id="392" w:name="_Toc182365759"/>
      <w:bookmarkStart w:id="393" w:name="_Toc182365596"/>
      <w:r>
        <w:rPr>
          <w:rFonts w:hint="eastAsia" w:ascii="宋体" w:hAnsi="宋体" w:eastAsia="宋体" w:cs="宋体"/>
          <w:color w:val="auto"/>
          <w:sz w:val="24"/>
          <w:szCs w:val="24"/>
          <w:highlight w:val="none"/>
        </w:rPr>
        <w:t>分车绿带验收内容</w:t>
      </w:r>
      <w:bookmarkEnd w:id="392"/>
      <w:bookmarkEnd w:id="393"/>
    </w:p>
    <w:p w14:paraId="24710F01">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整体效果、植物生长、整形修剪、病虫害控制、补种与改造、环境卫生。</w:t>
      </w:r>
    </w:p>
    <w:p w14:paraId="49D13281">
      <w:pPr>
        <w:pStyle w:val="46"/>
        <w:spacing w:line="440" w:lineRule="exact"/>
        <w:outlineLvl w:val="9"/>
        <w:rPr>
          <w:rFonts w:ascii="宋体" w:hAnsi="宋体" w:eastAsia="宋体" w:cs="宋体"/>
          <w:color w:val="auto"/>
          <w:sz w:val="24"/>
          <w:szCs w:val="24"/>
          <w:highlight w:val="none"/>
        </w:rPr>
      </w:pPr>
      <w:bookmarkStart w:id="394" w:name="_Toc182365761"/>
      <w:bookmarkStart w:id="395" w:name="_Toc182365598"/>
      <w:r>
        <w:rPr>
          <w:rFonts w:hint="eastAsia" w:ascii="宋体" w:hAnsi="宋体" w:eastAsia="宋体" w:cs="宋体"/>
          <w:color w:val="auto"/>
          <w:sz w:val="24"/>
          <w:szCs w:val="24"/>
          <w:highlight w:val="none"/>
        </w:rPr>
        <w:t>分车绿带</w:t>
      </w:r>
      <w:bookmarkEnd w:id="394"/>
      <w:bookmarkEnd w:id="395"/>
      <w:r>
        <w:rPr>
          <w:rFonts w:hint="eastAsia" w:ascii="宋体" w:hAnsi="宋体" w:eastAsia="宋体" w:cs="宋体"/>
          <w:color w:val="auto"/>
          <w:sz w:val="24"/>
          <w:szCs w:val="24"/>
          <w:highlight w:val="none"/>
        </w:rPr>
        <w:t>养护质量要求</w:t>
      </w:r>
    </w:p>
    <w:p w14:paraId="09DAF131">
      <w:pPr>
        <w:pStyle w:val="48"/>
        <w:spacing w:line="440" w:lineRule="exact"/>
        <w:outlineLvl w:val="9"/>
        <w:rPr>
          <w:rFonts w:ascii="宋体" w:hAnsi="宋体" w:eastAsia="宋体" w:cs="宋体"/>
          <w:color w:val="auto"/>
          <w:sz w:val="24"/>
          <w:szCs w:val="24"/>
          <w:highlight w:val="none"/>
        </w:rPr>
      </w:pPr>
      <w:bookmarkStart w:id="396" w:name="_Toc182365599"/>
      <w:r>
        <w:rPr>
          <w:rFonts w:hint="eastAsia" w:ascii="宋体" w:hAnsi="宋体" w:eastAsia="宋体" w:cs="宋体"/>
          <w:color w:val="auto"/>
          <w:sz w:val="24"/>
          <w:szCs w:val="24"/>
          <w:highlight w:val="none"/>
        </w:rPr>
        <w:t>一级分车绿带</w:t>
      </w:r>
      <w:bookmarkEnd w:id="396"/>
    </w:p>
    <w:p w14:paraId="25B76C5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沿主干道或主要景观道路的分车绿带，景观优良，养护精细，植物长势良好。详见表A.4。</w:t>
      </w:r>
    </w:p>
    <w:p w14:paraId="4F890807">
      <w:pPr>
        <w:pStyle w:val="48"/>
        <w:spacing w:line="440" w:lineRule="exact"/>
        <w:outlineLvl w:val="9"/>
        <w:rPr>
          <w:rFonts w:ascii="宋体" w:hAnsi="宋体" w:eastAsia="宋体" w:cs="宋体"/>
          <w:color w:val="auto"/>
          <w:sz w:val="24"/>
          <w:szCs w:val="24"/>
          <w:highlight w:val="none"/>
        </w:rPr>
      </w:pPr>
      <w:bookmarkStart w:id="397" w:name="_Toc182365600"/>
      <w:r>
        <w:rPr>
          <w:rFonts w:hint="eastAsia" w:ascii="宋体" w:hAnsi="宋体" w:eastAsia="宋体" w:cs="宋体"/>
          <w:color w:val="auto"/>
          <w:sz w:val="24"/>
          <w:szCs w:val="24"/>
          <w:highlight w:val="none"/>
        </w:rPr>
        <w:t>二级分车绿带</w:t>
      </w:r>
      <w:bookmarkEnd w:id="397"/>
    </w:p>
    <w:p w14:paraId="5DFE4E65">
      <w:pPr>
        <w:spacing w:line="44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 xml:space="preserve"> 沿次干道或次要景观道路的分车绿带，景观良好，养护较好，植物生长正常。详见表A.5。</w:t>
      </w:r>
    </w:p>
    <w:p w14:paraId="1F305455">
      <w:pPr>
        <w:pStyle w:val="48"/>
        <w:spacing w:line="440" w:lineRule="exact"/>
        <w:outlineLvl w:val="9"/>
        <w:rPr>
          <w:rFonts w:ascii="宋体" w:hAnsi="宋体" w:eastAsia="宋体" w:cs="宋体"/>
          <w:color w:val="auto"/>
          <w:sz w:val="24"/>
          <w:szCs w:val="24"/>
          <w:highlight w:val="none"/>
        </w:rPr>
      </w:pPr>
      <w:bookmarkStart w:id="398" w:name="_Toc182365601"/>
      <w:r>
        <w:rPr>
          <w:rFonts w:hint="eastAsia" w:ascii="宋体" w:hAnsi="宋体" w:eastAsia="宋体" w:cs="宋体"/>
          <w:color w:val="auto"/>
          <w:sz w:val="24"/>
          <w:szCs w:val="24"/>
          <w:highlight w:val="none"/>
        </w:rPr>
        <w:t>三级分车绿带</w:t>
      </w:r>
      <w:bookmarkEnd w:id="398"/>
    </w:p>
    <w:p w14:paraId="58E77D1F">
      <w:pPr>
        <w:spacing w:line="440" w:lineRule="exact"/>
        <w:rPr>
          <w:rFonts w:ascii="宋体" w:hAnsi="宋体" w:cs="宋体"/>
          <w:color w:val="auto"/>
          <w:sz w:val="24"/>
          <w:highlight w:val="none"/>
        </w:rPr>
      </w:pPr>
      <w:r>
        <w:rPr>
          <w:rFonts w:hint="eastAsia" w:ascii="宋体" w:hAnsi="宋体" w:cs="宋体"/>
          <w:color w:val="auto"/>
          <w:sz w:val="24"/>
          <w:highlight w:val="none"/>
        </w:rPr>
        <w:t xml:space="preserve">    沿一般道路或其它普通路径的分车绿带，景观尚可，养护一般，植物生长基本正常。详见表A.6。</w:t>
      </w:r>
    </w:p>
    <w:p w14:paraId="40570A45">
      <w:pPr>
        <w:pStyle w:val="45"/>
        <w:spacing w:before="120" w:after="120" w:line="440" w:lineRule="exact"/>
        <w:outlineLvl w:val="9"/>
        <w:rPr>
          <w:rFonts w:ascii="宋体" w:hAnsi="宋体" w:eastAsia="宋体" w:cs="宋体"/>
          <w:color w:val="auto"/>
          <w:sz w:val="24"/>
          <w:szCs w:val="24"/>
          <w:highlight w:val="none"/>
        </w:rPr>
      </w:pPr>
      <w:bookmarkStart w:id="399" w:name="_Toc25519283"/>
      <w:bookmarkStart w:id="400" w:name="_Toc179784852"/>
      <w:bookmarkStart w:id="401" w:name="_Toc156710491"/>
      <w:bookmarkStart w:id="402" w:name="_Toc35785440"/>
      <w:bookmarkStart w:id="403" w:name="_Toc182365812"/>
      <w:bookmarkStart w:id="404" w:name="_Toc180215352"/>
      <w:bookmarkStart w:id="405" w:name="_Toc170095769"/>
      <w:bookmarkStart w:id="406" w:name="_Toc156711272"/>
      <w:bookmarkStart w:id="407" w:name="_Toc180459013"/>
      <w:bookmarkStart w:id="408" w:name="_Toc177184028"/>
      <w:bookmarkStart w:id="409" w:name="_Toc25307331"/>
      <w:bookmarkStart w:id="410" w:name="_Toc182996271"/>
      <w:bookmarkStart w:id="411" w:name="_Toc156712212"/>
      <w:bookmarkStart w:id="412" w:name="_Toc182365605"/>
      <w:bookmarkStart w:id="413" w:name="_Toc182979478"/>
      <w:bookmarkStart w:id="414" w:name="_Toc182365762"/>
      <w:r>
        <w:rPr>
          <w:rFonts w:hint="eastAsia" w:ascii="宋体" w:hAnsi="宋体" w:eastAsia="宋体" w:cs="宋体"/>
          <w:color w:val="auto"/>
          <w:sz w:val="24"/>
          <w:szCs w:val="24"/>
          <w:highlight w:val="none"/>
        </w:rPr>
        <w:t>行道树验收</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FC953F2">
      <w:pPr>
        <w:pStyle w:val="46"/>
        <w:spacing w:line="440" w:lineRule="exact"/>
        <w:outlineLvl w:val="9"/>
        <w:rPr>
          <w:rFonts w:ascii="宋体" w:hAnsi="宋体" w:eastAsia="宋体" w:cs="宋体"/>
          <w:color w:val="auto"/>
          <w:sz w:val="24"/>
          <w:szCs w:val="24"/>
          <w:highlight w:val="none"/>
        </w:rPr>
      </w:pPr>
      <w:bookmarkStart w:id="415" w:name="_Toc182365763"/>
      <w:bookmarkStart w:id="416" w:name="_Toc182365606"/>
      <w:r>
        <w:rPr>
          <w:rFonts w:hint="eastAsia" w:ascii="宋体" w:hAnsi="宋体" w:eastAsia="宋体" w:cs="宋体"/>
          <w:color w:val="auto"/>
          <w:sz w:val="24"/>
          <w:szCs w:val="24"/>
          <w:highlight w:val="none"/>
        </w:rPr>
        <w:t>行道树验收范围</w:t>
      </w:r>
      <w:bookmarkEnd w:id="415"/>
      <w:bookmarkEnd w:id="416"/>
    </w:p>
    <w:p w14:paraId="17447F99">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行道树及间种在人行道上的孤植灌木、整形灌木。</w:t>
      </w:r>
    </w:p>
    <w:p w14:paraId="1268ADF3">
      <w:pPr>
        <w:pStyle w:val="46"/>
        <w:spacing w:line="440" w:lineRule="exact"/>
        <w:outlineLvl w:val="9"/>
        <w:rPr>
          <w:rFonts w:ascii="宋体" w:hAnsi="宋体" w:eastAsia="宋体" w:cs="宋体"/>
          <w:color w:val="auto"/>
          <w:sz w:val="24"/>
          <w:szCs w:val="24"/>
          <w:highlight w:val="none"/>
        </w:rPr>
      </w:pPr>
      <w:bookmarkStart w:id="417" w:name="_Toc182365764"/>
      <w:bookmarkStart w:id="418" w:name="_Toc182365607"/>
      <w:r>
        <w:rPr>
          <w:rFonts w:hint="eastAsia" w:ascii="宋体" w:hAnsi="宋体" w:eastAsia="宋体" w:cs="宋体"/>
          <w:color w:val="auto"/>
          <w:sz w:val="24"/>
          <w:szCs w:val="24"/>
          <w:highlight w:val="none"/>
        </w:rPr>
        <w:t>行道树验收内容</w:t>
      </w:r>
      <w:bookmarkEnd w:id="417"/>
      <w:bookmarkEnd w:id="418"/>
    </w:p>
    <w:p w14:paraId="159D08BD">
      <w:pPr>
        <w:pStyle w:val="48"/>
        <w:numPr>
          <w:ilvl w:val="0"/>
          <w:numId w:val="0"/>
        </w:numPr>
        <w:spacing w:line="440" w:lineRule="exact"/>
        <w:ind w:firstLine="480" w:firstLineChars="200"/>
        <w:outlineLvl w:val="9"/>
        <w:rPr>
          <w:rFonts w:ascii="宋体" w:hAnsi="宋体" w:eastAsia="宋体" w:cs="宋体"/>
          <w:color w:val="auto"/>
          <w:sz w:val="24"/>
          <w:szCs w:val="24"/>
          <w:highlight w:val="none"/>
        </w:rPr>
      </w:pPr>
      <w:bookmarkStart w:id="419" w:name="_Toc182365608"/>
      <w:r>
        <w:rPr>
          <w:rFonts w:hint="eastAsia" w:ascii="宋体" w:hAnsi="宋体" w:eastAsia="宋体" w:cs="宋体"/>
          <w:color w:val="auto"/>
          <w:sz w:val="24"/>
          <w:szCs w:val="24"/>
          <w:highlight w:val="none"/>
        </w:rPr>
        <w:t>整体效果、植物生长、整形修剪、定干高度、树盘、病虫害控制、防护设施、补种。</w:t>
      </w:r>
      <w:bookmarkEnd w:id="419"/>
    </w:p>
    <w:p w14:paraId="6E490D4D">
      <w:pPr>
        <w:pStyle w:val="46"/>
        <w:spacing w:line="440" w:lineRule="exact"/>
        <w:outlineLvl w:val="9"/>
        <w:rPr>
          <w:rFonts w:ascii="宋体" w:hAnsi="宋体" w:eastAsia="宋体" w:cs="宋体"/>
          <w:color w:val="auto"/>
          <w:sz w:val="24"/>
          <w:szCs w:val="24"/>
          <w:highlight w:val="none"/>
        </w:rPr>
      </w:pPr>
      <w:bookmarkStart w:id="420" w:name="_Toc182365765"/>
      <w:bookmarkStart w:id="421" w:name="_Toc182365617"/>
      <w:r>
        <w:rPr>
          <w:rFonts w:hint="eastAsia" w:ascii="宋体" w:hAnsi="宋体" w:eastAsia="宋体" w:cs="宋体"/>
          <w:color w:val="auto"/>
          <w:sz w:val="24"/>
          <w:szCs w:val="24"/>
          <w:highlight w:val="none"/>
        </w:rPr>
        <w:t>行道树养护质量要求</w:t>
      </w:r>
      <w:bookmarkEnd w:id="420"/>
      <w:bookmarkEnd w:id="421"/>
    </w:p>
    <w:p w14:paraId="0ECC19FE">
      <w:pPr>
        <w:pStyle w:val="48"/>
        <w:spacing w:line="440" w:lineRule="exact"/>
        <w:outlineLvl w:val="9"/>
        <w:rPr>
          <w:rFonts w:ascii="宋体" w:hAnsi="宋体" w:eastAsia="宋体" w:cs="宋体"/>
          <w:color w:val="auto"/>
          <w:sz w:val="24"/>
          <w:szCs w:val="24"/>
          <w:highlight w:val="none"/>
        </w:rPr>
      </w:pPr>
      <w:bookmarkStart w:id="422" w:name="_Toc182365618"/>
      <w:r>
        <w:rPr>
          <w:rFonts w:hint="eastAsia" w:ascii="宋体" w:hAnsi="宋体" w:eastAsia="宋体" w:cs="宋体"/>
          <w:color w:val="auto"/>
          <w:sz w:val="24"/>
          <w:szCs w:val="24"/>
          <w:highlight w:val="none"/>
        </w:rPr>
        <w:t>一级行道树</w:t>
      </w:r>
      <w:bookmarkEnd w:id="422"/>
    </w:p>
    <w:p w14:paraId="77F6FE0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沿主干道或主要景观路径、观赏效果好、排列整齐的乔木。详见表A.7。</w:t>
      </w:r>
    </w:p>
    <w:p w14:paraId="79FF6DA0">
      <w:pPr>
        <w:pStyle w:val="48"/>
        <w:spacing w:line="440" w:lineRule="exact"/>
        <w:outlineLvl w:val="9"/>
        <w:rPr>
          <w:rFonts w:ascii="宋体" w:hAnsi="宋体" w:eastAsia="宋体" w:cs="宋体"/>
          <w:color w:val="auto"/>
          <w:sz w:val="24"/>
          <w:szCs w:val="24"/>
          <w:highlight w:val="none"/>
        </w:rPr>
      </w:pPr>
      <w:bookmarkStart w:id="423" w:name="_Toc182365619"/>
      <w:r>
        <w:rPr>
          <w:rFonts w:hint="eastAsia" w:ascii="宋体" w:hAnsi="宋体" w:eastAsia="宋体" w:cs="宋体"/>
          <w:color w:val="auto"/>
          <w:sz w:val="24"/>
          <w:szCs w:val="24"/>
          <w:highlight w:val="none"/>
        </w:rPr>
        <w:t>二级行道树</w:t>
      </w:r>
      <w:bookmarkEnd w:id="423"/>
    </w:p>
    <w:p w14:paraId="5EEF774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沿次干道或次要景观路径、排列整齐的乔木。详见表A.8。</w:t>
      </w:r>
    </w:p>
    <w:p w14:paraId="17E79A67">
      <w:pPr>
        <w:pStyle w:val="48"/>
        <w:spacing w:line="440" w:lineRule="exact"/>
        <w:outlineLvl w:val="9"/>
        <w:rPr>
          <w:rFonts w:ascii="宋体" w:hAnsi="宋体" w:eastAsia="宋体" w:cs="宋体"/>
          <w:color w:val="auto"/>
          <w:sz w:val="24"/>
          <w:szCs w:val="24"/>
          <w:highlight w:val="none"/>
        </w:rPr>
      </w:pPr>
      <w:bookmarkStart w:id="424" w:name="_Toc182365620"/>
      <w:r>
        <w:rPr>
          <w:rFonts w:hint="eastAsia" w:ascii="宋体" w:hAnsi="宋体" w:eastAsia="宋体" w:cs="宋体"/>
          <w:color w:val="auto"/>
          <w:sz w:val="24"/>
          <w:szCs w:val="24"/>
          <w:highlight w:val="none"/>
        </w:rPr>
        <w:t>三级行道树</w:t>
      </w:r>
      <w:bookmarkEnd w:id="424"/>
    </w:p>
    <w:p w14:paraId="6BEC233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沿一般道路或其它普通路径、排列成行的乔木。详见表A.9。</w:t>
      </w:r>
    </w:p>
    <w:p w14:paraId="23155D83">
      <w:pPr>
        <w:pStyle w:val="45"/>
        <w:spacing w:before="120" w:after="120" w:line="440" w:lineRule="exact"/>
        <w:outlineLvl w:val="9"/>
        <w:rPr>
          <w:rFonts w:ascii="宋体" w:hAnsi="宋体" w:eastAsia="宋体" w:cs="宋体"/>
          <w:color w:val="auto"/>
          <w:sz w:val="24"/>
          <w:szCs w:val="24"/>
          <w:highlight w:val="none"/>
        </w:rPr>
      </w:pPr>
      <w:bookmarkStart w:id="425" w:name="_Toc182365813"/>
      <w:bookmarkStart w:id="426" w:name="_Toc177184029"/>
      <w:bookmarkStart w:id="427" w:name="_Toc182979479"/>
      <w:bookmarkStart w:id="428" w:name="_Toc180459014"/>
      <w:bookmarkStart w:id="429" w:name="_Toc182365624"/>
      <w:bookmarkStart w:id="430" w:name="_Toc182996272"/>
      <w:bookmarkStart w:id="431" w:name="_Toc170095770"/>
      <w:bookmarkStart w:id="432" w:name="_Toc179784853"/>
      <w:bookmarkStart w:id="433" w:name="_Toc180215353"/>
      <w:bookmarkStart w:id="434" w:name="_Toc182365769"/>
      <w:r>
        <w:rPr>
          <w:rFonts w:hint="eastAsia" w:ascii="宋体" w:hAnsi="宋体" w:eastAsia="宋体" w:cs="宋体"/>
          <w:color w:val="auto"/>
          <w:sz w:val="24"/>
          <w:szCs w:val="24"/>
          <w:highlight w:val="none"/>
        </w:rPr>
        <w:t>花坛验收</w:t>
      </w:r>
      <w:bookmarkEnd w:id="425"/>
      <w:bookmarkEnd w:id="426"/>
      <w:bookmarkEnd w:id="427"/>
      <w:bookmarkEnd w:id="428"/>
      <w:bookmarkEnd w:id="429"/>
      <w:bookmarkEnd w:id="430"/>
      <w:bookmarkEnd w:id="431"/>
      <w:bookmarkEnd w:id="432"/>
      <w:bookmarkEnd w:id="433"/>
      <w:bookmarkEnd w:id="434"/>
    </w:p>
    <w:p w14:paraId="73700AD3">
      <w:pPr>
        <w:pStyle w:val="46"/>
        <w:spacing w:line="440" w:lineRule="exact"/>
        <w:outlineLvl w:val="9"/>
        <w:rPr>
          <w:rFonts w:ascii="宋体" w:hAnsi="宋体" w:eastAsia="宋体" w:cs="宋体"/>
          <w:color w:val="auto"/>
          <w:sz w:val="24"/>
          <w:szCs w:val="24"/>
          <w:highlight w:val="none"/>
        </w:rPr>
      </w:pPr>
      <w:bookmarkStart w:id="435" w:name="_Toc182365770"/>
      <w:bookmarkStart w:id="436" w:name="_Toc182365625"/>
      <w:r>
        <w:rPr>
          <w:rFonts w:hint="eastAsia" w:ascii="宋体" w:hAnsi="宋体" w:eastAsia="宋体" w:cs="宋体"/>
          <w:color w:val="auto"/>
          <w:sz w:val="24"/>
          <w:szCs w:val="24"/>
          <w:highlight w:val="none"/>
        </w:rPr>
        <w:t>花坛验收范围</w:t>
      </w:r>
    </w:p>
    <w:p w14:paraId="2DC05726">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摆放在人行道或公共绿地上的花卉、盆景、饰物及设施，及栽种在绿地、分车绿带里的时花。</w:t>
      </w:r>
      <w:bookmarkEnd w:id="435"/>
      <w:bookmarkEnd w:id="436"/>
    </w:p>
    <w:p w14:paraId="4F9B97F5">
      <w:pPr>
        <w:pStyle w:val="46"/>
        <w:spacing w:line="440" w:lineRule="exact"/>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花坛验收内容</w:t>
      </w:r>
    </w:p>
    <w:p w14:paraId="4B88DB6A">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整体效果、植物生长、水肥管理、病虫害控制、植株修剪、补种与更换、环境卫生。</w:t>
      </w:r>
    </w:p>
    <w:p w14:paraId="2F617AEA">
      <w:pPr>
        <w:pStyle w:val="46"/>
        <w:spacing w:line="440" w:lineRule="exact"/>
        <w:outlineLvl w:val="9"/>
        <w:rPr>
          <w:rFonts w:ascii="宋体" w:hAnsi="宋体" w:eastAsia="宋体" w:cs="宋体"/>
          <w:color w:val="auto"/>
          <w:sz w:val="24"/>
          <w:szCs w:val="24"/>
          <w:highlight w:val="none"/>
        </w:rPr>
      </w:pPr>
      <w:bookmarkStart w:id="437" w:name="_Toc182365772"/>
      <w:bookmarkStart w:id="438" w:name="_Toc182365634"/>
      <w:r>
        <w:rPr>
          <w:rFonts w:hint="eastAsia" w:ascii="宋体" w:hAnsi="宋体" w:eastAsia="宋体" w:cs="宋体"/>
          <w:color w:val="auto"/>
          <w:sz w:val="24"/>
          <w:szCs w:val="24"/>
          <w:highlight w:val="none"/>
        </w:rPr>
        <w:t>花坛</w:t>
      </w:r>
      <w:bookmarkEnd w:id="437"/>
      <w:bookmarkEnd w:id="438"/>
      <w:r>
        <w:rPr>
          <w:rFonts w:hint="eastAsia" w:ascii="宋体" w:hAnsi="宋体" w:eastAsia="宋体" w:cs="宋体"/>
          <w:color w:val="auto"/>
          <w:sz w:val="24"/>
          <w:szCs w:val="24"/>
          <w:highlight w:val="none"/>
        </w:rPr>
        <w:t>养护质量要求</w:t>
      </w:r>
    </w:p>
    <w:p w14:paraId="1D203A01">
      <w:pPr>
        <w:pStyle w:val="48"/>
        <w:spacing w:line="440" w:lineRule="exact"/>
        <w:outlineLvl w:val="9"/>
        <w:rPr>
          <w:rFonts w:ascii="宋体" w:hAnsi="宋体" w:eastAsia="宋体" w:cs="宋体"/>
          <w:color w:val="auto"/>
          <w:sz w:val="24"/>
          <w:szCs w:val="24"/>
          <w:highlight w:val="none"/>
        </w:rPr>
      </w:pPr>
      <w:bookmarkStart w:id="439" w:name="_Toc182365635"/>
      <w:r>
        <w:rPr>
          <w:rFonts w:hint="eastAsia" w:ascii="宋体" w:hAnsi="宋体" w:eastAsia="宋体" w:cs="宋体"/>
          <w:color w:val="auto"/>
          <w:sz w:val="24"/>
          <w:szCs w:val="24"/>
          <w:highlight w:val="none"/>
        </w:rPr>
        <w:t>一级花坛</w:t>
      </w:r>
      <w:bookmarkEnd w:id="439"/>
    </w:p>
    <w:p w14:paraId="2F1DBE6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景观优良，具明显的景观特色；花卉养护精细，花的色泽鲜艳、应时；饰物、设施美观；花卉、饰物、设施、环境等配置相互协调。详见表A.10。</w:t>
      </w:r>
    </w:p>
    <w:p w14:paraId="7ED3C3B0">
      <w:pPr>
        <w:pStyle w:val="48"/>
        <w:spacing w:line="440" w:lineRule="exact"/>
        <w:outlineLvl w:val="9"/>
        <w:rPr>
          <w:rFonts w:ascii="宋体" w:hAnsi="宋体" w:eastAsia="宋体" w:cs="宋体"/>
          <w:color w:val="auto"/>
          <w:sz w:val="24"/>
          <w:szCs w:val="24"/>
          <w:highlight w:val="none"/>
        </w:rPr>
      </w:pPr>
      <w:bookmarkStart w:id="440" w:name="_Toc182365636"/>
      <w:r>
        <w:rPr>
          <w:rFonts w:hint="eastAsia" w:ascii="宋体" w:hAnsi="宋体" w:eastAsia="宋体" w:cs="宋体"/>
          <w:color w:val="auto"/>
          <w:sz w:val="24"/>
          <w:szCs w:val="24"/>
          <w:highlight w:val="none"/>
        </w:rPr>
        <w:t>二级花坛</w:t>
      </w:r>
      <w:bookmarkEnd w:id="440"/>
    </w:p>
    <w:p w14:paraId="3C55B429">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景观良好，以花卉造景为主；养护较好，花、叶的大小、色泽正常，开花应时、整齐；饰物、设施美观。详见表A.11。</w:t>
      </w:r>
    </w:p>
    <w:p w14:paraId="775B6EF7">
      <w:pPr>
        <w:pStyle w:val="45"/>
        <w:spacing w:before="120" w:after="120" w:line="440" w:lineRule="exact"/>
        <w:outlineLvl w:val="9"/>
        <w:rPr>
          <w:rFonts w:ascii="宋体" w:hAnsi="宋体" w:eastAsia="宋体" w:cs="宋体"/>
          <w:color w:val="auto"/>
          <w:sz w:val="24"/>
          <w:szCs w:val="24"/>
          <w:highlight w:val="none"/>
        </w:rPr>
      </w:pPr>
      <w:bookmarkStart w:id="441" w:name="_Toc180459015"/>
      <w:bookmarkStart w:id="442" w:name="_Toc177184030"/>
      <w:bookmarkStart w:id="443" w:name="_Toc182365814"/>
      <w:bookmarkStart w:id="444" w:name="_Toc179784854"/>
      <w:bookmarkStart w:id="445" w:name="_Toc182365775"/>
      <w:bookmarkStart w:id="446" w:name="_Toc182996273"/>
      <w:bookmarkStart w:id="447" w:name="_Toc182979480"/>
      <w:bookmarkStart w:id="448" w:name="_Toc170095771"/>
      <w:bookmarkStart w:id="449" w:name="_Toc180215354"/>
      <w:bookmarkStart w:id="450" w:name="_Toc182365639"/>
      <w:r>
        <w:rPr>
          <w:rFonts w:hint="eastAsia" w:ascii="宋体" w:hAnsi="宋体" w:eastAsia="宋体" w:cs="宋体"/>
          <w:color w:val="auto"/>
          <w:sz w:val="24"/>
          <w:szCs w:val="24"/>
          <w:highlight w:val="none"/>
        </w:rPr>
        <w:t>护坡验收</w:t>
      </w:r>
      <w:bookmarkEnd w:id="441"/>
      <w:bookmarkEnd w:id="442"/>
      <w:bookmarkEnd w:id="443"/>
      <w:bookmarkEnd w:id="444"/>
      <w:bookmarkEnd w:id="445"/>
      <w:bookmarkEnd w:id="446"/>
      <w:bookmarkEnd w:id="447"/>
      <w:bookmarkEnd w:id="448"/>
      <w:bookmarkEnd w:id="449"/>
      <w:bookmarkEnd w:id="450"/>
    </w:p>
    <w:p w14:paraId="0E6E8CF8">
      <w:pPr>
        <w:pStyle w:val="46"/>
        <w:spacing w:line="440" w:lineRule="exact"/>
        <w:outlineLvl w:val="9"/>
        <w:rPr>
          <w:rFonts w:ascii="宋体" w:hAnsi="宋体" w:eastAsia="宋体" w:cs="宋体"/>
          <w:color w:val="auto"/>
          <w:sz w:val="24"/>
          <w:szCs w:val="24"/>
          <w:highlight w:val="none"/>
        </w:rPr>
      </w:pPr>
      <w:bookmarkStart w:id="451" w:name="_Toc182365640"/>
      <w:bookmarkStart w:id="452" w:name="_Toc182365776"/>
      <w:r>
        <w:rPr>
          <w:rFonts w:hint="eastAsia" w:ascii="宋体" w:hAnsi="宋体" w:eastAsia="宋体" w:cs="宋体"/>
          <w:color w:val="auto"/>
          <w:sz w:val="24"/>
          <w:szCs w:val="24"/>
          <w:highlight w:val="none"/>
        </w:rPr>
        <w:t>护坡验收范围</w:t>
      </w:r>
      <w:bookmarkEnd w:id="451"/>
      <w:bookmarkEnd w:id="452"/>
    </w:p>
    <w:p w14:paraId="54A14E4C">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护坡内所种植的乔木、灌木、地被、草坪及防护等附属设施。</w:t>
      </w:r>
    </w:p>
    <w:p w14:paraId="1E4632D5">
      <w:pPr>
        <w:pStyle w:val="46"/>
        <w:spacing w:line="440" w:lineRule="exact"/>
        <w:outlineLvl w:val="9"/>
        <w:rPr>
          <w:rFonts w:ascii="宋体" w:hAnsi="宋体" w:eastAsia="宋体" w:cs="宋体"/>
          <w:color w:val="auto"/>
          <w:sz w:val="24"/>
          <w:szCs w:val="24"/>
          <w:highlight w:val="none"/>
        </w:rPr>
      </w:pPr>
      <w:bookmarkStart w:id="453" w:name="_Toc182365641"/>
      <w:bookmarkStart w:id="454" w:name="_Toc182365777"/>
      <w:r>
        <w:rPr>
          <w:rFonts w:hint="eastAsia" w:ascii="宋体" w:hAnsi="宋体" w:eastAsia="宋体" w:cs="宋体"/>
          <w:color w:val="auto"/>
          <w:sz w:val="24"/>
          <w:szCs w:val="24"/>
          <w:highlight w:val="none"/>
        </w:rPr>
        <w:t>护坡验收内容</w:t>
      </w:r>
      <w:bookmarkEnd w:id="453"/>
      <w:bookmarkEnd w:id="454"/>
    </w:p>
    <w:p w14:paraId="209D5372">
      <w:pPr>
        <w:pStyle w:val="43"/>
        <w:spacing w:line="440" w:lineRule="exact"/>
        <w:ind w:firstLine="480"/>
        <w:rPr>
          <w:rFonts w:hAnsi="宋体" w:cs="宋体"/>
          <w:color w:val="auto"/>
          <w:sz w:val="24"/>
          <w:szCs w:val="24"/>
          <w:highlight w:val="none"/>
        </w:rPr>
      </w:pPr>
      <w:r>
        <w:rPr>
          <w:rFonts w:hint="eastAsia" w:hAnsi="宋体" w:cs="宋体"/>
          <w:color w:val="auto"/>
          <w:sz w:val="24"/>
          <w:szCs w:val="24"/>
          <w:highlight w:val="none"/>
        </w:rPr>
        <w:t>同绿地。</w:t>
      </w:r>
    </w:p>
    <w:p w14:paraId="41480C56">
      <w:pPr>
        <w:pStyle w:val="46"/>
        <w:spacing w:line="440" w:lineRule="exact"/>
        <w:outlineLvl w:val="9"/>
        <w:rPr>
          <w:rFonts w:ascii="宋体" w:hAnsi="宋体" w:eastAsia="宋体" w:cs="宋体"/>
          <w:color w:val="auto"/>
          <w:sz w:val="24"/>
          <w:szCs w:val="24"/>
          <w:highlight w:val="none"/>
        </w:rPr>
      </w:pPr>
      <w:bookmarkStart w:id="455" w:name="_Toc182365778"/>
      <w:bookmarkStart w:id="456" w:name="_Toc182365642"/>
      <w:r>
        <w:rPr>
          <w:rFonts w:hint="eastAsia" w:ascii="宋体" w:hAnsi="宋体" w:eastAsia="宋体" w:cs="宋体"/>
          <w:color w:val="auto"/>
          <w:sz w:val="24"/>
          <w:szCs w:val="24"/>
          <w:highlight w:val="none"/>
        </w:rPr>
        <w:t>护坡</w:t>
      </w:r>
      <w:bookmarkEnd w:id="455"/>
      <w:bookmarkEnd w:id="456"/>
      <w:r>
        <w:rPr>
          <w:rFonts w:hint="eastAsia" w:ascii="宋体" w:hAnsi="宋体" w:eastAsia="宋体" w:cs="宋体"/>
          <w:color w:val="auto"/>
          <w:sz w:val="24"/>
          <w:szCs w:val="24"/>
          <w:highlight w:val="none"/>
        </w:rPr>
        <w:t>养护质量要求</w:t>
      </w:r>
    </w:p>
    <w:p w14:paraId="41FEC106">
      <w:pPr>
        <w:pStyle w:val="48"/>
        <w:spacing w:line="440" w:lineRule="exact"/>
        <w:outlineLvl w:val="9"/>
        <w:rPr>
          <w:rFonts w:ascii="宋体" w:hAnsi="宋体" w:eastAsia="宋体" w:cs="宋体"/>
          <w:color w:val="auto"/>
          <w:sz w:val="24"/>
          <w:szCs w:val="24"/>
          <w:highlight w:val="none"/>
        </w:rPr>
      </w:pPr>
      <w:bookmarkStart w:id="457" w:name="_Toc182365643"/>
      <w:r>
        <w:rPr>
          <w:rFonts w:hint="eastAsia" w:ascii="宋体" w:hAnsi="宋体" w:eastAsia="宋体" w:cs="宋体"/>
          <w:color w:val="auto"/>
          <w:sz w:val="24"/>
          <w:szCs w:val="24"/>
          <w:highlight w:val="none"/>
        </w:rPr>
        <w:t>特级护坡</w:t>
      </w:r>
      <w:bookmarkEnd w:id="457"/>
    </w:p>
    <w:p w14:paraId="20CBFE7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景观优良，以植物造景为主，具景观特色；养护精细，植物长势良好。详见表A.12。</w:t>
      </w:r>
    </w:p>
    <w:p w14:paraId="5765857C">
      <w:pPr>
        <w:pStyle w:val="48"/>
        <w:spacing w:line="440" w:lineRule="exact"/>
        <w:outlineLvl w:val="9"/>
        <w:rPr>
          <w:rFonts w:ascii="宋体" w:hAnsi="宋体" w:eastAsia="宋体" w:cs="宋体"/>
          <w:color w:val="auto"/>
          <w:sz w:val="24"/>
          <w:szCs w:val="24"/>
          <w:highlight w:val="none"/>
        </w:rPr>
      </w:pPr>
      <w:bookmarkStart w:id="458" w:name="_Toc182365644"/>
      <w:r>
        <w:rPr>
          <w:rFonts w:hint="eastAsia" w:ascii="宋体" w:hAnsi="宋体" w:eastAsia="宋体" w:cs="宋体"/>
          <w:color w:val="auto"/>
          <w:sz w:val="24"/>
          <w:szCs w:val="24"/>
          <w:highlight w:val="none"/>
        </w:rPr>
        <w:t>一级护坡</w:t>
      </w:r>
      <w:bookmarkEnd w:id="458"/>
    </w:p>
    <w:p w14:paraId="3A7B895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景观较好，具固土护坡作用，植物造景具一定的观赏性。详见表A.13。</w:t>
      </w:r>
    </w:p>
    <w:p w14:paraId="62D00D01">
      <w:pPr>
        <w:pStyle w:val="48"/>
        <w:spacing w:line="440" w:lineRule="exact"/>
        <w:outlineLvl w:val="9"/>
        <w:rPr>
          <w:rFonts w:ascii="宋体" w:hAnsi="宋体" w:eastAsia="宋体" w:cs="宋体"/>
          <w:color w:val="auto"/>
          <w:sz w:val="24"/>
          <w:szCs w:val="24"/>
          <w:highlight w:val="none"/>
        </w:rPr>
      </w:pPr>
      <w:bookmarkStart w:id="459" w:name="_Toc182365645"/>
      <w:r>
        <w:rPr>
          <w:rFonts w:hint="eastAsia" w:ascii="宋体" w:hAnsi="宋体" w:eastAsia="宋体" w:cs="宋体"/>
          <w:color w:val="auto"/>
          <w:sz w:val="24"/>
          <w:szCs w:val="24"/>
          <w:highlight w:val="none"/>
        </w:rPr>
        <w:t>二级护坡</w:t>
      </w:r>
      <w:bookmarkEnd w:id="459"/>
    </w:p>
    <w:p w14:paraId="7DD94D5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景观尚可，具固定护坡作用及绿化效果，无需车辆喷淋水或人工淋水。详见表A.14。</w:t>
      </w:r>
    </w:p>
    <w:p w14:paraId="18D6DC37">
      <w:pPr>
        <w:pStyle w:val="48"/>
        <w:spacing w:line="440" w:lineRule="exact"/>
        <w:outlineLvl w:val="9"/>
        <w:rPr>
          <w:rFonts w:ascii="宋体" w:hAnsi="宋体" w:eastAsia="宋体" w:cs="宋体"/>
          <w:b/>
          <w:color w:val="auto"/>
          <w:sz w:val="24"/>
          <w:szCs w:val="24"/>
          <w:highlight w:val="none"/>
        </w:rPr>
      </w:pPr>
      <w:bookmarkStart w:id="460" w:name="_Toc182365646"/>
      <w:r>
        <w:rPr>
          <w:rFonts w:hint="eastAsia" w:ascii="宋体" w:hAnsi="宋体" w:eastAsia="宋体" w:cs="宋体"/>
          <w:color w:val="auto"/>
          <w:sz w:val="24"/>
          <w:szCs w:val="24"/>
          <w:highlight w:val="none"/>
        </w:rPr>
        <w:t>三级护坡</w:t>
      </w:r>
      <w:bookmarkEnd w:id="460"/>
    </w:p>
    <w:p w14:paraId="09D8B01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具固定护坡作用及绿化效果，基本保持原自然景观。详见表A.15。</w:t>
      </w:r>
    </w:p>
    <w:p w14:paraId="7EE0E9F4">
      <w:pPr>
        <w:pStyle w:val="45"/>
        <w:spacing w:before="120" w:after="120" w:line="440" w:lineRule="exact"/>
        <w:outlineLvl w:val="9"/>
        <w:rPr>
          <w:rFonts w:hAnsi="宋体" w:cs="宋体"/>
          <w:color w:val="auto"/>
          <w:sz w:val="24"/>
          <w:szCs w:val="24"/>
          <w:highlight w:val="none"/>
        </w:rPr>
      </w:pPr>
      <w:bookmarkStart w:id="461" w:name="_Toc182365760"/>
      <w:bookmarkStart w:id="462" w:name="_Toc182365597"/>
      <w:bookmarkStart w:id="463" w:name="_Toc182996274"/>
      <w:bookmarkStart w:id="464" w:name="_Toc182365780"/>
      <w:bookmarkStart w:id="465" w:name="_Toc182979481"/>
      <w:bookmarkStart w:id="466" w:name="_Toc182365648"/>
      <w:r>
        <w:rPr>
          <w:rFonts w:hint="eastAsia" w:ascii="宋体" w:hAnsi="宋体" w:eastAsia="宋体" w:cs="宋体"/>
          <w:color w:val="auto"/>
          <w:sz w:val="24"/>
          <w:szCs w:val="24"/>
          <w:highlight w:val="none"/>
        </w:rPr>
        <w:t>验收周期</w:t>
      </w:r>
      <w:bookmarkEnd w:id="461"/>
      <w:bookmarkEnd w:id="462"/>
      <w:r>
        <w:rPr>
          <w:rFonts w:hint="eastAsia" w:ascii="宋体" w:hAnsi="宋体" w:eastAsia="宋体" w:cs="宋体"/>
          <w:color w:val="auto"/>
          <w:sz w:val="24"/>
          <w:szCs w:val="24"/>
          <w:highlight w:val="none"/>
        </w:rPr>
        <w:t>与养护质量等级认定</w:t>
      </w:r>
      <w:bookmarkEnd w:id="463"/>
      <w:bookmarkEnd w:id="464"/>
      <w:bookmarkEnd w:id="465"/>
      <w:bookmarkEnd w:id="466"/>
    </w:p>
    <w:p w14:paraId="6E72DDC2">
      <w:pPr>
        <w:pStyle w:val="46"/>
        <w:spacing w:line="440" w:lineRule="exact"/>
        <w:outlineLvl w:val="9"/>
        <w:rPr>
          <w:rFonts w:ascii="宋体" w:hAnsi="宋体" w:eastAsia="宋体" w:cs="宋体"/>
          <w:color w:val="auto"/>
          <w:sz w:val="24"/>
          <w:szCs w:val="24"/>
          <w:highlight w:val="none"/>
        </w:rPr>
      </w:pPr>
      <w:bookmarkStart w:id="467" w:name="_Toc182365649"/>
      <w:r>
        <w:rPr>
          <w:rFonts w:hint="eastAsia" w:ascii="宋体" w:hAnsi="宋体" w:eastAsia="宋体" w:cs="宋体"/>
          <w:color w:val="auto"/>
          <w:sz w:val="24"/>
          <w:szCs w:val="24"/>
          <w:highlight w:val="none"/>
        </w:rPr>
        <w:t>验收周期</w:t>
      </w:r>
    </w:p>
    <w:p w14:paraId="1BC1EE90">
      <w:pPr>
        <w:pStyle w:val="43"/>
        <w:keepNext w:val="0"/>
        <w:keepLines w:val="0"/>
        <w:pageBreakBefore w:val="0"/>
        <w:widowControl/>
        <w:kinsoku/>
        <w:wordWrap/>
        <w:overflowPunct/>
        <w:topLinePunct w:val="0"/>
        <w:bidi w:val="0"/>
        <w:adjustRightInd/>
        <w:snapToGrid/>
        <w:spacing w:line="440" w:lineRule="exact"/>
        <w:ind w:firstLine="480"/>
        <w:textAlignment w:val="auto"/>
        <w:rPr>
          <w:rFonts w:hAnsi="宋体" w:cs="宋体"/>
          <w:color w:val="auto"/>
          <w:sz w:val="24"/>
          <w:szCs w:val="24"/>
          <w:highlight w:val="none"/>
        </w:rPr>
      </w:pPr>
      <w:r>
        <w:rPr>
          <w:rFonts w:hint="eastAsia" w:hAnsi="宋体" w:cs="宋体"/>
          <w:color w:val="auto"/>
          <w:sz w:val="24"/>
          <w:szCs w:val="24"/>
          <w:highlight w:val="none"/>
        </w:rPr>
        <w:t>宜定期验收与平时检查相结合，定期验收宜每年4次以上。</w:t>
      </w:r>
    </w:p>
    <w:bookmarkEnd w:id="467"/>
    <w:p w14:paraId="36AF2883">
      <w:pPr>
        <w:pStyle w:val="46"/>
        <w:keepNext w:val="0"/>
        <w:keepLines w:val="0"/>
        <w:pageBreakBefore w:val="0"/>
        <w:widowControl/>
        <w:kinsoku/>
        <w:wordWrap/>
        <w:overflowPunct/>
        <w:topLinePunct w:val="0"/>
        <w:bidi w:val="0"/>
        <w:adjustRightInd/>
        <w:snapToGrid/>
        <w:spacing w:beforeLines="0" w:afterLines="0" w:line="440" w:lineRule="exact"/>
        <w:textAlignment w:val="auto"/>
        <w:outlineLvl w:val="9"/>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养护质量等级认定</w:t>
      </w:r>
    </w:p>
    <w:p w14:paraId="75D77F84">
      <w:pPr>
        <w:pStyle w:val="43"/>
        <w:keepNext w:val="0"/>
        <w:keepLines w:val="0"/>
        <w:pageBreakBefore w:val="0"/>
        <w:widowControl/>
        <w:kinsoku/>
        <w:wordWrap/>
        <w:overflowPunct/>
        <w:topLinePunct w:val="0"/>
        <w:bidi w:val="0"/>
        <w:adjustRightInd/>
        <w:snapToGrid/>
        <w:spacing w:line="440" w:lineRule="exact"/>
        <w:ind w:firstLine="480"/>
        <w:textAlignment w:val="auto"/>
        <w:rPr>
          <w:rFonts w:hAnsi="宋体" w:cs="宋体"/>
          <w:color w:val="auto"/>
          <w:sz w:val="24"/>
          <w:szCs w:val="24"/>
          <w:highlight w:val="none"/>
        </w:rPr>
      </w:pPr>
      <w:r>
        <w:rPr>
          <w:rFonts w:hint="eastAsia" w:hAnsi="宋体" w:cs="宋体"/>
          <w:color w:val="auto"/>
          <w:sz w:val="24"/>
          <w:szCs w:val="24"/>
          <w:highlight w:val="none"/>
        </w:rPr>
        <w:t>根据所对应级别的养护验收质量要求，其中所含分项全部达到相应要求的即评为合格。</w:t>
      </w:r>
    </w:p>
    <w:p w14:paraId="60BDB3D2">
      <w:pPr>
        <w:keepNext w:val="0"/>
        <w:keepLines w:val="0"/>
        <w:pageBreakBefore w:val="0"/>
        <w:widowControl/>
        <w:shd w:val="clear" w:color="auto" w:fill="FFFFFF"/>
        <w:kinsoku/>
        <w:wordWrap/>
        <w:overflowPunct/>
        <w:topLinePunct w:val="0"/>
        <w:bidi w:val="0"/>
        <w:adjustRightInd/>
        <w:snapToGrid/>
        <w:spacing w:line="440" w:lineRule="exact"/>
        <w:textAlignment w:val="auto"/>
        <w:rPr>
          <w:rFonts w:hint="eastAsia" w:ascii="宋体" w:hAnsi="宋体"/>
          <w:b/>
          <w:color w:val="auto"/>
          <w:kern w:val="0"/>
          <w:sz w:val="24"/>
          <w:highlight w:val="none"/>
        </w:rPr>
      </w:pPr>
    </w:p>
    <w:p w14:paraId="6603A51C">
      <w:pPr>
        <w:keepNext w:val="0"/>
        <w:keepLines w:val="0"/>
        <w:pageBreakBefore w:val="0"/>
        <w:widowControl/>
        <w:shd w:val="clear" w:color="auto" w:fill="FFFFFF"/>
        <w:kinsoku/>
        <w:wordWrap/>
        <w:overflowPunct/>
        <w:topLinePunct w:val="0"/>
        <w:bidi w:val="0"/>
        <w:adjustRightInd/>
        <w:snapToGrid/>
        <w:spacing w:line="440" w:lineRule="exact"/>
        <w:ind w:firstLine="482" w:firstLineChars="200"/>
        <w:textAlignment w:val="auto"/>
        <w:rPr>
          <w:rFonts w:hint="eastAsia" w:ascii="宋体" w:hAnsi="宋体"/>
          <w:b/>
          <w:color w:val="auto"/>
          <w:kern w:val="0"/>
          <w:sz w:val="24"/>
          <w:highlight w:val="none"/>
        </w:rPr>
      </w:pPr>
      <w:r>
        <w:rPr>
          <w:rFonts w:hint="eastAsia" w:ascii="宋体" w:hAnsi="宋体"/>
          <w:b/>
          <w:color w:val="auto"/>
          <w:kern w:val="0"/>
          <w:sz w:val="24"/>
          <w:highlight w:val="none"/>
        </w:rPr>
        <w:t>在执行以上养护规范过程中，如出现指标验证为不合理或相关部门提高管理要求等情况下，采购方可对该养护规范进行适度调整。</w:t>
      </w:r>
    </w:p>
    <w:p w14:paraId="1A241A49">
      <w:pPr>
        <w:rPr>
          <w:rFonts w:hint="eastAsia" w:ascii="宋体" w:hAnsi="宋体" w:cs="宋体"/>
          <w:b/>
          <w:bCs/>
          <w:color w:val="auto"/>
          <w:kern w:val="0"/>
          <w:sz w:val="24"/>
          <w:highlight w:val="none"/>
        </w:rPr>
      </w:pPr>
      <w:r>
        <w:rPr>
          <w:rFonts w:hint="eastAsia" w:ascii="宋体" w:hAnsi="宋体"/>
          <w:b/>
          <w:color w:val="auto"/>
          <w:kern w:val="0"/>
          <w:sz w:val="24"/>
          <w:highlight w:val="none"/>
        </w:rPr>
        <w:br w:type="page"/>
      </w:r>
      <w:r>
        <w:rPr>
          <w:rFonts w:hint="eastAsia" w:ascii="宋体" w:hAnsi="宋体" w:cs="宋体"/>
          <w:b/>
          <w:bCs/>
          <w:color w:val="auto"/>
          <w:kern w:val="0"/>
          <w:sz w:val="24"/>
          <w:highlight w:val="none"/>
          <w:lang w:val="en-US" w:eastAsia="zh-CN"/>
        </w:rPr>
        <w:t>附件5-2-2</w:t>
      </w:r>
      <w:r>
        <w:rPr>
          <w:rFonts w:hint="eastAsia" w:ascii="宋体" w:hAnsi="宋体" w:cs="宋体"/>
          <w:b/>
          <w:bCs/>
          <w:color w:val="auto"/>
          <w:kern w:val="0"/>
          <w:sz w:val="24"/>
          <w:highlight w:val="none"/>
        </w:rPr>
        <w:t xml:space="preserve">                    </w:t>
      </w:r>
    </w:p>
    <w:p w14:paraId="1C8792BE">
      <w:pPr>
        <w:widowControl/>
        <w:shd w:val="clear" w:color="auto" w:fill="FFFFFF"/>
        <w:spacing w:before="640" w:after="200" w:line="44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养护质量要求</w:t>
      </w:r>
      <w:bookmarkEnd w:id="54"/>
      <w:r>
        <w:rPr>
          <w:rFonts w:hint="eastAsia" w:ascii="宋体" w:hAnsi="宋体" w:cs="宋体"/>
          <w:b/>
          <w:bCs/>
          <w:color w:val="auto"/>
          <w:kern w:val="0"/>
          <w:sz w:val="24"/>
          <w:highlight w:val="none"/>
        </w:rPr>
        <w:t>（规范性附录）</w:t>
      </w:r>
    </w:p>
    <w:p w14:paraId="73F5E9B0">
      <w:pPr>
        <w:widowControl/>
        <w:overflowPunct w:val="0"/>
        <w:spacing w:beforeLines="50" w:after="100" w:afterAutospacing="1" w:line="440" w:lineRule="exact"/>
        <w:jc w:val="center"/>
        <w:rPr>
          <w:rFonts w:ascii="宋体" w:hAnsi="宋体" w:cs="宋体"/>
          <w:b/>
          <w:bCs/>
          <w:color w:val="auto"/>
          <w:kern w:val="21"/>
          <w:sz w:val="24"/>
          <w:highlight w:val="none"/>
        </w:rPr>
      </w:pPr>
      <w:bookmarkStart w:id="468" w:name="_Toc506194936"/>
      <w:r>
        <w:rPr>
          <w:rFonts w:hint="eastAsia" w:ascii="宋体" w:hAnsi="宋体" w:cs="宋体"/>
          <w:b/>
          <w:bCs/>
          <w:color w:val="auto"/>
          <w:kern w:val="21"/>
          <w:sz w:val="24"/>
          <w:highlight w:val="none"/>
        </w:rPr>
        <w:t>（1）一级绿地养护质量要求</w:t>
      </w:r>
      <w:bookmarkEnd w:id="468"/>
      <w:r>
        <w:rPr>
          <w:rFonts w:hint="eastAsia" w:ascii="宋体" w:hAnsi="宋体" w:cs="宋体"/>
          <w:b/>
          <w:bCs/>
          <w:color w:val="auto"/>
          <w:kern w:val="21"/>
          <w:sz w:val="24"/>
          <w:highlight w:val="none"/>
        </w:rPr>
        <w:t>表</w:t>
      </w:r>
    </w:p>
    <w:tbl>
      <w:tblPr>
        <w:tblStyle w:val="22"/>
        <w:tblW w:w="10227" w:type="dxa"/>
        <w:jc w:val="center"/>
        <w:tblLayout w:type="fixed"/>
        <w:tblCellMar>
          <w:top w:w="0" w:type="dxa"/>
          <w:left w:w="108" w:type="dxa"/>
          <w:bottom w:w="0" w:type="dxa"/>
          <w:right w:w="108" w:type="dxa"/>
        </w:tblCellMar>
      </w:tblPr>
      <w:tblGrid>
        <w:gridCol w:w="727"/>
        <w:gridCol w:w="1483"/>
        <w:gridCol w:w="8017"/>
      </w:tblGrid>
      <w:tr w14:paraId="4E97E021">
        <w:tblPrEx>
          <w:tblCellMar>
            <w:top w:w="0" w:type="dxa"/>
            <w:left w:w="108" w:type="dxa"/>
            <w:bottom w:w="0" w:type="dxa"/>
            <w:right w:w="108" w:type="dxa"/>
          </w:tblCellMar>
        </w:tblPrEx>
        <w:trPr>
          <w:trHeight w:val="655" w:hRule="atLeast"/>
          <w:jc w:val="center"/>
        </w:trPr>
        <w:tc>
          <w:tcPr>
            <w:tcW w:w="727" w:type="dxa"/>
            <w:tcBorders>
              <w:top w:val="single" w:color="auto" w:sz="12" w:space="0"/>
              <w:left w:val="single" w:color="auto" w:sz="12" w:space="0"/>
              <w:bottom w:val="single" w:color="auto" w:sz="12" w:space="0"/>
              <w:right w:val="single" w:color="auto" w:sz="4" w:space="0"/>
            </w:tcBorders>
            <w:noWrap w:val="0"/>
            <w:vAlign w:val="center"/>
          </w:tcPr>
          <w:p w14:paraId="023AFA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序号</w:t>
            </w:r>
          </w:p>
        </w:tc>
        <w:tc>
          <w:tcPr>
            <w:tcW w:w="1483" w:type="dxa"/>
            <w:tcBorders>
              <w:top w:val="single" w:color="auto" w:sz="12" w:space="0"/>
              <w:left w:val="nil"/>
              <w:bottom w:val="single" w:color="auto" w:sz="12" w:space="0"/>
              <w:right w:val="single" w:color="auto" w:sz="4" w:space="0"/>
            </w:tcBorders>
            <w:noWrap w:val="0"/>
            <w:vAlign w:val="center"/>
          </w:tcPr>
          <w:p w14:paraId="179DCB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项目</w:t>
            </w:r>
          </w:p>
        </w:tc>
        <w:tc>
          <w:tcPr>
            <w:tcW w:w="8017" w:type="dxa"/>
            <w:tcBorders>
              <w:top w:val="single" w:color="auto" w:sz="12" w:space="0"/>
              <w:left w:val="nil"/>
              <w:bottom w:val="single" w:color="auto" w:sz="12" w:space="0"/>
              <w:right w:val="single" w:color="auto" w:sz="12" w:space="0"/>
            </w:tcBorders>
            <w:noWrap w:val="0"/>
            <w:vAlign w:val="center"/>
          </w:tcPr>
          <w:p w14:paraId="37A7AC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质量要求</w:t>
            </w:r>
          </w:p>
        </w:tc>
      </w:tr>
      <w:tr w14:paraId="4980EE20">
        <w:tblPrEx>
          <w:tblCellMar>
            <w:top w:w="0" w:type="dxa"/>
            <w:left w:w="108" w:type="dxa"/>
            <w:bottom w:w="0" w:type="dxa"/>
            <w:right w:w="108" w:type="dxa"/>
          </w:tblCellMar>
        </w:tblPrEx>
        <w:trPr>
          <w:trHeight w:val="646" w:hRule="atLeast"/>
          <w:jc w:val="center"/>
        </w:trPr>
        <w:tc>
          <w:tcPr>
            <w:tcW w:w="727" w:type="dxa"/>
            <w:tcBorders>
              <w:top w:val="single" w:color="auto" w:sz="12" w:space="0"/>
              <w:left w:val="single" w:color="auto" w:sz="12" w:space="0"/>
              <w:bottom w:val="single" w:color="auto" w:sz="4" w:space="0"/>
              <w:right w:val="single" w:color="auto" w:sz="4" w:space="0"/>
            </w:tcBorders>
            <w:noWrap w:val="0"/>
            <w:vAlign w:val="center"/>
          </w:tcPr>
          <w:p w14:paraId="38D9D4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一</w:t>
            </w:r>
          </w:p>
        </w:tc>
        <w:tc>
          <w:tcPr>
            <w:tcW w:w="1483" w:type="dxa"/>
            <w:tcBorders>
              <w:top w:val="single" w:color="auto" w:sz="12" w:space="0"/>
              <w:left w:val="nil"/>
              <w:bottom w:val="single" w:color="auto" w:sz="4" w:space="0"/>
              <w:right w:val="single" w:color="auto" w:sz="4" w:space="0"/>
            </w:tcBorders>
            <w:noWrap w:val="0"/>
            <w:vAlign w:val="center"/>
          </w:tcPr>
          <w:p w14:paraId="49B8D2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群落结构与整体效果</w:t>
            </w:r>
          </w:p>
        </w:tc>
        <w:tc>
          <w:tcPr>
            <w:tcW w:w="8017" w:type="dxa"/>
            <w:tcBorders>
              <w:top w:val="single" w:color="auto" w:sz="12" w:space="0"/>
              <w:left w:val="nil"/>
              <w:bottom w:val="single" w:color="auto" w:sz="4" w:space="0"/>
              <w:right w:val="single" w:color="auto" w:sz="12" w:space="0"/>
            </w:tcBorders>
            <w:noWrap w:val="0"/>
            <w:vAlign w:val="center"/>
          </w:tcPr>
          <w:p w14:paraId="3C3E385F">
            <w:pPr>
              <w:keepNext w:val="0"/>
              <w:keepLines w:val="0"/>
              <w:pageBreakBefore w:val="0"/>
              <w:widowControl w:val="0"/>
              <w:kinsoku/>
              <w:wordWrap/>
              <w:overflowPunct/>
              <w:topLinePunct w:val="0"/>
              <w:autoSpaceDE/>
              <w:autoSpaceDN/>
              <w:bidi w:val="0"/>
              <w:adjustRightInd/>
              <w:snapToGrid/>
              <w:spacing w:line="360" w:lineRule="exact"/>
              <w:ind w:firstLine="360"/>
              <w:textAlignment w:val="auto"/>
              <w:rPr>
                <w:rFonts w:ascii="宋体" w:hAnsi="宋体" w:cs="宋体"/>
                <w:color w:val="auto"/>
                <w:spacing w:val="-4"/>
                <w:sz w:val="22"/>
                <w:szCs w:val="22"/>
                <w:highlight w:val="none"/>
              </w:rPr>
            </w:pPr>
            <w:r>
              <w:rPr>
                <w:rFonts w:hint="eastAsia" w:ascii="宋体" w:hAnsi="宋体" w:cs="宋体"/>
                <w:color w:val="auto"/>
                <w:spacing w:val="-4"/>
                <w:sz w:val="22"/>
                <w:szCs w:val="22"/>
                <w:highlight w:val="none"/>
              </w:rPr>
              <w:t>植物配置合理、层次丰富，植株生长空间与层次处理得当，具有完整的群落结构，绿量大，基本无积尘，整体观赏效果优良。</w:t>
            </w:r>
          </w:p>
        </w:tc>
      </w:tr>
      <w:tr w14:paraId="46BB5F34">
        <w:tblPrEx>
          <w:tblCellMar>
            <w:top w:w="0" w:type="dxa"/>
            <w:left w:w="108" w:type="dxa"/>
            <w:bottom w:w="0" w:type="dxa"/>
            <w:right w:w="108" w:type="dxa"/>
          </w:tblCellMar>
        </w:tblPrEx>
        <w:trPr>
          <w:trHeight w:val="690" w:hRule="atLeast"/>
          <w:jc w:val="center"/>
        </w:trPr>
        <w:tc>
          <w:tcPr>
            <w:tcW w:w="727" w:type="dxa"/>
            <w:tcBorders>
              <w:top w:val="single" w:color="auto" w:sz="4" w:space="0"/>
              <w:left w:val="single" w:color="auto" w:sz="12" w:space="0"/>
              <w:bottom w:val="single" w:color="auto" w:sz="4" w:space="0"/>
              <w:right w:val="single" w:color="auto" w:sz="4" w:space="0"/>
            </w:tcBorders>
            <w:noWrap w:val="0"/>
            <w:vAlign w:val="center"/>
          </w:tcPr>
          <w:p w14:paraId="3B08C4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二</w:t>
            </w:r>
          </w:p>
        </w:tc>
        <w:tc>
          <w:tcPr>
            <w:tcW w:w="1483" w:type="dxa"/>
            <w:tcBorders>
              <w:top w:val="single" w:color="auto" w:sz="4" w:space="0"/>
              <w:left w:val="nil"/>
              <w:bottom w:val="single" w:color="auto" w:sz="4" w:space="0"/>
              <w:right w:val="single" w:color="auto" w:sz="4" w:space="0"/>
            </w:tcBorders>
            <w:noWrap w:val="0"/>
            <w:vAlign w:val="center"/>
          </w:tcPr>
          <w:p w14:paraId="13037C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植物生长</w:t>
            </w:r>
          </w:p>
        </w:tc>
        <w:tc>
          <w:tcPr>
            <w:tcW w:w="8017" w:type="dxa"/>
            <w:tcBorders>
              <w:top w:val="single" w:color="auto" w:sz="4" w:space="0"/>
              <w:left w:val="nil"/>
              <w:bottom w:val="single" w:color="auto" w:sz="4" w:space="0"/>
              <w:right w:val="single" w:color="auto" w:sz="12" w:space="0"/>
            </w:tcBorders>
            <w:noWrap w:val="0"/>
            <w:vAlign w:val="center"/>
          </w:tcPr>
          <w:p w14:paraId="0089B5E2">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生长良好，符合物候状况，叶的颜色、形状、大小正常，树体自然；观花植物适时开花，花期基本一致。达标率＞95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w:t>
            </w:r>
          </w:p>
        </w:tc>
      </w:tr>
      <w:tr w14:paraId="727E67F3">
        <w:tblPrEx>
          <w:tblCellMar>
            <w:top w:w="0" w:type="dxa"/>
            <w:left w:w="108" w:type="dxa"/>
            <w:bottom w:w="0" w:type="dxa"/>
            <w:right w:w="108" w:type="dxa"/>
          </w:tblCellMar>
        </w:tblPrEx>
        <w:trPr>
          <w:trHeight w:val="1828" w:hRule="atLeast"/>
          <w:jc w:val="center"/>
        </w:trPr>
        <w:tc>
          <w:tcPr>
            <w:tcW w:w="727" w:type="dxa"/>
            <w:tcBorders>
              <w:top w:val="single" w:color="auto" w:sz="4" w:space="0"/>
              <w:left w:val="single" w:color="auto" w:sz="12" w:space="0"/>
              <w:bottom w:val="single" w:color="auto" w:sz="4" w:space="0"/>
              <w:right w:val="single" w:color="auto" w:sz="4" w:space="0"/>
            </w:tcBorders>
            <w:noWrap w:val="0"/>
            <w:vAlign w:val="center"/>
          </w:tcPr>
          <w:p w14:paraId="7F89AB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三</w:t>
            </w:r>
          </w:p>
        </w:tc>
        <w:tc>
          <w:tcPr>
            <w:tcW w:w="1483" w:type="dxa"/>
            <w:tcBorders>
              <w:top w:val="single" w:color="auto" w:sz="4" w:space="0"/>
              <w:left w:val="nil"/>
              <w:bottom w:val="single" w:color="auto" w:sz="4" w:space="0"/>
              <w:right w:val="single" w:color="auto" w:sz="4" w:space="0"/>
            </w:tcBorders>
            <w:noWrap w:val="0"/>
            <w:vAlign w:val="center"/>
          </w:tcPr>
          <w:p w14:paraId="54CDA0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整形修剪</w:t>
            </w:r>
          </w:p>
        </w:tc>
        <w:tc>
          <w:tcPr>
            <w:tcW w:w="8017" w:type="dxa"/>
            <w:tcBorders>
              <w:top w:val="single" w:color="auto" w:sz="4" w:space="0"/>
              <w:left w:val="nil"/>
              <w:bottom w:val="single" w:color="auto" w:sz="4" w:space="0"/>
              <w:right w:val="single" w:color="auto" w:sz="12" w:space="0"/>
            </w:tcBorders>
            <w:noWrap w:val="0"/>
            <w:vAlign w:val="center"/>
          </w:tcPr>
          <w:p w14:paraId="537E5E22">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乔木：定时修剪，无干枯枝、缠绕物、钉挂物，分枝合理，树冠匀称，观赏效果良好。整型乔灌木：按要求养成并维持一定形态，生长茂密，脚叶丰满。形态优美。孤植灌木：按要求养成观花或观叶形态，同一品种物候基本一致，树形美观，无枯枝。片植灌木：图形清晰、线条明显、流畅，无明显杂草。草本地被为常绿观花或观叶形态，整体基本整齐，基本无枯黄叶、杂草。达标率＞95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w:t>
            </w:r>
          </w:p>
        </w:tc>
      </w:tr>
      <w:tr w14:paraId="79B289E7">
        <w:tblPrEx>
          <w:tblCellMar>
            <w:top w:w="0" w:type="dxa"/>
            <w:left w:w="108" w:type="dxa"/>
            <w:bottom w:w="0" w:type="dxa"/>
            <w:right w:w="108" w:type="dxa"/>
          </w:tblCellMar>
        </w:tblPrEx>
        <w:trPr>
          <w:trHeight w:val="931" w:hRule="atLeast"/>
          <w:jc w:val="center"/>
        </w:trPr>
        <w:tc>
          <w:tcPr>
            <w:tcW w:w="727" w:type="dxa"/>
            <w:tcBorders>
              <w:top w:val="single" w:color="auto" w:sz="4" w:space="0"/>
              <w:left w:val="single" w:color="auto" w:sz="12" w:space="0"/>
              <w:bottom w:val="single" w:color="auto" w:sz="4" w:space="0"/>
              <w:right w:val="single" w:color="auto" w:sz="4" w:space="0"/>
            </w:tcBorders>
            <w:noWrap w:val="0"/>
            <w:vAlign w:val="center"/>
          </w:tcPr>
          <w:p w14:paraId="6C1C2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四</w:t>
            </w:r>
          </w:p>
        </w:tc>
        <w:tc>
          <w:tcPr>
            <w:tcW w:w="1483" w:type="dxa"/>
            <w:tcBorders>
              <w:top w:val="single" w:color="auto" w:sz="4" w:space="0"/>
              <w:left w:val="nil"/>
              <w:bottom w:val="single" w:color="auto" w:sz="4" w:space="0"/>
              <w:right w:val="single" w:color="auto" w:sz="4" w:space="0"/>
            </w:tcBorders>
            <w:noWrap w:val="0"/>
            <w:vAlign w:val="center"/>
          </w:tcPr>
          <w:p w14:paraId="30B476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树盘</w:t>
            </w:r>
          </w:p>
        </w:tc>
        <w:tc>
          <w:tcPr>
            <w:tcW w:w="8017" w:type="dxa"/>
            <w:tcBorders>
              <w:top w:val="single" w:color="auto" w:sz="4" w:space="0"/>
              <w:left w:val="nil"/>
              <w:bottom w:val="single" w:color="auto" w:sz="4" w:space="0"/>
              <w:right w:val="single" w:color="auto" w:sz="12" w:space="0"/>
            </w:tcBorders>
            <w:noWrap w:val="0"/>
            <w:vAlign w:val="center"/>
          </w:tcPr>
          <w:p w14:paraId="15DF92C3">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有地被树盘：其形状、大小整齐规范，满盘，不攀缠植株，无明显杂草、杂物。无地被树盘：大小合适，边线整齐，土壤疏松、细碎，基本无杂草、杂物。达标率＞95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w:t>
            </w:r>
          </w:p>
        </w:tc>
      </w:tr>
      <w:tr w14:paraId="69A5370B">
        <w:tblPrEx>
          <w:tblCellMar>
            <w:top w:w="0" w:type="dxa"/>
            <w:left w:w="108" w:type="dxa"/>
            <w:bottom w:w="0" w:type="dxa"/>
            <w:right w:w="108" w:type="dxa"/>
          </w:tblCellMar>
        </w:tblPrEx>
        <w:trPr>
          <w:trHeight w:val="1393" w:hRule="atLeast"/>
          <w:jc w:val="center"/>
        </w:trPr>
        <w:tc>
          <w:tcPr>
            <w:tcW w:w="727" w:type="dxa"/>
            <w:tcBorders>
              <w:top w:val="single" w:color="auto" w:sz="4" w:space="0"/>
              <w:left w:val="single" w:color="auto" w:sz="12" w:space="0"/>
              <w:bottom w:val="single" w:color="auto" w:sz="4" w:space="0"/>
              <w:right w:val="single" w:color="auto" w:sz="4" w:space="0"/>
            </w:tcBorders>
            <w:noWrap w:val="0"/>
            <w:vAlign w:val="center"/>
          </w:tcPr>
          <w:p w14:paraId="4E11B3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五</w:t>
            </w:r>
          </w:p>
        </w:tc>
        <w:tc>
          <w:tcPr>
            <w:tcW w:w="1483" w:type="dxa"/>
            <w:tcBorders>
              <w:top w:val="single" w:color="auto" w:sz="4" w:space="0"/>
              <w:left w:val="nil"/>
              <w:bottom w:val="single" w:color="auto" w:sz="4" w:space="0"/>
              <w:right w:val="single" w:color="auto" w:sz="4" w:space="0"/>
            </w:tcBorders>
            <w:noWrap w:val="0"/>
            <w:vAlign w:val="center"/>
          </w:tcPr>
          <w:p w14:paraId="42F582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草坪</w:t>
            </w:r>
          </w:p>
        </w:tc>
        <w:tc>
          <w:tcPr>
            <w:tcW w:w="8017" w:type="dxa"/>
            <w:tcBorders>
              <w:top w:val="single" w:color="auto" w:sz="4" w:space="0"/>
              <w:left w:val="nil"/>
              <w:bottom w:val="single" w:color="auto" w:sz="4" w:space="0"/>
              <w:right w:val="single" w:color="auto" w:sz="12" w:space="0"/>
            </w:tcBorders>
            <w:noWrap w:val="0"/>
            <w:vAlign w:val="center"/>
          </w:tcPr>
          <w:p w14:paraId="3A3CEEFD">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观赏性草坪，青绿无枯黄，无大型杂草和异型杂草，目的草种纯度95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以上。开放类草坪，生长季节青绿，无明显枯黄现象，无大型杂草，目的草种纯度90</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以上。草坪平整不起团，高度在8cm以下；无明显坑洼、小洞，草坪边缘线（与路面、色块交界处）清晰。达标率＞95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w:t>
            </w:r>
          </w:p>
        </w:tc>
      </w:tr>
      <w:tr w14:paraId="68C694D4">
        <w:tblPrEx>
          <w:tblCellMar>
            <w:top w:w="0" w:type="dxa"/>
            <w:left w:w="108" w:type="dxa"/>
            <w:bottom w:w="0" w:type="dxa"/>
            <w:right w:w="108" w:type="dxa"/>
          </w:tblCellMar>
        </w:tblPrEx>
        <w:trPr>
          <w:trHeight w:val="789" w:hRule="atLeast"/>
          <w:jc w:val="center"/>
        </w:trPr>
        <w:tc>
          <w:tcPr>
            <w:tcW w:w="727" w:type="dxa"/>
            <w:tcBorders>
              <w:top w:val="single" w:color="auto" w:sz="4" w:space="0"/>
              <w:left w:val="single" w:color="auto" w:sz="12" w:space="0"/>
              <w:bottom w:val="single" w:color="auto" w:sz="4" w:space="0"/>
              <w:right w:val="single" w:color="auto" w:sz="4" w:space="0"/>
            </w:tcBorders>
            <w:noWrap w:val="0"/>
            <w:vAlign w:val="center"/>
          </w:tcPr>
          <w:p w14:paraId="59CFCB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六</w:t>
            </w:r>
          </w:p>
        </w:tc>
        <w:tc>
          <w:tcPr>
            <w:tcW w:w="1483" w:type="dxa"/>
            <w:tcBorders>
              <w:top w:val="single" w:color="auto" w:sz="4" w:space="0"/>
              <w:left w:val="nil"/>
              <w:bottom w:val="single" w:color="auto" w:sz="4" w:space="0"/>
              <w:right w:val="single" w:color="auto" w:sz="4" w:space="0"/>
            </w:tcBorders>
            <w:noWrap w:val="0"/>
            <w:vAlign w:val="center"/>
          </w:tcPr>
          <w:p w14:paraId="42E28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病虫害</w:t>
            </w:r>
          </w:p>
          <w:p w14:paraId="0CC096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控制</w:t>
            </w:r>
          </w:p>
        </w:tc>
        <w:tc>
          <w:tcPr>
            <w:tcW w:w="8017" w:type="dxa"/>
            <w:tcBorders>
              <w:top w:val="single" w:color="auto" w:sz="4" w:space="0"/>
              <w:left w:val="nil"/>
              <w:bottom w:val="single" w:color="auto" w:sz="4" w:space="0"/>
              <w:right w:val="single" w:color="auto" w:sz="12" w:space="0"/>
            </w:tcBorders>
            <w:noWrap w:val="0"/>
            <w:vAlign w:val="center"/>
          </w:tcPr>
          <w:p w14:paraId="02E5F4EF">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基本无危害迹象；病虫害总</w:t>
            </w:r>
            <w:r>
              <w:rPr>
                <w:rFonts w:hint="eastAsia" w:ascii="宋体" w:hAnsi="宋体" w:cs="宋体"/>
                <w:color w:val="auto"/>
                <w:sz w:val="22"/>
                <w:szCs w:val="22"/>
                <w:highlight w:val="none"/>
                <w:lang w:val="en-US" w:eastAsia="zh-CN"/>
              </w:rPr>
              <w:t>危</w:t>
            </w:r>
            <w:r>
              <w:rPr>
                <w:rFonts w:hint="eastAsia" w:ascii="宋体" w:hAnsi="宋体" w:cs="宋体"/>
                <w:color w:val="auto"/>
                <w:sz w:val="22"/>
                <w:szCs w:val="22"/>
                <w:highlight w:val="none"/>
              </w:rPr>
              <w:t>害率＜10%，其中蛀干、根部害虫、食叶性害虫＜5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，刺吸性害虫＜10</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，基本无寄生，病害感染率＜5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w:t>
            </w:r>
          </w:p>
        </w:tc>
      </w:tr>
      <w:tr w14:paraId="6776D044">
        <w:tblPrEx>
          <w:tblCellMar>
            <w:top w:w="0" w:type="dxa"/>
            <w:left w:w="108" w:type="dxa"/>
            <w:bottom w:w="0" w:type="dxa"/>
            <w:right w:w="108" w:type="dxa"/>
          </w:tblCellMar>
        </w:tblPrEx>
        <w:trPr>
          <w:trHeight w:val="930" w:hRule="atLeast"/>
          <w:jc w:val="center"/>
        </w:trPr>
        <w:tc>
          <w:tcPr>
            <w:tcW w:w="727" w:type="dxa"/>
            <w:tcBorders>
              <w:top w:val="single" w:color="auto" w:sz="4" w:space="0"/>
              <w:left w:val="single" w:color="auto" w:sz="12" w:space="0"/>
              <w:bottom w:val="single" w:color="auto" w:sz="4" w:space="0"/>
              <w:right w:val="single" w:color="auto" w:sz="4" w:space="0"/>
            </w:tcBorders>
            <w:noWrap w:val="0"/>
            <w:vAlign w:val="center"/>
          </w:tcPr>
          <w:p w14:paraId="396D31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七</w:t>
            </w:r>
          </w:p>
        </w:tc>
        <w:tc>
          <w:tcPr>
            <w:tcW w:w="1483" w:type="dxa"/>
            <w:tcBorders>
              <w:top w:val="single" w:color="auto" w:sz="4" w:space="0"/>
              <w:left w:val="nil"/>
              <w:bottom w:val="single" w:color="auto" w:sz="4" w:space="0"/>
              <w:right w:val="single" w:color="auto" w:sz="4" w:space="0"/>
            </w:tcBorders>
            <w:noWrap w:val="0"/>
            <w:vAlign w:val="center"/>
          </w:tcPr>
          <w:p w14:paraId="103280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保存率与</w:t>
            </w:r>
          </w:p>
          <w:p w14:paraId="602C01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覆盖率</w:t>
            </w:r>
          </w:p>
        </w:tc>
        <w:tc>
          <w:tcPr>
            <w:tcW w:w="8017" w:type="dxa"/>
            <w:tcBorders>
              <w:top w:val="single" w:color="auto" w:sz="4" w:space="0"/>
              <w:left w:val="nil"/>
              <w:bottom w:val="single" w:color="auto" w:sz="4" w:space="0"/>
              <w:right w:val="single" w:color="auto" w:sz="12" w:space="0"/>
            </w:tcBorders>
            <w:noWrap w:val="0"/>
            <w:vAlign w:val="center"/>
          </w:tcPr>
          <w:p w14:paraId="41BCA6E0">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及时补种与改造，黄土裸露率＜1</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，乔灌木缺株率＜1</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，单处明显裸露面积＜3m</w:t>
            </w:r>
            <w:r>
              <w:rPr>
                <w:rFonts w:hint="eastAsia" w:ascii="宋体" w:hAnsi="宋体" w:cs="宋体"/>
                <w:color w:val="auto"/>
                <w:sz w:val="22"/>
                <w:szCs w:val="22"/>
                <w:highlight w:val="none"/>
                <w:vertAlign w:val="superscript"/>
              </w:rPr>
              <w:t>2</w:t>
            </w:r>
            <w:r>
              <w:rPr>
                <w:rFonts w:hint="eastAsia" w:ascii="宋体" w:hAnsi="宋体" w:cs="宋体"/>
                <w:color w:val="auto"/>
                <w:sz w:val="22"/>
                <w:szCs w:val="22"/>
                <w:highlight w:val="none"/>
              </w:rPr>
              <w:t>；花坛色块中的时花及时换种，保持常年有花。</w:t>
            </w:r>
          </w:p>
        </w:tc>
      </w:tr>
      <w:tr w14:paraId="281FF186">
        <w:tblPrEx>
          <w:tblCellMar>
            <w:top w:w="0" w:type="dxa"/>
            <w:left w:w="108" w:type="dxa"/>
            <w:bottom w:w="0" w:type="dxa"/>
            <w:right w:w="108" w:type="dxa"/>
          </w:tblCellMar>
        </w:tblPrEx>
        <w:trPr>
          <w:trHeight w:val="930" w:hRule="atLeast"/>
          <w:jc w:val="center"/>
        </w:trPr>
        <w:tc>
          <w:tcPr>
            <w:tcW w:w="727" w:type="dxa"/>
            <w:tcBorders>
              <w:top w:val="single" w:color="auto" w:sz="4" w:space="0"/>
              <w:left w:val="single" w:color="auto" w:sz="12" w:space="0"/>
              <w:bottom w:val="single" w:color="auto" w:sz="4" w:space="0"/>
              <w:right w:val="single" w:color="auto" w:sz="4" w:space="0"/>
            </w:tcBorders>
            <w:noWrap w:val="0"/>
            <w:vAlign w:val="center"/>
          </w:tcPr>
          <w:p w14:paraId="466401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八</w:t>
            </w:r>
          </w:p>
        </w:tc>
        <w:tc>
          <w:tcPr>
            <w:tcW w:w="1483" w:type="dxa"/>
            <w:tcBorders>
              <w:top w:val="single" w:color="auto" w:sz="4" w:space="0"/>
              <w:left w:val="nil"/>
              <w:bottom w:val="single" w:color="auto" w:sz="4" w:space="0"/>
              <w:right w:val="single" w:color="auto" w:sz="4" w:space="0"/>
            </w:tcBorders>
            <w:noWrap w:val="0"/>
            <w:vAlign w:val="center"/>
          </w:tcPr>
          <w:p w14:paraId="50C39C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环境卫生</w:t>
            </w:r>
          </w:p>
        </w:tc>
        <w:tc>
          <w:tcPr>
            <w:tcW w:w="8017" w:type="dxa"/>
            <w:tcBorders>
              <w:top w:val="single" w:color="auto" w:sz="4" w:space="0"/>
              <w:left w:val="nil"/>
              <w:bottom w:val="single" w:color="auto" w:sz="4" w:space="0"/>
              <w:right w:val="single" w:color="auto" w:sz="12" w:space="0"/>
            </w:tcBorders>
            <w:noWrap w:val="0"/>
            <w:vAlign w:val="center"/>
          </w:tcPr>
          <w:p w14:paraId="573B0072">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建筑小品、辅助设施整洁无损；水池无悬浮物，水体清洁；无死树、残桩头、堆积物；无明显垃圾，基本无果皮、烟头、瓜子壳、纸屑等垃圾。达标率＞95</w:t>
            </w:r>
            <w:r>
              <w:rPr>
                <w:rFonts w:hint="eastAsia" w:ascii="宋体" w:hAnsi="宋体" w:cs="宋体"/>
                <w:color w:val="auto"/>
                <w:spacing w:val="-30"/>
                <w:sz w:val="22"/>
                <w:szCs w:val="22"/>
                <w:highlight w:val="none"/>
              </w:rPr>
              <w:t>％</w:t>
            </w:r>
            <w:r>
              <w:rPr>
                <w:rFonts w:hint="eastAsia" w:ascii="宋体" w:hAnsi="宋体" w:cs="宋体"/>
                <w:color w:val="auto"/>
                <w:sz w:val="22"/>
                <w:szCs w:val="22"/>
                <w:highlight w:val="none"/>
              </w:rPr>
              <w:t>。</w:t>
            </w:r>
          </w:p>
        </w:tc>
      </w:tr>
      <w:tr w14:paraId="4599F5EB">
        <w:tblPrEx>
          <w:tblCellMar>
            <w:top w:w="0" w:type="dxa"/>
            <w:left w:w="108" w:type="dxa"/>
            <w:bottom w:w="0" w:type="dxa"/>
            <w:right w:w="108" w:type="dxa"/>
          </w:tblCellMar>
        </w:tblPrEx>
        <w:trPr>
          <w:cantSplit/>
          <w:trHeight w:val="896" w:hRule="atLeast"/>
          <w:jc w:val="center"/>
        </w:trPr>
        <w:tc>
          <w:tcPr>
            <w:tcW w:w="10227" w:type="dxa"/>
            <w:gridSpan w:val="3"/>
            <w:tcBorders>
              <w:top w:val="single" w:color="auto" w:sz="4" w:space="0"/>
              <w:left w:val="single" w:color="auto" w:sz="12" w:space="0"/>
              <w:bottom w:val="single" w:color="auto" w:sz="12" w:space="0"/>
              <w:right w:val="single" w:color="auto" w:sz="12" w:space="0"/>
            </w:tcBorders>
            <w:noWrap w:val="0"/>
            <w:vAlign w:val="center"/>
          </w:tcPr>
          <w:p w14:paraId="253A86DE">
            <w:pPr>
              <w:keepNext w:val="0"/>
              <w:keepLines w:val="0"/>
              <w:pageBreakBefore w:val="0"/>
              <w:widowControl w:val="0"/>
              <w:kinsoku/>
              <w:wordWrap/>
              <w:overflowPunct/>
              <w:topLinePunct w:val="0"/>
              <w:autoSpaceDE/>
              <w:autoSpaceDN/>
              <w:bidi w:val="0"/>
              <w:adjustRightInd/>
              <w:snapToGrid/>
              <w:spacing w:line="36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注：达标率指乔木、灌木、地被、草坪等被检目标达到相应要求的植株数（或面积）占总株数（或总面积）的百分比。</w:t>
            </w:r>
          </w:p>
        </w:tc>
      </w:tr>
    </w:tbl>
    <w:p w14:paraId="2FAC0DFC">
      <w:pPr>
        <w:jc w:val="center"/>
        <w:rPr>
          <w:rFonts w:ascii="宋体" w:hAnsi="宋体" w:cs="宋体"/>
          <w:color w:val="auto"/>
          <w:kern w:val="21"/>
          <w:sz w:val="24"/>
          <w:highlight w:val="none"/>
        </w:rPr>
      </w:pPr>
      <w:r>
        <w:rPr>
          <w:rFonts w:hint="eastAsia" w:ascii="宋体" w:hAnsi="宋体" w:cs="宋体"/>
          <w:b/>
          <w:bCs/>
          <w:color w:val="auto"/>
          <w:sz w:val="24"/>
          <w:highlight w:val="none"/>
        </w:rPr>
        <w:br w:type="page"/>
      </w:r>
      <w:r>
        <w:rPr>
          <w:rFonts w:hint="eastAsia" w:ascii="宋体" w:hAnsi="宋体" w:cs="宋体"/>
          <w:b/>
          <w:bCs/>
          <w:color w:val="auto"/>
          <w:sz w:val="24"/>
          <w:highlight w:val="none"/>
        </w:rPr>
        <w:t>（2）一级行道树养护质量要求表</w:t>
      </w:r>
    </w:p>
    <w:tbl>
      <w:tblPr>
        <w:tblStyle w:val="22"/>
        <w:tblW w:w="10225" w:type="dxa"/>
        <w:jc w:val="center"/>
        <w:tblLayout w:type="fixed"/>
        <w:tblCellMar>
          <w:top w:w="0" w:type="dxa"/>
          <w:left w:w="108" w:type="dxa"/>
          <w:bottom w:w="0" w:type="dxa"/>
          <w:right w:w="108" w:type="dxa"/>
        </w:tblCellMar>
      </w:tblPr>
      <w:tblGrid>
        <w:gridCol w:w="709"/>
        <w:gridCol w:w="1359"/>
        <w:gridCol w:w="8157"/>
      </w:tblGrid>
      <w:tr w14:paraId="3F935936">
        <w:tblPrEx>
          <w:tblCellMar>
            <w:top w:w="0" w:type="dxa"/>
            <w:left w:w="108" w:type="dxa"/>
            <w:bottom w:w="0" w:type="dxa"/>
            <w:right w:w="108" w:type="dxa"/>
          </w:tblCellMar>
        </w:tblPrEx>
        <w:trPr>
          <w:trHeight w:val="711" w:hRule="atLeast"/>
          <w:jc w:val="center"/>
        </w:trPr>
        <w:tc>
          <w:tcPr>
            <w:tcW w:w="709" w:type="dxa"/>
            <w:tcBorders>
              <w:top w:val="single" w:color="auto" w:sz="12" w:space="0"/>
              <w:left w:val="single" w:color="auto" w:sz="12" w:space="0"/>
              <w:bottom w:val="single" w:color="auto" w:sz="4" w:space="0"/>
              <w:right w:val="single" w:color="auto" w:sz="4" w:space="0"/>
            </w:tcBorders>
            <w:noWrap w:val="0"/>
            <w:vAlign w:val="center"/>
          </w:tcPr>
          <w:p w14:paraId="7293957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1359" w:type="dxa"/>
            <w:tcBorders>
              <w:top w:val="single" w:color="auto" w:sz="12" w:space="0"/>
              <w:left w:val="single" w:color="auto" w:sz="4" w:space="0"/>
              <w:bottom w:val="single" w:color="auto" w:sz="4" w:space="0"/>
              <w:right w:val="single" w:color="auto" w:sz="4" w:space="0"/>
            </w:tcBorders>
            <w:noWrap w:val="0"/>
            <w:vAlign w:val="center"/>
          </w:tcPr>
          <w:p w14:paraId="43B140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项目</w:t>
            </w:r>
          </w:p>
        </w:tc>
        <w:tc>
          <w:tcPr>
            <w:tcW w:w="8157" w:type="dxa"/>
            <w:tcBorders>
              <w:top w:val="single" w:color="auto" w:sz="12" w:space="0"/>
              <w:left w:val="single" w:color="auto" w:sz="4" w:space="0"/>
              <w:bottom w:val="single" w:color="auto" w:sz="4" w:space="0"/>
              <w:right w:val="single" w:color="auto" w:sz="12" w:space="0"/>
            </w:tcBorders>
            <w:noWrap w:val="0"/>
            <w:vAlign w:val="center"/>
          </w:tcPr>
          <w:p w14:paraId="6522AD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质量要求</w:t>
            </w:r>
          </w:p>
        </w:tc>
      </w:tr>
      <w:tr w14:paraId="3497160E">
        <w:tblPrEx>
          <w:tblCellMar>
            <w:top w:w="0" w:type="dxa"/>
            <w:left w:w="108" w:type="dxa"/>
            <w:bottom w:w="0" w:type="dxa"/>
            <w:right w:w="108" w:type="dxa"/>
          </w:tblCellMar>
        </w:tblPrEx>
        <w:trPr>
          <w:trHeight w:val="1215" w:hRule="atLeast"/>
          <w:jc w:val="center"/>
        </w:trPr>
        <w:tc>
          <w:tcPr>
            <w:tcW w:w="709" w:type="dxa"/>
            <w:tcBorders>
              <w:top w:val="single" w:color="auto" w:sz="4" w:space="0"/>
              <w:left w:val="single" w:color="auto" w:sz="12" w:space="0"/>
              <w:bottom w:val="single" w:color="auto" w:sz="4" w:space="0"/>
              <w:right w:val="single" w:color="auto" w:sz="4" w:space="0"/>
            </w:tcBorders>
            <w:noWrap w:val="0"/>
            <w:vAlign w:val="center"/>
          </w:tcPr>
          <w:p w14:paraId="591523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一</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4F1C64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整体效果</w:t>
            </w:r>
          </w:p>
        </w:tc>
        <w:tc>
          <w:tcPr>
            <w:tcW w:w="8157" w:type="dxa"/>
            <w:tcBorders>
              <w:top w:val="single" w:color="auto" w:sz="4" w:space="0"/>
              <w:left w:val="single" w:color="auto" w:sz="4" w:space="0"/>
              <w:bottom w:val="single" w:color="auto" w:sz="4" w:space="0"/>
              <w:right w:val="single" w:color="auto" w:sz="12" w:space="0"/>
            </w:tcBorders>
            <w:noWrap w:val="0"/>
            <w:vAlign w:val="center"/>
          </w:tcPr>
          <w:p w14:paraId="1E4B7ECF">
            <w:pPr>
              <w:keepNext w:val="0"/>
              <w:keepLines w:val="0"/>
              <w:pageBreakBefore w:val="0"/>
              <w:widowControl w:val="0"/>
              <w:kinsoku/>
              <w:wordWrap/>
              <w:overflowPunct/>
              <w:topLinePunct w:val="0"/>
              <w:autoSpaceDE/>
              <w:autoSpaceDN/>
              <w:bidi w:val="0"/>
              <w:adjustRightInd/>
              <w:snapToGrid/>
              <w:spacing w:line="360" w:lineRule="exact"/>
              <w:ind w:firstLine="360"/>
              <w:textAlignment w:val="auto"/>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同一路段的第一排行道树、分车绿带上的行道树及其间的灌木，其树</w:t>
            </w:r>
            <w:r>
              <w:rPr>
                <w:rFonts w:hint="eastAsia" w:ascii="宋体" w:hAnsi="宋体" w:cs="宋体"/>
                <w:color w:val="auto"/>
                <w:spacing w:val="-4"/>
                <w:sz w:val="24"/>
                <w:szCs w:val="24"/>
                <w:highlight w:val="none"/>
                <w:lang w:val="en-US" w:eastAsia="zh-CN"/>
              </w:rPr>
              <w:t>形</w:t>
            </w:r>
            <w:r>
              <w:rPr>
                <w:rFonts w:hint="eastAsia" w:ascii="宋体" w:hAnsi="宋体" w:cs="宋体"/>
                <w:color w:val="auto"/>
                <w:spacing w:val="-4"/>
                <w:sz w:val="24"/>
                <w:szCs w:val="24"/>
                <w:highlight w:val="none"/>
              </w:rPr>
              <w:t>与高度基本一致，树体干净，积尘少，具有良好的整体观赏效果。</w:t>
            </w:r>
          </w:p>
        </w:tc>
      </w:tr>
      <w:tr w14:paraId="5BDBF32B">
        <w:tblPrEx>
          <w:tblCellMar>
            <w:top w:w="0" w:type="dxa"/>
            <w:left w:w="108" w:type="dxa"/>
            <w:bottom w:w="0" w:type="dxa"/>
            <w:right w:w="108" w:type="dxa"/>
          </w:tblCellMar>
        </w:tblPrEx>
        <w:trPr>
          <w:trHeight w:val="789" w:hRule="atLeast"/>
          <w:jc w:val="center"/>
        </w:trPr>
        <w:tc>
          <w:tcPr>
            <w:tcW w:w="709" w:type="dxa"/>
            <w:tcBorders>
              <w:top w:val="single" w:color="auto" w:sz="4" w:space="0"/>
              <w:left w:val="single" w:color="auto" w:sz="12" w:space="0"/>
              <w:bottom w:val="single" w:color="auto" w:sz="4" w:space="0"/>
              <w:right w:val="single" w:color="auto" w:sz="4" w:space="0"/>
            </w:tcBorders>
            <w:noWrap w:val="0"/>
            <w:vAlign w:val="center"/>
          </w:tcPr>
          <w:p w14:paraId="02531B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二</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765C57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植物生长</w:t>
            </w:r>
          </w:p>
        </w:tc>
        <w:tc>
          <w:tcPr>
            <w:tcW w:w="8157" w:type="dxa"/>
            <w:tcBorders>
              <w:top w:val="single" w:color="auto" w:sz="4" w:space="0"/>
              <w:left w:val="single" w:color="auto" w:sz="4" w:space="0"/>
              <w:bottom w:val="single" w:color="auto" w:sz="4" w:space="0"/>
              <w:right w:val="single" w:color="auto" w:sz="12" w:space="0"/>
            </w:tcBorders>
            <w:noWrap w:val="0"/>
            <w:vAlign w:val="center"/>
          </w:tcPr>
          <w:p w14:paraId="6425836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植物生长良好，符合物候状况，枝叶健壮；观花植物适时开花。达标率＞95</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w:t>
            </w:r>
          </w:p>
        </w:tc>
      </w:tr>
      <w:tr w14:paraId="7101E180">
        <w:tblPrEx>
          <w:tblCellMar>
            <w:top w:w="0" w:type="dxa"/>
            <w:left w:w="108" w:type="dxa"/>
            <w:bottom w:w="0" w:type="dxa"/>
            <w:right w:w="108" w:type="dxa"/>
          </w:tblCellMar>
        </w:tblPrEx>
        <w:trPr>
          <w:trHeight w:val="1695" w:hRule="atLeast"/>
          <w:jc w:val="center"/>
        </w:trPr>
        <w:tc>
          <w:tcPr>
            <w:tcW w:w="709" w:type="dxa"/>
            <w:tcBorders>
              <w:top w:val="single" w:color="auto" w:sz="4" w:space="0"/>
              <w:left w:val="single" w:color="auto" w:sz="12" w:space="0"/>
              <w:bottom w:val="single" w:color="auto" w:sz="4" w:space="0"/>
              <w:right w:val="single" w:color="auto" w:sz="4" w:space="0"/>
            </w:tcBorders>
            <w:noWrap w:val="0"/>
            <w:vAlign w:val="center"/>
          </w:tcPr>
          <w:p w14:paraId="170FFC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三</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74F09F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整形修剪</w:t>
            </w:r>
          </w:p>
        </w:tc>
        <w:tc>
          <w:tcPr>
            <w:tcW w:w="8157" w:type="dxa"/>
            <w:tcBorders>
              <w:top w:val="single" w:color="auto" w:sz="4" w:space="0"/>
              <w:left w:val="single" w:color="auto" w:sz="4" w:space="0"/>
              <w:bottom w:val="single" w:color="auto" w:sz="4" w:space="0"/>
              <w:right w:val="single" w:color="auto" w:sz="12" w:space="0"/>
            </w:tcBorders>
            <w:noWrap w:val="0"/>
            <w:vAlign w:val="center"/>
          </w:tcPr>
          <w:p w14:paraId="3047825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整形乔灌木按设计要求修剪并保持一定形状，同路段同品种的树冠形状、大小基本一致，树</w:t>
            </w:r>
            <w:r>
              <w:rPr>
                <w:rFonts w:hint="eastAsia" w:ascii="宋体" w:hAnsi="宋体" w:cs="宋体"/>
                <w:color w:val="auto"/>
                <w:sz w:val="22"/>
                <w:szCs w:val="22"/>
                <w:highlight w:val="none"/>
                <w:lang w:val="en-US" w:eastAsia="zh-CN"/>
              </w:rPr>
              <w:t>形</w:t>
            </w:r>
            <w:r>
              <w:rPr>
                <w:rFonts w:hint="eastAsia" w:ascii="宋体" w:hAnsi="宋体" w:cs="宋体"/>
                <w:color w:val="auto"/>
                <w:sz w:val="24"/>
                <w:szCs w:val="24"/>
                <w:highlight w:val="none"/>
              </w:rPr>
              <w:t>优美，线条流畅。一般乔木修剪要求维持树种特征，树冠优美，树体无病虫枝、过密枝、交叉枝、低垂枝、伤残枝，无钉挂物、缠绕物。一般孤植灌木按要求养成观花或观叶形态，树</w:t>
            </w:r>
            <w:r>
              <w:rPr>
                <w:rFonts w:hint="eastAsia" w:ascii="宋体" w:hAnsi="宋体" w:cs="宋体"/>
                <w:color w:val="auto"/>
                <w:sz w:val="24"/>
                <w:szCs w:val="24"/>
                <w:highlight w:val="none"/>
                <w:lang w:val="en-US" w:eastAsia="zh-CN"/>
              </w:rPr>
              <w:t>形</w:t>
            </w:r>
            <w:r>
              <w:rPr>
                <w:rFonts w:hint="eastAsia" w:ascii="宋体" w:hAnsi="宋体" w:cs="宋体"/>
                <w:color w:val="auto"/>
                <w:sz w:val="24"/>
                <w:szCs w:val="24"/>
                <w:highlight w:val="none"/>
              </w:rPr>
              <w:t>美观，无枯枝，同一品种的物候、高度基本一致；无死树、残桩头，修剪的枝叶及时清理。达标率＞95</w:t>
            </w:r>
            <w:r>
              <w:rPr>
                <w:rFonts w:hint="eastAsia" w:ascii="宋体" w:hAnsi="宋体" w:cs="宋体"/>
                <w:color w:val="auto"/>
                <w:spacing w:val="-30"/>
                <w:sz w:val="24"/>
                <w:szCs w:val="24"/>
                <w:highlight w:val="none"/>
              </w:rPr>
              <w:t> ％</w:t>
            </w:r>
            <w:r>
              <w:rPr>
                <w:rFonts w:hint="eastAsia" w:ascii="宋体" w:hAnsi="宋体" w:cs="宋体"/>
                <w:color w:val="auto"/>
                <w:sz w:val="24"/>
                <w:szCs w:val="24"/>
                <w:highlight w:val="none"/>
              </w:rPr>
              <w:t>。</w:t>
            </w:r>
          </w:p>
        </w:tc>
      </w:tr>
      <w:tr w14:paraId="483BD2DD">
        <w:tblPrEx>
          <w:tblCellMar>
            <w:top w:w="0" w:type="dxa"/>
            <w:left w:w="108" w:type="dxa"/>
            <w:bottom w:w="0" w:type="dxa"/>
            <w:right w:w="108" w:type="dxa"/>
          </w:tblCellMar>
        </w:tblPrEx>
        <w:trPr>
          <w:trHeight w:val="1695" w:hRule="atLeast"/>
          <w:jc w:val="center"/>
        </w:trPr>
        <w:tc>
          <w:tcPr>
            <w:tcW w:w="709" w:type="dxa"/>
            <w:tcBorders>
              <w:top w:val="single" w:color="auto" w:sz="4" w:space="0"/>
              <w:left w:val="single" w:color="auto" w:sz="12" w:space="0"/>
              <w:bottom w:val="single" w:color="auto" w:sz="4" w:space="0"/>
              <w:right w:val="single" w:color="auto" w:sz="4" w:space="0"/>
            </w:tcBorders>
            <w:noWrap w:val="0"/>
            <w:vAlign w:val="center"/>
          </w:tcPr>
          <w:p w14:paraId="2A10C3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四</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597D01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定干高度</w:t>
            </w:r>
          </w:p>
        </w:tc>
        <w:tc>
          <w:tcPr>
            <w:tcW w:w="8157" w:type="dxa"/>
            <w:tcBorders>
              <w:top w:val="single" w:color="auto" w:sz="4" w:space="0"/>
              <w:left w:val="single" w:color="auto" w:sz="4" w:space="0"/>
              <w:bottom w:val="single" w:color="auto" w:sz="4" w:space="0"/>
              <w:right w:val="single" w:color="auto" w:sz="12" w:space="0"/>
            </w:tcBorders>
            <w:noWrap w:val="0"/>
            <w:vAlign w:val="center"/>
          </w:tcPr>
          <w:p w14:paraId="0337205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树木的定干高度和枝下高不能影响车辆行驶及行人安全。位于人行道和非机动车车行道边的行道树，胸径在5cm～9cm的阔叶树小乔木定干高度不应低于2m；其它乔木的定干高度不应低于2.5m，枝下高不应低于3m。位于机动车车行道边的行道树定干高度不应低于2.5m，伸出车行道路上方的枝条距离路面高度不应低于4.5m。达标率＞95</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w:t>
            </w:r>
          </w:p>
        </w:tc>
      </w:tr>
      <w:tr w14:paraId="12CB930C">
        <w:tblPrEx>
          <w:tblCellMar>
            <w:top w:w="0" w:type="dxa"/>
            <w:left w:w="108" w:type="dxa"/>
            <w:bottom w:w="0" w:type="dxa"/>
            <w:right w:w="108" w:type="dxa"/>
          </w:tblCellMar>
        </w:tblPrEx>
        <w:trPr>
          <w:trHeight w:val="1155" w:hRule="atLeast"/>
          <w:jc w:val="center"/>
        </w:trPr>
        <w:tc>
          <w:tcPr>
            <w:tcW w:w="709" w:type="dxa"/>
            <w:tcBorders>
              <w:top w:val="single" w:color="auto" w:sz="4" w:space="0"/>
              <w:left w:val="single" w:color="auto" w:sz="12" w:space="0"/>
              <w:bottom w:val="single" w:color="auto" w:sz="4" w:space="0"/>
              <w:right w:val="single" w:color="auto" w:sz="4" w:space="0"/>
            </w:tcBorders>
            <w:noWrap w:val="0"/>
            <w:vAlign w:val="center"/>
          </w:tcPr>
          <w:p w14:paraId="157B26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五</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3C1C15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树盘</w:t>
            </w:r>
          </w:p>
        </w:tc>
        <w:tc>
          <w:tcPr>
            <w:tcW w:w="8157" w:type="dxa"/>
            <w:tcBorders>
              <w:top w:val="single" w:color="auto" w:sz="4" w:space="0"/>
              <w:left w:val="single" w:color="auto" w:sz="4" w:space="0"/>
              <w:bottom w:val="single" w:color="auto" w:sz="4" w:space="0"/>
              <w:right w:val="single" w:color="auto" w:sz="12" w:space="0"/>
            </w:tcBorders>
            <w:noWrap w:val="0"/>
            <w:vAlign w:val="center"/>
          </w:tcPr>
          <w:p w14:paraId="2206008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树穴有条件的应满植地被，且树穴地被生长良好，整齐规范，不缠绕树木，无明显杂草、杂物；不宜种植地被的树穴，盘面应略低于路面，定期松土、除杂；新植乔木的树穴，无明显杂草杂物，土壤疏松通透。达标率＞95</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w:t>
            </w:r>
          </w:p>
        </w:tc>
      </w:tr>
      <w:tr w14:paraId="281ED786">
        <w:tblPrEx>
          <w:tblCellMar>
            <w:top w:w="0" w:type="dxa"/>
            <w:left w:w="108" w:type="dxa"/>
            <w:bottom w:w="0" w:type="dxa"/>
            <w:right w:w="108" w:type="dxa"/>
          </w:tblCellMar>
        </w:tblPrEx>
        <w:trPr>
          <w:trHeight w:val="1155" w:hRule="atLeast"/>
          <w:jc w:val="center"/>
        </w:trPr>
        <w:tc>
          <w:tcPr>
            <w:tcW w:w="709" w:type="dxa"/>
            <w:tcBorders>
              <w:top w:val="single" w:color="auto" w:sz="4" w:space="0"/>
              <w:left w:val="single" w:color="auto" w:sz="12" w:space="0"/>
              <w:bottom w:val="single" w:color="auto" w:sz="4" w:space="0"/>
              <w:right w:val="single" w:color="auto" w:sz="4" w:space="0"/>
            </w:tcBorders>
            <w:noWrap w:val="0"/>
            <w:vAlign w:val="center"/>
          </w:tcPr>
          <w:p w14:paraId="1A4694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六</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2C6ED6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病虫害</w:t>
            </w:r>
          </w:p>
          <w:p w14:paraId="2AC23A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控制</w:t>
            </w:r>
          </w:p>
        </w:tc>
        <w:tc>
          <w:tcPr>
            <w:tcW w:w="8157" w:type="dxa"/>
            <w:tcBorders>
              <w:top w:val="single" w:color="auto" w:sz="4" w:space="0"/>
              <w:left w:val="single" w:color="auto" w:sz="4" w:space="0"/>
              <w:bottom w:val="single" w:color="auto" w:sz="4" w:space="0"/>
              <w:right w:val="single" w:color="auto" w:sz="12" w:space="0"/>
            </w:tcBorders>
            <w:noWrap w:val="0"/>
            <w:vAlign w:val="center"/>
          </w:tcPr>
          <w:p w14:paraId="039CD1A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基本无危害迹象；病虫总危害率＜10</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，其中蛀干、根部害虫、食叶性害虫＜5</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，刺吸性害虫＜10</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，寄生＜5</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，病害感染率＜5</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w:t>
            </w:r>
          </w:p>
        </w:tc>
      </w:tr>
      <w:tr w14:paraId="0A8B8319">
        <w:tblPrEx>
          <w:tblCellMar>
            <w:top w:w="0" w:type="dxa"/>
            <w:left w:w="108" w:type="dxa"/>
            <w:bottom w:w="0" w:type="dxa"/>
            <w:right w:w="108" w:type="dxa"/>
          </w:tblCellMar>
        </w:tblPrEx>
        <w:trPr>
          <w:trHeight w:val="962" w:hRule="atLeast"/>
          <w:jc w:val="center"/>
        </w:trPr>
        <w:tc>
          <w:tcPr>
            <w:tcW w:w="709" w:type="dxa"/>
            <w:tcBorders>
              <w:top w:val="single" w:color="auto" w:sz="4" w:space="0"/>
              <w:left w:val="single" w:color="auto" w:sz="12" w:space="0"/>
              <w:bottom w:val="single" w:color="auto" w:sz="4" w:space="0"/>
              <w:right w:val="single" w:color="auto" w:sz="4" w:space="0"/>
            </w:tcBorders>
            <w:noWrap w:val="0"/>
            <w:vAlign w:val="center"/>
          </w:tcPr>
          <w:p w14:paraId="115673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七</w:t>
            </w:r>
          </w:p>
        </w:tc>
        <w:tc>
          <w:tcPr>
            <w:tcW w:w="1359" w:type="dxa"/>
            <w:tcBorders>
              <w:top w:val="single" w:color="auto" w:sz="4" w:space="0"/>
              <w:left w:val="single" w:color="auto" w:sz="4" w:space="0"/>
              <w:bottom w:val="single" w:color="auto" w:sz="4" w:space="0"/>
              <w:right w:val="single" w:color="auto" w:sz="4" w:space="0"/>
            </w:tcBorders>
            <w:noWrap w:val="0"/>
            <w:vAlign w:val="center"/>
          </w:tcPr>
          <w:p w14:paraId="436E64F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宋体" w:hAnsi="宋体" w:cs="宋体"/>
                <w:color w:val="auto"/>
                <w:sz w:val="24"/>
                <w:szCs w:val="24"/>
                <w:highlight w:val="none"/>
              </w:rPr>
            </w:pPr>
            <w:r>
              <w:rPr>
                <w:rFonts w:hint="eastAsia" w:ascii="宋体" w:hAnsi="宋体" w:cs="宋体"/>
                <w:color w:val="auto"/>
                <w:sz w:val="24"/>
                <w:szCs w:val="24"/>
                <w:highlight w:val="none"/>
              </w:rPr>
              <w:t>防护设施</w:t>
            </w:r>
          </w:p>
        </w:tc>
        <w:tc>
          <w:tcPr>
            <w:tcW w:w="8157" w:type="dxa"/>
            <w:tcBorders>
              <w:top w:val="single" w:color="auto" w:sz="4" w:space="0"/>
              <w:left w:val="single" w:color="auto" w:sz="4" w:space="0"/>
              <w:bottom w:val="single" w:color="auto" w:sz="4" w:space="0"/>
              <w:right w:val="single" w:color="auto" w:sz="12" w:space="0"/>
            </w:tcBorders>
            <w:noWrap w:val="0"/>
            <w:vAlign w:val="center"/>
          </w:tcPr>
          <w:p w14:paraId="6EC360EB">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对有安全隐患的行道树必须设置防护设施；防护设施稳固、完好，整齐、美观。达标率＞95</w:t>
            </w:r>
            <w:r>
              <w:rPr>
                <w:rFonts w:hint="eastAsia" w:ascii="宋体" w:hAnsi="宋体" w:cs="宋体"/>
                <w:color w:val="auto"/>
                <w:spacing w:val="-30"/>
                <w:sz w:val="24"/>
                <w:szCs w:val="24"/>
                <w:highlight w:val="none"/>
              </w:rPr>
              <w:t>％</w:t>
            </w:r>
            <w:r>
              <w:rPr>
                <w:rFonts w:hint="eastAsia" w:ascii="宋体" w:hAnsi="宋体" w:cs="宋体"/>
                <w:color w:val="auto"/>
                <w:sz w:val="24"/>
                <w:szCs w:val="24"/>
                <w:highlight w:val="none"/>
              </w:rPr>
              <w:t>。</w:t>
            </w:r>
          </w:p>
        </w:tc>
      </w:tr>
      <w:tr w14:paraId="0A4EC0E7">
        <w:tblPrEx>
          <w:tblCellMar>
            <w:top w:w="0" w:type="dxa"/>
            <w:left w:w="108" w:type="dxa"/>
            <w:bottom w:w="0" w:type="dxa"/>
            <w:right w:w="108" w:type="dxa"/>
          </w:tblCellMar>
        </w:tblPrEx>
        <w:trPr>
          <w:trHeight w:val="1155" w:hRule="atLeast"/>
          <w:jc w:val="center"/>
        </w:trPr>
        <w:tc>
          <w:tcPr>
            <w:tcW w:w="709" w:type="dxa"/>
            <w:tcBorders>
              <w:top w:val="single" w:color="auto" w:sz="4" w:space="0"/>
              <w:left w:val="single" w:color="auto" w:sz="12" w:space="0"/>
              <w:bottom w:val="single" w:color="auto" w:sz="8" w:space="0"/>
              <w:right w:val="single" w:color="auto" w:sz="4" w:space="0"/>
            </w:tcBorders>
            <w:noWrap w:val="0"/>
            <w:vAlign w:val="center"/>
          </w:tcPr>
          <w:p w14:paraId="2BF6CE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八</w:t>
            </w:r>
          </w:p>
        </w:tc>
        <w:tc>
          <w:tcPr>
            <w:tcW w:w="1359" w:type="dxa"/>
            <w:tcBorders>
              <w:top w:val="single" w:color="auto" w:sz="4" w:space="0"/>
              <w:left w:val="single" w:color="auto" w:sz="4" w:space="0"/>
              <w:bottom w:val="single" w:color="auto" w:sz="8" w:space="0"/>
              <w:right w:val="single" w:color="auto" w:sz="4" w:space="0"/>
            </w:tcBorders>
            <w:noWrap w:val="0"/>
            <w:vAlign w:val="center"/>
          </w:tcPr>
          <w:p w14:paraId="287A3EC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宋体" w:hAnsi="宋体" w:cs="宋体"/>
                <w:color w:val="auto"/>
                <w:sz w:val="24"/>
                <w:szCs w:val="24"/>
                <w:highlight w:val="none"/>
              </w:rPr>
            </w:pPr>
            <w:r>
              <w:rPr>
                <w:rFonts w:hint="eastAsia" w:ascii="宋体" w:hAnsi="宋体" w:cs="宋体"/>
                <w:color w:val="auto"/>
                <w:sz w:val="24"/>
                <w:szCs w:val="24"/>
                <w:highlight w:val="none"/>
              </w:rPr>
              <w:t>保存率与补种</w:t>
            </w:r>
          </w:p>
        </w:tc>
        <w:tc>
          <w:tcPr>
            <w:tcW w:w="8157" w:type="dxa"/>
            <w:tcBorders>
              <w:top w:val="single" w:color="auto" w:sz="4" w:space="0"/>
              <w:left w:val="single" w:color="auto" w:sz="4" w:space="0"/>
              <w:bottom w:val="single" w:color="auto" w:sz="8" w:space="0"/>
              <w:right w:val="single" w:color="auto" w:sz="12" w:space="0"/>
            </w:tcBorders>
            <w:noWrap w:val="0"/>
            <w:vAlign w:val="center"/>
          </w:tcPr>
          <w:p w14:paraId="6D5E93C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第一排行道树、分车绿带上的行道树及其间的灌木无缺株；补种的乔灌木品种、规格、株距应与同路段原种植的相同；补植苗木规格：棕榈科乔木地径＞25</w:t>
            </w:r>
            <w:r>
              <w:rPr>
                <w:rFonts w:hint="eastAsia" w:ascii="宋体" w:hAnsi="宋体" w:cs="宋体"/>
                <w:color w:val="auto"/>
                <w:spacing w:val="-30"/>
                <w:sz w:val="24"/>
                <w:szCs w:val="24"/>
                <w:highlight w:val="none"/>
              </w:rPr>
              <w:t> </w:t>
            </w:r>
            <w:r>
              <w:rPr>
                <w:rFonts w:hint="eastAsia" w:ascii="宋体" w:hAnsi="宋体" w:cs="宋体"/>
                <w:color w:val="auto"/>
                <w:sz w:val="24"/>
                <w:szCs w:val="24"/>
                <w:highlight w:val="none"/>
              </w:rPr>
              <w:t>cm，其它乔木胸径＞7</w:t>
            </w:r>
            <w:r>
              <w:rPr>
                <w:rFonts w:hint="eastAsia" w:ascii="宋体" w:hAnsi="宋体" w:cs="宋体"/>
                <w:color w:val="auto"/>
                <w:spacing w:val="-30"/>
                <w:sz w:val="24"/>
                <w:szCs w:val="24"/>
                <w:highlight w:val="none"/>
              </w:rPr>
              <w:t> </w:t>
            </w:r>
            <w:r>
              <w:rPr>
                <w:rFonts w:hint="eastAsia" w:ascii="宋体" w:hAnsi="宋体" w:cs="宋体"/>
                <w:color w:val="auto"/>
                <w:sz w:val="24"/>
                <w:szCs w:val="24"/>
                <w:highlight w:val="none"/>
              </w:rPr>
              <w:t xml:space="preserve">cm。 </w:t>
            </w:r>
          </w:p>
        </w:tc>
      </w:tr>
      <w:tr w14:paraId="07F8B6A1">
        <w:tblPrEx>
          <w:tblCellMar>
            <w:top w:w="0" w:type="dxa"/>
            <w:left w:w="108" w:type="dxa"/>
            <w:bottom w:w="0" w:type="dxa"/>
            <w:right w:w="108" w:type="dxa"/>
          </w:tblCellMar>
        </w:tblPrEx>
        <w:trPr>
          <w:cantSplit/>
          <w:trHeight w:val="600" w:hRule="atLeast"/>
          <w:jc w:val="center"/>
        </w:trPr>
        <w:tc>
          <w:tcPr>
            <w:tcW w:w="10225" w:type="dxa"/>
            <w:gridSpan w:val="3"/>
            <w:tcBorders>
              <w:top w:val="single" w:color="auto" w:sz="8" w:space="0"/>
              <w:left w:val="single" w:color="auto" w:sz="12" w:space="0"/>
              <w:bottom w:val="single" w:color="auto" w:sz="12" w:space="0"/>
              <w:right w:val="single" w:color="auto" w:sz="12" w:space="0"/>
            </w:tcBorders>
            <w:noWrap w:val="0"/>
            <w:vAlign w:val="center"/>
          </w:tcPr>
          <w:p w14:paraId="14A093C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ascii="宋体" w:hAnsi="宋体" w:cs="宋体"/>
                <w:color w:val="auto"/>
                <w:sz w:val="24"/>
                <w:szCs w:val="24"/>
                <w:highlight w:val="none"/>
              </w:rPr>
            </w:pPr>
            <w:r>
              <w:rPr>
                <w:rFonts w:hint="eastAsia" w:ascii="宋体" w:hAnsi="宋体" w:cs="宋体"/>
                <w:color w:val="auto"/>
                <w:sz w:val="24"/>
                <w:szCs w:val="24"/>
                <w:highlight w:val="none"/>
              </w:rPr>
              <w:t>注：见表A.1的注。</w:t>
            </w:r>
          </w:p>
        </w:tc>
      </w:tr>
    </w:tbl>
    <w:p w14:paraId="2375A386">
      <w:pPr>
        <w:rPr>
          <w:rFonts w:ascii="宋体" w:hAnsi="宋体" w:cs="宋体"/>
          <w:b/>
          <w:bCs/>
          <w:color w:val="auto"/>
          <w:kern w:val="21"/>
          <w:sz w:val="24"/>
          <w:highlight w:val="none"/>
        </w:rPr>
      </w:pPr>
      <w:bookmarkStart w:id="469" w:name="_Toc421120722"/>
      <w:bookmarkEnd w:id="469"/>
      <w:bookmarkStart w:id="470" w:name="_Toc506194937"/>
      <w:r>
        <w:rPr>
          <w:rFonts w:hint="eastAsia" w:ascii="宋体" w:hAnsi="宋体" w:cs="宋体"/>
          <w:b/>
          <w:bCs/>
          <w:color w:val="auto"/>
          <w:kern w:val="21"/>
          <w:sz w:val="24"/>
          <w:highlight w:val="none"/>
        </w:rPr>
        <w:br w:type="page"/>
      </w:r>
    </w:p>
    <w:p w14:paraId="55848331">
      <w:pPr>
        <w:widowControl/>
        <w:overflowPunct w:val="0"/>
        <w:spacing w:beforeLines="50" w:after="100" w:afterAutospacing="1" w:line="440" w:lineRule="exact"/>
        <w:jc w:val="center"/>
        <w:rPr>
          <w:rFonts w:ascii="宋体" w:hAnsi="宋体" w:cs="宋体"/>
          <w:b/>
          <w:bCs/>
          <w:color w:val="auto"/>
          <w:kern w:val="21"/>
          <w:sz w:val="24"/>
          <w:highlight w:val="none"/>
        </w:rPr>
      </w:pPr>
      <w:r>
        <w:rPr>
          <w:rFonts w:hint="eastAsia" w:ascii="宋体" w:hAnsi="宋体" w:cs="宋体"/>
          <w:b/>
          <w:bCs/>
          <w:color w:val="auto"/>
          <w:kern w:val="21"/>
          <w:sz w:val="24"/>
          <w:highlight w:val="none"/>
        </w:rPr>
        <w:t>（3）一级护坡养护质量要求</w:t>
      </w:r>
      <w:bookmarkEnd w:id="470"/>
      <w:r>
        <w:rPr>
          <w:rFonts w:hint="eastAsia" w:ascii="宋体" w:hAnsi="宋体" w:cs="宋体"/>
          <w:b/>
          <w:bCs/>
          <w:color w:val="auto"/>
          <w:kern w:val="21"/>
          <w:sz w:val="24"/>
          <w:highlight w:val="none"/>
        </w:rPr>
        <w:t>表</w:t>
      </w:r>
    </w:p>
    <w:tbl>
      <w:tblPr>
        <w:tblStyle w:val="22"/>
        <w:tblW w:w="9511" w:type="dxa"/>
        <w:jc w:val="center"/>
        <w:tblLayout w:type="fixed"/>
        <w:tblCellMar>
          <w:top w:w="0" w:type="dxa"/>
          <w:left w:w="108" w:type="dxa"/>
          <w:bottom w:w="0" w:type="dxa"/>
          <w:right w:w="108" w:type="dxa"/>
        </w:tblCellMar>
      </w:tblPr>
      <w:tblGrid>
        <w:gridCol w:w="1083"/>
        <w:gridCol w:w="1488"/>
        <w:gridCol w:w="6940"/>
      </w:tblGrid>
      <w:tr w14:paraId="4FD71D50">
        <w:tblPrEx>
          <w:tblCellMar>
            <w:top w:w="0" w:type="dxa"/>
            <w:left w:w="108" w:type="dxa"/>
            <w:bottom w:w="0" w:type="dxa"/>
            <w:right w:w="108" w:type="dxa"/>
          </w:tblCellMar>
        </w:tblPrEx>
        <w:trPr>
          <w:trHeight w:val="475" w:hRule="atLeast"/>
          <w:jc w:val="center"/>
        </w:trPr>
        <w:tc>
          <w:tcPr>
            <w:tcW w:w="1083" w:type="dxa"/>
            <w:tcBorders>
              <w:top w:val="single" w:color="auto" w:sz="12" w:space="0"/>
              <w:left w:val="single" w:color="auto" w:sz="12" w:space="0"/>
              <w:bottom w:val="single" w:color="auto" w:sz="4" w:space="0"/>
              <w:right w:val="single" w:color="auto" w:sz="4" w:space="0"/>
            </w:tcBorders>
            <w:noWrap w:val="0"/>
            <w:vAlign w:val="center"/>
          </w:tcPr>
          <w:p w14:paraId="3B33226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488" w:type="dxa"/>
            <w:tcBorders>
              <w:top w:val="single" w:color="auto" w:sz="12" w:space="0"/>
              <w:left w:val="single" w:color="auto" w:sz="4" w:space="0"/>
              <w:bottom w:val="single" w:color="auto" w:sz="4" w:space="0"/>
              <w:right w:val="single" w:color="auto" w:sz="4" w:space="0"/>
            </w:tcBorders>
            <w:noWrap w:val="0"/>
            <w:vAlign w:val="center"/>
          </w:tcPr>
          <w:p w14:paraId="28EA8FF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项目</w:t>
            </w:r>
          </w:p>
        </w:tc>
        <w:tc>
          <w:tcPr>
            <w:tcW w:w="6940" w:type="dxa"/>
            <w:tcBorders>
              <w:top w:val="single" w:color="auto" w:sz="12" w:space="0"/>
              <w:left w:val="single" w:color="auto" w:sz="4" w:space="0"/>
              <w:bottom w:val="single" w:color="auto" w:sz="4" w:space="0"/>
              <w:right w:val="single" w:color="auto" w:sz="12" w:space="0"/>
            </w:tcBorders>
            <w:noWrap w:val="0"/>
            <w:vAlign w:val="center"/>
          </w:tcPr>
          <w:p w14:paraId="1632C1E6">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质量要求</w:t>
            </w:r>
          </w:p>
        </w:tc>
      </w:tr>
      <w:tr w14:paraId="4B523CD0">
        <w:tblPrEx>
          <w:tblCellMar>
            <w:top w:w="0" w:type="dxa"/>
            <w:left w:w="108" w:type="dxa"/>
            <w:bottom w:w="0" w:type="dxa"/>
            <w:right w:w="108" w:type="dxa"/>
          </w:tblCellMar>
        </w:tblPrEx>
        <w:trPr>
          <w:trHeight w:val="425" w:hRule="atLeast"/>
          <w:jc w:val="center"/>
        </w:trPr>
        <w:tc>
          <w:tcPr>
            <w:tcW w:w="1083" w:type="dxa"/>
            <w:tcBorders>
              <w:top w:val="single" w:color="auto" w:sz="4" w:space="0"/>
              <w:left w:val="single" w:color="auto" w:sz="12" w:space="0"/>
              <w:bottom w:val="single" w:color="auto" w:sz="4" w:space="0"/>
              <w:right w:val="single" w:color="auto" w:sz="4" w:space="0"/>
            </w:tcBorders>
            <w:noWrap w:val="0"/>
            <w:vAlign w:val="center"/>
          </w:tcPr>
          <w:p w14:paraId="45CD4425">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一</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EB3ABA2">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整体效果</w:t>
            </w:r>
          </w:p>
        </w:tc>
        <w:tc>
          <w:tcPr>
            <w:tcW w:w="6940" w:type="dxa"/>
            <w:tcBorders>
              <w:top w:val="single" w:color="auto" w:sz="4" w:space="0"/>
              <w:left w:val="single" w:color="auto" w:sz="4" w:space="0"/>
              <w:bottom w:val="single" w:color="auto" w:sz="4" w:space="0"/>
              <w:right w:val="single" w:color="auto" w:sz="12" w:space="0"/>
            </w:tcBorders>
            <w:noWrap w:val="0"/>
            <w:vAlign w:val="center"/>
          </w:tcPr>
          <w:p w14:paraId="2E26D1F4">
            <w:pPr>
              <w:spacing w:line="440" w:lineRule="exact"/>
              <w:ind w:firstLine="360"/>
              <w:rPr>
                <w:rFonts w:ascii="宋体" w:hAnsi="宋体" w:cs="宋体"/>
                <w:color w:val="auto"/>
                <w:spacing w:val="-4"/>
                <w:sz w:val="24"/>
                <w:highlight w:val="none"/>
              </w:rPr>
            </w:pPr>
            <w:r>
              <w:rPr>
                <w:rFonts w:hint="eastAsia" w:ascii="宋体" w:hAnsi="宋体" w:cs="宋体"/>
                <w:color w:val="auto"/>
                <w:spacing w:val="-4"/>
                <w:sz w:val="24"/>
                <w:highlight w:val="none"/>
              </w:rPr>
              <w:t>植物配置合理，具固土护坡作用和良好的绿化观赏效果。</w:t>
            </w:r>
          </w:p>
        </w:tc>
      </w:tr>
      <w:tr w14:paraId="4C8F4CE3">
        <w:tblPrEx>
          <w:tblCellMar>
            <w:top w:w="0" w:type="dxa"/>
            <w:left w:w="108" w:type="dxa"/>
            <w:bottom w:w="0" w:type="dxa"/>
            <w:right w:w="108" w:type="dxa"/>
          </w:tblCellMar>
        </w:tblPrEx>
        <w:trPr>
          <w:trHeight w:val="564" w:hRule="atLeast"/>
          <w:jc w:val="center"/>
        </w:trPr>
        <w:tc>
          <w:tcPr>
            <w:tcW w:w="1083" w:type="dxa"/>
            <w:tcBorders>
              <w:top w:val="single" w:color="auto" w:sz="4" w:space="0"/>
              <w:left w:val="single" w:color="auto" w:sz="12" w:space="0"/>
              <w:bottom w:val="single" w:color="auto" w:sz="4" w:space="0"/>
              <w:right w:val="single" w:color="auto" w:sz="4" w:space="0"/>
            </w:tcBorders>
            <w:noWrap w:val="0"/>
            <w:vAlign w:val="center"/>
          </w:tcPr>
          <w:p w14:paraId="682672D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二</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A3D3E6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植物生长</w:t>
            </w:r>
          </w:p>
        </w:tc>
        <w:tc>
          <w:tcPr>
            <w:tcW w:w="6940" w:type="dxa"/>
            <w:tcBorders>
              <w:top w:val="single" w:color="auto" w:sz="4" w:space="0"/>
              <w:left w:val="single" w:color="auto" w:sz="4" w:space="0"/>
              <w:bottom w:val="single" w:color="auto" w:sz="4" w:space="0"/>
              <w:right w:val="single" w:color="auto" w:sz="12" w:space="0"/>
            </w:tcBorders>
            <w:noWrap w:val="0"/>
            <w:vAlign w:val="center"/>
          </w:tcPr>
          <w:p w14:paraId="5D6F165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生长季节植物生长正常，符合物候状况，树体自然；旱季片植地被植物无明显的枯死现象。达标率＞90</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102EF56E">
        <w:tblPrEx>
          <w:tblCellMar>
            <w:top w:w="0" w:type="dxa"/>
            <w:left w:w="108" w:type="dxa"/>
            <w:bottom w:w="0" w:type="dxa"/>
            <w:right w:w="108" w:type="dxa"/>
          </w:tblCellMar>
        </w:tblPrEx>
        <w:trPr>
          <w:trHeight w:val="704" w:hRule="atLeast"/>
          <w:jc w:val="center"/>
        </w:trPr>
        <w:tc>
          <w:tcPr>
            <w:tcW w:w="1083" w:type="dxa"/>
            <w:tcBorders>
              <w:top w:val="single" w:color="auto" w:sz="4" w:space="0"/>
              <w:left w:val="single" w:color="auto" w:sz="12" w:space="0"/>
              <w:bottom w:val="single" w:color="auto" w:sz="4" w:space="0"/>
              <w:right w:val="single" w:color="auto" w:sz="4" w:space="0"/>
            </w:tcBorders>
            <w:noWrap w:val="0"/>
            <w:vAlign w:val="center"/>
          </w:tcPr>
          <w:p w14:paraId="482A0F1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三</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4FD19E8">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整形修剪</w:t>
            </w:r>
          </w:p>
        </w:tc>
        <w:tc>
          <w:tcPr>
            <w:tcW w:w="6940" w:type="dxa"/>
            <w:tcBorders>
              <w:top w:val="single" w:color="auto" w:sz="4" w:space="0"/>
              <w:left w:val="single" w:color="auto" w:sz="4" w:space="0"/>
              <w:bottom w:val="single" w:color="auto" w:sz="4" w:space="0"/>
              <w:right w:val="single" w:color="auto" w:sz="12" w:space="0"/>
            </w:tcBorders>
            <w:noWrap w:val="0"/>
            <w:vAlign w:val="center"/>
          </w:tcPr>
          <w:p w14:paraId="3D36E2A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乔木、一般孤植灌木：无明显的干枯枝、病虫枝。整型乔灌木：按要求养成并维持一定形态。片植灌木及地被植物：整体基本平整，无明显的枯黄叶、杂草。达标率＞90</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3D87E5B7">
        <w:tblPrEx>
          <w:tblCellMar>
            <w:top w:w="0" w:type="dxa"/>
            <w:left w:w="108" w:type="dxa"/>
            <w:bottom w:w="0" w:type="dxa"/>
            <w:right w:w="108" w:type="dxa"/>
          </w:tblCellMar>
        </w:tblPrEx>
        <w:trPr>
          <w:trHeight w:val="530" w:hRule="atLeast"/>
          <w:jc w:val="center"/>
        </w:trPr>
        <w:tc>
          <w:tcPr>
            <w:tcW w:w="1083" w:type="dxa"/>
            <w:tcBorders>
              <w:top w:val="single" w:color="auto" w:sz="4" w:space="0"/>
              <w:left w:val="single" w:color="auto" w:sz="12" w:space="0"/>
              <w:bottom w:val="single" w:color="auto" w:sz="4" w:space="0"/>
              <w:right w:val="single" w:color="auto" w:sz="4" w:space="0"/>
            </w:tcBorders>
            <w:noWrap w:val="0"/>
            <w:vAlign w:val="center"/>
          </w:tcPr>
          <w:p w14:paraId="48A33BD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四</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1423A77">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树盘</w:t>
            </w:r>
          </w:p>
        </w:tc>
        <w:tc>
          <w:tcPr>
            <w:tcW w:w="6940" w:type="dxa"/>
            <w:tcBorders>
              <w:top w:val="single" w:color="auto" w:sz="4" w:space="0"/>
              <w:left w:val="single" w:color="auto" w:sz="4" w:space="0"/>
              <w:bottom w:val="single" w:color="auto" w:sz="4" w:space="0"/>
              <w:right w:val="single" w:color="auto" w:sz="12" w:space="0"/>
            </w:tcBorders>
            <w:noWrap w:val="0"/>
            <w:vAlign w:val="center"/>
          </w:tcPr>
          <w:p w14:paraId="1277DD67">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小乔木与孤植灌木应做树盘，树盘土壤疏松，无明显的杂草、杂物。达标率＞90</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0A2E9B6E">
        <w:tblPrEx>
          <w:tblCellMar>
            <w:top w:w="0" w:type="dxa"/>
            <w:left w:w="108" w:type="dxa"/>
            <w:bottom w:w="0" w:type="dxa"/>
            <w:right w:w="108" w:type="dxa"/>
          </w:tblCellMar>
        </w:tblPrEx>
        <w:trPr>
          <w:trHeight w:val="424" w:hRule="atLeast"/>
          <w:jc w:val="center"/>
        </w:trPr>
        <w:tc>
          <w:tcPr>
            <w:tcW w:w="1083" w:type="dxa"/>
            <w:tcBorders>
              <w:top w:val="single" w:color="auto" w:sz="4" w:space="0"/>
              <w:left w:val="single" w:color="auto" w:sz="12" w:space="0"/>
              <w:bottom w:val="single" w:color="auto" w:sz="4" w:space="0"/>
              <w:right w:val="single" w:color="auto" w:sz="4" w:space="0"/>
            </w:tcBorders>
            <w:noWrap w:val="0"/>
            <w:vAlign w:val="center"/>
          </w:tcPr>
          <w:p w14:paraId="2EE8972E">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五</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18DA0CA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草坪</w:t>
            </w:r>
          </w:p>
        </w:tc>
        <w:tc>
          <w:tcPr>
            <w:tcW w:w="6940" w:type="dxa"/>
            <w:tcBorders>
              <w:top w:val="single" w:color="auto" w:sz="4" w:space="0"/>
              <w:left w:val="single" w:color="auto" w:sz="4" w:space="0"/>
              <w:bottom w:val="single" w:color="auto" w:sz="4" w:space="0"/>
              <w:right w:val="single" w:color="auto" w:sz="12" w:space="0"/>
            </w:tcBorders>
            <w:noWrap w:val="0"/>
            <w:vAlign w:val="center"/>
          </w:tcPr>
          <w:p w14:paraId="41368BD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草坪生长季节基本青绿；高度控制在15</w:t>
            </w:r>
            <w:r>
              <w:rPr>
                <w:rFonts w:hint="eastAsia" w:ascii="宋体" w:hAnsi="宋体" w:cs="宋体"/>
                <w:color w:val="auto"/>
                <w:spacing w:val="-30"/>
                <w:sz w:val="24"/>
                <w:highlight w:val="none"/>
              </w:rPr>
              <w:t> </w:t>
            </w:r>
            <w:r>
              <w:rPr>
                <w:rFonts w:hint="eastAsia" w:ascii="宋体" w:hAnsi="宋体" w:cs="宋体"/>
                <w:color w:val="auto"/>
                <w:sz w:val="24"/>
                <w:highlight w:val="none"/>
              </w:rPr>
              <w:t>cm以下。达标率＞90</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0E1D2DDE">
        <w:tblPrEx>
          <w:tblCellMar>
            <w:top w:w="0" w:type="dxa"/>
            <w:left w:w="108" w:type="dxa"/>
            <w:bottom w:w="0" w:type="dxa"/>
            <w:right w:w="108" w:type="dxa"/>
          </w:tblCellMar>
        </w:tblPrEx>
        <w:trPr>
          <w:trHeight w:val="635" w:hRule="atLeast"/>
          <w:jc w:val="center"/>
        </w:trPr>
        <w:tc>
          <w:tcPr>
            <w:tcW w:w="1083" w:type="dxa"/>
            <w:tcBorders>
              <w:top w:val="single" w:color="auto" w:sz="4" w:space="0"/>
              <w:left w:val="single" w:color="auto" w:sz="12" w:space="0"/>
              <w:bottom w:val="single" w:color="auto" w:sz="4" w:space="0"/>
              <w:right w:val="single" w:color="auto" w:sz="4" w:space="0"/>
            </w:tcBorders>
            <w:noWrap w:val="0"/>
            <w:vAlign w:val="center"/>
          </w:tcPr>
          <w:p w14:paraId="4FAF83AE">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六</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7EF94F9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病虫害</w:t>
            </w:r>
          </w:p>
          <w:p w14:paraId="223B57F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控制</w:t>
            </w:r>
          </w:p>
        </w:tc>
        <w:tc>
          <w:tcPr>
            <w:tcW w:w="6940" w:type="dxa"/>
            <w:tcBorders>
              <w:top w:val="single" w:color="auto" w:sz="4" w:space="0"/>
              <w:left w:val="single" w:color="auto" w:sz="4" w:space="0"/>
              <w:bottom w:val="single" w:color="auto" w:sz="4" w:space="0"/>
              <w:right w:val="single" w:color="auto" w:sz="12" w:space="0"/>
            </w:tcBorders>
            <w:noWrap w:val="0"/>
            <w:vAlign w:val="center"/>
          </w:tcPr>
          <w:p w14:paraId="22F9B8F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无严重的危害迹象；病虫总</w:t>
            </w:r>
            <w:r>
              <w:rPr>
                <w:rFonts w:hint="eastAsia" w:ascii="宋体" w:hAnsi="宋体" w:cs="宋体"/>
                <w:color w:val="auto"/>
                <w:sz w:val="24"/>
                <w:highlight w:val="none"/>
                <w:lang w:val="en-US" w:eastAsia="zh-CN"/>
              </w:rPr>
              <w:t>危</w:t>
            </w:r>
            <w:r>
              <w:rPr>
                <w:rFonts w:hint="eastAsia" w:ascii="宋体" w:hAnsi="宋体" w:cs="宋体"/>
                <w:color w:val="auto"/>
                <w:sz w:val="24"/>
                <w:highlight w:val="none"/>
              </w:rPr>
              <w:t>害率＜20</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7CFA03D4">
        <w:tblPrEx>
          <w:tblCellMar>
            <w:top w:w="0" w:type="dxa"/>
            <w:left w:w="108" w:type="dxa"/>
            <w:bottom w:w="0" w:type="dxa"/>
            <w:right w:w="108" w:type="dxa"/>
          </w:tblCellMar>
        </w:tblPrEx>
        <w:trPr>
          <w:trHeight w:val="701" w:hRule="atLeast"/>
          <w:jc w:val="center"/>
        </w:trPr>
        <w:tc>
          <w:tcPr>
            <w:tcW w:w="1083" w:type="dxa"/>
            <w:tcBorders>
              <w:top w:val="single" w:color="auto" w:sz="4" w:space="0"/>
              <w:left w:val="single" w:color="auto" w:sz="12" w:space="0"/>
              <w:bottom w:val="single" w:color="auto" w:sz="4" w:space="0"/>
              <w:right w:val="single" w:color="auto" w:sz="4" w:space="0"/>
            </w:tcBorders>
            <w:noWrap w:val="0"/>
            <w:vAlign w:val="center"/>
          </w:tcPr>
          <w:p w14:paraId="4218974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七</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28BB7402">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保存率与覆盖率</w:t>
            </w:r>
          </w:p>
        </w:tc>
        <w:tc>
          <w:tcPr>
            <w:tcW w:w="6940" w:type="dxa"/>
            <w:tcBorders>
              <w:top w:val="single" w:color="auto" w:sz="4" w:space="0"/>
              <w:left w:val="single" w:color="auto" w:sz="4" w:space="0"/>
              <w:bottom w:val="single" w:color="auto" w:sz="4" w:space="0"/>
              <w:right w:val="single" w:color="auto" w:sz="12" w:space="0"/>
            </w:tcBorders>
            <w:noWrap w:val="0"/>
            <w:vAlign w:val="center"/>
          </w:tcPr>
          <w:p w14:paraId="2C11980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黄土裸露率＜5</w:t>
            </w:r>
            <w:r>
              <w:rPr>
                <w:rFonts w:hint="eastAsia" w:ascii="宋体" w:hAnsi="宋体" w:cs="宋体"/>
                <w:color w:val="auto"/>
                <w:spacing w:val="-30"/>
                <w:sz w:val="24"/>
                <w:highlight w:val="none"/>
              </w:rPr>
              <w:t> ％</w:t>
            </w:r>
            <w:r>
              <w:rPr>
                <w:rFonts w:hint="eastAsia" w:ascii="宋体" w:hAnsi="宋体" w:cs="宋体"/>
                <w:color w:val="auto"/>
                <w:sz w:val="24"/>
                <w:highlight w:val="none"/>
              </w:rPr>
              <w:t>，乔灌木缺株率＜8</w:t>
            </w:r>
            <w:r>
              <w:rPr>
                <w:rFonts w:hint="eastAsia" w:ascii="宋体" w:hAnsi="宋体" w:cs="宋体"/>
                <w:color w:val="auto"/>
                <w:spacing w:val="-30"/>
                <w:sz w:val="24"/>
                <w:highlight w:val="none"/>
              </w:rPr>
              <w:t>％</w:t>
            </w:r>
            <w:r>
              <w:rPr>
                <w:rFonts w:hint="eastAsia" w:ascii="宋体" w:hAnsi="宋体" w:cs="宋体"/>
                <w:color w:val="auto"/>
                <w:sz w:val="24"/>
                <w:highlight w:val="none"/>
              </w:rPr>
              <w:t>，单处明显裸露面积＜10</w:t>
            </w:r>
            <w:r>
              <w:rPr>
                <w:rFonts w:hint="eastAsia" w:ascii="宋体" w:hAnsi="宋体" w:cs="宋体"/>
                <w:color w:val="auto"/>
                <w:spacing w:val="-30"/>
                <w:sz w:val="24"/>
                <w:highlight w:val="none"/>
              </w:rPr>
              <w:t> </w:t>
            </w:r>
            <w:r>
              <w:rPr>
                <w:rFonts w:hint="eastAsia" w:ascii="宋体" w:hAnsi="宋体" w:cs="宋体"/>
                <w:color w:val="auto"/>
                <w:sz w:val="24"/>
                <w:highlight w:val="none"/>
              </w:rPr>
              <w:t>m</w:t>
            </w:r>
            <w:r>
              <w:rPr>
                <w:rFonts w:hint="eastAsia" w:ascii="宋体" w:hAnsi="宋体" w:cs="宋体"/>
                <w:color w:val="auto"/>
                <w:sz w:val="24"/>
                <w:highlight w:val="none"/>
                <w:vertAlign w:val="superscript"/>
              </w:rPr>
              <w:t>2</w:t>
            </w:r>
            <w:r>
              <w:rPr>
                <w:rFonts w:hint="eastAsia" w:ascii="宋体" w:hAnsi="宋体" w:cs="宋体"/>
                <w:color w:val="auto"/>
                <w:sz w:val="24"/>
                <w:highlight w:val="none"/>
              </w:rPr>
              <w:t>。</w:t>
            </w:r>
          </w:p>
        </w:tc>
      </w:tr>
      <w:tr w14:paraId="16FCFCFF">
        <w:tblPrEx>
          <w:tblCellMar>
            <w:top w:w="0" w:type="dxa"/>
            <w:left w:w="108" w:type="dxa"/>
            <w:bottom w:w="0" w:type="dxa"/>
            <w:right w:w="108" w:type="dxa"/>
          </w:tblCellMar>
        </w:tblPrEx>
        <w:trPr>
          <w:trHeight w:val="710" w:hRule="atLeast"/>
          <w:jc w:val="center"/>
        </w:trPr>
        <w:tc>
          <w:tcPr>
            <w:tcW w:w="1083" w:type="dxa"/>
            <w:tcBorders>
              <w:top w:val="single" w:color="auto" w:sz="4" w:space="0"/>
              <w:left w:val="single" w:color="auto" w:sz="12" w:space="0"/>
              <w:bottom w:val="single" w:color="auto" w:sz="8" w:space="0"/>
              <w:right w:val="single" w:color="auto" w:sz="4" w:space="0"/>
            </w:tcBorders>
            <w:noWrap w:val="0"/>
            <w:vAlign w:val="center"/>
          </w:tcPr>
          <w:p w14:paraId="07E1B6E2">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八</w:t>
            </w:r>
          </w:p>
        </w:tc>
        <w:tc>
          <w:tcPr>
            <w:tcW w:w="1488" w:type="dxa"/>
            <w:tcBorders>
              <w:top w:val="single" w:color="auto" w:sz="4" w:space="0"/>
              <w:left w:val="single" w:color="auto" w:sz="4" w:space="0"/>
              <w:bottom w:val="single" w:color="auto" w:sz="8" w:space="0"/>
              <w:right w:val="single" w:color="auto" w:sz="4" w:space="0"/>
            </w:tcBorders>
            <w:noWrap w:val="0"/>
            <w:vAlign w:val="center"/>
          </w:tcPr>
          <w:p w14:paraId="6AD185C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环境卫生</w:t>
            </w:r>
          </w:p>
        </w:tc>
        <w:tc>
          <w:tcPr>
            <w:tcW w:w="6940" w:type="dxa"/>
            <w:tcBorders>
              <w:top w:val="single" w:color="auto" w:sz="4" w:space="0"/>
              <w:left w:val="single" w:color="auto" w:sz="4" w:space="0"/>
              <w:bottom w:val="single" w:color="auto" w:sz="8" w:space="0"/>
              <w:right w:val="single" w:color="auto" w:sz="12" w:space="0"/>
            </w:tcBorders>
            <w:noWrap w:val="0"/>
            <w:vAlign w:val="center"/>
          </w:tcPr>
          <w:p w14:paraId="1587BA08">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设施完好，无塌方现象；无死树、堆积物；远观无明显垃圾，修剪枝叶当天清理。达标率＞90</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2AD1A0B3">
        <w:tblPrEx>
          <w:tblCellMar>
            <w:top w:w="0" w:type="dxa"/>
            <w:left w:w="108" w:type="dxa"/>
            <w:bottom w:w="0" w:type="dxa"/>
            <w:right w:w="108" w:type="dxa"/>
          </w:tblCellMar>
        </w:tblPrEx>
        <w:trPr>
          <w:cantSplit/>
          <w:trHeight w:val="386" w:hRule="atLeast"/>
          <w:jc w:val="center"/>
        </w:trPr>
        <w:tc>
          <w:tcPr>
            <w:tcW w:w="9511" w:type="dxa"/>
            <w:gridSpan w:val="3"/>
            <w:tcBorders>
              <w:top w:val="single" w:color="auto" w:sz="8" w:space="0"/>
              <w:left w:val="single" w:color="auto" w:sz="12" w:space="0"/>
              <w:bottom w:val="single" w:color="auto" w:sz="12" w:space="0"/>
              <w:right w:val="single" w:color="auto" w:sz="12" w:space="0"/>
            </w:tcBorders>
            <w:noWrap w:val="0"/>
            <w:vAlign w:val="center"/>
          </w:tcPr>
          <w:p w14:paraId="68B6A38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注：见表A.1的注。</w:t>
            </w:r>
          </w:p>
        </w:tc>
      </w:tr>
    </w:tbl>
    <w:p w14:paraId="556FF21F">
      <w:pPr>
        <w:rPr>
          <w:rFonts w:ascii="宋体" w:hAnsi="宋体" w:cs="宋体"/>
          <w:b/>
          <w:bCs/>
          <w:color w:val="auto"/>
          <w:kern w:val="21"/>
          <w:sz w:val="24"/>
          <w:highlight w:val="none"/>
        </w:rPr>
      </w:pPr>
      <w:bookmarkStart w:id="471" w:name="_Toc506194938"/>
      <w:r>
        <w:rPr>
          <w:rFonts w:hint="eastAsia" w:ascii="宋体" w:hAnsi="宋体" w:cs="宋体"/>
          <w:b/>
          <w:bCs/>
          <w:color w:val="auto"/>
          <w:kern w:val="21"/>
          <w:sz w:val="24"/>
          <w:highlight w:val="none"/>
        </w:rPr>
        <w:br w:type="page"/>
      </w:r>
    </w:p>
    <w:p w14:paraId="16CB904D">
      <w:pPr>
        <w:widowControl/>
        <w:overflowPunct w:val="0"/>
        <w:spacing w:beforeLines="50" w:after="100" w:afterAutospacing="1" w:line="440" w:lineRule="exact"/>
        <w:jc w:val="center"/>
        <w:rPr>
          <w:rFonts w:ascii="宋体" w:hAnsi="宋体" w:cs="宋体"/>
          <w:b/>
          <w:bCs/>
          <w:color w:val="auto"/>
          <w:kern w:val="21"/>
          <w:sz w:val="24"/>
          <w:highlight w:val="none"/>
        </w:rPr>
      </w:pPr>
      <w:r>
        <w:rPr>
          <w:rFonts w:hint="eastAsia" w:ascii="宋体" w:hAnsi="宋体" w:cs="宋体"/>
          <w:b/>
          <w:bCs/>
          <w:color w:val="auto"/>
          <w:kern w:val="21"/>
          <w:sz w:val="24"/>
          <w:highlight w:val="none"/>
        </w:rPr>
        <w:t>（4）</w:t>
      </w:r>
      <w:bookmarkStart w:id="472" w:name="_Toc421120725"/>
      <w:bookmarkEnd w:id="472"/>
      <w:bookmarkStart w:id="473" w:name="_Toc437873709"/>
      <w:r>
        <w:rPr>
          <w:rFonts w:hint="eastAsia" w:ascii="宋体" w:hAnsi="宋体" w:cs="宋体"/>
          <w:b/>
          <w:bCs/>
          <w:color w:val="auto"/>
          <w:kern w:val="21"/>
          <w:sz w:val="24"/>
          <w:highlight w:val="none"/>
        </w:rPr>
        <w:t>一</w:t>
      </w:r>
      <w:bookmarkEnd w:id="473"/>
      <w:r>
        <w:rPr>
          <w:rFonts w:hint="eastAsia" w:ascii="宋体" w:hAnsi="宋体" w:cs="宋体"/>
          <w:b/>
          <w:bCs/>
          <w:color w:val="auto"/>
          <w:kern w:val="21"/>
          <w:sz w:val="24"/>
          <w:highlight w:val="none"/>
        </w:rPr>
        <w:t>级花坛养护质量要求</w:t>
      </w:r>
      <w:bookmarkEnd w:id="471"/>
      <w:r>
        <w:rPr>
          <w:rFonts w:hint="eastAsia" w:ascii="宋体" w:hAnsi="宋体" w:cs="宋体"/>
          <w:b/>
          <w:bCs/>
          <w:color w:val="auto"/>
          <w:kern w:val="21"/>
          <w:sz w:val="24"/>
          <w:highlight w:val="none"/>
        </w:rPr>
        <w:t>表</w:t>
      </w:r>
    </w:p>
    <w:tbl>
      <w:tblPr>
        <w:tblStyle w:val="22"/>
        <w:tblW w:w="9434" w:type="dxa"/>
        <w:jc w:val="center"/>
        <w:tblLayout w:type="fixed"/>
        <w:tblCellMar>
          <w:top w:w="0" w:type="dxa"/>
          <w:left w:w="108" w:type="dxa"/>
          <w:bottom w:w="0" w:type="dxa"/>
          <w:right w:w="108" w:type="dxa"/>
        </w:tblCellMar>
      </w:tblPr>
      <w:tblGrid>
        <w:gridCol w:w="953"/>
        <w:gridCol w:w="1756"/>
        <w:gridCol w:w="6725"/>
      </w:tblGrid>
      <w:tr w14:paraId="2BD08641">
        <w:tblPrEx>
          <w:tblCellMar>
            <w:top w:w="0" w:type="dxa"/>
            <w:left w:w="108" w:type="dxa"/>
            <w:bottom w:w="0" w:type="dxa"/>
            <w:right w:w="108" w:type="dxa"/>
          </w:tblCellMar>
        </w:tblPrEx>
        <w:trPr>
          <w:trHeight w:val="476" w:hRule="atLeast"/>
          <w:jc w:val="center"/>
        </w:trPr>
        <w:tc>
          <w:tcPr>
            <w:tcW w:w="953" w:type="dxa"/>
            <w:tcBorders>
              <w:top w:val="single" w:color="auto" w:sz="12" w:space="0"/>
              <w:left w:val="single" w:color="auto" w:sz="12" w:space="0"/>
              <w:bottom w:val="single" w:color="auto" w:sz="4" w:space="0"/>
              <w:right w:val="single" w:color="auto" w:sz="4" w:space="0"/>
            </w:tcBorders>
            <w:noWrap w:val="0"/>
            <w:vAlign w:val="center"/>
          </w:tcPr>
          <w:p w14:paraId="3B19FE8A">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1756" w:type="dxa"/>
            <w:tcBorders>
              <w:top w:val="single" w:color="auto" w:sz="12" w:space="0"/>
              <w:left w:val="single" w:color="auto" w:sz="4" w:space="0"/>
              <w:bottom w:val="single" w:color="auto" w:sz="4" w:space="0"/>
              <w:right w:val="single" w:color="auto" w:sz="4" w:space="0"/>
            </w:tcBorders>
            <w:noWrap w:val="0"/>
            <w:vAlign w:val="center"/>
          </w:tcPr>
          <w:p w14:paraId="0AB579F6">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项目</w:t>
            </w:r>
          </w:p>
        </w:tc>
        <w:tc>
          <w:tcPr>
            <w:tcW w:w="6725" w:type="dxa"/>
            <w:tcBorders>
              <w:top w:val="single" w:color="auto" w:sz="12" w:space="0"/>
              <w:left w:val="single" w:color="auto" w:sz="4" w:space="0"/>
              <w:bottom w:val="single" w:color="auto" w:sz="4" w:space="0"/>
              <w:right w:val="single" w:color="auto" w:sz="12" w:space="0"/>
            </w:tcBorders>
            <w:noWrap w:val="0"/>
            <w:vAlign w:val="center"/>
          </w:tcPr>
          <w:p w14:paraId="74681E1E">
            <w:pPr>
              <w:spacing w:line="440" w:lineRule="exact"/>
              <w:jc w:val="center"/>
              <w:rPr>
                <w:rFonts w:ascii="宋体" w:hAnsi="宋体" w:cs="宋体"/>
                <w:b/>
                <w:bCs/>
                <w:color w:val="auto"/>
                <w:sz w:val="24"/>
                <w:highlight w:val="none"/>
              </w:rPr>
            </w:pPr>
            <w:r>
              <w:rPr>
                <w:rFonts w:hint="eastAsia" w:ascii="宋体" w:hAnsi="宋体" w:cs="宋体"/>
                <w:b/>
                <w:bCs/>
                <w:color w:val="auto"/>
                <w:sz w:val="24"/>
                <w:highlight w:val="none"/>
              </w:rPr>
              <w:t>质量要求</w:t>
            </w:r>
          </w:p>
        </w:tc>
      </w:tr>
      <w:tr w14:paraId="0CDEF9F6">
        <w:tblPrEx>
          <w:tblCellMar>
            <w:top w:w="0" w:type="dxa"/>
            <w:left w:w="108" w:type="dxa"/>
            <w:bottom w:w="0" w:type="dxa"/>
            <w:right w:w="108" w:type="dxa"/>
          </w:tblCellMar>
        </w:tblPrEx>
        <w:trPr>
          <w:trHeight w:val="856" w:hRule="atLeast"/>
          <w:jc w:val="center"/>
        </w:trPr>
        <w:tc>
          <w:tcPr>
            <w:tcW w:w="953" w:type="dxa"/>
            <w:tcBorders>
              <w:top w:val="single" w:color="auto" w:sz="4" w:space="0"/>
              <w:left w:val="single" w:color="auto" w:sz="12" w:space="0"/>
              <w:bottom w:val="single" w:color="auto" w:sz="4" w:space="0"/>
              <w:right w:val="single" w:color="auto" w:sz="4" w:space="0"/>
            </w:tcBorders>
            <w:noWrap w:val="0"/>
            <w:vAlign w:val="center"/>
          </w:tcPr>
          <w:p w14:paraId="7EEB747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一</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30F2C56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整体效果</w:t>
            </w:r>
          </w:p>
        </w:tc>
        <w:tc>
          <w:tcPr>
            <w:tcW w:w="6725" w:type="dxa"/>
            <w:tcBorders>
              <w:top w:val="single" w:color="auto" w:sz="4" w:space="0"/>
              <w:left w:val="single" w:color="auto" w:sz="4" w:space="0"/>
              <w:bottom w:val="single" w:color="auto" w:sz="4" w:space="0"/>
              <w:right w:val="single" w:color="auto" w:sz="12" w:space="0"/>
            </w:tcBorders>
            <w:noWrap w:val="0"/>
            <w:vAlign w:val="center"/>
          </w:tcPr>
          <w:p w14:paraId="74E9C2D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花卉、饰物、设施、环境等配置相互协调，花坛花卉色彩搭配与层次处理得当，色块分界明显，线条流畅，同一色块顶面高度保持一致，整体观赏效果良好。</w:t>
            </w:r>
          </w:p>
        </w:tc>
      </w:tr>
      <w:tr w14:paraId="0B6C0A01">
        <w:tblPrEx>
          <w:tblCellMar>
            <w:top w:w="0" w:type="dxa"/>
            <w:left w:w="108" w:type="dxa"/>
            <w:bottom w:w="0" w:type="dxa"/>
            <w:right w:w="108" w:type="dxa"/>
          </w:tblCellMar>
        </w:tblPrEx>
        <w:trPr>
          <w:trHeight w:val="837" w:hRule="atLeast"/>
          <w:jc w:val="center"/>
        </w:trPr>
        <w:tc>
          <w:tcPr>
            <w:tcW w:w="953" w:type="dxa"/>
            <w:tcBorders>
              <w:top w:val="single" w:color="auto" w:sz="4" w:space="0"/>
              <w:left w:val="single" w:color="auto" w:sz="12" w:space="0"/>
              <w:bottom w:val="single" w:color="auto" w:sz="4" w:space="0"/>
              <w:right w:val="single" w:color="auto" w:sz="4" w:space="0"/>
            </w:tcBorders>
            <w:noWrap w:val="0"/>
            <w:vAlign w:val="center"/>
          </w:tcPr>
          <w:p w14:paraId="4D9EB2A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二</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51ED3E8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植物生长</w:t>
            </w:r>
          </w:p>
        </w:tc>
        <w:tc>
          <w:tcPr>
            <w:tcW w:w="6725" w:type="dxa"/>
            <w:tcBorders>
              <w:top w:val="single" w:color="auto" w:sz="4" w:space="0"/>
              <w:left w:val="single" w:color="auto" w:sz="4" w:space="0"/>
              <w:bottom w:val="single" w:color="auto" w:sz="4" w:space="0"/>
              <w:right w:val="single" w:color="auto" w:sz="12" w:space="0"/>
            </w:tcBorders>
            <w:noWrap w:val="0"/>
            <w:vAlign w:val="center"/>
          </w:tcPr>
          <w:p w14:paraId="19FE7DC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植株健壮，叶的形状、大小、色泽正常，开花整齐、应时，花型正，花色艳，花期达至规定要求。达标率＞95</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47C8CAD0">
        <w:tblPrEx>
          <w:tblCellMar>
            <w:top w:w="0" w:type="dxa"/>
            <w:left w:w="108" w:type="dxa"/>
            <w:bottom w:w="0" w:type="dxa"/>
            <w:right w:w="108" w:type="dxa"/>
          </w:tblCellMar>
        </w:tblPrEx>
        <w:trPr>
          <w:trHeight w:val="957" w:hRule="atLeast"/>
          <w:jc w:val="center"/>
        </w:trPr>
        <w:tc>
          <w:tcPr>
            <w:tcW w:w="953" w:type="dxa"/>
            <w:tcBorders>
              <w:top w:val="single" w:color="auto" w:sz="4" w:space="0"/>
              <w:left w:val="single" w:color="auto" w:sz="12" w:space="0"/>
              <w:bottom w:val="single" w:color="auto" w:sz="4" w:space="0"/>
              <w:right w:val="single" w:color="auto" w:sz="4" w:space="0"/>
            </w:tcBorders>
            <w:noWrap w:val="0"/>
            <w:vAlign w:val="center"/>
          </w:tcPr>
          <w:p w14:paraId="707B44C6">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三</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2ACCF02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整形修剪</w:t>
            </w:r>
          </w:p>
        </w:tc>
        <w:tc>
          <w:tcPr>
            <w:tcW w:w="6725" w:type="dxa"/>
            <w:tcBorders>
              <w:top w:val="single" w:color="auto" w:sz="4" w:space="0"/>
              <w:left w:val="single" w:color="auto" w:sz="4" w:space="0"/>
              <w:bottom w:val="single" w:color="auto" w:sz="4" w:space="0"/>
              <w:right w:val="single" w:color="auto" w:sz="12" w:space="0"/>
            </w:tcBorders>
            <w:noWrap w:val="0"/>
            <w:vAlign w:val="center"/>
          </w:tcPr>
          <w:p w14:paraId="6E947EC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无残花、枯枝、黄叶，基本无杂草，无倒伏现象，保持花坛同一色块顶面高度一致，保持良好的观赏效果。达标率＞95</w:t>
            </w:r>
            <w:r>
              <w:rPr>
                <w:rFonts w:hint="eastAsia" w:ascii="宋体" w:hAnsi="宋体" w:cs="宋体"/>
                <w:color w:val="auto"/>
                <w:spacing w:val="-30"/>
                <w:sz w:val="24"/>
                <w:highlight w:val="none"/>
              </w:rPr>
              <w:t>％</w:t>
            </w:r>
            <w:r>
              <w:rPr>
                <w:rFonts w:hint="eastAsia" w:ascii="宋体" w:hAnsi="宋体" w:cs="宋体"/>
                <w:color w:val="auto"/>
                <w:sz w:val="24"/>
                <w:highlight w:val="none"/>
              </w:rPr>
              <w:t>。</w:t>
            </w:r>
          </w:p>
        </w:tc>
      </w:tr>
      <w:tr w14:paraId="5C9886B7">
        <w:tblPrEx>
          <w:tblCellMar>
            <w:top w:w="0" w:type="dxa"/>
            <w:left w:w="108" w:type="dxa"/>
            <w:bottom w:w="0" w:type="dxa"/>
            <w:right w:w="108" w:type="dxa"/>
          </w:tblCellMar>
        </w:tblPrEx>
        <w:trPr>
          <w:trHeight w:val="418" w:hRule="atLeast"/>
          <w:jc w:val="center"/>
        </w:trPr>
        <w:tc>
          <w:tcPr>
            <w:tcW w:w="953" w:type="dxa"/>
            <w:tcBorders>
              <w:top w:val="single" w:color="auto" w:sz="4" w:space="0"/>
              <w:left w:val="single" w:color="auto" w:sz="12" w:space="0"/>
              <w:bottom w:val="single" w:color="auto" w:sz="4" w:space="0"/>
              <w:right w:val="single" w:color="auto" w:sz="4" w:space="0"/>
            </w:tcBorders>
            <w:noWrap w:val="0"/>
            <w:vAlign w:val="center"/>
          </w:tcPr>
          <w:p w14:paraId="1903FE86">
            <w:pPr>
              <w:spacing w:before="180" w:after="100" w:afterAutospacing="1" w:line="440" w:lineRule="exact"/>
              <w:jc w:val="center"/>
              <w:rPr>
                <w:rFonts w:ascii="宋体" w:hAnsi="宋体" w:cs="宋体"/>
                <w:color w:val="auto"/>
                <w:sz w:val="24"/>
                <w:highlight w:val="none"/>
              </w:rPr>
            </w:pPr>
            <w:r>
              <w:rPr>
                <w:rFonts w:hint="eastAsia" w:ascii="宋体" w:hAnsi="宋体" w:cs="宋体"/>
                <w:color w:val="auto"/>
                <w:sz w:val="24"/>
                <w:highlight w:val="none"/>
              </w:rPr>
              <w:t>四</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502A0427">
            <w:pPr>
              <w:spacing w:before="180" w:after="100" w:afterAutospacing="1" w:line="440" w:lineRule="exact"/>
              <w:jc w:val="center"/>
              <w:rPr>
                <w:rFonts w:ascii="宋体" w:hAnsi="宋体" w:cs="宋体"/>
                <w:color w:val="auto"/>
                <w:sz w:val="24"/>
                <w:highlight w:val="none"/>
              </w:rPr>
            </w:pPr>
            <w:r>
              <w:rPr>
                <w:rFonts w:hint="eastAsia" w:ascii="宋体" w:hAnsi="宋体" w:cs="宋体"/>
                <w:color w:val="auto"/>
                <w:sz w:val="24"/>
                <w:highlight w:val="none"/>
              </w:rPr>
              <w:t>病虫害控制</w:t>
            </w:r>
          </w:p>
        </w:tc>
        <w:tc>
          <w:tcPr>
            <w:tcW w:w="6725" w:type="dxa"/>
            <w:tcBorders>
              <w:top w:val="single" w:color="auto" w:sz="4" w:space="0"/>
              <w:left w:val="single" w:color="auto" w:sz="4" w:space="0"/>
              <w:bottom w:val="single" w:color="auto" w:sz="4" w:space="0"/>
              <w:right w:val="single" w:color="auto" w:sz="12" w:space="0"/>
            </w:tcBorders>
            <w:noWrap w:val="0"/>
            <w:vAlign w:val="center"/>
          </w:tcPr>
          <w:p w14:paraId="34C1E8CE">
            <w:pPr>
              <w:spacing w:before="180" w:after="100" w:afterAutospacing="1" w:line="44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无明显危害迹象；总的病虫</w:t>
            </w:r>
            <w:r>
              <w:rPr>
                <w:rFonts w:hint="eastAsia" w:ascii="宋体" w:hAnsi="宋体" w:cs="宋体"/>
                <w:color w:val="auto"/>
                <w:sz w:val="24"/>
                <w:highlight w:val="none"/>
                <w:lang w:val="en-US" w:eastAsia="zh-CN"/>
              </w:rPr>
              <w:t>危</w:t>
            </w:r>
            <w:r>
              <w:rPr>
                <w:rFonts w:hint="eastAsia" w:ascii="宋体" w:hAnsi="宋体" w:cs="宋体"/>
                <w:color w:val="auto"/>
                <w:sz w:val="24"/>
                <w:highlight w:val="none"/>
              </w:rPr>
              <w:t>害率＜5</w:t>
            </w:r>
            <w:r>
              <w:rPr>
                <w:rFonts w:hint="eastAsia" w:ascii="宋体" w:hAnsi="宋体" w:cs="宋体"/>
                <w:color w:val="auto"/>
                <w:spacing w:val="-30"/>
                <w:kern w:val="0"/>
                <w:sz w:val="24"/>
                <w:highlight w:val="none"/>
              </w:rPr>
              <w:t> ％</w:t>
            </w:r>
            <w:r>
              <w:rPr>
                <w:rFonts w:hint="eastAsia" w:ascii="宋体" w:hAnsi="宋体" w:cs="宋体"/>
                <w:color w:val="auto"/>
                <w:sz w:val="24"/>
                <w:highlight w:val="none"/>
              </w:rPr>
              <w:t>。</w:t>
            </w:r>
          </w:p>
        </w:tc>
      </w:tr>
      <w:tr w14:paraId="45D2B34D">
        <w:tblPrEx>
          <w:tblCellMar>
            <w:top w:w="0" w:type="dxa"/>
            <w:left w:w="108" w:type="dxa"/>
            <w:bottom w:w="0" w:type="dxa"/>
            <w:right w:w="108" w:type="dxa"/>
          </w:tblCellMar>
        </w:tblPrEx>
        <w:trPr>
          <w:trHeight w:val="1123" w:hRule="atLeast"/>
          <w:jc w:val="center"/>
        </w:trPr>
        <w:tc>
          <w:tcPr>
            <w:tcW w:w="953" w:type="dxa"/>
            <w:tcBorders>
              <w:top w:val="single" w:color="auto" w:sz="4" w:space="0"/>
              <w:left w:val="single" w:color="auto" w:sz="12" w:space="0"/>
              <w:bottom w:val="single" w:color="auto" w:sz="4" w:space="0"/>
              <w:right w:val="single" w:color="auto" w:sz="4" w:space="0"/>
            </w:tcBorders>
            <w:noWrap w:val="0"/>
            <w:vAlign w:val="center"/>
          </w:tcPr>
          <w:p w14:paraId="78790C3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五</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4C16D04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补种与</w:t>
            </w:r>
          </w:p>
          <w:p w14:paraId="1445B7B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更换</w:t>
            </w:r>
          </w:p>
        </w:tc>
        <w:tc>
          <w:tcPr>
            <w:tcW w:w="6725" w:type="dxa"/>
            <w:tcBorders>
              <w:top w:val="single" w:color="auto" w:sz="4" w:space="0"/>
              <w:left w:val="single" w:color="auto" w:sz="4" w:space="0"/>
              <w:bottom w:val="single" w:color="auto" w:sz="4" w:space="0"/>
              <w:right w:val="single" w:color="auto" w:sz="12" w:space="0"/>
            </w:tcBorders>
            <w:noWrap w:val="0"/>
            <w:vAlign w:val="center"/>
          </w:tcPr>
          <w:p w14:paraId="0F967DB5">
            <w:pPr>
              <w:spacing w:line="44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花坛应无黄土裸露、缺株和萎蔫现象。存在黄土裸露、缺株和萎蔫现象时应及时补种和更换；更换时边缘土面低于花坛边缘石顶5</w:t>
            </w:r>
            <w:r>
              <w:rPr>
                <w:rFonts w:hint="eastAsia" w:ascii="宋体" w:hAnsi="宋体" w:cs="宋体"/>
                <w:color w:val="auto"/>
                <w:spacing w:val="-30"/>
                <w:sz w:val="24"/>
                <w:highlight w:val="none"/>
              </w:rPr>
              <w:t> </w:t>
            </w:r>
            <w:r>
              <w:rPr>
                <w:rFonts w:hint="eastAsia" w:ascii="宋体" w:hAnsi="宋体" w:cs="宋体"/>
                <w:color w:val="auto"/>
                <w:sz w:val="24"/>
                <w:highlight w:val="none"/>
              </w:rPr>
              <w:t>cm～7</w:t>
            </w:r>
            <w:r>
              <w:rPr>
                <w:rFonts w:hint="eastAsia" w:ascii="宋体" w:hAnsi="宋体" w:cs="宋体"/>
                <w:color w:val="auto"/>
                <w:spacing w:val="-30"/>
                <w:sz w:val="24"/>
                <w:highlight w:val="none"/>
              </w:rPr>
              <w:t> </w:t>
            </w:r>
            <w:r>
              <w:rPr>
                <w:rFonts w:hint="eastAsia" w:ascii="宋体" w:hAnsi="宋体" w:cs="宋体"/>
                <w:color w:val="auto"/>
                <w:sz w:val="24"/>
                <w:highlight w:val="none"/>
              </w:rPr>
              <w:t>cm，同一色块的顶面保持一致。达标率＞98</w:t>
            </w:r>
            <w:r>
              <w:rPr>
                <w:rFonts w:hint="eastAsia" w:ascii="宋体" w:hAnsi="宋体" w:cs="宋体"/>
                <w:color w:val="auto"/>
                <w:spacing w:val="-30"/>
                <w:sz w:val="24"/>
                <w:highlight w:val="none"/>
              </w:rPr>
              <w:t>％</w:t>
            </w:r>
            <w:r>
              <w:rPr>
                <w:rFonts w:hint="eastAsia" w:ascii="宋体" w:hAnsi="宋体" w:cs="宋体"/>
                <w:color w:val="auto"/>
                <w:sz w:val="24"/>
                <w:highlight w:val="none"/>
              </w:rPr>
              <w:t xml:space="preserve">。 </w:t>
            </w:r>
          </w:p>
        </w:tc>
      </w:tr>
      <w:tr w14:paraId="1C4963BE">
        <w:tblPrEx>
          <w:tblCellMar>
            <w:top w:w="0" w:type="dxa"/>
            <w:left w:w="108" w:type="dxa"/>
            <w:bottom w:w="0" w:type="dxa"/>
            <w:right w:w="108" w:type="dxa"/>
          </w:tblCellMar>
        </w:tblPrEx>
        <w:trPr>
          <w:trHeight w:val="563" w:hRule="atLeast"/>
          <w:jc w:val="center"/>
        </w:trPr>
        <w:tc>
          <w:tcPr>
            <w:tcW w:w="953" w:type="dxa"/>
            <w:tcBorders>
              <w:top w:val="single" w:color="auto" w:sz="4" w:space="0"/>
              <w:left w:val="single" w:color="auto" w:sz="12" w:space="0"/>
              <w:bottom w:val="single" w:color="auto" w:sz="4" w:space="0"/>
              <w:right w:val="single" w:color="auto" w:sz="4" w:space="0"/>
            </w:tcBorders>
            <w:noWrap w:val="0"/>
            <w:vAlign w:val="center"/>
          </w:tcPr>
          <w:p w14:paraId="002994A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六</w:t>
            </w:r>
          </w:p>
        </w:tc>
        <w:tc>
          <w:tcPr>
            <w:tcW w:w="1756" w:type="dxa"/>
            <w:tcBorders>
              <w:top w:val="single" w:color="auto" w:sz="4" w:space="0"/>
              <w:left w:val="single" w:color="auto" w:sz="4" w:space="0"/>
              <w:bottom w:val="single" w:color="auto" w:sz="4" w:space="0"/>
              <w:right w:val="single" w:color="auto" w:sz="4" w:space="0"/>
            </w:tcBorders>
            <w:noWrap w:val="0"/>
            <w:vAlign w:val="center"/>
          </w:tcPr>
          <w:p w14:paraId="6239219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防护设施</w:t>
            </w:r>
          </w:p>
        </w:tc>
        <w:tc>
          <w:tcPr>
            <w:tcW w:w="6725" w:type="dxa"/>
            <w:tcBorders>
              <w:top w:val="single" w:color="auto" w:sz="4" w:space="0"/>
              <w:left w:val="single" w:color="auto" w:sz="4" w:space="0"/>
              <w:bottom w:val="single" w:color="auto" w:sz="4" w:space="0"/>
              <w:right w:val="single" w:color="auto" w:sz="12" w:space="0"/>
            </w:tcBorders>
            <w:noWrap w:val="0"/>
            <w:vAlign w:val="center"/>
          </w:tcPr>
          <w:p w14:paraId="25B603DE">
            <w:pPr>
              <w:spacing w:line="440" w:lineRule="exact"/>
              <w:rPr>
                <w:rFonts w:ascii="宋体" w:hAnsi="宋体" w:cs="宋体"/>
                <w:color w:val="auto"/>
                <w:sz w:val="24"/>
                <w:highlight w:val="none"/>
              </w:rPr>
            </w:pPr>
            <w:r>
              <w:rPr>
                <w:rFonts w:hint="eastAsia" w:ascii="宋体" w:hAnsi="宋体" w:cs="宋体"/>
                <w:color w:val="auto"/>
                <w:sz w:val="24"/>
                <w:highlight w:val="none"/>
              </w:rPr>
              <w:t>设施稳固、整洁、完好，与花坛协调美观；饰物和雕塑等应安全、美观。达标率＞95</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6EF7E176">
        <w:tblPrEx>
          <w:tblCellMar>
            <w:top w:w="0" w:type="dxa"/>
            <w:left w:w="108" w:type="dxa"/>
            <w:bottom w:w="0" w:type="dxa"/>
            <w:right w:w="108" w:type="dxa"/>
          </w:tblCellMar>
        </w:tblPrEx>
        <w:trPr>
          <w:trHeight w:val="713" w:hRule="atLeast"/>
          <w:jc w:val="center"/>
        </w:trPr>
        <w:tc>
          <w:tcPr>
            <w:tcW w:w="953" w:type="dxa"/>
            <w:tcBorders>
              <w:top w:val="single" w:color="auto" w:sz="4" w:space="0"/>
              <w:left w:val="single" w:color="auto" w:sz="12" w:space="0"/>
              <w:bottom w:val="single" w:color="auto" w:sz="8" w:space="0"/>
              <w:right w:val="single" w:color="auto" w:sz="4" w:space="0"/>
            </w:tcBorders>
            <w:noWrap w:val="0"/>
            <w:vAlign w:val="center"/>
          </w:tcPr>
          <w:p w14:paraId="714A7F1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七</w:t>
            </w:r>
          </w:p>
        </w:tc>
        <w:tc>
          <w:tcPr>
            <w:tcW w:w="1756" w:type="dxa"/>
            <w:tcBorders>
              <w:top w:val="single" w:color="auto" w:sz="4" w:space="0"/>
              <w:left w:val="single" w:color="auto" w:sz="4" w:space="0"/>
              <w:bottom w:val="single" w:color="auto" w:sz="8" w:space="0"/>
              <w:right w:val="single" w:color="auto" w:sz="4" w:space="0"/>
            </w:tcBorders>
            <w:noWrap w:val="0"/>
            <w:vAlign w:val="center"/>
          </w:tcPr>
          <w:p w14:paraId="71E1ACF5">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环境卫生</w:t>
            </w:r>
          </w:p>
        </w:tc>
        <w:tc>
          <w:tcPr>
            <w:tcW w:w="6725" w:type="dxa"/>
            <w:tcBorders>
              <w:top w:val="single" w:color="auto" w:sz="4" w:space="0"/>
              <w:left w:val="single" w:color="auto" w:sz="4" w:space="0"/>
              <w:bottom w:val="single" w:color="auto" w:sz="8" w:space="0"/>
              <w:right w:val="single" w:color="auto" w:sz="12" w:space="0"/>
            </w:tcBorders>
            <w:noWrap w:val="0"/>
            <w:vAlign w:val="center"/>
          </w:tcPr>
          <w:p w14:paraId="778CACA9">
            <w:pPr>
              <w:spacing w:line="440" w:lineRule="exact"/>
              <w:rPr>
                <w:rFonts w:ascii="宋体" w:hAnsi="宋体" w:cs="宋体"/>
                <w:color w:val="auto"/>
                <w:sz w:val="24"/>
                <w:highlight w:val="none"/>
              </w:rPr>
            </w:pPr>
            <w:r>
              <w:rPr>
                <w:rFonts w:hint="eastAsia" w:ascii="宋体" w:hAnsi="宋体" w:cs="宋体"/>
                <w:color w:val="auto"/>
                <w:sz w:val="24"/>
                <w:highlight w:val="none"/>
              </w:rPr>
              <w:t>无垃圾，无泥土散落、弄脏道路及周围环境现象；假花无散落现象；设施完好、整洁、美观。达标率＞98</w:t>
            </w:r>
            <w:r>
              <w:rPr>
                <w:rFonts w:hint="eastAsia" w:ascii="宋体" w:hAnsi="宋体" w:cs="宋体"/>
                <w:color w:val="auto"/>
                <w:spacing w:val="-30"/>
                <w:sz w:val="24"/>
                <w:highlight w:val="none"/>
              </w:rPr>
              <w:t> ％</w:t>
            </w:r>
            <w:r>
              <w:rPr>
                <w:rFonts w:hint="eastAsia" w:ascii="宋体" w:hAnsi="宋体" w:cs="宋体"/>
                <w:color w:val="auto"/>
                <w:sz w:val="24"/>
                <w:highlight w:val="none"/>
              </w:rPr>
              <w:t>。</w:t>
            </w:r>
          </w:p>
        </w:tc>
      </w:tr>
      <w:tr w14:paraId="22168431">
        <w:tblPrEx>
          <w:tblCellMar>
            <w:top w:w="0" w:type="dxa"/>
            <w:left w:w="108" w:type="dxa"/>
            <w:bottom w:w="0" w:type="dxa"/>
            <w:right w:w="108" w:type="dxa"/>
          </w:tblCellMar>
        </w:tblPrEx>
        <w:trPr>
          <w:cantSplit/>
          <w:trHeight w:val="615" w:hRule="atLeast"/>
          <w:jc w:val="center"/>
        </w:trPr>
        <w:tc>
          <w:tcPr>
            <w:tcW w:w="9434" w:type="dxa"/>
            <w:gridSpan w:val="3"/>
            <w:tcBorders>
              <w:top w:val="single" w:color="auto" w:sz="8" w:space="0"/>
              <w:left w:val="single" w:color="auto" w:sz="12" w:space="0"/>
              <w:bottom w:val="single" w:color="auto" w:sz="12" w:space="0"/>
              <w:right w:val="single" w:color="auto" w:sz="12" w:space="0"/>
            </w:tcBorders>
            <w:noWrap w:val="0"/>
            <w:vAlign w:val="center"/>
          </w:tcPr>
          <w:p w14:paraId="0F68C3F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注：达标率指乔木、灌木、地被、草坪等被检目标达到相应要求的植株数（或面积）占总株数（或总面积）的百分比。</w:t>
            </w:r>
          </w:p>
        </w:tc>
      </w:tr>
    </w:tbl>
    <w:p w14:paraId="505CA4C7">
      <w:pPr>
        <w:jc w:val="center"/>
        <w:rPr>
          <w:rFonts w:ascii="宋体" w:hAnsi="宋体" w:cs="宋体"/>
          <w:b/>
          <w:color w:val="auto"/>
          <w:sz w:val="24"/>
          <w:highlight w:val="none"/>
        </w:rPr>
      </w:pPr>
      <w:bookmarkStart w:id="474" w:name="_Toc531078834"/>
      <w:r>
        <w:rPr>
          <w:rFonts w:hint="eastAsia" w:ascii="宋体" w:hAnsi="宋体" w:cs="宋体"/>
          <w:b/>
          <w:color w:val="auto"/>
          <w:sz w:val="24"/>
          <w:highlight w:val="none"/>
        </w:rPr>
        <w:br w:type="page"/>
      </w:r>
      <w:r>
        <w:rPr>
          <w:rFonts w:hint="eastAsia" w:ascii="宋体" w:hAnsi="宋体" w:cs="宋体"/>
          <w:b/>
          <w:color w:val="auto"/>
          <w:sz w:val="24"/>
          <w:highlight w:val="none"/>
        </w:rPr>
        <w:t>（5）二级绿地养护质量要求表</w:t>
      </w:r>
      <w:bookmarkEnd w:id="474"/>
    </w:p>
    <w:tbl>
      <w:tblPr>
        <w:tblStyle w:val="22"/>
        <w:tblW w:w="9921" w:type="dxa"/>
        <w:jc w:val="center"/>
        <w:tblLayout w:type="fixed"/>
        <w:tblCellMar>
          <w:top w:w="0" w:type="dxa"/>
          <w:left w:w="108" w:type="dxa"/>
          <w:bottom w:w="0" w:type="dxa"/>
          <w:right w:w="108" w:type="dxa"/>
        </w:tblCellMar>
      </w:tblPr>
      <w:tblGrid>
        <w:gridCol w:w="673"/>
        <w:gridCol w:w="1762"/>
        <w:gridCol w:w="7486"/>
      </w:tblGrid>
      <w:tr w14:paraId="53185783">
        <w:tblPrEx>
          <w:tblCellMar>
            <w:top w:w="0" w:type="dxa"/>
            <w:left w:w="108" w:type="dxa"/>
            <w:bottom w:w="0" w:type="dxa"/>
            <w:right w:w="108" w:type="dxa"/>
          </w:tblCellMar>
        </w:tblPrEx>
        <w:trPr>
          <w:trHeight w:val="605" w:hRule="atLeast"/>
          <w:jc w:val="center"/>
        </w:trPr>
        <w:tc>
          <w:tcPr>
            <w:tcW w:w="673" w:type="dxa"/>
            <w:tcBorders>
              <w:top w:val="single" w:color="auto" w:sz="12" w:space="0"/>
              <w:left w:val="single" w:color="auto" w:sz="12" w:space="0"/>
              <w:bottom w:val="single" w:color="auto" w:sz="12" w:space="0"/>
              <w:right w:val="single" w:color="auto" w:sz="4" w:space="0"/>
            </w:tcBorders>
            <w:noWrap w:val="0"/>
            <w:vAlign w:val="center"/>
          </w:tcPr>
          <w:p w14:paraId="52D61081">
            <w:pPr>
              <w:keepNext w:val="0"/>
              <w:keepLines w:val="0"/>
              <w:pageBreakBefore w:val="0"/>
              <w:widowControl w:val="0"/>
              <w:kinsoku/>
              <w:wordWrap/>
              <w:overflowPunct/>
              <w:topLinePunct w:val="0"/>
              <w:autoSpaceDE/>
              <w:autoSpaceDN/>
              <w:bidi w:val="0"/>
              <w:adjustRightInd/>
              <w:snapToGrid/>
              <w:spacing w:line="400" w:lineRule="exact"/>
              <w:ind w:right="-111" w:rightChars="-53"/>
              <w:jc w:val="center"/>
              <w:textAlignment w:val="auto"/>
              <w:rPr>
                <w:rFonts w:ascii="宋体" w:hAnsi="宋体" w:cs="宋体"/>
                <w:color w:val="auto"/>
                <w:sz w:val="24"/>
                <w:highlight w:val="none"/>
              </w:rPr>
            </w:pPr>
            <w:r>
              <w:rPr>
                <w:rFonts w:hint="eastAsia" w:ascii="宋体" w:hAnsi="宋体" w:cs="宋体"/>
                <w:color w:val="auto"/>
                <w:sz w:val="24"/>
                <w:highlight w:val="none"/>
              </w:rPr>
              <w:t>序号</w:t>
            </w:r>
          </w:p>
        </w:tc>
        <w:tc>
          <w:tcPr>
            <w:tcW w:w="1762" w:type="dxa"/>
            <w:tcBorders>
              <w:top w:val="single" w:color="auto" w:sz="12" w:space="0"/>
              <w:left w:val="nil"/>
              <w:bottom w:val="single" w:color="auto" w:sz="12" w:space="0"/>
              <w:right w:val="single" w:color="auto" w:sz="4" w:space="0"/>
            </w:tcBorders>
            <w:noWrap w:val="0"/>
            <w:vAlign w:val="center"/>
          </w:tcPr>
          <w:p w14:paraId="4CC773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项目</w:t>
            </w:r>
          </w:p>
        </w:tc>
        <w:tc>
          <w:tcPr>
            <w:tcW w:w="7486" w:type="dxa"/>
            <w:tcBorders>
              <w:top w:val="single" w:color="auto" w:sz="12" w:space="0"/>
              <w:left w:val="nil"/>
              <w:bottom w:val="single" w:color="auto" w:sz="12" w:space="0"/>
              <w:right w:val="single" w:color="auto" w:sz="12" w:space="0"/>
            </w:tcBorders>
            <w:noWrap w:val="0"/>
            <w:vAlign w:val="center"/>
          </w:tcPr>
          <w:p w14:paraId="5DA33E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质量要求</w:t>
            </w:r>
          </w:p>
        </w:tc>
      </w:tr>
      <w:tr w14:paraId="55102894">
        <w:tblPrEx>
          <w:tblCellMar>
            <w:top w:w="0" w:type="dxa"/>
            <w:left w:w="108" w:type="dxa"/>
            <w:bottom w:w="0" w:type="dxa"/>
            <w:right w:w="108" w:type="dxa"/>
          </w:tblCellMar>
        </w:tblPrEx>
        <w:trPr>
          <w:trHeight w:val="960" w:hRule="atLeast"/>
          <w:jc w:val="center"/>
        </w:trPr>
        <w:tc>
          <w:tcPr>
            <w:tcW w:w="673" w:type="dxa"/>
            <w:tcBorders>
              <w:top w:val="single" w:color="auto" w:sz="12" w:space="0"/>
              <w:left w:val="single" w:color="auto" w:sz="12" w:space="0"/>
              <w:bottom w:val="single" w:color="auto" w:sz="4" w:space="0"/>
              <w:right w:val="single" w:color="auto" w:sz="4" w:space="0"/>
            </w:tcBorders>
            <w:noWrap w:val="0"/>
            <w:vAlign w:val="center"/>
          </w:tcPr>
          <w:p w14:paraId="4741FE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一</w:t>
            </w:r>
          </w:p>
        </w:tc>
        <w:tc>
          <w:tcPr>
            <w:tcW w:w="1762" w:type="dxa"/>
            <w:tcBorders>
              <w:top w:val="single" w:color="auto" w:sz="12" w:space="0"/>
              <w:left w:val="nil"/>
              <w:bottom w:val="single" w:color="auto" w:sz="4" w:space="0"/>
              <w:right w:val="single" w:color="auto" w:sz="4" w:space="0"/>
            </w:tcBorders>
            <w:noWrap w:val="0"/>
            <w:vAlign w:val="center"/>
          </w:tcPr>
          <w:p w14:paraId="6CEEEB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群落结构与整体效果</w:t>
            </w:r>
          </w:p>
        </w:tc>
        <w:tc>
          <w:tcPr>
            <w:tcW w:w="7486" w:type="dxa"/>
            <w:tcBorders>
              <w:top w:val="single" w:color="auto" w:sz="12" w:space="0"/>
              <w:left w:val="nil"/>
              <w:bottom w:val="single" w:color="auto" w:sz="4" w:space="0"/>
              <w:right w:val="single" w:color="auto" w:sz="12" w:space="0"/>
            </w:tcBorders>
            <w:noWrap w:val="0"/>
            <w:vAlign w:val="center"/>
          </w:tcPr>
          <w:p w14:paraId="24C3D64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植物配置合理、层次较丰富，植株生长空间与层次处理得当，具有较完整的群落结构，积尘少，整体观赏效果良好。</w:t>
            </w:r>
          </w:p>
        </w:tc>
      </w:tr>
      <w:tr w14:paraId="46FEF8FE">
        <w:tblPrEx>
          <w:tblCellMar>
            <w:top w:w="0" w:type="dxa"/>
            <w:left w:w="108" w:type="dxa"/>
            <w:bottom w:w="0" w:type="dxa"/>
            <w:right w:w="108" w:type="dxa"/>
          </w:tblCellMar>
        </w:tblPrEx>
        <w:trPr>
          <w:trHeight w:val="960" w:hRule="atLeast"/>
          <w:jc w:val="center"/>
        </w:trPr>
        <w:tc>
          <w:tcPr>
            <w:tcW w:w="673" w:type="dxa"/>
            <w:tcBorders>
              <w:top w:val="single" w:color="auto" w:sz="4" w:space="0"/>
              <w:left w:val="single" w:color="auto" w:sz="12" w:space="0"/>
              <w:bottom w:val="single" w:color="auto" w:sz="4" w:space="0"/>
              <w:right w:val="single" w:color="auto" w:sz="4" w:space="0"/>
            </w:tcBorders>
            <w:noWrap w:val="0"/>
            <w:vAlign w:val="center"/>
          </w:tcPr>
          <w:p w14:paraId="74D7F6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二</w:t>
            </w:r>
          </w:p>
        </w:tc>
        <w:tc>
          <w:tcPr>
            <w:tcW w:w="1762" w:type="dxa"/>
            <w:tcBorders>
              <w:top w:val="single" w:color="auto" w:sz="4" w:space="0"/>
              <w:left w:val="nil"/>
              <w:bottom w:val="single" w:color="auto" w:sz="4" w:space="0"/>
              <w:right w:val="single" w:color="auto" w:sz="4" w:space="0"/>
            </w:tcBorders>
            <w:noWrap w:val="0"/>
            <w:vAlign w:val="center"/>
          </w:tcPr>
          <w:p w14:paraId="480DEA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植物生长</w:t>
            </w:r>
          </w:p>
        </w:tc>
        <w:tc>
          <w:tcPr>
            <w:tcW w:w="7486" w:type="dxa"/>
            <w:tcBorders>
              <w:top w:val="single" w:color="auto" w:sz="4" w:space="0"/>
              <w:left w:val="nil"/>
              <w:bottom w:val="single" w:color="auto" w:sz="4" w:space="0"/>
              <w:right w:val="single" w:color="auto" w:sz="12" w:space="0"/>
            </w:tcBorders>
            <w:noWrap w:val="0"/>
            <w:vAlign w:val="center"/>
          </w:tcPr>
          <w:p w14:paraId="7C7BD97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植株生长良好，符合物候状况，叶的颜色、形状、大小正常，树体正直不偏斜；观花植物适时开花。达标率＞90％</w:t>
            </w:r>
          </w:p>
        </w:tc>
      </w:tr>
      <w:tr w14:paraId="0D3366D8">
        <w:tblPrEx>
          <w:tblCellMar>
            <w:top w:w="0" w:type="dxa"/>
            <w:left w:w="108" w:type="dxa"/>
            <w:bottom w:w="0" w:type="dxa"/>
            <w:right w:w="108" w:type="dxa"/>
          </w:tblCellMar>
        </w:tblPrEx>
        <w:trPr>
          <w:trHeight w:val="1585" w:hRule="atLeast"/>
          <w:jc w:val="center"/>
        </w:trPr>
        <w:tc>
          <w:tcPr>
            <w:tcW w:w="673" w:type="dxa"/>
            <w:tcBorders>
              <w:top w:val="single" w:color="auto" w:sz="4" w:space="0"/>
              <w:left w:val="single" w:color="auto" w:sz="12" w:space="0"/>
              <w:bottom w:val="single" w:color="auto" w:sz="4" w:space="0"/>
              <w:right w:val="single" w:color="auto" w:sz="4" w:space="0"/>
            </w:tcBorders>
            <w:noWrap w:val="0"/>
            <w:vAlign w:val="center"/>
          </w:tcPr>
          <w:p w14:paraId="515BA31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三</w:t>
            </w:r>
          </w:p>
        </w:tc>
        <w:tc>
          <w:tcPr>
            <w:tcW w:w="1762" w:type="dxa"/>
            <w:tcBorders>
              <w:top w:val="single" w:color="auto" w:sz="4" w:space="0"/>
              <w:left w:val="nil"/>
              <w:bottom w:val="single" w:color="auto" w:sz="4" w:space="0"/>
              <w:right w:val="single" w:color="auto" w:sz="4" w:space="0"/>
            </w:tcBorders>
            <w:noWrap w:val="0"/>
            <w:vAlign w:val="center"/>
          </w:tcPr>
          <w:p w14:paraId="10F40B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整形修剪</w:t>
            </w:r>
          </w:p>
        </w:tc>
        <w:tc>
          <w:tcPr>
            <w:tcW w:w="7486" w:type="dxa"/>
            <w:tcBorders>
              <w:top w:val="single" w:color="auto" w:sz="4" w:space="0"/>
              <w:left w:val="nil"/>
              <w:bottom w:val="single" w:color="auto" w:sz="4" w:space="0"/>
              <w:right w:val="single" w:color="auto" w:sz="12" w:space="0"/>
            </w:tcBorders>
            <w:noWrap w:val="0"/>
            <w:vAlign w:val="center"/>
          </w:tcPr>
          <w:p w14:paraId="29B2B9D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乔木：定时修剪，无干枯枝、缠绕物、钉挂物，树冠匀称，具良好观赏效果；整形乔灌木：按要求养成并维持一定形态，生长茂密，脚叶丰满形态良好；一般孤植灌木：按要求养成观花或观叶形态，树形良好，无枯枝；片植灌木：图形清晰、线条明显、流畅，无明显杂草；地被植物常绿、整洁，无明显杂草、枯黄叶。达标率＞90％。</w:t>
            </w:r>
          </w:p>
        </w:tc>
      </w:tr>
      <w:tr w14:paraId="7A7CE5C0">
        <w:tblPrEx>
          <w:tblCellMar>
            <w:top w:w="0" w:type="dxa"/>
            <w:left w:w="108" w:type="dxa"/>
            <w:bottom w:w="0" w:type="dxa"/>
            <w:right w:w="108" w:type="dxa"/>
          </w:tblCellMar>
        </w:tblPrEx>
        <w:trPr>
          <w:trHeight w:val="1068" w:hRule="atLeast"/>
          <w:jc w:val="center"/>
        </w:trPr>
        <w:tc>
          <w:tcPr>
            <w:tcW w:w="673" w:type="dxa"/>
            <w:tcBorders>
              <w:top w:val="single" w:color="auto" w:sz="4" w:space="0"/>
              <w:left w:val="single" w:color="auto" w:sz="12" w:space="0"/>
              <w:bottom w:val="single" w:color="auto" w:sz="4" w:space="0"/>
              <w:right w:val="single" w:color="auto" w:sz="4" w:space="0"/>
            </w:tcBorders>
            <w:noWrap w:val="0"/>
            <w:vAlign w:val="center"/>
          </w:tcPr>
          <w:p w14:paraId="6EE38D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四</w:t>
            </w:r>
          </w:p>
        </w:tc>
        <w:tc>
          <w:tcPr>
            <w:tcW w:w="1762" w:type="dxa"/>
            <w:tcBorders>
              <w:top w:val="single" w:color="auto" w:sz="4" w:space="0"/>
              <w:left w:val="nil"/>
              <w:bottom w:val="single" w:color="auto" w:sz="4" w:space="0"/>
              <w:right w:val="single" w:color="auto" w:sz="4" w:space="0"/>
            </w:tcBorders>
            <w:noWrap w:val="0"/>
            <w:vAlign w:val="center"/>
          </w:tcPr>
          <w:p w14:paraId="4967CF9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树盘</w:t>
            </w:r>
          </w:p>
        </w:tc>
        <w:tc>
          <w:tcPr>
            <w:tcW w:w="7486" w:type="dxa"/>
            <w:tcBorders>
              <w:top w:val="single" w:color="auto" w:sz="4" w:space="0"/>
              <w:left w:val="nil"/>
              <w:bottom w:val="single" w:color="auto" w:sz="4" w:space="0"/>
              <w:right w:val="single" w:color="auto" w:sz="12" w:space="0"/>
            </w:tcBorders>
            <w:noWrap w:val="0"/>
            <w:vAlign w:val="center"/>
          </w:tcPr>
          <w:p w14:paraId="645E161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有地被树盘：其形状、大小整齐规范，满盘，不攀缠植株；无明显杂草、杂物。无地被树盘：大小合适，边线整齐，土壤疏松、细碎，无明显杂草、杂物。达标率＞90%。</w:t>
            </w:r>
          </w:p>
        </w:tc>
      </w:tr>
      <w:tr w14:paraId="3365C885">
        <w:tblPrEx>
          <w:tblCellMar>
            <w:top w:w="0" w:type="dxa"/>
            <w:left w:w="108" w:type="dxa"/>
            <w:bottom w:w="0" w:type="dxa"/>
            <w:right w:w="108" w:type="dxa"/>
          </w:tblCellMar>
        </w:tblPrEx>
        <w:trPr>
          <w:trHeight w:val="1594" w:hRule="atLeast"/>
          <w:jc w:val="center"/>
        </w:trPr>
        <w:tc>
          <w:tcPr>
            <w:tcW w:w="673" w:type="dxa"/>
            <w:tcBorders>
              <w:top w:val="single" w:color="auto" w:sz="4" w:space="0"/>
              <w:left w:val="single" w:color="auto" w:sz="12" w:space="0"/>
              <w:bottom w:val="single" w:color="auto" w:sz="4" w:space="0"/>
              <w:right w:val="single" w:color="auto" w:sz="4" w:space="0"/>
            </w:tcBorders>
            <w:noWrap w:val="0"/>
            <w:vAlign w:val="center"/>
          </w:tcPr>
          <w:p w14:paraId="473978D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五</w:t>
            </w:r>
          </w:p>
        </w:tc>
        <w:tc>
          <w:tcPr>
            <w:tcW w:w="1762" w:type="dxa"/>
            <w:tcBorders>
              <w:top w:val="single" w:color="auto" w:sz="4" w:space="0"/>
              <w:left w:val="nil"/>
              <w:bottom w:val="single" w:color="auto" w:sz="4" w:space="0"/>
              <w:right w:val="single" w:color="auto" w:sz="4" w:space="0"/>
            </w:tcBorders>
            <w:noWrap w:val="0"/>
            <w:vAlign w:val="center"/>
          </w:tcPr>
          <w:p w14:paraId="0EB9831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草坪</w:t>
            </w:r>
          </w:p>
        </w:tc>
        <w:tc>
          <w:tcPr>
            <w:tcW w:w="7486" w:type="dxa"/>
            <w:tcBorders>
              <w:top w:val="single" w:color="auto" w:sz="4" w:space="0"/>
              <w:left w:val="nil"/>
              <w:bottom w:val="single" w:color="auto" w:sz="4" w:space="0"/>
              <w:right w:val="single" w:color="auto" w:sz="12" w:space="0"/>
            </w:tcBorders>
            <w:noWrap w:val="0"/>
            <w:vAlign w:val="center"/>
          </w:tcPr>
          <w:p w14:paraId="1CEF52C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观赏性草坪，生长季节青绿无枯黄，无大型杂草和异型杂草，目的草种纯度90 ％以上。开放类草坪，生长季节青绿，无明显枯黄现象，无大型杂草，目的草种纯度85％以上。各类草坪均要求平整，无明显起团，高度在8cm以下；无明显坑洼，草坪边缘线基本清晰。达标率＞90％。</w:t>
            </w:r>
          </w:p>
        </w:tc>
      </w:tr>
      <w:tr w14:paraId="65CC6861">
        <w:tblPrEx>
          <w:tblCellMar>
            <w:top w:w="0" w:type="dxa"/>
            <w:left w:w="108" w:type="dxa"/>
            <w:bottom w:w="0" w:type="dxa"/>
            <w:right w:w="108" w:type="dxa"/>
          </w:tblCellMar>
        </w:tblPrEx>
        <w:trPr>
          <w:trHeight w:val="889" w:hRule="atLeast"/>
          <w:jc w:val="center"/>
        </w:trPr>
        <w:tc>
          <w:tcPr>
            <w:tcW w:w="673" w:type="dxa"/>
            <w:tcBorders>
              <w:top w:val="single" w:color="auto" w:sz="4" w:space="0"/>
              <w:left w:val="single" w:color="auto" w:sz="12" w:space="0"/>
              <w:bottom w:val="single" w:color="auto" w:sz="4" w:space="0"/>
              <w:right w:val="single" w:color="auto" w:sz="4" w:space="0"/>
            </w:tcBorders>
            <w:noWrap w:val="0"/>
            <w:vAlign w:val="center"/>
          </w:tcPr>
          <w:p w14:paraId="1D0188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六</w:t>
            </w:r>
          </w:p>
        </w:tc>
        <w:tc>
          <w:tcPr>
            <w:tcW w:w="1762" w:type="dxa"/>
            <w:tcBorders>
              <w:top w:val="single" w:color="auto" w:sz="4" w:space="0"/>
              <w:left w:val="nil"/>
              <w:bottom w:val="single" w:color="auto" w:sz="4" w:space="0"/>
              <w:right w:val="single" w:color="auto" w:sz="4" w:space="0"/>
            </w:tcBorders>
            <w:noWrap w:val="0"/>
            <w:vAlign w:val="center"/>
          </w:tcPr>
          <w:p w14:paraId="3DE0AC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病虫害</w:t>
            </w:r>
          </w:p>
          <w:p w14:paraId="7F451B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控制</w:t>
            </w:r>
          </w:p>
        </w:tc>
        <w:tc>
          <w:tcPr>
            <w:tcW w:w="7486" w:type="dxa"/>
            <w:tcBorders>
              <w:top w:val="single" w:color="auto" w:sz="4" w:space="0"/>
              <w:left w:val="nil"/>
              <w:bottom w:val="single" w:color="auto" w:sz="4" w:space="0"/>
              <w:right w:val="single" w:color="auto" w:sz="12" w:space="0"/>
            </w:tcBorders>
            <w:noWrap w:val="0"/>
            <w:vAlign w:val="center"/>
          </w:tcPr>
          <w:p w14:paraId="491AB61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无明显危害迹象；总的病虫害危害率＜15％，其中蛀干、根部害虫＜5％，食叶害虫＜10％，刺吸性害虫＜15％，病害感染率＜10％，寄生＜5％。</w:t>
            </w:r>
          </w:p>
        </w:tc>
      </w:tr>
      <w:tr w14:paraId="397F13E4">
        <w:tblPrEx>
          <w:tblCellMar>
            <w:top w:w="0" w:type="dxa"/>
            <w:left w:w="108" w:type="dxa"/>
            <w:bottom w:w="0" w:type="dxa"/>
            <w:right w:w="108" w:type="dxa"/>
          </w:tblCellMar>
        </w:tblPrEx>
        <w:trPr>
          <w:trHeight w:val="1215" w:hRule="atLeast"/>
          <w:jc w:val="center"/>
        </w:trPr>
        <w:tc>
          <w:tcPr>
            <w:tcW w:w="673" w:type="dxa"/>
            <w:tcBorders>
              <w:top w:val="single" w:color="auto" w:sz="4" w:space="0"/>
              <w:left w:val="single" w:color="auto" w:sz="12" w:space="0"/>
              <w:bottom w:val="single" w:color="auto" w:sz="4" w:space="0"/>
              <w:right w:val="single" w:color="auto" w:sz="4" w:space="0"/>
            </w:tcBorders>
            <w:noWrap w:val="0"/>
            <w:vAlign w:val="center"/>
          </w:tcPr>
          <w:p w14:paraId="4F88EF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七</w:t>
            </w:r>
          </w:p>
        </w:tc>
        <w:tc>
          <w:tcPr>
            <w:tcW w:w="1762" w:type="dxa"/>
            <w:tcBorders>
              <w:top w:val="single" w:color="auto" w:sz="4" w:space="0"/>
              <w:left w:val="nil"/>
              <w:bottom w:val="single" w:color="auto" w:sz="4" w:space="0"/>
              <w:right w:val="single" w:color="auto" w:sz="4" w:space="0"/>
            </w:tcBorders>
            <w:noWrap w:val="0"/>
            <w:vAlign w:val="center"/>
          </w:tcPr>
          <w:p w14:paraId="67DA0F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保存率与</w:t>
            </w:r>
          </w:p>
          <w:p w14:paraId="34B9CC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覆盖率</w:t>
            </w:r>
          </w:p>
        </w:tc>
        <w:tc>
          <w:tcPr>
            <w:tcW w:w="7486" w:type="dxa"/>
            <w:tcBorders>
              <w:top w:val="single" w:color="auto" w:sz="4" w:space="0"/>
              <w:left w:val="nil"/>
              <w:bottom w:val="single" w:color="auto" w:sz="4" w:space="0"/>
              <w:right w:val="single" w:color="auto" w:sz="12" w:space="0"/>
            </w:tcBorders>
            <w:noWrap w:val="0"/>
            <w:vAlign w:val="center"/>
          </w:tcPr>
          <w:p w14:paraId="4AD827B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及时补种与改造，黄土裸露率＜3％，乔灌木缺株率＜3％，单处明显裸露面积＜5m2；花坛色块中的时花及时换种，一年中6个月以上有花观赏。</w:t>
            </w:r>
          </w:p>
        </w:tc>
      </w:tr>
      <w:tr w14:paraId="32B34AE2">
        <w:tblPrEx>
          <w:tblCellMar>
            <w:top w:w="0" w:type="dxa"/>
            <w:left w:w="108" w:type="dxa"/>
            <w:bottom w:w="0" w:type="dxa"/>
            <w:right w:w="108" w:type="dxa"/>
          </w:tblCellMar>
        </w:tblPrEx>
        <w:trPr>
          <w:trHeight w:val="1215" w:hRule="atLeast"/>
          <w:jc w:val="center"/>
        </w:trPr>
        <w:tc>
          <w:tcPr>
            <w:tcW w:w="673" w:type="dxa"/>
            <w:tcBorders>
              <w:top w:val="single" w:color="auto" w:sz="4" w:space="0"/>
              <w:left w:val="single" w:color="auto" w:sz="12" w:space="0"/>
              <w:bottom w:val="single" w:color="auto" w:sz="8" w:space="0"/>
              <w:right w:val="single" w:color="auto" w:sz="4" w:space="0"/>
            </w:tcBorders>
            <w:noWrap w:val="0"/>
            <w:vAlign w:val="center"/>
          </w:tcPr>
          <w:p w14:paraId="11995B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八</w:t>
            </w:r>
          </w:p>
        </w:tc>
        <w:tc>
          <w:tcPr>
            <w:tcW w:w="1762" w:type="dxa"/>
            <w:tcBorders>
              <w:top w:val="single" w:color="auto" w:sz="4" w:space="0"/>
              <w:left w:val="nil"/>
              <w:bottom w:val="single" w:color="auto" w:sz="8" w:space="0"/>
              <w:right w:val="single" w:color="auto" w:sz="4" w:space="0"/>
            </w:tcBorders>
            <w:noWrap w:val="0"/>
            <w:vAlign w:val="center"/>
          </w:tcPr>
          <w:p w14:paraId="7B355C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4"/>
                <w:highlight w:val="none"/>
              </w:rPr>
            </w:pPr>
            <w:r>
              <w:rPr>
                <w:rFonts w:hint="eastAsia" w:ascii="宋体" w:hAnsi="宋体" w:cs="宋体"/>
                <w:color w:val="auto"/>
                <w:sz w:val="24"/>
                <w:highlight w:val="none"/>
              </w:rPr>
              <w:t>环境卫生</w:t>
            </w:r>
          </w:p>
        </w:tc>
        <w:tc>
          <w:tcPr>
            <w:tcW w:w="7486" w:type="dxa"/>
            <w:tcBorders>
              <w:top w:val="single" w:color="auto" w:sz="4" w:space="0"/>
              <w:left w:val="nil"/>
              <w:bottom w:val="single" w:color="auto" w:sz="8" w:space="0"/>
              <w:right w:val="single" w:color="auto" w:sz="12" w:space="0"/>
            </w:tcBorders>
            <w:noWrap w:val="0"/>
            <w:vAlign w:val="center"/>
          </w:tcPr>
          <w:p w14:paraId="676F079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绿地设施完好、整洁；无死树、残桩头及陈旧堆积物；水池无明显悬浮物，水体基本清洁；无明显垃圾，基本无果皮、烟头、瓜子壳、纸屑等垃圾。达标率＞90％。</w:t>
            </w:r>
          </w:p>
        </w:tc>
      </w:tr>
      <w:tr w14:paraId="0687E0E3">
        <w:tblPrEx>
          <w:tblCellMar>
            <w:top w:w="0" w:type="dxa"/>
            <w:left w:w="108" w:type="dxa"/>
            <w:bottom w:w="0" w:type="dxa"/>
            <w:right w:w="108" w:type="dxa"/>
          </w:tblCellMar>
        </w:tblPrEx>
        <w:trPr>
          <w:cantSplit/>
          <w:trHeight w:val="912" w:hRule="atLeast"/>
          <w:jc w:val="center"/>
        </w:trPr>
        <w:tc>
          <w:tcPr>
            <w:tcW w:w="9921" w:type="dxa"/>
            <w:gridSpan w:val="3"/>
            <w:tcBorders>
              <w:top w:val="single" w:color="auto" w:sz="8" w:space="0"/>
              <w:left w:val="single" w:color="auto" w:sz="12" w:space="0"/>
              <w:bottom w:val="single" w:color="auto" w:sz="12" w:space="0"/>
              <w:right w:val="single" w:color="auto" w:sz="12" w:space="0"/>
            </w:tcBorders>
            <w:noWrap w:val="0"/>
            <w:vAlign w:val="center"/>
          </w:tcPr>
          <w:p w14:paraId="7A86D64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注：达标率指乔木、灌木、地被、草坪等被检目标达到相应要求的植株数（或面积）占总株数（或总面积）的百分比。</w:t>
            </w:r>
          </w:p>
        </w:tc>
      </w:tr>
    </w:tbl>
    <w:p w14:paraId="753790FC">
      <w:pPr>
        <w:widowControl/>
        <w:overflowPunct w:val="0"/>
        <w:spacing w:beforeLines="50" w:after="100" w:line="440" w:lineRule="exact"/>
        <w:jc w:val="center"/>
        <w:rPr>
          <w:rFonts w:ascii="宋体" w:hAnsi="宋体" w:cs="宋体"/>
          <w:b/>
          <w:color w:val="auto"/>
          <w:sz w:val="24"/>
          <w:highlight w:val="none"/>
        </w:rPr>
      </w:pPr>
      <w:bookmarkStart w:id="475" w:name="_Toc531078835"/>
      <w:r>
        <w:rPr>
          <w:rFonts w:hint="eastAsia" w:ascii="宋体" w:hAnsi="宋体" w:cs="宋体"/>
          <w:b/>
          <w:color w:val="auto"/>
          <w:sz w:val="24"/>
          <w:highlight w:val="none"/>
        </w:rPr>
        <w:t>（6）二级行道树养护质量要求表</w:t>
      </w:r>
      <w:bookmarkEnd w:id="475"/>
    </w:p>
    <w:tbl>
      <w:tblPr>
        <w:tblStyle w:val="22"/>
        <w:tblW w:w="10267" w:type="dxa"/>
        <w:jc w:val="center"/>
        <w:tblLayout w:type="fixed"/>
        <w:tblCellMar>
          <w:top w:w="0" w:type="dxa"/>
          <w:left w:w="108" w:type="dxa"/>
          <w:bottom w:w="0" w:type="dxa"/>
          <w:right w:w="108" w:type="dxa"/>
        </w:tblCellMar>
      </w:tblPr>
      <w:tblGrid>
        <w:gridCol w:w="807"/>
        <w:gridCol w:w="1250"/>
        <w:gridCol w:w="8210"/>
      </w:tblGrid>
      <w:tr w14:paraId="3A5ABBC4">
        <w:tblPrEx>
          <w:tblCellMar>
            <w:top w:w="0" w:type="dxa"/>
            <w:left w:w="108" w:type="dxa"/>
            <w:bottom w:w="0" w:type="dxa"/>
            <w:right w:w="108" w:type="dxa"/>
          </w:tblCellMar>
        </w:tblPrEx>
        <w:trPr>
          <w:trHeight w:val="685" w:hRule="atLeast"/>
          <w:jc w:val="center"/>
        </w:trPr>
        <w:tc>
          <w:tcPr>
            <w:tcW w:w="807" w:type="dxa"/>
            <w:tcBorders>
              <w:top w:val="single" w:color="auto" w:sz="12" w:space="0"/>
              <w:left w:val="single" w:color="auto" w:sz="12" w:space="0"/>
              <w:bottom w:val="single" w:color="auto" w:sz="4" w:space="0"/>
              <w:right w:val="single" w:color="auto" w:sz="4" w:space="0"/>
            </w:tcBorders>
            <w:noWrap w:val="0"/>
            <w:vAlign w:val="center"/>
          </w:tcPr>
          <w:p w14:paraId="51C10C1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序号</w:t>
            </w:r>
          </w:p>
        </w:tc>
        <w:tc>
          <w:tcPr>
            <w:tcW w:w="1250" w:type="dxa"/>
            <w:tcBorders>
              <w:top w:val="single" w:color="auto" w:sz="12" w:space="0"/>
              <w:left w:val="single" w:color="auto" w:sz="4" w:space="0"/>
              <w:bottom w:val="single" w:color="auto" w:sz="4" w:space="0"/>
              <w:right w:val="single" w:color="auto" w:sz="4" w:space="0"/>
            </w:tcBorders>
            <w:noWrap w:val="0"/>
            <w:vAlign w:val="center"/>
          </w:tcPr>
          <w:p w14:paraId="6D4F183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项目</w:t>
            </w:r>
          </w:p>
        </w:tc>
        <w:tc>
          <w:tcPr>
            <w:tcW w:w="8210" w:type="dxa"/>
            <w:tcBorders>
              <w:top w:val="single" w:color="auto" w:sz="12" w:space="0"/>
              <w:left w:val="single" w:color="auto" w:sz="4" w:space="0"/>
              <w:bottom w:val="single" w:color="auto" w:sz="4" w:space="0"/>
              <w:right w:val="single" w:color="auto" w:sz="12" w:space="0"/>
            </w:tcBorders>
            <w:noWrap w:val="0"/>
            <w:vAlign w:val="center"/>
          </w:tcPr>
          <w:p w14:paraId="5BD855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质量要求</w:t>
            </w:r>
          </w:p>
        </w:tc>
      </w:tr>
      <w:tr w14:paraId="107ABC86">
        <w:tblPrEx>
          <w:tblCellMar>
            <w:top w:w="0" w:type="dxa"/>
            <w:left w:w="108" w:type="dxa"/>
            <w:bottom w:w="0" w:type="dxa"/>
            <w:right w:w="108" w:type="dxa"/>
          </w:tblCellMar>
        </w:tblPrEx>
        <w:trPr>
          <w:trHeight w:val="1022" w:hRule="atLeast"/>
          <w:jc w:val="center"/>
        </w:trPr>
        <w:tc>
          <w:tcPr>
            <w:tcW w:w="807" w:type="dxa"/>
            <w:tcBorders>
              <w:top w:val="single" w:color="auto" w:sz="4" w:space="0"/>
              <w:left w:val="single" w:color="auto" w:sz="12" w:space="0"/>
              <w:bottom w:val="single" w:color="auto" w:sz="4" w:space="0"/>
              <w:right w:val="single" w:color="auto" w:sz="4" w:space="0"/>
            </w:tcBorders>
            <w:noWrap w:val="0"/>
            <w:vAlign w:val="center"/>
          </w:tcPr>
          <w:p w14:paraId="6108F0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一</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4EC6B2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整体效果</w:t>
            </w:r>
          </w:p>
        </w:tc>
        <w:tc>
          <w:tcPr>
            <w:tcW w:w="8210" w:type="dxa"/>
            <w:tcBorders>
              <w:top w:val="single" w:color="auto" w:sz="4" w:space="0"/>
              <w:left w:val="single" w:color="auto" w:sz="4" w:space="0"/>
              <w:bottom w:val="single" w:color="auto" w:sz="4" w:space="0"/>
              <w:right w:val="single" w:color="auto" w:sz="12" w:space="0"/>
            </w:tcBorders>
            <w:noWrap w:val="0"/>
            <w:vAlign w:val="center"/>
          </w:tcPr>
          <w:p w14:paraId="4EC81985">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s="宋体"/>
                <w:color w:val="auto"/>
                <w:sz w:val="22"/>
                <w:szCs w:val="22"/>
                <w:highlight w:val="none"/>
              </w:rPr>
            </w:pPr>
            <w:r>
              <w:rPr>
                <w:rFonts w:hint="eastAsia" w:ascii="宋体" w:hAnsi="宋体" w:cs="宋体"/>
                <w:color w:val="auto"/>
                <w:sz w:val="22"/>
                <w:szCs w:val="22"/>
                <w:highlight w:val="none"/>
              </w:rPr>
              <w:t>同一路段的第一排行道树、分车绿带上的行道树及其间的灌木，同品种的树</w:t>
            </w:r>
            <w:r>
              <w:rPr>
                <w:rFonts w:hint="eastAsia" w:ascii="宋体" w:hAnsi="宋体" w:cs="宋体"/>
                <w:color w:val="auto"/>
                <w:sz w:val="22"/>
                <w:szCs w:val="22"/>
                <w:highlight w:val="none"/>
                <w:lang w:val="en-US" w:eastAsia="zh-CN"/>
              </w:rPr>
              <w:t>形</w:t>
            </w:r>
            <w:r>
              <w:rPr>
                <w:rFonts w:hint="eastAsia" w:ascii="宋体" w:hAnsi="宋体" w:cs="宋体"/>
                <w:color w:val="auto"/>
                <w:sz w:val="22"/>
                <w:szCs w:val="22"/>
                <w:highlight w:val="none"/>
              </w:rPr>
              <w:t>与高度基本一致；树体基本干净，无明显积尘；具有较好的整体观赏效果。</w:t>
            </w:r>
          </w:p>
        </w:tc>
      </w:tr>
      <w:tr w14:paraId="587D2A01">
        <w:tblPrEx>
          <w:tblCellMar>
            <w:top w:w="0" w:type="dxa"/>
            <w:left w:w="108" w:type="dxa"/>
            <w:bottom w:w="0" w:type="dxa"/>
            <w:right w:w="108" w:type="dxa"/>
          </w:tblCellMar>
        </w:tblPrEx>
        <w:trPr>
          <w:trHeight w:val="796" w:hRule="atLeast"/>
          <w:jc w:val="center"/>
        </w:trPr>
        <w:tc>
          <w:tcPr>
            <w:tcW w:w="807" w:type="dxa"/>
            <w:tcBorders>
              <w:top w:val="single" w:color="auto" w:sz="4" w:space="0"/>
              <w:left w:val="single" w:color="auto" w:sz="12" w:space="0"/>
              <w:bottom w:val="single" w:color="auto" w:sz="4" w:space="0"/>
              <w:right w:val="single" w:color="auto" w:sz="4" w:space="0"/>
            </w:tcBorders>
            <w:noWrap w:val="0"/>
            <w:vAlign w:val="center"/>
          </w:tcPr>
          <w:p w14:paraId="0DE68EB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二</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6D11534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植物生长</w:t>
            </w:r>
          </w:p>
        </w:tc>
        <w:tc>
          <w:tcPr>
            <w:tcW w:w="8210" w:type="dxa"/>
            <w:tcBorders>
              <w:top w:val="single" w:color="auto" w:sz="4" w:space="0"/>
              <w:left w:val="single" w:color="auto" w:sz="4" w:space="0"/>
              <w:bottom w:val="single" w:color="auto" w:sz="4" w:space="0"/>
              <w:right w:val="single" w:color="auto" w:sz="12" w:space="0"/>
            </w:tcBorders>
            <w:noWrap w:val="0"/>
            <w:vAlign w:val="center"/>
          </w:tcPr>
          <w:p w14:paraId="33F25FEC">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生长良好，符合物候状况，枝叶健壮，树体正直不偏斜，观花植物适时开花。达标率＞90％。</w:t>
            </w:r>
          </w:p>
        </w:tc>
      </w:tr>
      <w:tr w14:paraId="3CC24193">
        <w:tblPrEx>
          <w:tblCellMar>
            <w:top w:w="0" w:type="dxa"/>
            <w:left w:w="108" w:type="dxa"/>
            <w:bottom w:w="0" w:type="dxa"/>
            <w:right w:w="108" w:type="dxa"/>
          </w:tblCellMar>
        </w:tblPrEx>
        <w:trPr>
          <w:trHeight w:val="1845" w:hRule="atLeast"/>
          <w:jc w:val="center"/>
        </w:trPr>
        <w:tc>
          <w:tcPr>
            <w:tcW w:w="807" w:type="dxa"/>
            <w:tcBorders>
              <w:top w:val="single" w:color="auto" w:sz="4" w:space="0"/>
              <w:left w:val="single" w:color="auto" w:sz="12" w:space="0"/>
              <w:bottom w:val="single" w:color="auto" w:sz="4" w:space="0"/>
              <w:right w:val="single" w:color="auto" w:sz="4" w:space="0"/>
            </w:tcBorders>
            <w:noWrap w:val="0"/>
            <w:vAlign w:val="center"/>
          </w:tcPr>
          <w:p w14:paraId="59B109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三</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246ECE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整形修剪</w:t>
            </w:r>
          </w:p>
        </w:tc>
        <w:tc>
          <w:tcPr>
            <w:tcW w:w="8210" w:type="dxa"/>
            <w:tcBorders>
              <w:top w:val="single" w:color="auto" w:sz="4" w:space="0"/>
              <w:left w:val="single" w:color="auto" w:sz="4" w:space="0"/>
              <w:bottom w:val="single" w:color="auto" w:sz="4" w:space="0"/>
              <w:right w:val="single" w:color="auto" w:sz="12" w:space="0"/>
            </w:tcBorders>
            <w:noWrap w:val="0"/>
            <w:vAlign w:val="center"/>
          </w:tcPr>
          <w:p w14:paraId="036137CA">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整形乔灌木按要求修剪并保持一定形状，同路段同品种的树冠形状、大小基本一致，树</w:t>
            </w:r>
            <w:r>
              <w:rPr>
                <w:rFonts w:hint="eastAsia" w:ascii="宋体" w:hAnsi="宋体" w:cs="宋体"/>
                <w:color w:val="auto"/>
                <w:sz w:val="22"/>
                <w:szCs w:val="22"/>
                <w:highlight w:val="none"/>
                <w:lang w:val="en-US" w:eastAsia="zh-CN"/>
              </w:rPr>
              <w:t>形</w:t>
            </w:r>
            <w:r>
              <w:rPr>
                <w:rFonts w:hint="eastAsia" w:ascii="宋体" w:hAnsi="宋体" w:cs="宋体"/>
                <w:color w:val="auto"/>
                <w:sz w:val="22"/>
                <w:szCs w:val="22"/>
                <w:highlight w:val="none"/>
              </w:rPr>
              <w:t>良好，线条流畅；一般乔木修剪要求维持树种特征，树冠匀称，分枝合理，基本无病虫枝、过密枝、交叉枝、低垂枝、伤残枝，无明显钉挂物、缠绕物；一般孤植灌木按要求养成观花或观叶形态，树</w:t>
            </w:r>
            <w:r>
              <w:rPr>
                <w:rFonts w:hint="eastAsia" w:ascii="宋体" w:hAnsi="宋体" w:cs="宋体"/>
                <w:color w:val="auto"/>
                <w:sz w:val="22"/>
                <w:szCs w:val="22"/>
                <w:highlight w:val="none"/>
                <w:lang w:val="en-US" w:eastAsia="zh-CN"/>
              </w:rPr>
              <w:t>形</w:t>
            </w:r>
            <w:r>
              <w:rPr>
                <w:rFonts w:hint="eastAsia" w:ascii="宋体" w:hAnsi="宋体" w:cs="宋体"/>
                <w:color w:val="auto"/>
                <w:sz w:val="22"/>
                <w:szCs w:val="22"/>
                <w:highlight w:val="none"/>
              </w:rPr>
              <w:t>良好，无枯枝，同品种的植株高度基本一致；无死树、残桩头，修剪的枝叶及时清理。达标率＞90％。</w:t>
            </w:r>
          </w:p>
        </w:tc>
      </w:tr>
      <w:tr w14:paraId="7A48950D">
        <w:tblPrEx>
          <w:tblCellMar>
            <w:top w:w="0" w:type="dxa"/>
            <w:left w:w="108" w:type="dxa"/>
            <w:bottom w:w="0" w:type="dxa"/>
            <w:right w:w="108" w:type="dxa"/>
          </w:tblCellMar>
        </w:tblPrEx>
        <w:trPr>
          <w:trHeight w:val="1619" w:hRule="atLeast"/>
          <w:jc w:val="center"/>
        </w:trPr>
        <w:tc>
          <w:tcPr>
            <w:tcW w:w="807" w:type="dxa"/>
            <w:tcBorders>
              <w:top w:val="single" w:color="auto" w:sz="4" w:space="0"/>
              <w:left w:val="single" w:color="auto" w:sz="12" w:space="0"/>
              <w:bottom w:val="single" w:color="auto" w:sz="4" w:space="0"/>
              <w:right w:val="single" w:color="auto" w:sz="4" w:space="0"/>
            </w:tcBorders>
            <w:noWrap w:val="0"/>
            <w:vAlign w:val="center"/>
          </w:tcPr>
          <w:p w14:paraId="13A265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四</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3B0C6B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定干高度</w:t>
            </w:r>
          </w:p>
        </w:tc>
        <w:tc>
          <w:tcPr>
            <w:tcW w:w="8210" w:type="dxa"/>
            <w:tcBorders>
              <w:top w:val="single" w:color="auto" w:sz="4" w:space="0"/>
              <w:left w:val="single" w:color="auto" w:sz="4" w:space="0"/>
              <w:bottom w:val="single" w:color="auto" w:sz="4" w:space="0"/>
              <w:right w:val="single" w:color="auto" w:sz="12" w:space="0"/>
            </w:tcBorders>
            <w:noWrap w:val="0"/>
            <w:vAlign w:val="center"/>
          </w:tcPr>
          <w:p w14:paraId="67409EA8">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树木的定干高度和枝下高不能影响车辆行驶及行人安全。位于人行道和非机动车车行道边的行道树，胸径在5cm～9cm的阔叶小乔木定干高度不应低于2m；其它乔木的定干高度不应低于2.5m，枝下高不应低于3m。位于机动车车行道边的行道树定干高度不应低于2.5m，伸出车行道路上方的枝条距离路面高度不应低于4.5m。达标率＞90%。</w:t>
            </w:r>
          </w:p>
        </w:tc>
      </w:tr>
      <w:tr w14:paraId="229B219C">
        <w:tblPrEx>
          <w:tblCellMar>
            <w:top w:w="0" w:type="dxa"/>
            <w:left w:w="108" w:type="dxa"/>
            <w:bottom w:w="0" w:type="dxa"/>
            <w:right w:w="108" w:type="dxa"/>
          </w:tblCellMar>
        </w:tblPrEx>
        <w:trPr>
          <w:trHeight w:val="1320" w:hRule="atLeast"/>
          <w:jc w:val="center"/>
        </w:trPr>
        <w:tc>
          <w:tcPr>
            <w:tcW w:w="807" w:type="dxa"/>
            <w:tcBorders>
              <w:top w:val="single" w:color="auto" w:sz="4" w:space="0"/>
              <w:left w:val="single" w:color="auto" w:sz="12" w:space="0"/>
              <w:bottom w:val="single" w:color="auto" w:sz="4" w:space="0"/>
              <w:right w:val="single" w:color="auto" w:sz="4" w:space="0"/>
            </w:tcBorders>
            <w:noWrap w:val="0"/>
            <w:vAlign w:val="center"/>
          </w:tcPr>
          <w:p w14:paraId="543D9E0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五</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5C5B3C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树盘</w:t>
            </w:r>
          </w:p>
        </w:tc>
        <w:tc>
          <w:tcPr>
            <w:tcW w:w="8210" w:type="dxa"/>
            <w:tcBorders>
              <w:top w:val="single" w:color="auto" w:sz="4" w:space="0"/>
              <w:left w:val="single" w:color="auto" w:sz="4" w:space="0"/>
              <w:bottom w:val="single" w:color="auto" w:sz="4" w:space="0"/>
              <w:right w:val="single" w:color="auto" w:sz="12" w:space="0"/>
            </w:tcBorders>
            <w:noWrap w:val="0"/>
            <w:vAlign w:val="center"/>
          </w:tcPr>
          <w:p w14:paraId="27A90739">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树穴有条件的应满植地被，且树穴地被生长良好，基本整齐，不缠绕树木，无明显杂草、杂物。不宜种植地被的树穴盘面应略低于路面，无明显杂草、杂物，新植乔木的树穴，无明显杂草杂物，土壤疏松通透。达标率＞90％。</w:t>
            </w:r>
          </w:p>
        </w:tc>
      </w:tr>
      <w:tr w14:paraId="6E206025">
        <w:tblPrEx>
          <w:tblCellMar>
            <w:top w:w="0" w:type="dxa"/>
            <w:left w:w="108" w:type="dxa"/>
            <w:bottom w:w="0" w:type="dxa"/>
            <w:right w:w="108" w:type="dxa"/>
          </w:tblCellMar>
        </w:tblPrEx>
        <w:trPr>
          <w:trHeight w:val="1320" w:hRule="atLeast"/>
          <w:jc w:val="center"/>
        </w:trPr>
        <w:tc>
          <w:tcPr>
            <w:tcW w:w="807" w:type="dxa"/>
            <w:tcBorders>
              <w:top w:val="single" w:color="auto" w:sz="4" w:space="0"/>
              <w:left w:val="single" w:color="auto" w:sz="12" w:space="0"/>
              <w:bottom w:val="single" w:color="auto" w:sz="4" w:space="0"/>
              <w:right w:val="single" w:color="auto" w:sz="4" w:space="0"/>
            </w:tcBorders>
            <w:noWrap w:val="0"/>
            <w:vAlign w:val="center"/>
          </w:tcPr>
          <w:p w14:paraId="0FEB376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六</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11B46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病虫害</w:t>
            </w:r>
          </w:p>
          <w:p w14:paraId="415CF8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控制</w:t>
            </w:r>
          </w:p>
        </w:tc>
        <w:tc>
          <w:tcPr>
            <w:tcW w:w="8210" w:type="dxa"/>
            <w:tcBorders>
              <w:top w:val="single" w:color="auto" w:sz="4" w:space="0"/>
              <w:left w:val="single" w:color="auto" w:sz="4" w:space="0"/>
              <w:bottom w:val="single" w:color="auto" w:sz="4" w:space="0"/>
              <w:right w:val="single" w:color="auto" w:sz="12" w:space="0"/>
            </w:tcBorders>
            <w:noWrap w:val="0"/>
            <w:vAlign w:val="center"/>
          </w:tcPr>
          <w:p w14:paraId="190C846A">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无明显危害迹象；总的病虫危害率＜15％，其中蛀干、根部害虫＜5％，食叶害虫＜15％，刺吸性害虫＜15％，病害感染率＜10％，寄生＜10％。</w:t>
            </w:r>
          </w:p>
        </w:tc>
      </w:tr>
      <w:tr w14:paraId="616E9DFE">
        <w:tblPrEx>
          <w:tblCellMar>
            <w:top w:w="0" w:type="dxa"/>
            <w:left w:w="108" w:type="dxa"/>
            <w:bottom w:w="0" w:type="dxa"/>
            <w:right w:w="108" w:type="dxa"/>
          </w:tblCellMar>
        </w:tblPrEx>
        <w:trPr>
          <w:trHeight w:val="950" w:hRule="atLeast"/>
          <w:jc w:val="center"/>
        </w:trPr>
        <w:tc>
          <w:tcPr>
            <w:tcW w:w="807" w:type="dxa"/>
            <w:tcBorders>
              <w:top w:val="single" w:color="auto" w:sz="4" w:space="0"/>
              <w:left w:val="single" w:color="auto" w:sz="12" w:space="0"/>
              <w:bottom w:val="single" w:color="auto" w:sz="4" w:space="0"/>
              <w:right w:val="single" w:color="auto" w:sz="4" w:space="0"/>
            </w:tcBorders>
            <w:noWrap w:val="0"/>
            <w:vAlign w:val="center"/>
          </w:tcPr>
          <w:p w14:paraId="41425A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七</w:t>
            </w:r>
          </w:p>
        </w:tc>
        <w:tc>
          <w:tcPr>
            <w:tcW w:w="1250" w:type="dxa"/>
            <w:tcBorders>
              <w:top w:val="single" w:color="auto" w:sz="4" w:space="0"/>
              <w:left w:val="single" w:color="auto" w:sz="4" w:space="0"/>
              <w:bottom w:val="single" w:color="auto" w:sz="4" w:space="0"/>
              <w:right w:val="single" w:color="auto" w:sz="4" w:space="0"/>
            </w:tcBorders>
            <w:noWrap w:val="0"/>
            <w:vAlign w:val="center"/>
          </w:tcPr>
          <w:p w14:paraId="0655F3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防护设施</w:t>
            </w:r>
          </w:p>
        </w:tc>
        <w:tc>
          <w:tcPr>
            <w:tcW w:w="8210" w:type="dxa"/>
            <w:tcBorders>
              <w:top w:val="single" w:color="auto" w:sz="4" w:space="0"/>
              <w:left w:val="single" w:color="auto" w:sz="4" w:space="0"/>
              <w:bottom w:val="single" w:color="auto" w:sz="4" w:space="0"/>
              <w:right w:val="single" w:color="auto" w:sz="12" w:space="0"/>
            </w:tcBorders>
            <w:noWrap w:val="0"/>
            <w:vAlign w:val="center"/>
          </w:tcPr>
          <w:p w14:paraId="635E6D37">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对有安全隐患的行道树必须设置防护设施；防护设施稳固、完好，整齐、美观。达标率＞90％。</w:t>
            </w:r>
          </w:p>
        </w:tc>
      </w:tr>
      <w:tr w14:paraId="2DCED6F7">
        <w:tblPrEx>
          <w:tblCellMar>
            <w:top w:w="0" w:type="dxa"/>
            <w:left w:w="108" w:type="dxa"/>
            <w:bottom w:w="0" w:type="dxa"/>
            <w:right w:w="108" w:type="dxa"/>
          </w:tblCellMar>
        </w:tblPrEx>
        <w:trPr>
          <w:trHeight w:val="1320" w:hRule="atLeast"/>
          <w:jc w:val="center"/>
        </w:trPr>
        <w:tc>
          <w:tcPr>
            <w:tcW w:w="807" w:type="dxa"/>
            <w:tcBorders>
              <w:top w:val="single" w:color="auto" w:sz="4" w:space="0"/>
              <w:left w:val="single" w:color="auto" w:sz="12" w:space="0"/>
              <w:bottom w:val="single" w:color="auto" w:sz="8" w:space="0"/>
              <w:right w:val="single" w:color="auto" w:sz="4" w:space="0"/>
            </w:tcBorders>
            <w:noWrap w:val="0"/>
            <w:vAlign w:val="center"/>
          </w:tcPr>
          <w:p w14:paraId="5F059328">
            <w:pPr>
              <w:keepNext w:val="0"/>
              <w:keepLines w:val="0"/>
              <w:pageBreakBefore w:val="0"/>
              <w:widowControl w:val="0"/>
              <w:kinsoku/>
              <w:wordWrap/>
              <w:overflowPunct/>
              <w:topLinePunct w:val="0"/>
              <w:autoSpaceDE/>
              <w:autoSpaceDN/>
              <w:bidi w:val="0"/>
              <w:adjustRightInd/>
              <w:snapToGrid/>
              <w:spacing w:after="100" w:afterAutospacing="1"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八</w:t>
            </w:r>
          </w:p>
        </w:tc>
        <w:tc>
          <w:tcPr>
            <w:tcW w:w="1250" w:type="dxa"/>
            <w:tcBorders>
              <w:top w:val="single" w:color="auto" w:sz="4" w:space="0"/>
              <w:left w:val="single" w:color="auto" w:sz="4" w:space="0"/>
              <w:bottom w:val="single" w:color="auto" w:sz="8" w:space="0"/>
              <w:right w:val="single" w:color="auto" w:sz="4" w:space="0"/>
            </w:tcBorders>
            <w:noWrap w:val="0"/>
            <w:vAlign w:val="center"/>
          </w:tcPr>
          <w:p w14:paraId="290C52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保存率与补种</w:t>
            </w:r>
          </w:p>
        </w:tc>
        <w:tc>
          <w:tcPr>
            <w:tcW w:w="8210" w:type="dxa"/>
            <w:tcBorders>
              <w:top w:val="single" w:color="auto" w:sz="4" w:space="0"/>
              <w:left w:val="single" w:color="auto" w:sz="4" w:space="0"/>
              <w:bottom w:val="single" w:color="auto" w:sz="8" w:space="0"/>
              <w:right w:val="single" w:color="auto" w:sz="12" w:space="0"/>
            </w:tcBorders>
            <w:noWrap w:val="0"/>
            <w:vAlign w:val="center"/>
          </w:tcPr>
          <w:p w14:paraId="7E158972">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第一排行道树以及分车绿带上的行道树基本无缺株，缺株率＜1％；其它乔灌木缺株率＜3％；补种的乔灌木品种、规格、株距应与同路段原种植的相同；补植苗木规格：棕榈科乔木地径＞20㎝，其它乔木胸径＞6㎝。</w:t>
            </w:r>
          </w:p>
        </w:tc>
      </w:tr>
      <w:tr w14:paraId="5FA0EED1">
        <w:tblPrEx>
          <w:tblCellMar>
            <w:top w:w="0" w:type="dxa"/>
            <w:left w:w="108" w:type="dxa"/>
            <w:bottom w:w="0" w:type="dxa"/>
            <w:right w:w="108" w:type="dxa"/>
          </w:tblCellMar>
        </w:tblPrEx>
        <w:trPr>
          <w:cantSplit/>
          <w:trHeight w:val="615" w:hRule="atLeast"/>
          <w:jc w:val="center"/>
        </w:trPr>
        <w:tc>
          <w:tcPr>
            <w:tcW w:w="10267" w:type="dxa"/>
            <w:gridSpan w:val="3"/>
            <w:tcBorders>
              <w:top w:val="single" w:color="auto" w:sz="8" w:space="0"/>
              <w:left w:val="single" w:color="auto" w:sz="12" w:space="0"/>
              <w:bottom w:val="single" w:color="auto" w:sz="12" w:space="0"/>
              <w:right w:val="single" w:color="auto" w:sz="12" w:space="0"/>
            </w:tcBorders>
            <w:noWrap w:val="0"/>
            <w:vAlign w:val="center"/>
          </w:tcPr>
          <w:p w14:paraId="74048689">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ascii="宋体" w:hAnsi="宋体" w:cs="宋体"/>
                <w:color w:val="auto"/>
                <w:sz w:val="22"/>
                <w:szCs w:val="22"/>
                <w:highlight w:val="none"/>
              </w:rPr>
            </w:pPr>
            <w:r>
              <w:rPr>
                <w:rFonts w:hint="eastAsia" w:ascii="宋体" w:hAnsi="宋体" w:cs="宋体"/>
                <w:color w:val="auto"/>
                <w:sz w:val="22"/>
                <w:szCs w:val="22"/>
                <w:highlight w:val="none"/>
              </w:rPr>
              <w:t>注：达标率指乔木、灌木、地被、草坪等被检目标达到相应要求的植株数（或面积）占总株数（或总面积）的百分比。</w:t>
            </w:r>
          </w:p>
        </w:tc>
      </w:tr>
    </w:tbl>
    <w:p w14:paraId="502E9C59">
      <w:pPr>
        <w:jc w:val="center"/>
        <w:rPr>
          <w:rFonts w:ascii="宋体" w:hAnsi="宋体" w:cs="宋体"/>
          <w:b/>
          <w:color w:val="auto"/>
          <w:sz w:val="24"/>
          <w:highlight w:val="none"/>
        </w:rPr>
      </w:pPr>
      <w:bookmarkStart w:id="476" w:name="_Toc531078836"/>
      <w:r>
        <w:rPr>
          <w:rFonts w:hint="eastAsia" w:ascii="宋体" w:hAnsi="宋体" w:cs="宋体"/>
          <w:b/>
          <w:color w:val="auto"/>
          <w:sz w:val="24"/>
          <w:highlight w:val="none"/>
        </w:rPr>
        <w:br w:type="page"/>
      </w:r>
      <w:r>
        <w:rPr>
          <w:rFonts w:hint="eastAsia" w:ascii="宋体" w:hAnsi="宋体" w:cs="宋体"/>
          <w:b/>
          <w:color w:val="auto"/>
          <w:sz w:val="24"/>
          <w:highlight w:val="none"/>
        </w:rPr>
        <w:t>（7） 二级花坛养护质量要求表</w:t>
      </w:r>
      <w:bookmarkEnd w:id="476"/>
    </w:p>
    <w:tbl>
      <w:tblPr>
        <w:tblStyle w:val="22"/>
        <w:tblW w:w="9234" w:type="dxa"/>
        <w:jc w:val="center"/>
        <w:tblLayout w:type="fixed"/>
        <w:tblCellMar>
          <w:top w:w="0" w:type="dxa"/>
          <w:left w:w="108" w:type="dxa"/>
          <w:bottom w:w="0" w:type="dxa"/>
          <w:right w:w="108" w:type="dxa"/>
        </w:tblCellMar>
      </w:tblPr>
      <w:tblGrid>
        <w:gridCol w:w="1153"/>
        <w:gridCol w:w="1481"/>
        <w:gridCol w:w="6600"/>
      </w:tblGrid>
      <w:tr w14:paraId="2A6697DE">
        <w:tblPrEx>
          <w:tblCellMar>
            <w:top w:w="0" w:type="dxa"/>
            <w:left w:w="108" w:type="dxa"/>
            <w:bottom w:w="0" w:type="dxa"/>
            <w:right w:w="108" w:type="dxa"/>
          </w:tblCellMar>
        </w:tblPrEx>
        <w:trPr>
          <w:trHeight w:val="476" w:hRule="atLeast"/>
          <w:jc w:val="center"/>
        </w:trPr>
        <w:tc>
          <w:tcPr>
            <w:tcW w:w="1153" w:type="dxa"/>
            <w:tcBorders>
              <w:top w:val="single" w:color="auto" w:sz="12" w:space="0"/>
              <w:left w:val="single" w:color="auto" w:sz="12" w:space="0"/>
              <w:bottom w:val="single" w:color="auto" w:sz="4" w:space="0"/>
              <w:right w:val="single" w:color="auto" w:sz="4" w:space="0"/>
            </w:tcBorders>
            <w:noWrap w:val="0"/>
            <w:vAlign w:val="center"/>
          </w:tcPr>
          <w:p w14:paraId="1568CE3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481" w:type="dxa"/>
            <w:tcBorders>
              <w:top w:val="single" w:color="auto" w:sz="12" w:space="0"/>
              <w:left w:val="single" w:color="auto" w:sz="4" w:space="0"/>
              <w:bottom w:val="single" w:color="auto" w:sz="4" w:space="0"/>
              <w:right w:val="single" w:color="auto" w:sz="4" w:space="0"/>
            </w:tcBorders>
            <w:noWrap w:val="0"/>
            <w:vAlign w:val="center"/>
          </w:tcPr>
          <w:p w14:paraId="72717E92">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项目</w:t>
            </w:r>
          </w:p>
        </w:tc>
        <w:tc>
          <w:tcPr>
            <w:tcW w:w="6600" w:type="dxa"/>
            <w:tcBorders>
              <w:top w:val="single" w:color="auto" w:sz="12" w:space="0"/>
              <w:left w:val="single" w:color="auto" w:sz="4" w:space="0"/>
              <w:bottom w:val="single" w:color="auto" w:sz="4" w:space="0"/>
              <w:right w:val="single" w:color="auto" w:sz="12" w:space="0"/>
            </w:tcBorders>
            <w:noWrap w:val="0"/>
            <w:vAlign w:val="center"/>
          </w:tcPr>
          <w:p w14:paraId="4DB0D08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质量要求</w:t>
            </w:r>
          </w:p>
        </w:tc>
      </w:tr>
      <w:tr w14:paraId="18716401">
        <w:tblPrEx>
          <w:tblCellMar>
            <w:top w:w="0" w:type="dxa"/>
            <w:left w:w="108" w:type="dxa"/>
            <w:bottom w:w="0" w:type="dxa"/>
            <w:right w:w="108" w:type="dxa"/>
          </w:tblCellMar>
        </w:tblPrEx>
        <w:trPr>
          <w:trHeight w:val="856" w:hRule="atLeast"/>
          <w:jc w:val="center"/>
        </w:trPr>
        <w:tc>
          <w:tcPr>
            <w:tcW w:w="1153" w:type="dxa"/>
            <w:tcBorders>
              <w:top w:val="single" w:color="auto" w:sz="4" w:space="0"/>
              <w:left w:val="single" w:color="auto" w:sz="12" w:space="0"/>
              <w:bottom w:val="single" w:color="auto" w:sz="4" w:space="0"/>
              <w:right w:val="single" w:color="auto" w:sz="4" w:space="0"/>
            </w:tcBorders>
            <w:noWrap w:val="0"/>
            <w:vAlign w:val="center"/>
          </w:tcPr>
          <w:p w14:paraId="42DA6193">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一</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16D3CE7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整体效果</w:t>
            </w:r>
          </w:p>
        </w:tc>
        <w:tc>
          <w:tcPr>
            <w:tcW w:w="6600" w:type="dxa"/>
            <w:tcBorders>
              <w:top w:val="single" w:color="auto" w:sz="4" w:space="0"/>
              <w:left w:val="single" w:color="auto" w:sz="4" w:space="0"/>
              <w:bottom w:val="single" w:color="auto" w:sz="4" w:space="0"/>
              <w:right w:val="single" w:color="auto" w:sz="12" w:space="0"/>
            </w:tcBorders>
            <w:noWrap w:val="0"/>
            <w:vAlign w:val="center"/>
          </w:tcPr>
          <w:p w14:paraId="7382256C">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花卉、饰物、设施、环境等配置相互协调，花坛花卉色彩搭配与层次处理得当，色块分界明显，线条流畅，同一色块顶面高度保持一致，整体观赏效果良好。</w:t>
            </w:r>
          </w:p>
        </w:tc>
      </w:tr>
      <w:tr w14:paraId="33861AD3">
        <w:tblPrEx>
          <w:tblCellMar>
            <w:top w:w="0" w:type="dxa"/>
            <w:left w:w="108" w:type="dxa"/>
            <w:bottom w:w="0" w:type="dxa"/>
            <w:right w:w="108" w:type="dxa"/>
          </w:tblCellMar>
        </w:tblPrEx>
        <w:trPr>
          <w:trHeight w:val="775" w:hRule="atLeast"/>
          <w:jc w:val="center"/>
        </w:trPr>
        <w:tc>
          <w:tcPr>
            <w:tcW w:w="1153" w:type="dxa"/>
            <w:tcBorders>
              <w:top w:val="single" w:color="auto" w:sz="4" w:space="0"/>
              <w:left w:val="single" w:color="auto" w:sz="12" w:space="0"/>
              <w:bottom w:val="single" w:color="auto" w:sz="4" w:space="0"/>
              <w:right w:val="single" w:color="auto" w:sz="4" w:space="0"/>
            </w:tcBorders>
            <w:noWrap w:val="0"/>
            <w:vAlign w:val="center"/>
          </w:tcPr>
          <w:p w14:paraId="3F6C474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二</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6C7B0CC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植物生长</w:t>
            </w:r>
          </w:p>
        </w:tc>
        <w:tc>
          <w:tcPr>
            <w:tcW w:w="6600" w:type="dxa"/>
            <w:tcBorders>
              <w:top w:val="single" w:color="auto" w:sz="4" w:space="0"/>
              <w:left w:val="single" w:color="auto" w:sz="4" w:space="0"/>
              <w:bottom w:val="single" w:color="auto" w:sz="4" w:space="0"/>
              <w:right w:val="single" w:color="auto" w:sz="12" w:space="0"/>
            </w:tcBorders>
            <w:noWrap w:val="0"/>
            <w:vAlign w:val="center"/>
          </w:tcPr>
          <w:p w14:paraId="00458033">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植株健壮，叶的形状、大小、色泽正常，开花整齐、应时，花型正，花色艳，花期达至规定要求。达标率＞90％。</w:t>
            </w:r>
          </w:p>
        </w:tc>
      </w:tr>
      <w:tr w14:paraId="55345DFF">
        <w:tblPrEx>
          <w:tblCellMar>
            <w:top w:w="0" w:type="dxa"/>
            <w:left w:w="108" w:type="dxa"/>
            <w:bottom w:w="0" w:type="dxa"/>
            <w:right w:w="108" w:type="dxa"/>
          </w:tblCellMar>
        </w:tblPrEx>
        <w:trPr>
          <w:trHeight w:val="773" w:hRule="atLeast"/>
          <w:jc w:val="center"/>
        </w:trPr>
        <w:tc>
          <w:tcPr>
            <w:tcW w:w="1153" w:type="dxa"/>
            <w:tcBorders>
              <w:top w:val="single" w:color="auto" w:sz="4" w:space="0"/>
              <w:left w:val="single" w:color="auto" w:sz="12" w:space="0"/>
              <w:bottom w:val="single" w:color="auto" w:sz="4" w:space="0"/>
              <w:right w:val="single" w:color="auto" w:sz="4" w:space="0"/>
            </w:tcBorders>
            <w:noWrap w:val="0"/>
            <w:vAlign w:val="center"/>
          </w:tcPr>
          <w:p w14:paraId="2DE9E91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三</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54ACC953">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整形修剪</w:t>
            </w:r>
          </w:p>
        </w:tc>
        <w:tc>
          <w:tcPr>
            <w:tcW w:w="6600" w:type="dxa"/>
            <w:tcBorders>
              <w:top w:val="single" w:color="auto" w:sz="4" w:space="0"/>
              <w:left w:val="single" w:color="auto" w:sz="4" w:space="0"/>
              <w:bottom w:val="single" w:color="auto" w:sz="4" w:space="0"/>
              <w:right w:val="single" w:color="auto" w:sz="12" w:space="0"/>
            </w:tcBorders>
            <w:noWrap w:val="0"/>
            <w:vAlign w:val="center"/>
          </w:tcPr>
          <w:p w14:paraId="1A5213C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无残花、枯枝、黄叶，基本无杂草，无倒伏现象，保持花坛同一色块顶面高度一致，保持良好的观赏效果。达标率＞90％。</w:t>
            </w:r>
          </w:p>
        </w:tc>
      </w:tr>
      <w:tr w14:paraId="4DD33EAD">
        <w:tblPrEx>
          <w:tblCellMar>
            <w:top w:w="0" w:type="dxa"/>
            <w:left w:w="108" w:type="dxa"/>
            <w:bottom w:w="0" w:type="dxa"/>
            <w:right w:w="108" w:type="dxa"/>
          </w:tblCellMar>
        </w:tblPrEx>
        <w:trPr>
          <w:trHeight w:val="485" w:hRule="atLeast"/>
          <w:jc w:val="center"/>
        </w:trPr>
        <w:tc>
          <w:tcPr>
            <w:tcW w:w="1153" w:type="dxa"/>
            <w:tcBorders>
              <w:top w:val="single" w:color="auto" w:sz="4" w:space="0"/>
              <w:left w:val="single" w:color="auto" w:sz="12" w:space="0"/>
              <w:bottom w:val="single" w:color="auto" w:sz="4" w:space="0"/>
              <w:right w:val="single" w:color="auto" w:sz="4" w:space="0"/>
            </w:tcBorders>
            <w:noWrap w:val="0"/>
            <w:vAlign w:val="center"/>
          </w:tcPr>
          <w:p w14:paraId="04465725">
            <w:pPr>
              <w:spacing w:before="180" w:after="100" w:afterAutospacing="1" w:line="440" w:lineRule="exact"/>
              <w:jc w:val="center"/>
              <w:rPr>
                <w:rFonts w:ascii="宋体" w:hAnsi="宋体" w:cs="宋体"/>
                <w:color w:val="auto"/>
                <w:sz w:val="24"/>
                <w:highlight w:val="none"/>
              </w:rPr>
            </w:pPr>
            <w:r>
              <w:rPr>
                <w:rFonts w:hint="eastAsia" w:ascii="宋体" w:hAnsi="宋体" w:cs="宋体"/>
                <w:color w:val="auto"/>
                <w:sz w:val="24"/>
                <w:highlight w:val="none"/>
              </w:rPr>
              <w:t>四</w:t>
            </w:r>
          </w:p>
        </w:tc>
        <w:tc>
          <w:tcPr>
            <w:tcW w:w="1481" w:type="dxa"/>
            <w:tcBorders>
              <w:top w:val="single" w:color="auto" w:sz="4" w:space="0"/>
              <w:left w:val="single" w:color="auto" w:sz="4" w:space="0"/>
              <w:bottom w:val="single" w:color="auto" w:sz="4" w:space="0"/>
              <w:right w:val="single" w:color="auto" w:sz="4" w:space="0"/>
            </w:tcBorders>
            <w:noWrap w:val="0"/>
            <w:vAlign w:val="top"/>
          </w:tcPr>
          <w:p w14:paraId="691BA3BA">
            <w:pPr>
              <w:spacing w:before="180" w:after="100" w:afterAutospacing="1" w:line="440" w:lineRule="exact"/>
              <w:jc w:val="center"/>
              <w:rPr>
                <w:rFonts w:ascii="宋体" w:hAnsi="宋体" w:cs="宋体"/>
                <w:color w:val="auto"/>
                <w:sz w:val="24"/>
                <w:highlight w:val="none"/>
              </w:rPr>
            </w:pPr>
            <w:r>
              <w:rPr>
                <w:rFonts w:hint="eastAsia" w:ascii="宋体" w:hAnsi="宋体" w:cs="宋体"/>
                <w:color w:val="auto"/>
                <w:sz w:val="24"/>
                <w:highlight w:val="none"/>
              </w:rPr>
              <w:t>病虫害控制</w:t>
            </w:r>
          </w:p>
        </w:tc>
        <w:tc>
          <w:tcPr>
            <w:tcW w:w="6600" w:type="dxa"/>
            <w:tcBorders>
              <w:top w:val="single" w:color="auto" w:sz="4" w:space="0"/>
              <w:left w:val="single" w:color="auto" w:sz="4" w:space="0"/>
              <w:bottom w:val="single" w:color="auto" w:sz="4" w:space="0"/>
              <w:right w:val="single" w:color="auto" w:sz="12" w:space="0"/>
            </w:tcBorders>
            <w:noWrap w:val="0"/>
            <w:vAlign w:val="center"/>
          </w:tcPr>
          <w:p w14:paraId="7A90CADA">
            <w:pPr>
              <w:spacing w:before="180" w:after="100" w:afterAutospacing="1" w:line="44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无明显危害迹象；总的病虫</w:t>
            </w:r>
            <w:r>
              <w:rPr>
                <w:rFonts w:hint="eastAsia" w:ascii="宋体" w:hAnsi="宋体" w:cs="宋体"/>
                <w:color w:val="auto"/>
                <w:sz w:val="24"/>
                <w:highlight w:val="none"/>
                <w:lang w:val="en-US" w:eastAsia="zh-CN"/>
              </w:rPr>
              <w:t>危</w:t>
            </w:r>
            <w:r>
              <w:rPr>
                <w:rFonts w:hint="eastAsia" w:ascii="宋体" w:hAnsi="宋体" w:cs="宋体"/>
                <w:color w:val="auto"/>
                <w:sz w:val="24"/>
                <w:highlight w:val="none"/>
              </w:rPr>
              <w:t>害率＜10％。</w:t>
            </w:r>
          </w:p>
        </w:tc>
      </w:tr>
      <w:tr w14:paraId="26740457">
        <w:tblPrEx>
          <w:tblCellMar>
            <w:top w:w="0" w:type="dxa"/>
            <w:left w:w="108" w:type="dxa"/>
            <w:bottom w:w="0" w:type="dxa"/>
            <w:right w:w="108" w:type="dxa"/>
          </w:tblCellMar>
        </w:tblPrEx>
        <w:trPr>
          <w:trHeight w:val="918" w:hRule="atLeast"/>
          <w:jc w:val="center"/>
        </w:trPr>
        <w:tc>
          <w:tcPr>
            <w:tcW w:w="1153" w:type="dxa"/>
            <w:tcBorders>
              <w:top w:val="single" w:color="auto" w:sz="4" w:space="0"/>
              <w:left w:val="single" w:color="auto" w:sz="12" w:space="0"/>
              <w:bottom w:val="single" w:color="auto" w:sz="4" w:space="0"/>
              <w:right w:val="single" w:color="auto" w:sz="4" w:space="0"/>
            </w:tcBorders>
            <w:noWrap w:val="0"/>
            <w:vAlign w:val="center"/>
          </w:tcPr>
          <w:p w14:paraId="38EAC84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五</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1973C11B">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补种与</w:t>
            </w:r>
          </w:p>
          <w:p w14:paraId="15D785C7">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更换</w:t>
            </w:r>
          </w:p>
        </w:tc>
        <w:tc>
          <w:tcPr>
            <w:tcW w:w="6600" w:type="dxa"/>
            <w:tcBorders>
              <w:top w:val="single" w:color="auto" w:sz="4" w:space="0"/>
              <w:left w:val="single" w:color="auto" w:sz="4" w:space="0"/>
              <w:bottom w:val="single" w:color="auto" w:sz="4" w:space="0"/>
              <w:right w:val="single" w:color="auto" w:sz="12" w:space="0"/>
            </w:tcBorders>
            <w:noWrap w:val="0"/>
            <w:vAlign w:val="center"/>
          </w:tcPr>
          <w:p w14:paraId="37AED9AB">
            <w:pPr>
              <w:spacing w:line="440" w:lineRule="exact"/>
              <w:ind w:firstLine="360" w:firstLineChars="150"/>
              <w:rPr>
                <w:rFonts w:ascii="宋体" w:hAnsi="宋体" w:cs="宋体"/>
                <w:color w:val="auto"/>
                <w:sz w:val="24"/>
                <w:highlight w:val="none"/>
              </w:rPr>
            </w:pPr>
            <w:r>
              <w:rPr>
                <w:rFonts w:hint="eastAsia" w:ascii="宋体" w:hAnsi="宋体" w:cs="宋体"/>
                <w:color w:val="auto"/>
                <w:sz w:val="24"/>
                <w:highlight w:val="none"/>
              </w:rPr>
              <w:t xml:space="preserve">花坛应无黄土裸露、缺株和萎蔫现象。存在黄土裸露、缺株和萎蔫现象时应及时补种和更换；更换时边缘土面低于花坛边缘石顶5cm～7cm，同一色块的顶面保持一致。达标率＞95％。 </w:t>
            </w:r>
          </w:p>
        </w:tc>
      </w:tr>
      <w:tr w14:paraId="19BB4BC5">
        <w:tblPrEx>
          <w:tblCellMar>
            <w:top w:w="0" w:type="dxa"/>
            <w:left w:w="108" w:type="dxa"/>
            <w:bottom w:w="0" w:type="dxa"/>
            <w:right w:w="108" w:type="dxa"/>
          </w:tblCellMar>
        </w:tblPrEx>
        <w:trPr>
          <w:trHeight w:val="563" w:hRule="atLeast"/>
          <w:jc w:val="center"/>
        </w:trPr>
        <w:tc>
          <w:tcPr>
            <w:tcW w:w="1153" w:type="dxa"/>
            <w:tcBorders>
              <w:top w:val="single" w:color="auto" w:sz="4" w:space="0"/>
              <w:left w:val="single" w:color="auto" w:sz="12" w:space="0"/>
              <w:bottom w:val="single" w:color="auto" w:sz="4" w:space="0"/>
              <w:right w:val="single" w:color="auto" w:sz="4" w:space="0"/>
            </w:tcBorders>
            <w:noWrap w:val="0"/>
            <w:vAlign w:val="center"/>
          </w:tcPr>
          <w:p w14:paraId="1C8E7E16">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六</w:t>
            </w:r>
          </w:p>
        </w:tc>
        <w:tc>
          <w:tcPr>
            <w:tcW w:w="1481" w:type="dxa"/>
            <w:tcBorders>
              <w:top w:val="single" w:color="auto" w:sz="4" w:space="0"/>
              <w:left w:val="single" w:color="auto" w:sz="4" w:space="0"/>
              <w:bottom w:val="single" w:color="auto" w:sz="4" w:space="0"/>
              <w:right w:val="single" w:color="auto" w:sz="4" w:space="0"/>
            </w:tcBorders>
            <w:noWrap w:val="0"/>
            <w:vAlign w:val="center"/>
          </w:tcPr>
          <w:p w14:paraId="38A7AFA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防护设施</w:t>
            </w:r>
          </w:p>
        </w:tc>
        <w:tc>
          <w:tcPr>
            <w:tcW w:w="6600" w:type="dxa"/>
            <w:tcBorders>
              <w:top w:val="single" w:color="auto" w:sz="4" w:space="0"/>
              <w:left w:val="single" w:color="auto" w:sz="4" w:space="0"/>
              <w:bottom w:val="single" w:color="auto" w:sz="4" w:space="0"/>
              <w:right w:val="single" w:color="auto" w:sz="12" w:space="0"/>
            </w:tcBorders>
            <w:noWrap w:val="0"/>
            <w:vAlign w:val="center"/>
          </w:tcPr>
          <w:p w14:paraId="3408493C">
            <w:pPr>
              <w:spacing w:line="440" w:lineRule="exact"/>
              <w:rPr>
                <w:rFonts w:ascii="宋体" w:hAnsi="宋体" w:cs="宋体"/>
                <w:color w:val="auto"/>
                <w:sz w:val="24"/>
                <w:highlight w:val="none"/>
              </w:rPr>
            </w:pPr>
            <w:r>
              <w:rPr>
                <w:rFonts w:hint="eastAsia" w:ascii="宋体" w:hAnsi="宋体" w:cs="宋体"/>
                <w:color w:val="auto"/>
                <w:sz w:val="24"/>
                <w:highlight w:val="none"/>
              </w:rPr>
              <w:t>设施稳固、整洁、完好，与花坛协调美观；饰物和雕塑等应安全、美观。达标率＞90％。</w:t>
            </w:r>
          </w:p>
        </w:tc>
      </w:tr>
      <w:tr w14:paraId="3EE8D06E">
        <w:tblPrEx>
          <w:tblCellMar>
            <w:top w:w="0" w:type="dxa"/>
            <w:left w:w="108" w:type="dxa"/>
            <w:bottom w:w="0" w:type="dxa"/>
            <w:right w:w="108" w:type="dxa"/>
          </w:tblCellMar>
        </w:tblPrEx>
        <w:trPr>
          <w:trHeight w:val="713" w:hRule="atLeast"/>
          <w:jc w:val="center"/>
        </w:trPr>
        <w:tc>
          <w:tcPr>
            <w:tcW w:w="1153" w:type="dxa"/>
            <w:tcBorders>
              <w:top w:val="single" w:color="auto" w:sz="4" w:space="0"/>
              <w:left w:val="single" w:color="auto" w:sz="12" w:space="0"/>
              <w:bottom w:val="single" w:color="auto" w:sz="8" w:space="0"/>
              <w:right w:val="single" w:color="auto" w:sz="4" w:space="0"/>
            </w:tcBorders>
            <w:noWrap w:val="0"/>
            <w:vAlign w:val="center"/>
          </w:tcPr>
          <w:p w14:paraId="0DA267AB">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七</w:t>
            </w:r>
          </w:p>
        </w:tc>
        <w:tc>
          <w:tcPr>
            <w:tcW w:w="1481" w:type="dxa"/>
            <w:tcBorders>
              <w:top w:val="single" w:color="auto" w:sz="4" w:space="0"/>
              <w:left w:val="single" w:color="auto" w:sz="4" w:space="0"/>
              <w:bottom w:val="single" w:color="auto" w:sz="8" w:space="0"/>
              <w:right w:val="single" w:color="auto" w:sz="4" w:space="0"/>
            </w:tcBorders>
            <w:noWrap w:val="0"/>
            <w:vAlign w:val="center"/>
          </w:tcPr>
          <w:p w14:paraId="7678ACA1">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环境卫生</w:t>
            </w:r>
          </w:p>
        </w:tc>
        <w:tc>
          <w:tcPr>
            <w:tcW w:w="6600" w:type="dxa"/>
            <w:tcBorders>
              <w:top w:val="single" w:color="auto" w:sz="4" w:space="0"/>
              <w:left w:val="single" w:color="auto" w:sz="4" w:space="0"/>
              <w:bottom w:val="single" w:color="auto" w:sz="8" w:space="0"/>
              <w:right w:val="single" w:color="auto" w:sz="12" w:space="0"/>
            </w:tcBorders>
            <w:noWrap w:val="0"/>
            <w:vAlign w:val="center"/>
          </w:tcPr>
          <w:p w14:paraId="31D2C480">
            <w:pPr>
              <w:spacing w:line="440" w:lineRule="exact"/>
              <w:rPr>
                <w:rFonts w:ascii="宋体" w:hAnsi="宋体" w:cs="宋体"/>
                <w:color w:val="auto"/>
                <w:sz w:val="24"/>
                <w:highlight w:val="none"/>
              </w:rPr>
            </w:pPr>
            <w:r>
              <w:rPr>
                <w:rFonts w:hint="eastAsia" w:ascii="宋体" w:hAnsi="宋体" w:cs="宋体"/>
                <w:color w:val="auto"/>
                <w:sz w:val="24"/>
                <w:highlight w:val="none"/>
              </w:rPr>
              <w:t>无垃圾，无泥土散落、弄脏道路及周围环境现象；假花无散落现象；设施完好、整洁、美观。达标率＞95％。</w:t>
            </w:r>
          </w:p>
        </w:tc>
      </w:tr>
      <w:tr w14:paraId="1190B44C">
        <w:tblPrEx>
          <w:tblCellMar>
            <w:top w:w="0" w:type="dxa"/>
            <w:left w:w="108" w:type="dxa"/>
            <w:bottom w:w="0" w:type="dxa"/>
            <w:right w:w="108" w:type="dxa"/>
          </w:tblCellMar>
        </w:tblPrEx>
        <w:trPr>
          <w:cantSplit/>
          <w:trHeight w:val="615" w:hRule="atLeast"/>
          <w:jc w:val="center"/>
        </w:trPr>
        <w:tc>
          <w:tcPr>
            <w:tcW w:w="9234" w:type="dxa"/>
            <w:gridSpan w:val="3"/>
            <w:tcBorders>
              <w:top w:val="single" w:color="auto" w:sz="8" w:space="0"/>
              <w:left w:val="single" w:color="auto" w:sz="12" w:space="0"/>
              <w:bottom w:val="single" w:color="auto" w:sz="12" w:space="0"/>
              <w:right w:val="single" w:color="auto" w:sz="12" w:space="0"/>
            </w:tcBorders>
            <w:noWrap w:val="0"/>
            <w:vAlign w:val="center"/>
          </w:tcPr>
          <w:p w14:paraId="1F0D13D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注：达标率指乔木、灌木、地被、草坪等被检目标达到相应要求的植株数（或面积）占总株数（或总面积）的百分比。</w:t>
            </w:r>
          </w:p>
        </w:tc>
      </w:tr>
    </w:tbl>
    <w:p w14:paraId="3E846BFB">
      <w:pPr>
        <w:numPr>
          <w:ilvl w:val="0"/>
          <w:numId w:val="10"/>
        </w:numPr>
        <w:jc w:val="center"/>
        <w:rPr>
          <w:rFonts w:hint="eastAsia" w:ascii="宋体" w:hAnsi="宋体" w:cs="宋体"/>
          <w:b/>
          <w:color w:val="auto"/>
          <w:sz w:val="24"/>
          <w:highlight w:val="none"/>
        </w:rPr>
      </w:pPr>
      <w:bookmarkStart w:id="477" w:name="_Toc531078837"/>
      <w:r>
        <w:rPr>
          <w:rFonts w:hint="eastAsia" w:ascii="宋体" w:hAnsi="宋体" w:cs="宋体"/>
          <w:b/>
          <w:color w:val="auto"/>
          <w:sz w:val="24"/>
          <w:highlight w:val="none"/>
        </w:rPr>
        <w:br w:type="page"/>
      </w:r>
      <w:bookmarkStart w:id="478" w:name="_Toc421120728"/>
      <w:bookmarkEnd w:id="478"/>
      <w:bookmarkStart w:id="479" w:name="_Toc437873712"/>
      <w:r>
        <w:rPr>
          <w:rFonts w:hint="eastAsia" w:ascii="宋体" w:hAnsi="宋体" w:cs="宋体"/>
          <w:b/>
          <w:color w:val="auto"/>
          <w:sz w:val="24"/>
          <w:highlight w:val="none"/>
        </w:rPr>
        <w:t>二级护坡养护质量要求</w:t>
      </w:r>
      <w:bookmarkEnd w:id="479"/>
      <w:r>
        <w:rPr>
          <w:rFonts w:hint="eastAsia" w:ascii="宋体" w:hAnsi="宋体" w:cs="宋体"/>
          <w:b/>
          <w:color w:val="auto"/>
          <w:sz w:val="24"/>
          <w:highlight w:val="none"/>
        </w:rPr>
        <w:t>表</w:t>
      </w:r>
      <w:bookmarkEnd w:id="477"/>
    </w:p>
    <w:p w14:paraId="499DD99F">
      <w:pPr>
        <w:numPr>
          <w:ilvl w:val="0"/>
          <w:numId w:val="0"/>
        </w:numPr>
        <w:jc w:val="both"/>
        <w:rPr>
          <w:rFonts w:hint="eastAsia" w:ascii="宋体" w:hAnsi="宋体" w:cs="宋体"/>
          <w:b/>
          <w:color w:val="auto"/>
          <w:sz w:val="24"/>
          <w:highlight w:val="none"/>
        </w:rPr>
      </w:pPr>
    </w:p>
    <w:tbl>
      <w:tblPr>
        <w:tblStyle w:val="22"/>
        <w:tblW w:w="9313" w:type="dxa"/>
        <w:jc w:val="center"/>
        <w:tblLayout w:type="fixed"/>
        <w:tblCellMar>
          <w:top w:w="0" w:type="dxa"/>
          <w:left w:w="108" w:type="dxa"/>
          <w:bottom w:w="0" w:type="dxa"/>
          <w:right w:w="108" w:type="dxa"/>
        </w:tblCellMar>
      </w:tblPr>
      <w:tblGrid>
        <w:gridCol w:w="1218"/>
        <w:gridCol w:w="1570"/>
        <w:gridCol w:w="6525"/>
      </w:tblGrid>
      <w:tr w14:paraId="11F1114C">
        <w:tblPrEx>
          <w:tblCellMar>
            <w:top w:w="0" w:type="dxa"/>
            <w:left w:w="108" w:type="dxa"/>
            <w:bottom w:w="0" w:type="dxa"/>
            <w:right w:w="108" w:type="dxa"/>
          </w:tblCellMar>
        </w:tblPrEx>
        <w:trPr>
          <w:trHeight w:val="475" w:hRule="atLeast"/>
          <w:jc w:val="center"/>
        </w:trPr>
        <w:tc>
          <w:tcPr>
            <w:tcW w:w="1218" w:type="dxa"/>
            <w:tcBorders>
              <w:top w:val="single" w:color="auto" w:sz="12" w:space="0"/>
              <w:left w:val="single" w:color="auto" w:sz="12" w:space="0"/>
              <w:bottom w:val="single" w:color="auto" w:sz="4" w:space="0"/>
              <w:right w:val="single" w:color="auto" w:sz="4" w:space="0"/>
            </w:tcBorders>
            <w:noWrap w:val="0"/>
            <w:vAlign w:val="center"/>
          </w:tcPr>
          <w:p w14:paraId="68CB1E1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570" w:type="dxa"/>
            <w:tcBorders>
              <w:top w:val="single" w:color="auto" w:sz="12" w:space="0"/>
              <w:left w:val="single" w:color="auto" w:sz="4" w:space="0"/>
              <w:bottom w:val="single" w:color="auto" w:sz="4" w:space="0"/>
              <w:right w:val="single" w:color="auto" w:sz="4" w:space="0"/>
            </w:tcBorders>
            <w:noWrap w:val="0"/>
            <w:vAlign w:val="center"/>
          </w:tcPr>
          <w:p w14:paraId="24A563A8">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项目</w:t>
            </w:r>
          </w:p>
        </w:tc>
        <w:tc>
          <w:tcPr>
            <w:tcW w:w="6525" w:type="dxa"/>
            <w:tcBorders>
              <w:top w:val="single" w:color="auto" w:sz="12" w:space="0"/>
              <w:left w:val="single" w:color="auto" w:sz="4" w:space="0"/>
              <w:bottom w:val="single" w:color="auto" w:sz="4" w:space="0"/>
              <w:right w:val="single" w:color="auto" w:sz="12" w:space="0"/>
            </w:tcBorders>
            <w:noWrap w:val="0"/>
            <w:vAlign w:val="center"/>
          </w:tcPr>
          <w:p w14:paraId="1D49D5B0">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质量要求</w:t>
            </w:r>
          </w:p>
        </w:tc>
      </w:tr>
      <w:tr w14:paraId="25DB15B2">
        <w:tblPrEx>
          <w:tblCellMar>
            <w:top w:w="0" w:type="dxa"/>
            <w:left w:w="108" w:type="dxa"/>
            <w:bottom w:w="0" w:type="dxa"/>
            <w:right w:w="108" w:type="dxa"/>
          </w:tblCellMar>
        </w:tblPrEx>
        <w:trPr>
          <w:trHeight w:val="560" w:hRule="atLeast"/>
          <w:jc w:val="center"/>
        </w:trPr>
        <w:tc>
          <w:tcPr>
            <w:tcW w:w="1218" w:type="dxa"/>
            <w:tcBorders>
              <w:top w:val="single" w:color="auto" w:sz="4" w:space="0"/>
              <w:left w:val="single" w:color="auto" w:sz="12" w:space="0"/>
              <w:bottom w:val="single" w:color="auto" w:sz="4" w:space="0"/>
              <w:right w:val="single" w:color="auto" w:sz="4" w:space="0"/>
            </w:tcBorders>
            <w:noWrap w:val="0"/>
            <w:vAlign w:val="center"/>
          </w:tcPr>
          <w:p w14:paraId="49332A4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一</w:t>
            </w:r>
          </w:p>
        </w:tc>
        <w:tc>
          <w:tcPr>
            <w:tcW w:w="1570" w:type="dxa"/>
            <w:tcBorders>
              <w:top w:val="single" w:color="auto" w:sz="4" w:space="0"/>
              <w:left w:val="single" w:color="auto" w:sz="4" w:space="0"/>
              <w:bottom w:val="single" w:color="auto" w:sz="4" w:space="0"/>
              <w:right w:val="single" w:color="auto" w:sz="4" w:space="0"/>
            </w:tcBorders>
            <w:noWrap w:val="0"/>
            <w:vAlign w:val="center"/>
          </w:tcPr>
          <w:p w14:paraId="01B0A2F4">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整体效果</w:t>
            </w:r>
          </w:p>
        </w:tc>
        <w:tc>
          <w:tcPr>
            <w:tcW w:w="6525" w:type="dxa"/>
            <w:tcBorders>
              <w:top w:val="single" w:color="auto" w:sz="4" w:space="0"/>
              <w:left w:val="single" w:color="auto" w:sz="4" w:space="0"/>
              <w:bottom w:val="single" w:color="auto" w:sz="4" w:space="0"/>
              <w:right w:val="single" w:color="auto" w:sz="12" w:space="0"/>
            </w:tcBorders>
            <w:noWrap w:val="0"/>
            <w:vAlign w:val="center"/>
          </w:tcPr>
          <w:p w14:paraId="3F8D983B">
            <w:pPr>
              <w:spacing w:line="440" w:lineRule="exact"/>
              <w:ind w:firstLine="360"/>
              <w:rPr>
                <w:rFonts w:ascii="宋体" w:hAnsi="宋体" w:cs="宋体"/>
                <w:color w:val="auto"/>
                <w:sz w:val="24"/>
                <w:highlight w:val="none"/>
              </w:rPr>
            </w:pPr>
            <w:r>
              <w:rPr>
                <w:rFonts w:hint="eastAsia" w:ascii="宋体" w:hAnsi="宋体" w:cs="宋体"/>
                <w:color w:val="auto"/>
                <w:sz w:val="24"/>
                <w:highlight w:val="none"/>
              </w:rPr>
              <w:t>植物配置基本合理，具固土护坡作用和较好的绿化效果。</w:t>
            </w:r>
          </w:p>
        </w:tc>
      </w:tr>
      <w:tr w14:paraId="4B2FD6D8">
        <w:tblPrEx>
          <w:tblCellMar>
            <w:top w:w="0" w:type="dxa"/>
            <w:left w:w="108" w:type="dxa"/>
            <w:bottom w:w="0" w:type="dxa"/>
            <w:right w:w="108" w:type="dxa"/>
          </w:tblCellMar>
        </w:tblPrEx>
        <w:trPr>
          <w:trHeight w:val="717" w:hRule="atLeast"/>
          <w:jc w:val="center"/>
        </w:trPr>
        <w:tc>
          <w:tcPr>
            <w:tcW w:w="1218" w:type="dxa"/>
            <w:tcBorders>
              <w:top w:val="single" w:color="auto" w:sz="4" w:space="0"/>
              <w:left w:val="single" w:color="auto" w:sz="12" w:space="0"/>
              <w:bottom w:val="single" w:color="auto" w:sz="4" w:space="0"/>
              <w:right w:val="single" w:color="auto" w:sz="4" w:space="0"/>
            </w:tcBorders>
            <w:noWrap w:val="0"/>
            <w:vAlign w:val="center"/>
          </w:tcPr>
          <w:p w14:paraId="1A329C97">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二</w:t>
            </w:r>
          </w:p>
        </w:tc>
        <w:tc>
          <w:tcPr>
            <w:tcW w:w="1570" w:type="dxa"/>
            <w:tcBorders>
              <w:top w:val="single" w:color="auto" w:sz="4" w:space="0"/>
              <w:left w:val="single" w:color="auto" w:sz="4" w:space="0"/>
              <w:bottom w:val="single" w:color="auto" w:sz="4" w:space="0"/>
              <w:right w:val="single" w:color="auto" w:sz="4" w:space="0"/>
            </w:tcBorders>
            <w:noWrap w:val="0"/>
            <w:vAlign w:val="center"/>
          </w:tcPr>
          <w:p w14:paraId="1590885B">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植物生长</w:t>
            </w:r>
          </w:p>
        </w:tc>
        <w:tc>
          <w:tcPr>
            <w:tcW w:w="6525" w:type="dxa"/>
            <w:tcBorders>
              <w:top w:val="single" w:color="auto" w:sz="4" w:space="0"/>
              <w:left w:val="single" w:color="auto" w:sz="4" w:space="0"/>
              <w:bottom w:val="single" w:color="auto" w:sz="4" w:space="0"/>
              <w:right w:val="single" w:color="auto" w:sz="12" w:space="0"/>
            </w:tcBorders>
            <w:noWrap w:val="0"/>
            <w:vAlign w:val="center"/>
          </w:tcPr>
          <w:p w14:paraId="2E9BAE9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生长季节植物生长正常，符合物候状况；旱季片植地被植物无成片枯死现象。达标率＞85 ％。</w:t>
            </w:r>
          </w:p>
        </w:tc>
      </w:tr>
      <w:tr w14:paraId="4AC26527">
        <w:tblPrEx>
          <w:tblCellMar>
            <w:top w:w="0" w:type="dxa"/>
            <w:left w:w="108" w:type="dxa"/>
            <w:bottom w:w="0" w:type="dxa"/>
            <w:right w:w="108" w:type="dxa"/>
          </w:tblCellMar>
        </w:tblPrEx>
        <w:trPr>
          <w:trHeight w:val="579" w:hRule="atLeast"/>
          <w:jc w:val="center"/>
        </w:trPr>
        <w:tc>
          <w:tcPr>
            <w:tcW w:w="1218" w:type="dxa"/>
            <w:tcBorders>
              <w:top w:val="single" w:color="auto" w:sz="4" w:space="0"/>
              <w:left w:val="single" w:color="auto" w:sz="12" w:space="0"/>
              <w:bottom w:val="single" w:color="auto" w:sz="4" w:space="0"/>
              <w:right w:val="single" w:color="auto" w:sz="4" w:space="0"/>
            </w:tcBorders>
            <w:noWrap w:val="0"/>
            <w:vAlign w:val="center"/>
          </w:tcPr>
          <w:p w14:paraId="32D8061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三</w:t>
            </w:r>
          </w:p>
        </w:tc>
        <w:tc>
          <w:tcPr>
            <w:tcW w:w="1570" w:type="dxa"/>
            <w:tcBorders>
              <w:top w:val="single" w:color="auto" w:sz="4" w:space="0"/>
              <w:left w:val="single" w:color="auto" w:sz="4" w:space="0"/>
              <w:bottom w:val="single" w:color="auto" w:sz="4" w:space="0"/>
              <w:right w:val="single" w:color="auto" w:sz="4" w:space="0"/>
            </w:tcBorders>
            <w:noWrap w:val="0"/>
            <w:vAlign w:val="center"/>
          </w:tcPr>
          <w:p w14:paraId="73A51AE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整形修剪</w:t>
            </w:r>
          </w:p>
        </w:tc>
        <w:tc>
          <w:tcPr>
            <w:tcW w:w="6525" w:type="dxa"/>
            <w:tcBorders>
              <w:top w:val="single" w:color="auto" w:sz="4" w:space="0"/>
              <w:left w:val="single" w:color="auto" w:sz="4" w:space="0"/>
              <w:bottom w:val="single" w:color="auto" w:sz="4" w:space="0"/>
              <w:right w:val="single" w:color="auto" w:sz="12" w:space="0"/>
            </w:tcBorders>
            <w:noWrap w:val="0"/>
            <w:vAlign w:val="center"/>
          </w:tcPr>
          <w:p w14:paraId="778262D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乔木、一般孤植灌木：无明显的干枯枝、病虫枝。片植灌木及地被植物：基本平整，无明显的枯枝、黄叶、杂草。达标率＞85％。</w:t>
            </w:r>
          </w:p>
        </w:tc>
      </w:tr>
      <w:tr w14:paraId="6D739A9F">
        <w:tblPrEx>
          <w:tblCellMar>
            <w:top w:w="0" w:type="dxa"/>
            <w:left w:w="108" w:type="dxa"/>
            <w:bottom w:w="0" w:type="dxa"/>
            <w:right w:w="108" w:type="dxa"/>
          </w:tblCellMar>
        </w:tblPrEx>
        <w:trPr>
          <w:trHeight w:val="456" w:hRule="atLeast"/>
          <w:jc w:val="center"/>
        </w:trPr>
        <w:tc>
          <w:tcPr>
            <w:tcW w:w="1218" w:type="dxa"/>
            <w:tcBorders>
              <w:top w:val="single" w:color="auto" w:sz="4" w:space="0"/>
              <w:left w:val="single" w:color="auto" w:sz="12" w:space="0"/>
              <w:bottom w:val="single" w:color="auto" w:sz="4" w:space="0"/>
              <w:right w:val="single" w:color="auto" w:sz="4" w:space="0"/>
            </w:tcBorders>
            <w:noWrap w:val="0"/>
            <w:vAlign w:val="center"/>
          </w:tcPr>
          <w:p w14:paraId="3EF135B8">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四</w:t>
            </w:r>
          </w:p>
        </w:tc>
        <w:tc>
          <w:tcPr>
            <w:tcW w:w="1570" w:type="dxa"/>
            <w:tcBorders>
              <w:top w:val="single" w:color="auto" w:sz="4" w:space="0"/>
              <w:left w:val="single" w:color="auto" w:sz="4" w:space="0"/>
              <w:bottom w:val="single" w:color="auto" w:sz="4" w:space="0"/>
              <w:right w:val="single" w:color="auto" w:sz="4" w:space="0"/>
            </w:tcBorders>
            <w:noWrap w:val="0"/>
            <w:vAlign w:val="center"/>
          </w:tcPr>
          <w:p w14:paraId="0E2AD1D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树盘</w:t>
            </w:r>
          </w:p>
        </w:tc>
        <w:tc>
          <w:tcPr>
            <w:tcW w:w="6525" w:type="dxa"/>
            <w:tcBorders>
              <w:top w:val="single" w:color="auto" w:sz="4" w:space="0"/>
              <w:left w:val="single" w:color="auto" w:sz="4" w:space="0"/>
              <w:bottom w:val="single" w:color="auto" w:sz="4" w:space="0"/>
              <w:right w:val="single" w:color="auto" w:sz="12" w:space="0"/>
            </w:tcBorders>
            <w:noWrap w:val="0"/>
            <w:vAlign w:val="center"/>
          </w:tcPr>
          <w:p w14:paraId="5F60B6A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小乔木应做树盘，树盘土壤疏松，无明显的杂草、杂物。达标率＞85％。</w:t>
            </w:r>
          </w:p>
        </w:tc>
      </w:tr>
      <w:tr w14:paraId="15163892">
        <w:tblPrEx>
          <w:tblCellMar>
            <w:top w:w="0" w:type="dxa"/>
            <w:left w:w="108" w:type="dxa"/>
            <w:bottom w:w="0" w:type="dxa"/>
            <w:right w:w="108" w:type="dxa"/>
          </w:tblCellMar>
        </w:tblPrEx>
        <w:trPr>
          <w:trHeight w:val="460" w:hRule="atLeast"/>
          <w:jc w:val="center"/>
        </w:trPr>
        <w:tc>
          <w:tcPr>
            <w:tcW w:w="1218" w:type="dxa"/>
            <w:tcBorders>
              <w:top w:val="single" w:color="auto" w:sz="4" w:space="0"/>
              <w:left w:val="single" w:color="auto" w:sz="12" w:space="0"/>
              <w:bottom w:val="single" w:color="auto" w:sz="4" w:space="0"/>
              <w:right w:val="single" w:color="auto" w:sz="4" w:space="0"/>
            </w:tcBorders>
            <w:noWrap w:val="0"/>
            <w:vAlign w:val="center"/>
          </w:tcPr>
          <w:p w14:paraId="58D0694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五</w:t>
            </w:r>
          </w:p>
        </w:tc>
        <w:tc>
          <w:tcPr>
            <w:tcW w:w="1570" w:type="dxa"/>
            <w:tcBorders>
              <w:top w:val="single" w:color="auto" w:sz="4" w:space="0"/>
              <w:left w:val="single" w:color="auto" w:sz="4" w:space="0"/>
              <w:bottom w:val="single" w:color="auto" w:sz="4" w:space="0"/>
              <w:right w:val="single" w:color="auto" w:sz="4" w:space="0"/>
            </w:tcBorders>
            <w:noWrap w:val="0"/>
            <w:vAlign w:val="center"/>
          </w:tcPr>
          <w:p w14:paraId="4F359ADA">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草坪</w:t>
            </w:r>
          </w:p>
        </w:tc>
        <w:tc>
          <w:tcPr>
            <w:tcW w:w="6525" w:type="dxa"/>
            <w:tcBorders>
              <w:top w:val="single" w:color="auto" w:sz="4" w:space="0"/>
              <w:left w:val="single" w:color="auto" w:sz="4" w:space="0"/>
              <w:bottom w:val="single" w:color="auto" w:sz="4" w:space="0"/>
              <w:right w:val="single" w:color="auto" w:sz="12" w:space="0"/>
            </w:tcBorders>
            <w:noWrap w:val="0"/>
            <w:vAlign w:val="center"/>
          </w:tcPr>
          <w:p w14:paraId="31862B28">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草坪生长季节基本青绿；高度控制在20cm以下。达标率＞85％。</w:t>
            </w:r>
          </w:p>
        </w:tc>
      </w:tr>
      <w:tr w14:paraId="341AA1D1">
        <w:tblPrEx>
          <w:tblCellMar>
            <w:top w:w="0" w:type="dxa"/>
            <w:left w:w="108" w:type="dxa"/>
            <w:bottom w:w="0" w:type="dxa"/>
            <w:right w:w="108" w:type="dxa"/>
          </w:tblCellMar>
        </w:tblPrEx>
        <w:trPr>
          <w:trHeight w:val="619" w:hRule="atLeast"/>
          <w:jc w:val="center"/>
        </w:trPr>
        <w:tc>
          <w:tcPr>
            <w:tcW w:w="1218" w:type="dxa"/>
            <w:tcBorders>
              <w:top w:val="single" w:color="auto" w:sz="4" w:space="0"/>
              <w:left w:val="single" w:color="auto" w:sz="12" w:space="0"/>
              <w:bottom w:val="single" w:color="auto" w:sz="4" w:space="0"/>
              <w:right w:val="single" w:color="auto" w:sz="4" w:space="0"/>
            </w:tcBorders>
            <w:noWrap w:val="0"/>
            <w:vAlign w:val="center"/>
          </w:tcPr>
          <w:p w14:paraId="6371EE3D">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六</w:t>
            </w:r>
          </w:p>
        </w:tc>
        <w:tc>
          <w:tcPr>
            <w:tcW w:w="1570" w:type="dxa"/>
            <w:tcBorders>
              <w:top w:val="single" w:color="auto" w:sz="4" w:space="0"/>
              <w:left w:val="single" w:color="auto" w:sz="4" w:space="0"/>
              <w:bottom w:val="single" w:color="auto" w:sz="4" w:space="0"/>
              <w:right w:val="single" w:color="auto" w:sz="4" w:space="0"/>
            </w:tcBorders>
            <w:noWrap w:val="0"/>
            <w:vAlign w:val="center"/>
          </w:tcPr>
          <w:p w14:paraId="43C406D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病虫害控制</w:t>
            </w:r>
          </w:p>
        </w:tc>
        <w:tc>
          <w:tcPr>
            <w:tcW w:w="6525" w:type="dxa"/>
            <w:tcBorders>
              <w:top w:val="single" w:color="auto" w:sz="4" w:space="0"/>
              <w:left w:val="single" w:color="auto" w:sz="4" w:space="0"/>
              <w:bottom w:val="single" w:color="auto" w:sz="4" w:space="0"/>
              <w:right w:val="single" w:color="auto" w:sz="12" w:space="0"/>
            </w:tcBorders>
            <w:noWrap w:val="0"/>
            <w:vAlign w:val="center"/>
          </w:tcPr>
          <w:p w14:paraId="386891EB">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无严重的危害迹象；病虫害总</w:t>
            </w:r>
            <w:r>
              <w:rPr>
                <w:rFonts w:hint="eastAsia" w:ascii="宋体" w:hAnsi="宋体" w:cs="宋体"/>
                <w:color w:val="auto"/>
                <w:sz w:val="24"/>
                <w:highlight w:val="none"/>
                <w:lang w:val="en-US" w:eastAsia="zh-CN"/>
              </w:rPr>
              <w:t>危</w:t>
            </w:r>
            <w:r>
              <w:rPr>
                <w:rFonts w:hint="eastAsia" w:ascii="宋体" w:hAnsi="宋体" w:cs="宋体"/>
                <w:color w:val="auto"/>
                <w:sz w:val="24"/>
                <w:highlight w:val="none"/>
              </w:rPr>
              <w:t>害率＜25％。</w:t>
            </w:r>
          </w:p>
        </w:tc>
      </w:tr>
      <w:tr w14:paraId="33C37B41">
        <w:tblPrEx>
          <w:tblCellMar>
            <w:top w:w="0" w:type="dxa"/>
            <w:left w:w="108" w:type="dxa"/>
            <w:bottom w:w="0" w:type="dxa"/>
            <w:right w:w="108" w:type="dxa"/>
          </w:tblCellMar>
        </w:tblPrEx>
        <w:trPr>
          <w:trHeight w:val="548" w:hRule="atLeast"/>
          <w:jc w:val="center"/>
        </w:trPr>
        <w:tc>
          <w:tcPr>
            <w:tcW w:w="1218" w:type="dxa"/>
            <w:tcBorders>
              <w:top w:val="single" w:color="auto" w:sz="4" w:space="0"/>
              <w:left w:val="single" w:color="auto" w:sz="12" w:space="0"/>
              <w:bottom w:val="single" w:color="auto" w:sz="4" w:space="0"/>
              <w:right w:val="single" w:color="auto" w:sz="4" w:space="0"/>
            </w:tcBorders>
            <w:noWrap w:val="0"/>
            <w:vAlign w:val="center"/>
          </w:tcPr>
          <w:p w14:paraId="3B530949">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七</w:t>
            </w:r>
          </w:p>
        </w:tc>
        <w:tc>
          <w:tcPr>
            <w:tcW w:w="1570" w:type="dxa"/>
            <w:tcBorders>
              <w:top w:val="single" w:color="auto" w:sz="4" w:space="0"/>
              <w:left w:val="single" w:color="auto" w:sz="4" w:space="0"/>
              <w:bottom w:val="single" w:color="auto" w:sz="4" w:space="0"/>
              <w:right w:val="single" w:color="auto" w:sz="4" w:space="0"/>
            </w:tcBorders>
            <w:noWrap w:val="0"/>
            <w:vAlign w:val="center"/>
          </w:tcPr>
          <w:p w14:paraId="5D809072">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补种与</w:t>
            </w:r>
          </w:p>
          <w:p w14:paraId="6268955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改造</w:t>
            </w:r>
          </w:p>
        </w:tc>
        <w:tc>
          <w:tcPr>
            <w:tcW w:w="6525" w:type="dxa"/>
            <w:tcBorders>
              <w:top w:val="single" w:color="auto" w:sz="4" w:space="0"/>
              <w:left w:val="single" w:color="auto" w:sz="4" w:space="0"/>
              <w:bottom w:val="single" w:color="auto" w:sz="4" w:space="0"/>
              <w:right w:val="single" w:color="auto" w:sz="12" w:space="0"/>
            </w:tcBorders>
            <w:noWrap w:val="0"/>
            <w:vAlign w:val="center"/>
          </w:tcPr>
          <w:p w14:paraId="25C00D2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黄土裸露率＜5％，乔灌木缺株率＜8％，单处明显裸露面积＜20</w:t>
            </w:r>
            <w:r>
              <w:rPr>
                <w:rFonts w:hint="eastAsia" w:ascii="宋体" w:hAnsi="宋体" w:cs="宋体"/>
                <w:color w:val="auto"/>
                <w:sz w:val="24"/>
                <w:highlight w:val="none"/>
                <w:lang w:val="en-US" w:eastAsia="zh-CN"/>
              </w:rPr>
              <w:t>㎡</w:t>
            </w:r>
            <w:r>
              <w:rPr>
                <w:rFonts w:hint="eastAsia" w:ascii="宋体" w:hAnsi="宋体" w:cs="宋体"/>
                <w:color w:val="auto"/>
                <w:sz w:val="24"/>
                <w:highlight w:val="none"/>
              </w:rPr>
              <w:t>。</w:t>
            </w:r>
          </w:p>
        </w:tc>
      </w:tr>
      <w:tr w14:paraId="22C7FC41">
        <w:tblPrEx>
          <w:tblCellMar>
            <w:top w:w="0" w:type="dxa"/>
            <w:left w:w="108" w:type="dxa"/>
            <w:bottom w:w="0" w:type="dxa"/>
            <w:right w:w="108" w:type="dxa"/>
          </w:tblCellMar>
        </w:tblPrEx>
        <w:trPr>
          <w:trHeight w:val="769" w:hRule="atLeast"/>
          <w:jc w:val="center"/>
        </w:trPr>
        <w:tc>
          <w:tcPr>
            <w:tcW w:w="1218" w:type="dxa"/>
            <w:tcBorders>
              <w:top w:val="single" w:color="auto" w:sz="4" w:space="0"/>
              <w:left w:val="single" w:color="auto" w:sz="12" w:space="0"/>
              <w:bottom w:val="single" w:color="auto" w:sz="8" w:space="0"/>
              <w:right w:val="single" w:color="auto" w:sz="4" w:space="0"/>
            </w:tcBorders>
            <w:noWrap w:val="0"/>
            <w:vAlign w:val="center"/>
          </w:tcPr>
          <w:p w14:paraId="514DFCFF">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八</w:t>
            </w:r>
          </w:p>
        </w:tc>
        <w:tc>
          <w:tcPr>
            <w:tcW w:w="1570" w:type="dxa"/>
            <w:tcBorders>
              <w:top w:val="single" w:color="auto" w:sz="4" w:space="0"/>
              <w:left w:val="single" w:color="auto" w:sz="4" w:space="0"/>
              <w:bottom w:val="single" w:color="auto" w:sz="8" w:space="0"/>
              <w:right w:val="single" w:color="auto" w:sz="4" w:space="0"/>
            </w:tcBorders>
            <w:noWrap w:val="0"/>
            <w:vAlign w:val="center"/>
          </w:tcPr>
          <w:p w14:paraId="2C7DA8EC">
            <w:pPr>
              <w:spacing w:line="440" w:lineRule="exact"/>
              <w:jc w:val="center"/>
              <w:rPr>
                <w:rFonts w:ascii="宋体" w:hAnsi="宋体" w:cs="宋体"/>
                <w:color w:val="auto"/>
                <w:sz w:val="24"/>
                <w:highlight w:val="none"/>
              </w:rPr>
            </w:pPr>
            <w:r>
              <w:rPr>
                <w:rFonts w:hint="eastAsia" w:ascii="宋体" w:hAnsi="宋体" w:cs="宋体"/>
                <w:color w:val="auto"/>
                <w:sz w:val="24"/>
                <w:highlight w:val="none"/>
              </w:rPr>
              <w:t>环境卫生</w:t>
            </w:r>
          </w:p>
        </w:tc>
        <w:tc>
          <w:tcPr>
            <w:tcW w:w="6525" w:type="dxa"/>
            <w:tcBorders>
              <w:top w:val="single" w:color="auto" w:sz="4" w:space="0"/>
              <w:left w:val="single" w:color="auto" w:sz="4" w:space="0"/>
              <w:bottom w:val="single" w:color="auto" w:sz="8" w:space="0"/>
              <w:right w:val="single" w:color="auto" w:sz="12" w:space="0"/>
            </w:tcBorders>
            <w:noWrap w:val="0"/>
            <w:vAlign w:val="center"/>
          </w:tcPr>
          <w:p w14:paraId="4934969E">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无明显塌方现象；无死树、堆积物；远观无明显垃圾，修剪枝叶当天清理。达标率＞90％。</w:t>
            </w:r>
          </w:p>
        </w:tc>
      </w:tr>
    </w:tbl>
    <w:p w14:paraId="32F6A692">
      <w:pPr>
        <w:tabs>
          <w:tab w:val="left" w:pos="2463"/>
        </w:tabs>
        <w:outlineLvl w:val="1"/>
        <w:rPr>
          <w:rFonts w:hint="eastAsia" w:ascii="宋体" w:hAnsi="宋体" w:cs="宋体"/>
          <w:b/>
          <w:color w:val="auto"/>
          <w:sz w:val="24"/>
          <w:highlight w:val="none"/>
        </w:rPr>
        <w:sectPr>
          <w:headerReference r:id="rId6" w:type="default"/>
          <w:footerReference r:id="rId7" w:type="default"/>
          <w:pgSz w:w="12240" w:h="15840"/>
          <w:pgMar w:top="1440" w:right="1080" w:bottom="1440" w:left="1080" w:header="720" w:footer="720" w:gutter="0"/>
          <w:cols w:space="720" w:num="1"/>
          <w:titlePg/>
          <w:docGrid w:linePitch="286" w:charSpace="0"/>
        </w:sectPr>
      </w:pPr>
    </w:p>
    <w:p w14:paraId="77BF6F52">
      <w:pPr>
        <w:spacing w:line="440" w:lineRule="exact"/>
        <w:outlineLvl w:val="9"/>
        <w:rPr>
          <w:rFonts w:hint="eastAsia" w:ascii="宋体" w:hAnsi="宋体" w:eastAsia="宋体" w:cs="宋体"/>
          <w:b/>
          <w:bCs w:val="0"/>
          <w:color w:val="auto"/>
          <w:sz w:val="24"/>
          <w:highlight w:val="none"/>
          <w:lang w:val="en-US" w:eastAsia="zh-CN"/>
        </w:rPr>
      </w:pPr>
      <w:r>
        <w:rPr>
          <w:rFonts w:hint="eastAsia" w:ascii="宋体" w:hAnsi="宋体" w:eastAsia="宋体" w:cs="宋体"/>
          <w:b/>
          <w:bCs w:val="0"/>
          <w:color w:val="auto"/>
          <w:sz w:val="24"/>
          <w:highlight w:val="none"/>
        </w:rPr>
        <w:t>附件</w:t>
      </w:r>
      <w:r>
        <w:rPr>
          <w:rFonts w:hint="eastAsia" w:ascii="宋体" w:hAnsi="宋体" w:eastAsia="宋体" w:cs="宋体"/>
          <w:b/>
          <w:bCs w:val="0"/>
          <w:color w:val="auto"/>
          <w:sz w:val="24"/>
          <w:highlight w:val="none"/>
          <w:lang w:val="en-US" w:eastAsia="zh-CN"/>
        </w:rPr>
        <w:t>5-2-</w:t>
      </w:r>
      <w:r>
        <w:rPr>
          <w:rFonts w:hint="eastAsia" w:ascii="宋体" w:hAnsi="宋体" w:cs="宋体"/>
          <w:b/>
          <w:bCs w:val="0"/>
          <w:color w:val="auto"/>
          <w:sz w:val="24"/>
          <w:highlight w:val="none"/>
          <w:lang w:val="en-US" w:eastAsia="zh-CN"/>
        </w:rPr>
        <w:t>3</w:t>
      </w:r>
    </w:p>
    <w:p w14:paraId="68328445">
      <w:pPr>
        <w:spacing w:line="440" w:lineRule="exact"/>
        <w:jc w:val="center"/>
        <w:rPr>
          <w:rFonts w:ascii="宋体" w:hAnsi="宋体" w:cs="宋体"/>
          <w:b/>
          <w:bCs/>
          <w:color w:val="auto"/>
          <w:sz w:val="24"/>
          <w:highlight w:val="none"/>
        </w:rPr>
      </w:pPr>
      <w:r>
        <w:rPr>
          <w:rFonts w:hint="eastAsia" w:ascii="宋体" w:hAnsi="宋体" w:cs="宋体"/>
          <w:b/>
          <w:bCs/>
          <w:color w:val="auto"/>
          <w:sz w:val="32"/>
          <w:szCs w:val="32"/>
          <w:highlight w:val="none"/>
        </w:rPr>
        <w:t>南宁市花卉公园绿化养护日常检查评分标准</w:t>
      </w:r>
    </w:p>
    <w:p w14:paraId="1AA8B946">
      <w:pPr>
        <w:pStyle w:val="10"/>
        <w:rPr>
          <w:color w:val="auto"/>
          <w:highlight w:val="none"/>
        </w:rPr>
      </w:pPr>
    </w:p>
    <w:tbl>
      <w:tblPr>
        <w:tblStyle w:val="22"/>
        <w:tblW w:w="10424" w:type="dxa"/>
        <w:tblInd w:w="108" w:type="dxa"/>
        <w:tblLayout w:type="fixed"/>
        <w:tblCellMar>
          <w:top w:w="0" w:type="dxa"/>
          <w:left w:w="108" w:type="dxa"/>
          <w:bottom w:w="0" w:type="dxa"/>
          <w:right w:w="108" w:type="dxa"/>
        </w:tblCellMar>
      </w:tblPr>
      <w:tblGrid>
        <w:gridCol w:w="567"/>
        <w:gridCol w:w="412"/>
        <w:gridCol w:w="3365"/>
        <w:gridCol w:w="581"/>
        <w:gridCol w:w="4968"/>
        <w:gridCol w:w="531"/>
      </w:tblGrid>
      <w:tr w14:paraId="54656201">
        <w:tblPrEx>
          <w:tblCellMar>
            <w:top w:w="0" w:type="dxa"/>
            <w:left w:w="108" w:type="dxa"/>
            <w:bottom w:w="0" w:type="dxa"/>
            <w:right w:w="108" w:type="dxa"/>
          </w:tblCellMar>
        </w:tblPrEx>
        <w:tc>
          <w:tcPr>
            <w:tcW w:w="567" w:type="dxa"/>
            <w:tcBorders>
              <w:top w:val="single" w:color="auto" w:sz="4" w:space="0"/>
              <w:left w:val="single" w:color="auto" w:sz="4" w:space="0"/>
              <w:bottom w:val="single" w:color="auto" w:sz="4" w:space="0"/>
              <w:right w:val="single" w:color="auto" w:sz="4" w:space="0"/>
            </w:tcBorders>
            <w:noWrap w:val="0"/>
            <w:vAlign w:val="center"/>
          </w:tcPr>
          <w:p w14:paraId="73B8DD91">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项目</w:t>
            </w:r>
          </w:p>
        </w:tc>
        <w:tc>
          <w:tcPr>
            <w:tcW w:w="412" w:type="dxa"/>
            <w:tcBorders>
              <w:top w:val="single" w:color="auto" w:sz="4" w:space="0"/>
              <w:left w:val="nil"/>
              <w:bottom w:val="single" w:color="auto" w:sz="4" w:space="0"/>
              <w:right w:val="single" w:color="auto" w:sz="4" w:space="0"/>
            </w:tcBorders>
            <w:noWrap w:val="0"/>
            <w:vAlign w:val="top"/>
          </w:tcPr>
          <w:p w14:paraId="142200CC">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序</w:t>
            </w:r>
          </w:p>
          <w:p w14:paraId="5A4E4DA3">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号</w:t>
            </w:r>
          </w:p>
        </w:tc>
        <w:tc>
          <w:tcPr>
            <w:tcW w:w="3365" w:type="dxa"/>
            <w:tcBorders>
              <w:top w:val="single" w:color="auto" w:sz="4" w:space="0"/>
              <w:left w:val="nil"/>
              <w:bottom w:val="single" w:color="auto" w:sz="4" w:space="0"/>
              <w:right w:val="single" w:color="auto" w:sz="4" w:space="0"/>
            </w:tcBorders>
            <w:noWrap w:val="0"/>
            <w:vAlign w:val="center"/>
          </w:tcPr>
          <w:p w14:paraId="00A0DD10">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工作内容</w:t>
            </w:r>
          </w:p>
        </w:tc>
        <w:tc>
          <w:tcPr>
            <w:tcW w:w="581" w:type="dxa"/>
            <w:tcBorders>
              <w:top w:val="single" w:color="auto" w:sz="4" w:space="0"/>
              <w:left w:val="nil"/>
              <w:bottom w:val="single" w:color="auto" w:sz="4" w:space="0"/>
              <w:right w:val="single" w:color="auto" w:sz="4" w:space="0"/>
            </w:tcBorders>
            <w:noWrap w:val="0"/>
            <w:vAlign w:val="center"/>
          </w:tcPr>
          <w:p w14:paraId="1089F09F">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分</w:t>
            </w:r>
          </w:p>
          <w:p w14:paraId="291BD3F4">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值</w:t>
            </w:r>
          </w:p>
        </w:tc>
        <w:tc>
          <w:tcPr>
            <w:tcW w:w="4968" w:type="dxa"/>
            <w:tcBorders>
              <w:top w:val="single" w:color="auto" w:sz="4" w:space="0"/>
              <w:left w:val="nil"/>
              <w:bottom w:val="single" w:color="auto" w:sz="4" w:space="0"/>
              <w:right w:val="single" w:color="auto" w:sz="4" w:space="0"/>
            </w:tcBorders>
            <w:noWrap w:val="0"/>
            <w:vAlign w:val="center"/>
          </w:tcPr>
          <w:p w14:paraId="62720236">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评分细则</w:t>
            </w:r>
          </w:p>
        </w:tc>
        <w:tc>
          <w:tcPr>
            <w:tcW w:w="531" w:type="dxa"/>
            <w:tcBorders>
              <w:top w:val="single" w:color="auto" w:sz="4" w:space="0"/>
              <w:left w:val="nil"/>
              <w:bottom w:val="single" w:color="auto" w:sz="4" w:space="0"/>
              <w:right w:val="single" w:color="auto" w:sz="4" w:space="0"/>
            </w:tcBorders>
            <w:noWrap w:val="0"/>
            <w:vAlign w:val="center"/>
          </w:tcPr>
          <w:p w14:paraId="65369680">
            <w:pPr>
              <w:spacing w:line="440" w:lineRule="exact"/>
              <w:jc w:val="center"/>
              <w:rPr>
                <w:rFonts w:ascii="宋体" w:hAnsi="宋体" w:cs="宋体"/>
                <w:b/>
                <w:bCs/>
                <w:color w:val="auto"/>
                <w:sz w:val="22"/>
                <w:szCs w:val="22"/>
                <w:highlight w:val="none"/>
              </w:rPr>
            </w:pPr>
            <w:r>
              <w:rPr>
                <w:rFonts w:hint="eastAsia" w:ascii="宋体" w:hAnsi="宋体" w:cs="宋体"/>
                <w:b/>
                <w:bCs/>
                <w:color w:val="auto"/>
                <w:sz w:val="22"/>
                <w:szCs w:val="22"/>
                <w:highlight w:val="none"/>
              </w:rPr>
              <w:t>扣分</w:t>
            </w:r>
          </w:p>
        </w:tc>
      </w:tr>
      <w:tr w14:paraId="281B8F86">
        <w:tblPrEx>
          <w:tblCellMar>
            <w:top w:w="0" w:type="dxa"/>
            <w:left w:w="108" w:type="dxa"/>
            <w:bottom w:w="0" w:type="dxa"/>
            <w:right w:w="108" w:type="dxa"/>
          </w:tblCellMar>
        </w:tblPrEx>
        <w:tc>
          <w:tcPr>
            <w:tcW w:w="567" w:type="dxa"/>
            <w:vMerge w:val="restart"/>
            <w:tcBorders>
              <w:top w:val="nil"/>
              <w:left w:val="single" w:color="auto" w:sz="4" w:space="0"/>
              <w:bottom w:val="single" w:color="auto" w:sz="4" w:space="0"/>
              <w:right w:val="single" w:color="auto" w:sz="4" w:space="0"/>
            </w:tcBorders>
            <w:noWrap w:val="0"/>
            <w:vAlign w:val="center"/>
          </w:tcPr>
          <w:p w14:paraId="1E09C7C4">
            <w:pPr>
              <w:spacing w:line="32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人员管理︵</w:t>
            </w:r>
          </w:p>
          <w:p w14:paraId="03FE90F2">
            <w:pPr>
              <w:spacing w:line="320" w:lineRule="exact"/>
              <w:jc w:val="center"/>
              <w:rPr>
                <w:rFonts w:ascii="宋体" w:hAnsi="宋体" w:cs="宋体"/>
                <w:color w:val="auto"/>
                <w:sz w:val="21"/>
                <w:szCs w:val="21"/>
                <w:highlight w:val="none"/>
              </w:rPr>
            </w:pPr>
            <w:r>
              <w:rPr>
                <w:rFonts w:hint="eastAsia" w:ascii="宋体" w:hAnsi="宋体" w:cs="宋体"/>
                <w:b/>
                <w:bCs/>
                <w:color w:val="auto"/>
                <w:sz w:val="24"/>
                <w:szCs w:val="24"/>
                <w:highlight w:val="none"/>
              </w:rPr>
              <w:t>10︶</w:t>
            </w:r>
          </w:p>
        </w:tc>
        <w:tc>
          <w:tcPr>
            <w:tcW w:w="412" w:type="dxa"/>
            <w:tcBorders>
              <w:top w:val="single" w:color="auto" w:sz="4" w:space="0"/>
              <w:left w:val="nil"/>
              <w:bottom w:val="single" w:color="auto" w:sz="4" w:space="0"/>
              <w:right w:val="single" w:color="auto" w:sz="4" w:space="0"/>
            </w:tcBorders>
            <w:noWrap w:val="0"/>
            <w:vAlign w:val="center"/>
          </w:tcPr>
          <w:p w14:paraId="07911273">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65" w:type="dxa"/>
            <w:tcBorders>
              <w:top w:val="single" w:color="auto" w:sz="4" w:space="0"/>
              <w:left w:val="nil"/>
              <w:bottom w:val="single" w:color="auto" w:sz="4" w:space="0"/>
              <w:right w:val="single" w:color="auto" w:sz="4" w:space="0"/>
            </w:tcBorders>
            <w:noWrap w:val="0"/>
            <w:vAlign w:val="center"/>
          </w:tcPr>
          <w:p w14:paraId="1E8D01C6">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技术人员按投标文件的要求及时到位。一线养护人员按合同规定及要求按时按量上岗，配备统一绿化工作服，使用统一工作巡查用车（电动车）。</w:t>
            </w:r>
          </w:p>
        </w:tc>
        <w:tc>
          <w:tcPr>
            <w:tcW w:w="581" w:type="dxa"/>
            <w:tcBorders>
              <w:top w:val="single" w:color="auto" w:sz="4" w:space="0"/>
              <w:left w:val="nil"/>
              <w:bottom w:val="single" w:color="auto" w:sz="4" w:space="0"/>
              <w:right w:val="single" w:color="auto" w:sz="4" w:space="0"/>
            </w:tcBorders>
            <w:noWrap w:val="0"/>
            <w:vAlign w:val="center"/>
          </w:tcPr>
          <w:p w14:paraId="4866CFF6">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968" w:type="dxa"/>
            <w:tcBorders>
              <w:top w:val="single" w:color="auto" w:sz="4" w:space="0"/>
              <w:left w:val="nil"/>
              <w:bottom w:val="single" w:color="auto" w:sz="4" w:space="0"/>
              <w:right w:val="single" w:color="auto" w:sz="4" w:space="0"/>
            </w:tcBorders>
            <w:noWrap w:val="0"/>
            <w:vAlign w:val="center"/>
          </w:tcPr>
          <w:p w14:paraId="743E1163">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技术人员未按投标文件的要求及时到位，每少1次/天，扣0.2分。一线养护人员未按投标文件的要求及时到位或人员数量弄虚作假达不到规定要求的，每天每少一人扣0.1分；迟到每人每次扣0.1分。例行检查时无故缺岗（15—30分钟内），每次扣0.5分；30分钟以上，每次扣1分。未按统一着装和佩戴工作牌的每人次扣0.1分。未配备统一工作巡查用车（电动车）的每人次扣0.1分。</w:t>
            </w:r>
          </w:p>
        </w:tc>
        <w:tc>
          <w:tcPr>
            <w:tcW w:w="531" w:type="dxa"/>
            <w:tcBorders>
              <w:top w:val="single" w:color="auto" w:sz="4" w:space="0"/>
              <w:left w:val="nil"/>
              <w:bottom w:val="single" w:color="auto" w:sz="4" w:space="0"/>
              <w:right w:val="single" w:color="auto" w:sz="4" w:space="0"/>
            </w:tcBorders>
            <w:noWrap w:val="0"/>
            <w:vAlign w:val="center"/>
          </w:tcPr>
          <w:p w14:paraId="00502DA0">
            <w:pPr>
              <w:spacing w:line="440" w:lineRule="exact"/>
              <w:jc w:val="center"/>
              <w:rPr>
                <w:rFonts w:ascii="宋体" w:hAnsi="宋体" w:cs="宋体"/>
                <w:color w:val="auto"/>
                <w:sz w:val="21"/>
                <w:szCs w:val="21"/>
                <w:highlight w:val="none"/>
              </w:rPr>
            </w:pPr>
          </w:p>
        </w:tc>
      </w:tr>
      <w:tr w14:paraId="1368FF96">
        <w:tblPrEx>
          <w:tblCellMar>
            <w:top w:w="0" w:type="dxa"/>
            <w:left w:w="108" w:type="dxa"/>
            <w:bottom w:w="0" w:type="dxa"/>
            <w:right w:w="108" w:type="dxa"/>
          </w:tblCellMar>
        </w:tblPrEx>
        <w:tc>
          <w:tcPr>
            <w:tcW w:w="567" w:type="dxa"/>
            <w:vMerge w:val="continue"/>
            <w:tcBorders>
              <w:top w:val="nil"/>
              <w:left w:val="single" w:color="auto" w:sz="4" w:space="0"/>
              <w:bottom w:val="single" w:color="auto" w:sz="4" w:space="0"/>
              <w:right w:val="single" w:color="auto" w:sz="4" w:space="0"/>
            </w:tcBorders>
            <w:noWrap w:val="0"/>
            <w:vAlign w:val="center"/>
          </w:tcPr>
          <w:p w14:paraId="50768AE7">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10815654">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3365" w:type="dxa"/>
            <w:tcBorders>
              <w:top w:val="single" w:color="auto" w:sz="4" w:space="0"/>
              <w:left w:val="nil"/>
              <w:bottom w:val="single" w:color="auto" w:sz="4" w:space="0"/>
              <w:right w:val="single" w:color="auto" w:sz="4" w:space="0"/>
            </w:tcBorders>
            <w:noWrap w:val="0"/>
            <w:vAlign w:val="center"/>
          </w:tcPr>
          <w:p w14:paraId="056222F2">
            <w:pPr>
              <w:jc w:val="left"/>
              <w:rPr>
                <w:color w:val="auto"/>
                <w:sz w:val="21"/>
                <w:szCs w:val="21"/>
                <w:highlight w:val="none"/>
              </w:rPr>
            </w:pPr>
            <w:r>
              <w:rPr>
                <w:rFonts w:hint="eastAsia" w:ascii="宋体" w:hAnsi="宋体" w:cs="宋体"/>
                <w:color w:val="auto"/>
                <w:sz w:val="21"/>
                <w:szCs w:val="21"/>
                <w:highlight w:val="none"/>
              </w:rPr>
              <w:t>养护人员在作业时做到文明礼貌，服从各项工作安排</w:t>
            </w:r>
            <w:r>
              <w:rPr>
                <w:rFonts w:hint="eastAsia"/>
                <w:color w:val="auto"/>
                <w:sz w:val="21"/>
                <w:szCs w:val="21"/>
                <w:highlight w:val="none"/>
              </w:rPr>
              <w:t>。</w:t>
            </w:r>
          </w:p>
        </w:tc>
        <w:tc>
          <w:tcPr>
            <w:tcW w:w="581" w:type="dxa"/>
            <w:tcBorders>
              <w:top w:val="single" w:color="auto" w:sz="4" w:space="0"/>
              <w:left w:val="nil"/>
              <w:bottom w:val="single" w:color="auto" w:sz="4" w:space="0"/>
              <w:right w:val="single" w:color="auto" w:sz="4" w:space="0"/>
            </w:tcBorders>
            <w:noWrap w:val="0"/>
            <w:vAlign w:val="center"/>
          </w:tcPr>
          <w:p w14:paraId="1AE6A432">
            <w:pPr>
              <w:spacing w:line="440" w:lineRule="exact"/>
              <w:jc w:val="center"/>
              <w:rPr>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top"/>
          </w:tcPr>
          <w:p w14:paraId="7FFE48D1">
            <w:pPr>
              <w:spacing w:line="440" w:lineRule="exact"/>
              <w:rPr>
                <w:color w:val="auto"/>
                <w:sz w:val="21"/>
                <w:szCs w:val="21"/>
                <w:highlight w:val="none"/>
              </w:rPr>
            </w:pPr>
            <w:r>
              <w:rPr>
                <w:rFonts w:hint="eastAsia" w:ascii="宋体" w:hAnsi="宋体" w:cs="宋体"/>
                <w:color w:val="auto"/>
                <w:sz w:val="21"/>
                <w:szCs w:val="21"/>
                <w:highlight w:val="none"/>
              </w:rPr>
              <w:t>上班时间不得做与工作无关的事情，发现一次扣0.2分；不服从工作安排，无故不落实管理员安排的任务，每次扣0.3分。与游客发生争执的，视情况发现一次扣0.1-0.5分。</w:t>
            </w:r>
          </w:p>
        </w:tc>
        <w:tc>
          <w:tcPr>
            <w:tcW w:w="531" w:type="dxa"/>
            <w:tcBorders>
              <w:top w:val="single" w:color="auto" w:sz="4" w:space="0"/>
              <w:left w:val="nil"/>
              <w:bottom w:val="single" w:color="auto" w:sz="4" w:space="0"/>
              <w:right w:val="single" w:color="auto" w:sz="4" w:space="0"/>
            </w:tcBorders>
            <w:noWrap w:val="0"/>
            <w:vAlign w:val="center"/>
          </w:tcPr>
          <w:p w14:paraId="0FEB643C">
            <w:pPr>
              <w:spacing w:line="440" w:lineRule="exact"/>
              <w:jc w:val="center"/>
              <w:rPr>
                <w:rFonts w:ascii="宋体" w:hAnsi="宋体" w:cs="宋体"/>
                <w:color w:val="auto"/>
                <w:sz w:val="21"/>
                <w:szCs w:val="21"/>
                <w:highlight w:val="none"/>
              </w:rPr>
            </w:pPr>
          </w:p>
        </w:tc>
      </w:tr>
      <w:tr w14:paraId="298386EF">
        <w:tblPrEx>
          <w:tblCellMar>
            <w:top w:w="0" w:type="dxa"/>
            <w:left w:w="108" w:type="dxa"/>
            <w:bottom w:w="0" w:type="dxa"/>
            <w:right w:w="108" w:type="dxa"/>
          </w:tblCellMar>
        </w:tblPrEx>
        <w:tc>
          <w:tcPr>
            <w:tcW w:w="567" w:type="dxa"/>
            <w:vMerge w:val="continue"/>
            <w:tcBorders>
              <w:top w:val="nil"/>
              <w:left w:val="single" w:color="auto" w:sz="4" w:space="0"/>
              <w:bottom w:val="single" w:color="auto" w:sz="4" w:space="0"/>
              <w:right w:val="single" w:color="auto" w:sz="4" w:space="0"/>
            </w:tcBorders>
            <w:noWrap w:val="0"/>
            <w:vAlign w:val="center"/>
          </w:tcPr>
          <w:p w14:paraId="5F0D2F21">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2AA6CC5C">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3365" w:type="dxa"/>
            <w:tcBorders>
              <w:top w:val="single" w:color="auto" w:sz="4" w:space="0"/>
              <w:left w:val="nil"/>
              <w:bottom w:val="single" w:color="auto" w:sz="4" w:space="0"/>
              <w:right w:val="single" w:color="auto" w:sz="4" w:space="0"/>
            </w:tcBorders>
            <w:noWrap w:val="0"/>
            <w:vAlign w:val="center"/>
          </w:tcPr>
          <w:p w14:paraId="19D3F115">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管理层人员按投标文件的要求及时到位。</w:t>
            </w:r>
          </w:p>
        </w:tc>
        <w:tc>
          <w:tcPr>
            <w:tcW w:w="581" w:type="dxa"/>
            <w:tcBorders>
              <w:top w:val="single" w:color="auto" w:sz="4" w:space="0"/>
              <w:left w:val="nil"/>
              <w:bottom w:val="single" w:color="auto" w:sz="4" w:space="0"/>
              <w:right w:val="single" w:color="auto" w:sz="4" w:space="0"/>
            </w:tcBorders>
            <w:noWrap w:val="0"/>
            <w:vAlign w:val="center"/>
          </w:tcPr>
          <w:p w14:paraId="2A74029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2D3AF920">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管理层人员未按投标文件的要求及时到位，每天每少1人扣0.2分。</w:t>
            </w:r>
            <w:r>
              <w:rPr>
                <w:rFonts w:hint="eastAsia" w:ascii="宋体" w:hAnsi="宋体" w:cs="宋体"/>
                <w:b/>
                <w:bCs/>
                <w:color w:val="auto"/>
                <w:sz w:val="21"/>
                <w:szCs w:val="21"/>
                <w:highlight w:val="none"/>
                <w:u w:val="single"/>
              </w:rPr>
              <w:t>此条款扣分值不设上限。</w:t>
            </w:r>
          </w:p>
        </w:tc>
        <w:tc>
          <w:tcPr>
            <w:tcW w:w="531" w:type="dxa"/>
            <w:tcBorders>
              <w:top w:val="single" w:color="auto" w:sz="4" w:space="0"/>
              <w:left w:val="nil"/>
              <w:bottom w:val="single" w:color="auto" w:sz="4" w:space="0"/>
              <w:right w:val="single" w:color="auto" w:sz="4" w:space="0"/>
            </w:tcBorders>
            <w:noWrap w:val="0"/>
            <w:vAlign w:val="center"/>
          </w:tcPr>
          <w:p w14:paraId="5F5D7D0C">
            <w:pPr>
              <w:spacing w:line="440" w:lineRule="exact"/>
              <w:jc w:val="center"/>
              <w:rPr>
                <w:rFonts w:ascii="宋体" w:hAnsi="宋体" w:cs="宋体"/>
                <w:color w:val="auto"/>
                <w:sz w:val="21"/>
                <w:szCs w:val="21"/>
                <w:highlight w:val="none"/>
              </w:rPr>
            </w:pPr>
          </w:p>
        </w:tc>
      </w:tr>
      <w:tr w14:paraId="10704B4F">
        <w:tblPrEx>
          <w:tblCellMar>
            <w:top w:w="0" w:type="dxa"/>
            <w:left w:w="108" w:type="dxa"/>
            <w:bottom w:w="0" w:type="dxa"/>
            <w:right w:w="108" w:type="dxa"/>
          </w:tblCellMar>
        </w:tblPrEx>
        <w:tc>
          <w:tcPr>
            <w:tcW w:w="567" w:type="dxa"/>
            <w:vMerge w:val="continue"/>
            <w:tcBorders>
              <w:top w:val="nil"/>
              <w:left w:val="single" w:color="auto" w:sz="4" w:space="0"/>
              <w:bottom w:val="single" w:color="auto" w:sz="4" w:space="0"/>
              <w:right w:val="single" w:color="auto" w:sz="4" w:space="0"/>
            </w:tcBorders>
            <w:noWrap w:val="0"/>
            <w:vAlign w:val="center"/>
          </w:tcPr>
          <w:p w14:paraId="42BED164">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6F3455E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3365" w:type="dxa"/>
            <w:tcBorders>
              <w:top w:val="single" w:color="auto" w:sz="4" w:space="0"/>
              <w:left w:val="nil"/>
              <w:bottom w:val="single" w:color="auto" w:sz="4" w:space="0"/>
              <w:right w:val="single" w:color="auto" w:sz="4" w:space="0"/>
            </w:tcBorders>
            <w:noWrap w:val="0"/>
            <w:vAlign w:val="center"/>
          </w:tcPr>
          <w:p w14:paraId="1568A43C">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按要求开展养护工作，积极开展或参加相关业务学习和安全培训，圆满完成公园临时突击任务。</w:t>
            </w:r>
          </w:p>
        </w:tc>
        <w:tc>
          <w:tcPr>
            <w:tcW w:w="581" w:type="dxa"/>
            <w:tcBorders>
              <w:top w:val="single" w:color="auto" w:sz="4" w:space="0"/>
              <w:left w:val="nil"/>
              <w:bottom w:val="single" w:color="auto" w:sz="4" w:space="0"/>
              <w:right w:val="single" w:color="auto" w:sz="4" w:space="0"/>
            </w:tcBorders>
            <w:noWrap w:val="0"/>
            <w:vAlign w:val="center"/>
          </w:tcPr>
          <w:p w14:paraId="705C316D">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5F16A128">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不积极开展、参加相关学习及培训的、无故缺勤临时突击任务、无故不落实管理层的技术指导或没有按时按质完成专项养护任务每次扣0.5分；迟到或早退、无故缺席业务学习和安全培训每人次扣0.1分；每少一人，扣0.2分。</w:t>
            </w:r>
          </w:p>
        </w:tc>
        <w:tc>
          <w:tcPr>
            <w:tcW w:w="531" w:type="dxa"/>
            <w:tcBorders>
              <w:top w:val="single" w:color="auto" w:sz="4" w:space="0"/>
              <w:left w:val="nil"/>
              <w:bottom w:val="single" w:color="auto" w:sz="4" w:space="0"/>
              <w:right w:val="single" w:color="auto" w:sz="4" w:space="0"/>
            </w:tcBorders>
            <w:noWrap w:val="0"/>
            <w:vAlign w:val="center"/>
          </w:tcPr>
          <w:p w14:paraId="572907EA">
            <w:pPr>
              <w:spacing w:line="440" w:lineRule="exact"/>
              <w:jc w:val="center"/>
              <w:rPr>
                <w:rFonts w:ascii="宋体" w:hAnsi="宋体" w:cs="宋体"/>
                <w:color w:val="auto"/>
                <w:sz w:val="21"/>
                <w:szCs w:val="21"/>
                <w:highlight w:val="none"/>
              </w:rPr>
            </w:pPr>
          </w:p>
        </w:tc>
      </w:tr>
      <w:tr w14:paraId="49082D19">
        <w:tblPrEx>
          <w:tblCellMar>
            <w:top w:w="0" w:type="dxa"/>
            <w:left w:w="108" w:type="dxa"/>
            <w:bottom w:w="0" w:type="dxa"/>
            <w:right w:w="108" w:type="dxa"/>
          </w:tblCellMar>
        </w:tblPrEx>
        <w:trPr>
          <w:cantSplit/>
        </w:trPr>
        <w:tc>
          <w:tcPr>
            <w:tcW w:w="567" w:type="dxa"/>
            <w:vMerge w:val="restart"/>
            <w:tcBorders>
              <w:top w:val="nil"/>
              <w:left w:val="single" w:color="auto" w:sz="4" w:space="0"/>
              <w:bottom w:val="single" w:color="auto" w:sz="4" w:space="0"/>
              <w:right w:val="single" w:color="auto" w:sz="4" w:space="0"/>
            </w:tcBorders>
            <w:noWrap w:val="0"/>
            <w:vAlign w:val="top"/>
          </w:tcPr>
          <w:p w14:paraId="253FDE9D">
            <w:pPr>
              <w:spacing w:line="440" w:lineRule="exact"/>
              <w:jc w:val="center"/>
              <w:rPr>
                <w:rFonts w:hint="eastAsia" w:ascii="宋体" w:hAnsi="宋体" w:cs="宋体"/>
                <w:color w:val="auto"/>
                <w:sz w:val="21"/>
                <w:szCs w:val="21"/>
                <w:highlight w:val="none"/>
              </w:rPr>
            </w:pPr>
          </w:p>
          <w:p w14:paraId="62E3E6B4">
            <w:pPr>
              <w:spacing w:line="440" w:lineRule="exact"/>
              <w:jc w:val="center"/>
              <w:rPr>
                <w:rFonts w:hint="eastAsia" w:ascii="宋体" w:hAnsi="宋体" w:cs="宋体"/>
                <w:color w:val="auto"/>
                <w:sz w:val="21"/>
                <w:szCs w:val="21"/>
                <w:highlight w:val="none"/>
              </w:rPr>
            </w:pPr>
          </w:p>
          <w:p w14:paraId="2281728E">
            <w:pPr>
              <w:spacing w:line="440" w:lineRule="exact"/>
              <w:jc w:val="center"/>
              <w:rPr>
                <w:rFonts w:hint="eastAsia" w:ascii="宋体" w:hAnsi="宋体" w:cs="宋体"/>
                <w:color w:val="auto"/>
                <w:sz w:val="21"/>
                <w:szCs w:val="21"/>
                <w:highlight w:val="none"/>
              </w:rPr>
            </w:pPr>
          </w:p>
          <w:p w14:paraId="51B26363">
            <w:pPr>
              <w:spacing w:line="440" w:lineRule="exact"/>
              <w:jc w:val="center"/>
              <w:rPr>
                <w:rFonts w:hint="eastAsia" w:ascii="宋体" w:hAnsi="宋体" w:cs="宋体"/>
                <w:color w:val="auto"/>
                <w:sz w:val="21"/>
                <w:szCs w:val="21"/>
                <w:highlight w:val="none"/>
              </w:rPr>
            </w:pPr>
          </w:p>
          <w:p w14:paraId="3A426AAB">
            <w:pPr>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乔</w:t>
            </w:r>
          </w:p>
          <w:p w14:paraId="79D28E7F">
            <w:pPr>
              <w:spacing w:line="440" w:lineRule="exact"/>
              <w:jc w:val="center"/>
              <w:rPr>
                <w:rFonts w:ascii="宋体" w:hAnsi="宋体" w:cs="宋体"/>
                <w:b/>
                <w:bCs/>
                <w:color w:val="auto"/>
                <w:sz w:val="24"/>
                <w:szCs w:val="24"/>
                <w:highlight w:val="none"/>
              </w:rPr>
            </w:pPr>
          </w:p>
          <w:p w14:paraId="0F6C68ED">
            <w:pPr>
              <w:spacing w:line="32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木︵</w:t>
            </w:r>
          </w:p>
          <w:p w14:paraId="164F2A76">
            <w:pPr>
              <w:spacing w:line="320" w:lineRule="exact"/>
              <w:jc w:val="center"/>
              <w:rPr>
                <w:rFonts w:ascii="宋体" w:hAnsi="宋体" w:cs="宋体"/>
                <w:color w:val="auto"/>
                <w:sz w:val="21"/>
                <w:szCs w:val="21"/>
                <w:highlight w:val="none"/>
              </w:rPr>
            </w:pPr>
            <w:r>
              <w:rPr>
                <w:rFonts w:hint="eastAsia" w:ascii="宋体" w:hAnsi="宋体" w:cs="宋体"/>
                <w:b/>
                <w:bCs/>
                <w:color w:val="auto"/>
                <w:sz w:val="24"/>
                <w:szCs w:val="24"/>
                <w:highlight w:val="none"/>
              </w:rPr>
              <w:t>20分︶</w:t>
            </w:r>
          </w:p>
        </w:tc>
        <w:tc>
          <w:tcPr>
            <w:tcW w:w="412" w:type="dxa"/>
            <w:tcBorders>
              <w:top w:val="single" w:color="auto" w:sz="4" w:space="0"/>
              <w:left w:val="nil"/>
              <w:bottom w:val="single" w:color="auto" w:sz="4" w:space="0"/>
              <w:right w:val="single" w:color="auto" w:sz="4" w:space="0"/>
            </w:tcBorders>
            <w:noWrap w:val="0"/>
            <w:vAlign w:val="center"/>
          </w:tcPr>
          <w:p w14:paraId="3E27FA91">
            <w:pPr>
              <w:spacing w:line="440" w:lineRule="exact"/>
              <w:ind w:firstLine="105" w:firstLineChars="5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65" w:type="dxa"/>
            <w:tcBorders>
              <w:top w:val="single" w:color="auto" w:sz="4" w:space="0"/>
              <w:left w:val="nil"/>
              <w:bottom w:val="single" w:color="auto" w:sz="4" w:space="0"/>
              <w:right w:val="single" w:color="auto" w:sz="4" w:space="0"/>
            </w:tcBorders>
            <w:noWrap w:val="0"/>
            <w:vAlign w:val="center"/>
          </w:tcPr>
          <w:p w14:paraId="311A35EC">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树枝健壮、茂盛、无病虫害。</w:t>
            </w:r>
          </w:p>
        </w:tc>
        <w:tc>
          <w:tcPr>
            <w:tcW w:w="581" w:type="dxa"/>
            <w:tcBorders>
              <w:top w:val="single" w:color="auto" w:sz="4" w:space="0"/>
              <w:left w:val="nil"/>
              <w:bottom w:val="single" w:color="auto" w:sz="4" w:space="0"/>
              <w:right w:val="single" w:color="auto" w:sz="4" w:space="0"/>
            </w:tcBorders>
            <w:noWrap w:val="0"/>
            <w:vAlign w:val="center"/>
          </w:tcPr>
          <w:p w14:paraId="5700BC02">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968" w:type="dxa"/>
            <w:tcBorders>
              <w:top w:val="single" w:color="auto" w:sz="4" w:space="0"/>
              <w:left w:val="nil"/>
              <w:bottom w:val="single" w:color="auto" w:sz="4" w:space="0"/>
              <w:right w:val="single" w:color="auto" w:sz="4" w:space="0"/>
            </w:tcBorders>
            <w:noWrap w:val="0"/>
            <w:vAlign w:val="center"/>
          </w:tcPr>
          <w:p w14:paraId="3FA24C04">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长势不良或有明显病虫害每处扣0.2分。</w:t>
            </w:r>
          </w:p>
        </w:tc>
        <w:tc>
          <w:tcPr>
            <w:tcW w:w="531" w:type="dxa"/>
            <w:tcBorders>
              <w:top w:val="single" w:color="auto" w:sz="4" w:space="0"/>
              <w:left w:val="nil"/>
              <w:bottom w:val="single" w:color="auto" w:sz="4" w:space="0"/>
              <w:right w:val="single" w:color="auto" w:sz="4" w:space="0"/>
            </w:tcBorders>
            <w:noWrap w:val="0"/>
            <w:vAlign w:val="center"/>
          </w:tcPr>
          <w:p w14:paraId="44D5E9CD">
            <w:pPr>
              <w:spacing w:line="440" w:lineRule="exact"/>
              <w:jc w:val="center"/>
              <w:rPr>
                <w:rFonts w:ascii="宋体" w:hAnsi="宋体" w:cs="宋体"/>
                <w:color w:val="auto"/>
                <w:sz w:val="21"/>
                <w:szCs w:val="21"/>
                <w:highlight w:val="none"/>
              </w:rPr>
            </w:pPr>
          </w:p>
        </w:tc>
      </w:tr>
      <w:tr w14:paraId="0D54C187">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3EA4DB22">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28ADEB1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3365" w:type="dxa"/>
            <w:tcBorders>
              <w:top w:val="single" w:color="auto" w:sz="4" w:space="0"/>
              <w:left w:val="nil"/>
              <w:bottom w:val="single" w:color="auto" w:sz="4" w:space="0"/>
              <w:right w:val="single" w:color="auto" w:sz="4" w:space="0"/>
            </w:tcBorders>
            <w:noWrap w:val="0"/>
            <w:vAlign w:val="center"/>
          </w:tcPr>
          <w:p w14:paraId="12BE6FB5">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乔木无明显枯枝黄叶、断枝。棕榈科植物及时剪除黄叶，维持其自然生长形态。</w:t>
            </w:r>
          </w:p>
        </w:tc>
        <w:tc>
          <w:tcPr>
            <w:tcW w:w="581" w:type="dxa"/>
            <w:tcBorders>
              <w:top w:val="single" w:color="auto" w:sz="4" w:space="0"/>
              <w:left w:val="nil"/>
              <w:bottom w:val="single" w:color="auto" w:sz="4" w:space="0"/>
              <w:right w:val="single" w:color="auto" w:sz="4" w:space="0"/>
            </w:tcBorders>
            <w:noWrap w:val="0"/>
            <w:vAlign w:val="center"/>
          </w:tcPr>
          <w:p w14:paraId="6399341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center"/>
          </w:tcPr>
          <w:p w14:paraId="6FC09EB0">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直径超过3cm的枯枝或棕榈科黄叶不及时剪除每处扣0.2分。</w:t>
            </w:r>
            <w:r>
              <w:rPr>
                <w:rFonts w:hint="eastAsia" w:ascii="宋体" w:hAnsi="宋体" w:cs="宋体"/>
                <w:b/>
                <w:bCs/>
                <w:color w:val="auto"/>
                <w:sz w:val="21"/>
                <w:szCs w:val="21"/>
                <w:highlight w:val="none"/>
                <w:u w:val="single"/>
              </w:rPr>
              <w:t>此条款扣分值不设上限。</w:t>
            </w:r>
          </w:p>
        </w:tc>
        <w:tc>
          <w:tcPr>
            <w:tcW w:w="531" w:type="dxa"/>
            <w:tcBorders>
              <w:top w:val="single" w:color="auto" w:sz="4" w:space="0"/>
              <w:left w:val="nil"/>
              <w:bottom w:val="single" w:color="auto" w:sz="4" w:space="0"/>
              <w:right w:val="single" w:color="auto" w:sz="4" w:space="0"/>
            </w:tcBorders>
            <w:noWrap w:val="0"/>
            <w:vAlign w:val="center"/>
          </w:tcPr>
          <w:p w14:paraId="63D6C7D4">
            <w:pPr>
              <w:spacing w:line="440" w:lineRule="exact"/>
              <w:jc w:val="center"/>
              <w:rPr>
                <w:rFonts w:ascii="宋体" w:hAnsi="宋体" w:cs="宋体"/>
                <w:color w:val="auto"/>
                <w:sz w:val="21"/>
                <w:szCs w:val="21"/>
                <w:highlight w:val="none"/>
              </w:rPr>
            </w:pPr>
          </w:p>
        </w:tc>
      </w:tr>
      <w:tr w14:paraId="777D6D01">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6FEF5D9F">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4F39B716">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3365" w:type="dxa"/>
            <w:tcBorders>
              <w:top w:val="single" w:color="auto" w:sz="4" w:space="0"/>
              <w:left w:val="nil"/>
              <w:bottom w:val="single" w:color="auto" w:sz="4" w:space="0"/>
              <w:right w:val="single" w:color="auto" w:sz="4" w:space="0"/>
            </w:tcBorders>
            <w:noWrap w:val="0"/>
            <w:vAlign w:val="center"/>
          </w:tcPr>
          <w:p w14:paraId="3D0060FD">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树体正直不偏斜，无寄生、无钉挂物、缠绕杂物。</w:t>
            </w:r>
          </w:p>
        </w:tc>
        <w:tc>
          <w:tcPr>
            <w:tcW w:w="581" w:type="dxa"/>
            <w:tcBorders>
              <w:top w:val="single" w:color="auto" w:sz="4" w:space="0"/>
              <w:left w:val="nil"/>
              <w:bottom w:val="single" w:color="auto" w:sz="4" w:space="0"/>
              <w:right w:val="single" w:color="auto" w:sz="4" w:space="0"/>
            </w:tcBorders>
            <w:noWrap w:val="0"/>
            <w:vAlign w:val="center"/>
          </w:tcPr>
          <w:p w14:paraId="7E9FE46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3C850BCF">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树体有寄生物、钉挂物、缠绕物每处扣0.1分。树体倾斜超过15度的每处扣0.1分。受灾天气过后两天仍未将树扶直的每处扣0.2分。</w:t>
            </w:r>
          </w:p>
        </w:tc>
        <w:tc>
          <w:tcPr>
            <w:tcW w:w="531" w:type="dxa"/>
            <w:tcBorders>
              <w:top w:val="single" w:color="auto" w:sz="4" w:space="0"/>
              <w:left w:val="nil"/>
              <w:bottom w:val="single" w:color="auto" w:sz="4" w:space="0"/>
              <w:right w:val="single" w:color="auto" w:sz="4" w:space="0"/>
            </w:tcBorders>
            <w:noWrap w:val="0"/>
            <w:vAlign w:val="center"/>
          </w:tcPr>
          <w:p w14:paraId="608A4202">
            <w:pPr>
              <w:spacing w:line="440" w:lineRule="exact"/>
              <w:jc w:val="center"/>
              <w:rPr>
                <w:rFonts w:ascii="宋体" w:hAnsi="宋体" w:cs="宋体"/>
                <w:color w:val="auto"/>
                <w:sz w:val="21"/>
                <w:szCs w:val="21"/>
                <w:highlight w:val="none"/>
              </w:rPr>
            </w:pPr>
          </w:p>
        </w:tc>
      </w:tr>
      <w:tr w14:paraId="4C00CEE4">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705FAABD">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4A392B4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3365" w:type="dxa"/>
            <w:tcBorders>
              <w:top w:val="single" w:color="auto" w:sz="4" w:space="0"/>
              <w:left w:val="nil"/>
              <w:bottom w:val="single" w:color="auto" w:sz="4" w:space="0"/>
              <w:right w:val="single" w:color="auto" w:sz="4" w:space="0"/>
            </w:tcBorders>
            <w:noWrap w:val="0"/>
            <w:vAlign w:val="top"/>
          </w:tcPr>
          <w:p w14:paraId="58645E22">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胸径15㎝以下做树盘，边线整齐，大小合适，盘面略低于草面。</w:t>
            </w:r>
          </w:p>
        </w:tc>
        <w:tc>
          <w:tcPr>
            <w:tcW w:w="581" w:type="dxa"/>
            <w:tcBorders>
              <w:top w:val="single" w:color="auto" w:sz="4" w:space="0"/>
              <w:left w:val="nil"/>
              <w:bottom w:val="single" w:color="auto" w:sz="4" w:space="0"/>
              <w:right w:val="single" w:color="auto" w:sz="4" w:space="0"/>
            </w:tcBorders>
            <w:noWrap w:val="0"/>
            <w:vAlign w:val="center"/>
          </w:tcPr>
          <w:p w14:paraId="289D8ABF">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center"/>
          </w:tcPr>
          <w:p w14:paraId="359E72AB">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未做树盘或树盘有明显杂草、石块的每处扣0.2分。</w:t>
            </w:r>
          </w:p>
        </w:tc>
        <w:tc>
          <w:tcPr>
            <w:tcW w:w="531" w:type="dxa"/>
            <w:tcBorders>
              <w:top w:val="single" w:color="auto" w:sz="4" w:space="0"/>
              <w:left w:val="nil"/>
              <w:bottom w:val="single" w:color="auto" w:sz="4" w:space="0"/>
              <w:right w:val="single" w:color="auto" w:sz="4" w:space="0"/>
            </w:tcBorders>
            <w:noWrap w:val="0"/>
            <w:vAlign w:val="center"/>
          </w:tcPr>
          <w:p w14:paraId="2B7295BA">
            <w:pPr>
              <w:spacing w:line="440" w:lineRule="exact"/>
              <w:jc w:val="center"/>
              <w:rPr>
                <w:rFonts w:ascii="宋体" w:hAnsi="宋体" w:cs="宋体"/>
                <w:color w:val="auto"/>
                <w:sz w:val="21"/>
                <w:szCs w:val="21"/>
                <w:highlight w:val="none"/>
              </w:rPr>
            </w:pPr>
          </w:p>
        </w:tc>
      </w:tr>
      <w:tr w14:paraId="058C2EC9">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7FA8AE24">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1768433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3365" w:type="dxa"/>
            <w:tcBorders>
              <w:top w:val="single" w:color="auto" w:sz="4" w:space="0"/>
              <w:left w:val="nil"/>
              <w:bottom w:val="single" w:color="auto" w:sz="4" w:space="0"/>
              <w:right w:val="single" w:color="auto" w:sz="4" w:space="0"/>
            </w:tcBorders>
            <w:noWrap w:val="0"/>
            <w:vAlign w:val="center"/>
          </w:tcPr>
          <w:p w14:paraId="10A6BB4E">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及时清理枯木、死树桩。</w:t>
            </w:r>
          </w:p>
        </w:tc>
        <w:tc>
          <w:tcPr>
            <w:tcW w:w="581" w:type="dxa"/>
            <w:tcBorders>
              <w:top w:val="single" w:color="auto" w:sz="4" w:space="0"/>
              <w:left w:val="nil"/>
              <w:bottom w:val="single" w:color="auto" w:sz="4" w:space="0"/>
              <w:right w:val="single" w:color="auto" w:sz="4" w:space="0"/>
            </w:tcBorders>
            <w:noWrap w:val="0"/>
            <w:vAlign w:val="center"/>
          </w:tcPr>
          <w:p w14:paraId="6784414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306A3CB6">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发现有枯木、死树桩的每株扣0.3分。</w:t>
            </w:r>
          </w:p>
        </w:tc>
        <w:tc>
          <w:tcPr>
            <w:tcW w:w="531" w:type="dxa"/>
            <w:tcBorders>
              <w:top w:val="single" w:color="auto" w:sz="4" w:space="0"/>
              <w:left w:val="nil"/>
              <w:bottom w:val="single" w:color="auto" w:sz="4" w:space="0"/>
              <w:right w:val="single" w:color="auto" w:sz="4" w:space="0"/>
            </w:tcBorders>
            <w:noWrap w:val="0"/>
            <w:vAlign w:val="center"/>
          </w:tcPr>
          <w:p w14:paraId="65F4923F">
            <w:pPr>
              <w:spacing w:line="440" w:lineRule="exact"/>
              <w:jc w:val="center"/>
              <w:rPr>
                <w:rFonts w:ascii="宋体" w:hAnsi="宋体" w:cs="宋体"/>
                <w:color w:val="auto"/>
                <w:sz w:val="21"/>
                <w:szCs w:val="21"/>
                <w:highlight w:val="none"/>
              </w:rPr>
            </w:pPr>
          </w:p>
        </w:tc>
      </w:tr>
      <w:tr w14:paraId="1EE2588A">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69037962">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3788442F">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3365" w:type="dxa"/>
            <w:tcBorders>
              <w:top w:val="single" w:color="auto" w:sz="4" w:space="0"/>
              <w:left w:val="nil"/>
              <w:bottom w:val="single" w:color="auto" w:sz="4" w:space="0"/>
              <w:right w:val="single" w:color="auto" w:sz="4" w:space="0"/>
            </w:tcBorders>
            <w:noWrap w:val="0"/>
            <w:vAlign w:val="center"/>
          </w:tcPr>
          <w:p w14:paraId="304C0720">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整形乔木按景观造型需要及时修剪，修剪面平滑整齐，无枝叶粘连。剪后成形美观，内部通透。修剪后当天及时清理残枝。</w:t>
            </w:r>
          </w:p>
        </w:tc>
        <w:tc>
          <w:tcPr>
            <w:tcW w:w="581" w:type="dxa"/>
            <w:tcBorders>
              <w:top w:val="single" w:color="auto" w:sz="4" w:space="0"/>
              <w:left w:val="nil"/>
              <w:bottom w:val="single" w:color="auto" w:sz="4" w:space="0"/>
              <w:right w:val="single" w:color="auto" w:sz="4" w:space="0"/>
            </w:tcBorders>
            <w:noWrap w:val="0"/>
            <w:vAlign w:val="center"/>
          </w:tcPr>
          <w:p w14:paraId="5A26780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968" w:type="dxa"/>
            <w:tcBorders>
              <w:top w:val="single" w:color="auto" w:sz="4" w:space="0"/>
              <w:left w:val="nil"/>
              <w:bottom w:val="single" w:color="auto" w:sz="4" w:space="0"/>
              <w:right w:val="single" w:color="auto" w:sz="4" w:space="0"/>
            </w:tcBorders>
            <w:noWrap w:val="0"/>
            <w:vAlign w:val="center"/>
          </w:tcPr>
          <w:p w14:paraId="3914873B">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未及时修剪或不按要求修剪的每处扣0.3分；剪面不整齐或枝叶粘连、残枝未及时处理的每处扣0.2分。</w:t>
            </w:r>
          </w:p>
        </w:tc>
        <w:tc>
          <w:tcPr>
            <w:tcW w:w="531" w:type="dxa"/>
            <w:tcBorders>
              <w:top w:val="single" w:color="auto" w:sz="4" w:space="0"/>
              <w:left w:val="nil"/>
              <w:bottom w:val="single" w:color="auto" w:sz="4" w:space="0"/>
              <w:right w:val="single" w:color="auto" w:sz="4" w:space="0"/>
            </w:tcBorders>
            <w:noWrap w:val="0"/>
            <w:vAlign w:val="center"/>
          </w:tcPr>
          <w:p w14:paraId="2E12C0F5">
            <w:pPr>
              <w:spacing w:line="440" w:lineRule="exact"/>
              <w:jc w:val="center"/>
              <w:rPr>
                <w:rFonts w:ascii="宋体" w:hAnsi="宋体" w:cs="宋体"/>
                <w:color w:val="auto"/>
                <w:sz w:val="21"/>
                <w:szCs w:val="21"/>
                <w:highlight w:val="none"/>
              </w:rPr>
            </w:pPr>
          </w:p>
        </w:tc>
      </w:tr>
      <w:tr w14:paraId="48598B10">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16F5025F">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440E2BE6">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7</w:t>
            </w:r>
          </w:p>
        </w:tc>
        <w:tc>
          <w:tcPr>
            <w:tcW w:w="3365" w:type="dxa"/>
            <w:tcBorders>
              <w:top w:val="single" w:color="auto" w:sz="4" w:space="0"/>
              <w:left w:val="nil"/>
              <w:bottom w:val="single" w:color="auto" w:sz="4" w:space="0"/>
              <w:right w:val="single" w:color="auto" w:sz="4" w:space="0"/>
            </w:tcBorders>
            <w:noWrap w:val="0"/>
            <w:vAlign w:val="center"/>
          </w:tcPr>
          <w:p w14:paraId="3EAF7D51">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2m以下过低枝条、折断枝条应及时修剪，修剪面平滑，无枝</w:t>
            </w:r>
            <w:r>
              <w:rPr>
                <w:rFonts w:hint="eastAsia" w:ascii="宋体" w:hAnsi="宋体" w:cs="宋体"/>
                <w:color w:val="auto"/>
                <w:sz w:val="21"/>
                <w:szCs w:val="21"/>
                <w:highlight w:val="none"/>
                <w:lang w:val="en-US" w:eastAsia="zh-CN"/>
              </w:rPr>
              <w:t>干</w:t>
            </w:r>
            <w:r>
              <w:rPr>
                <w:rFonts w:hint="eastAsia" w:ascii="宋体" w:hAnsi="宋体" w:cs="宋体"/>
                <w:color w:val="auto"/>
                <w:sz w:val="21"/>
                <w:szCs w:val="21"/>
                <w:highlight w:val="none"/>
              </w:rPr>
              <w:t>撕裂，直径超过3cm的创口做保护处理。</w:t>
            </w:r>
          </w:p>
        </w:tc>
        <w:tc>
          <w:tcPr>
            <w:tcW w:w="581" w:type="dxa"/>
            <w:tcBorders>
              <w:top w:val="single" w:color="auto" w:sz="4" w:space="0"/>
              <w:left w:val="nil"/>
              <w:bottom w:val="single" w:color="auto" w:sz="4" w:space="0"/>
              <w:right w:val="single" w:color="auto" w:sz="4" w:space="0"/>
            </w:tcBorders>
            <w:noWrap w:val="0"/>
            <w:vAlign w:val="center"/>
          </w:tcPr>
          <w:p w14:paraId="0D3ED897">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7C6181F4">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修剪不及时或直径超过3cm的修剪创口不做任何保护处理的每处扣0.3。</w:t>
            </w:r>
          </w:p>
        </w:tc>
        <w:tc>
          <w:tcPr>
            <w:tcW w:w="531" w:type="dxa"/>
            <w:tcBorders>
              <w:top w:val="single" w:color="auto" w:sz="4" w:space="0"/>
              <w:left w:val="nil"/>
              <w:bottom w:val="single" w:color="auto" w:sz="4" w:space="0"/>
              <w:right w:val="single" w:color="auto" w:sz="4" w:space="0"/>
            </w:tcBorders>
            <w:noWrap w:val="0"/>
            <w:vAlign w:val="center"/>
          </w:tcPr>
          <w:p w14:paraId="4D7AEA07">
            <w:pPr>
              <w:spacing w:line="440" w:lineRule="exact"/>
              <w:jc w:val="center"/>
              <w:rPr>
                <w:rFonts w:ascii="宋体" w:hAnsi="宋体" w:cs="宋体"/>
                <w:color w:val="auto"/>
                <w:sz w:val="21"/>
                <w:szCs w:val="21"/>
                <w:highlight w:val="none"/>
              </w:rPr>
            </w:pPr>
          </w:p>
        </w:tc>
      </w:tr>
      <w:tr w14:paraId="3140E5AD">
        <w:tblPrEx>
          <w:tblCellMar>
            <w:top w:w="0" w:type="dxa"/>
            <w:left w:w="108" w:type="dxa"/>
            <w:bottom w:w="0" w:type="dxa"/>
            <w:right w:w="108" w:type="dxa"/>
          </w:tblCellMar>
        </w:tblPrEx>
        <w:trPr>
          <w:cantSplit/>
        </w:trPr>
        <w:tc>
          <w:tcPr>
            <w:tcW w:w="567" w:type="dxa"/>
            <w:vMerge w:val="restart"/>
            <w:tcBorders>
              <w:top w:val="nil"/>
              <w:left w:val="single" w:color="auto" w:sz="4" w:space="0"/>
              <w:bottom w:val="single" w:color="auto" w:sz="4" w:space="0"/>
              <w:right w:val="single" w:color="auto" w:sz="4" w:space="0"/>
            </w:tcBorders>
            <w:noWrap w:val="0"/>
            <w:vAlign w:val="center"/>
          </w:tcPr>
          <w:p w14:paraId="391A8B87">
            <w:pPr>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灌</w:t>
            </w:r>
          </w:p>
          <w:p w14:paraId="45132FF6">
            <w:pPr>
              <w:spacing w:line="360" w:lineRule="exact"/>
              <w:jc w:val="center"/>
              <w:rPr>
                <w:rFonts w:ascii="宋体" w:hAnsi="宋体" w:cs="宋体"/>
                <w:b/>
                <w:bCs/>
                <w:color w:val="auto"/>
                <w:sz w:val="24"/>
                <w:szCs w:val="24"/>
                <w:highlight w:val="none"/>
              </w:rPr>
            </w:pPr>
          </w:p>
          <w:p w14:paraId="596E965D">
            <w:pPr>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木</w:t>
            </w:r>
          </w:p>
          <w:p w14:paraId="3FA6CE0B">
            <w:pPr>
              <w:spacing w:line="360" w:lineRule="exact"/>
              <w:jc w:val="center"/>
              <w:rPr>
                <w:rFonts w:ascii="宋体" w:hAnsi="宋体" w:cs="宋体"/>
                <w:b/>
                <w:bCs/>
                <w:color w:val="auto"/>
                <w:sz w:val="24"/>
                <w:szCs w:val="24"/>
                <w:highlight w:val="none"/>
              </w:rPr>
            </w:pPr>
          </w:p>
          <w:p w14:paraId="6E446BB4">
            <w:pPr>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绿</w:t>
            </w:r>
          </w:p>
          <w:p w14:paraId="453D2960">
            <w:pPr>
              <w:spacing w:line="360" w:lineRule="exact"/>
              <w:jc w:val="center"/>
              <w:rPr>
                <w:rFonts w:ascii="宋体" w:hAnsi="宋体" w:cs="宋体"/>
                <w:b/>
                <w:bCs/>
                <w:color w:val="auto"/>
                <w:sz w:val="24"/>
                <w:szCs w:val="24"/>
                <w:highlight w:val="none"/>
              </w:rPr>
            </w:pPr>
          </w:p>
          <w:p w14:paraId="037E723E">
            <w:pPr>
              <w:spacing w:line="36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篱︵</w:t>
            </w:r>
          </w:p>
          <w:p w14:paraId="32517442">
            <w:pPr>
              <w:spacing w:line="32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16分︶</w:t>
            </w:r>
          </w:p>
        </w:tc>
        <w:tc>
          <w:tcPr>
            <w:tcW w:w="412" w:type="dxa"/>
            <w:tcBorders>
              <w:top w:val="single" w:color="auto" w:sz="4" w:space="0"/>
              <w:left w:val="nil"/>
              <w:bottom w:val="single" w:color="auto" w:sz="4" w:space="0"/>
              <w:right w:val="single" w:color="auto" w:sz="4" w:space="0"/>
            </w:tcBorders>
            <w:noWrap w:val="0"/>
            <w:vAlign w:val="center"/>
          </w:tcPr>
          <w:p w14:paraId="528647D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65" w:type="dxa"/>
            <w:tcBorders>
              <w:top w:val="single" w:color="auto" w:sz="4" w:space="0"/>
              <w:left w:val="nil"/>
              <w:bottom w:val="single" w:color="auto" w:sz="4" w:space="0"/>
              <w:right w:val="single" w:color="auto" w:sz="4" w:space="0"/>
            </w:tcBorders>
            <w:noWrap w:val="0"/>
            <w:vAlign w:val="center"/>
          </w:tcPr>
          <w:p w14:paraId="3F6A033A">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灌木生长良好，树体正直不偏斜，植株无病害。</w:t>
            </w:r>
          </w:p>
        </w:tc>
        <w:tc>
          <w:tcPr>
            <w:tcW w:w="581" w:type="dxa"/>
            <w:tcBorders>
              <w:top w:val="single" w:color="auto" w:sz="4" w:space="0"/>
              <w:left w:val="nil"/>
              <w:bottom w:val="single" w:color="auto" w:sz="4" w:space="0"/>
              <w:right w:val="single" w:color="auto" w:sz="4" w:space="0"/>
            </w:tcBorders>
            <w:noWrap w:val="0"/>
            <w:vAlign w:val="center"/>
          </w:tcPr>
          <w:p w14:paraId="5AD1CE8C">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center"/>
          </w:tcPr>
          <w:p w14:paraId="10511176">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长势不良或有明显病害的每处扣0.2分。</w:t>
            </w:r>
          </w:p>
        </w:tc>
        <w:tc>
          <w:tcPr>
            <w:tcW w:w="531" w:type="dxa"/>
            <w:tcBorders>
              <w:top w:val="single" w:color="auto" w:sz="4" w:space="0"/>
              <w:left w:val="nil"/>
              <w:bottom w:val="single" w:color="auto" w:sz="4" w:space="0"/>
              <w:right w:val="single" w:color="auto" w:sz="4" w:space="0"/>
            </w:tcBorders>
            <w:noWrap w:val="0"/>
            <w:vAlign w:val="center"/>
          </w:tcPr>
          <w:p w14:paraId="0F3ACED0">
            <w:pPr>
              <w:spacing w:line="440" w:lineRule="exact"/>
              <w:jc w:val="center"/>
              <w:rPr>
                <w:rFonts w:ascii="宋体" w:hAnsi="宋体" w:cs="宋体"/>
                <w:color w:val="auto"/>
                <w:sz w:val="21"/>
                <w:szCs w:val="21"/>
                <w:highlight w:val="none"/>
              </w:rPr>
            </w:pPr>
          </w:p>
        </w:tc>
      </w:tr>
      <w:tr w14:paraId="27443485">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40E61E9D">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1CB4AFB8">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3365" w:type="dxa"/>
            <w:tcBorders>
              <w:top w:val="single" w:color="auto" w:sz="4" w:space="0"/>
              <w:left w:val="nil"/>
              <w:bottom w:val="single" w:color="auto" w:sz="4" w:space="0"/>
              <w:right w:val="single" w:color="auto" w:sz="4" w:space="0"/>
            </w:tcBorders>
            <w:noWrap w:val="0"/>
            <w:vAlign w:val="center"/>
          </w:tcPr>
          <w:p w14:paraId="66A7B6A4">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孤植灌木树盘边线整齐，无杂草。</w:t>
            </w:r>
          </w:p>
        </w:tc>
        <w:tc>
          <w:tcPr>
            <w:tcW w:w="581" w:type="dxa"/>
            <w:tcBorders>
              <w:top w:val="single" w:color="auto" w:sz="4" w:space="0"/>
              <w:left w:val="nil"/>
              <w:bottom w:val="single" w:color="auto" w:sz="4" w:space="0"/>
              <w:right w:val="single" w:color="auto" w:sz="4" w:space="0"/>
            </w:tcBorders>
            <w:noWrap w:val="0"/>
            <w:vAlign w:val="center"/>
          </w:tcPr>
          <w:p w14:paraId="0BC663CF">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4B3D3659">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未做树盘或树盘有明显杂草、石块每处扣0.2分。</w:t>
            </w:r>
          </w:p>
        </w:tc>
        <w:tc>
          <w:tcPr>
            <w:tcW w:w="531" w:type="dxa"/>
            <w:tcBorders>
              <w:top w:val="single" w:color="auto" w:sz="4" w:space="0"/>
              <w:left w:val="nil"/>
              <w:bottom w:val="single" w:color="auto" w:sz="4" w:space="0"/>
              <w:right w:val="single" w:color="auto" w:sz="4" w:space="0"/>
            </w:tcBorders>
            <w:noWrap w:val="0"/>
            <w:vAlign w:val="center"/>
          </w:tcPr>
          <w:p w14:paraId="5213D3B4">
            <w:pPr>
              <w:spacing w:line="440" w:lineRule="exact"/>
              <w:jc w:val="center"/>
              <w:rPr>
                <w:rFonts w:ascii="宋体" w:hAnsi="宋体" w:cs="宋体"/>
                <w:color w:val="auto"/>
                <w:sz w:val="21"/>
                <w:szCs w:val="21"/>
                <w:highlight w:val="none"/>
              </w:rPr>
            </w:pPr>
          </w:p>
        </w:tc>
      </w:tr>
      <w:tr w14:paraId="57E047DF">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139D2A48">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5B71BDCE">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3365" w:type="dxa"/>
            <w:tcBorders>
              <w:top w:val="single" w:color="auto" w:sz="4" w:space="0"/>
              <w:left w:val="nil"/>
              <w:bottom w:val="single" w:color="auto" w:sz="4" w:space="0"/>
              <w:right w:val="single" w:color="auto" w:sz="4" w:space="0"/>
            </w:tcBorders>
            <w:noWrap w:val="0"/>
            <w:vAlign w:val="top"/>
          </w:tcPr>
          <w:p w14:paraId="2C9211FD">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整形灌木、孤植灌球、片植灌木根据景观需要及时修剪。修剪面平滑整齐，无枝叶粘连。整形灌木剪后成形美观，内部通透。</w:t>
            </w:r>
          </w:p>
        </w:tc>
        <w:tc>
          <w:tcPr>
            <w:tcW w:w="581" w:type="dxa"/>
            <w:tcBorders>
              <w:top w:val="single" w:color="auto" w:sz="4" w:space="0"/>
              <w:left w:val="nil"/>
              <w:bottom w:val="single" w:color="auto" w:sz="4" w:space="0"/>
              <w:right w:val="single" w:color="auto" w:sz="4" w:space="0"/>
            </w:tcBorders>
            <w:noWrap w:val="0"/>
            <w:vAlign w:val="center"/>
          </w:tcPr>
          <w:p w14:paraId="3E94B1C7">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968" w:type="dxa"/>
            <w:tcBorders>
              <w:top w:val="single" w:color="auto" w:sz="4" w:space="0"/>
              <w:left w:val="nil"/>
              <w:bottom w:val="single" w:color="auto" w:sz="4" w:space="0"/>
              <w:right w:val="single" w:color="auto" w:sz="4" w:space="0"/>
            </w:tcBorders>
            <w:noWrap w:val="0"/>
            <w:vAlign w:val="center"/>
          </w:tcPr>
          <w:p w14:paraId="6A6B4B73">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未及时修剪或不按要求修剪的每处扣0.2分；修剪面不整齐或枝叶粘连、修剪后不美观的每处扣0.1分。</w:t>
            </w:r>
          </w:p>
        </w:tc>
        <w:tc>
          <w:tcPr>
            <w:tcW w:w="531" w:type="dxa"/>
            <w:tcBorders>
              <w:top w:val="single" w:color="auto" w:sz="4" w:space="0"/>
              <w:left w:val="nil"/>
              <w:bottom w:val="single" w:color="auto" w:sz="4" w:space="0"/>
              <w:right w:val="single" w:color="auto" w:sz="4" w:space="0"/>
            </w:tcBorders>
            <w:noWrap w:val="0"/>
            <w:vAlign w:val="center"/>
          </w:tcPr>
          <w:p w14:paraId="5227A6E3">
            <w:pPr>
              <w:spacing w:line="440" w:lineRule="exact"/>
              <w:jc w:val="center"/>
              <w:rPr>
                <w:rFonts w:ascii="宋体" w:hAnsi="宋体" w:cs="宋体"/>
                <w:color w:val="auto"/>
                <w:sz w:val="21"/>
                <w:szCs w:val="21"/>
                <w:highlight w:val="none"/>
              </w:rPr>
            </w:pPr>
          </w:p>
        </w:tc>
      </w:tr>
      <w:tr w14:paraId="140732DD">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7960424D">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3BF249A4">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3365" w:type="dxa"/>
            <w:tcBorders>
              <w:top w:val="single" w:color="auto" w:sz="4" w:space="0"/>
              <w:left w:val="nil"/>
              <w:bottom w:val="single" w:color="auto" w:sz="4" w:space="0"/>
              <w:right w:val="single" w:color="auto" w:sz="4" w:space="0"/>
            </w:tcBorders>
            <w:noWrap w:val="0"/>
            <w:vAlign w:val="top"/>
          </w:tcPr>
          <w:p w14:paraId="737FBE13">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修剪后及时清理干净绿化垃圾（地面和植株上）。</w:t>
            </w:r>
          </w:p>
        </w:tc>
        <w:tc>
          <w:tcPr>
            <w:tcW w:w="581" w:type="dxa"/>
            <w:tcBorders>
              <w:top w:val="single" w:color="auto" w:sz="4" w:space="0"/>
              <w:left w:val="nil"/>
              <w:bottom w:val="single" w:color="auto" w:sz="4" w:space="0"/>
              <w:right w:val="single" w:color="auto" w:sz="4" w:space="0"/>
            </w:tcBorders>
            <w:noWrap w:val="0"/>
            <w:vAlign w:val="center"/>
          </w:tcPr>
          <w:p w14:paraId="7F6B16C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75E008FB">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修剪后未及时清理的每处扣0.2分。</w:t>
            </w:r>
          </w:p>
        </w:tc>
        <w:tc>
          <w:tcPr>
            <w:tcW w:w="531" w:type="dxa"/>
            <w:tcBorders>
              <w:top w:val="single" w:color="auto" w:sz="4" w:space="0"/>
              <w:left w:val="nil"/>
              <w:bottom w:val="single" w:color="auto" w:sz="4" w:space="0"/>
              <w:right w:val="single" w:color="auto" w:sz="4" w:space="0"/>
            </w:tcBorders>
            <w:noWrap w:val="0"/>
            <w:vAlign w:val="center"/>
          </w:tcPr>
          <w:p w14:paraId="71D9C517">
            <w:pPr>
              <w:spacing w:line="440" w:lineRule="exact"/>
              <w:jc w:val="center"/>
              <w:rPr>
                <w:rFonts w:ascii="宋体" w:hAnsi="宋体" w:cs="宋体"/>
                <w:color w:val="auto"/>
                <w:sz w:val="21"/>
                <w:szCs w:val="21"/>
                <w:highlight w:val="none"/>
              </w:rPr>
            </w:pPr>
          </w:p>
        </w:tc>
      </w:tr>
      <w:tr w14:paraId="0E568C06">
        <w:tblPrEx>
          <w:tblCellMar>
            <w:top w:w="0" w:type="dxa"/>
            <w:left w:w="108" w:type="dxa"/>
            <w:bottom w:w="0" w:type="dxa"/>
            <w:right w:w="108" w:type="dxa"/>
          </w:tblCellMar>
        </w:tblPrEx>
        <w:trPr>
          <w:cantSplit/>
          <w:trHeight w:val="665" w:hRule="atLeast"/>
        </w:trPr>
        <w:tc>
          <w:tcPr>
            <w:tcW w:w="567" w:type="dxa"/>
            <w:vMerge w:val="continue"/>
            <w:tcBorders>
              <w:top w:val="nil"/>
              <w:left w:val="single" w:color="auto" w:sz="4" w:space="0"/>
              <w:bottom w:val="single" w:color="auto" w:sz="4" w:space="0"/>
              <w:right w:val="single" w:color="auto" w:sz="4" w:space="0"/>
            </w:tcBorders>
            <w:noWrap w:val="0"/>
            <w:vAlign w:val="center"/>
          </w:tcPr>
          <w:p w14:paraId="368E0C12">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7FFC993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3365" w:type="dxa"/>
            <w:tcBorders>
              <w:top w:val="single" w:color="auto" w:sz="4" w:space="0"/>
              <w:left w:val="nil"/>
              <w:bottom w:val="single" w:color="auto" w:sz="4" w:space="0"/>
              <w:right w:val="single" w:color="auto" w:sz="4" w:space="0"/>
            </w:tcBorders>
            <w:noWrap w:val="0"/>
            <w:vAlign w:val="top"/>
          </w:tcPr>
          <w:p w14:paraId="673EA018">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片植灌木无光脚、死株、断档现象。</w:t>
            </w:r>
          </w:p>
        </w:tc>
        <w:tc>
          <w:tcPr>
            <w:tcW w:w="581" w:type="dxa"/>
            <w:tcBorders>
              <w:top w:val="single" w:color="auto" w:sz="4" w:space="0"/>
              <w:left w:val="nil"/>
              <w:bottom w:val="single" w:color="auto" w:sz="4" w:space="0"/>
              <w:right w:val="single" w:color="auto" w:sz="4" w:space="0"/>
            </w:tcBorders>
            <w:noWrap w:val="0"/>
            <w:vAlign w:val="center"/>
          </w:tcPr>
          <w:p w14:paraId="2B5D222F">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center"/>
          </w:tcPr>
          <w:p w14:paraId="73CC3041">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片植灌木有光脚、死株、断档现象的每处扣0.1分。</w:t>
            </w:r>
          </w:p>
        </w:tc>
        <w:tc>
          <w:tcPr>
            <w:tcW w:w="531" w:type="dxa"/>
            <w:tcBorders>
              <w:top w:val="single" w:color="auto" w:sz="4" w:space="0"/>
              <w:left w:val="nil"/>
              <w:bottom w:val="single" w:color="auto" w:sz="4" w:space="0"/>
              <w:right w:val="single" w:color="auto" w:sz="4" w:space="0"/>
            </w:tcBorders>
            <w:noWrap w:val="0"/>
            <w:vAlign w:val="center"/>
          </w:tcPr>
          <w:p w14:paraId="33D6716E">
            <w:pPr>
              <w:spacing w:line="440" w:lineRule="exact"/>
              <w:jc w:val="center"/>
              <w:rPr>
                <w:rFonts w:ascii="宋体" w:hAnsi="宋体" w:cs="宋体"/>
                <w:color w:val="auto"/>
                <w:sz w:val="21"/>
                <w:szCs w:val="21"/>
                <w:highlight w:val="none"/>
              </w:rPr>
            </w:pPr>
          </w:p>
        </w:tc>
      </w:tr>
      <w:tr w14:paraId="13FBC0D9">
        <w:tblPrEx>
          <w:tblCellMar>
            <w:top w:w="0" w:type="dxa"/>
            <w:left w:w="108" w:type="dxa"/>
            <w:bottom w:w="0" w:type="dxa"/>
            <w:right w:w="108" w:type="dxa"/>
          </w:tblCellMar>
        </w:tblPrEx>
        <w:trPr>
          <w:cantSplit/>
          <w:trHeight w:val="665" w:hRule="atLeast"/>
        </w:trPr>
        <w:tc>
          <w:tcPr>
            <w:tcW w:w="567" w:type="dxa"/>
            <w:vMerge w:val="continue"/>
            <w:tcBorders>
              <w:top w:val="nil"/>
              <w:left w:val="single" w:color="auto" w:sz="4" w:space="0"/>
              <w:bottom w:val="single" w:color="auto" w:sz="4" w:space="0"/>
              <w:right w:val="single" w:color="auto" w:sz="4" w:space="0"/>
            </w:tcBorders>
            <w:noWrap w:val="0"/>
            <w:vAlign w:val="center"/>
          </w:tcPr>
          <w:p w14:paraId="1DC7EEB7">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26E8AFE6">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3365" w:type="dxa"/>
            <w:tcBorders>
              <w:top w:val="single" w:color="auto" w:sz="4" w:space="0"/>
              <w:left w:val="nil"/>
              <w:bottom w:val="single" w:color="auto" w:sz="4" w:space="0"/>
              <w:right w:val="single" w:color="auto" w:sz="4" w:space="0"/>
            </w:tcBorders>
            <w:noWrap w:val="0"/>
            <w:vAlign w:val="center"/>
          </w:tcPr>
          <w:p w14:paraId="4BDBE885">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绿篱和片植灌木内无石块等杂物。</w:t>
            </w:r>
          </w:p>
        </w:tc>
        <w:tc>
          <w:tcPr>
            <w:tcW w:w="581" w:type="dxa"/>
            <w:tcBorders>
              <w:top w:val="single" w:color="auto" w:sz="4" w:space="0"/>
              <w:left w:val="nil"/>
              <w:bottom w:val="single" w:color="auto" w:sz="4" w:space="0"/>
              <w:right w:val="single" w:color="auto" w:sz="4" w:space="0"/>
            </w:tcBorders>
            <w:noWrap w:val="0"/>
            <w:vAlign w:val="center"/>
          </w:tcPr>
          <w:p w14:paraId="68D4643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5DE859E8">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有石块等杂物的每处扣0.1分。</w:t>
            </w:r>
          </w:p>
        </w:tc>
        <w:tc>
          <w:tcPr>
            <w:tcW w:w="531" w:type="dxa"/>
            <w:tcBorders>
              <w:top w:val="single" w:color="auto" w:sz="4" w:space="0"/>
              <w:left w:val="nil"/>
              <w:bottom w:val="single" w:color="auto" w:sz="4" w:space="0"/>
              <w:right w:val="single" w:color="auto" w:sz="4" w:space="0"/>
            </w:tcBorders>
            <w:noWrap w:val="0"/>
            <w:vAlign w:val="center"/>
          </w:tcPr>
          <w:p w14:paraId="0D7B4E96">
            <w:pPr>
              <w:spacing w:line="440" w:lineRule="exact"/>
              <w:jc w:val="center"/>
              <w:rPr>
                <w:rFonts w:ascii="宋体" w:hAnsi="宋体" w:cs="宋体"/>
                <w:color w:val="auto"/>
                <w:sz w:val="21"/>
                <w:szCs w:val="21"/>
                <w:highlight w:val="none"/>
              </w:rPr>
            </w:pPr>
          </w:p>
        </w:tc>
      </w:tr>
      <w:tr w14:paraId="078DE28A">
        <w:tblPrEx>
          <w:tblCellMar>
            <w:top w:w="0" w:type="dxa"/>
            <w:left w:w="108" w:type="dxa"/>
            <w:bottom w:w="0" w:type="dxa"/>
            <w:right w:w="108" w:type="dxa"/>
          </w:tblCellMar>
        </w:tblPrEx>
        <w:trPr>
          <w:cantSplit/>
        </w:trPr>
        <w:tc>
          <w:tcPr>
            <w:tcW w:w="567" w:type="dxa"/>
            <w:vMerge w:val="restart"/>
            <w:tcBorders>
              <w:top w:val="nil"/>
              <w:left w:val="single" w:color="auto" w:sz="4" w:space="0"/>
              <w:bottom w:val="single" w:color="auto" w:sz="4" w:space="0"/>
              <w:right w:val="single" w:color="auto" w:sz="4" w:space="0"/>
            </w:tcBorders>
            <w:noWrap w:val="0"/>
            <w:vAlign w:val="center"/>
          </w:tcPr>
          <w:p w14:paraId="7A9CA7F4">
            <w:pPr>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草</w:t>
            </w:r>
          </w:p>
          <w:p w14:paraId="058C640C">
            <w:pPr>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坪</w:t>
            </w:r>
          </w:p>
          <w:p w14:paraId="6836ADFD">
            <w:pPr>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及</w:t>
            </w:r>
          </w:p>
          <w:p w14:paraId="715EB575">
            <w:pPr>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地</w:t>
            </w:r>
          </w:p>
          <w:p w14:paraId="1A2D0D2B">
            <w:pPr>
              <w:jc w:val="center"/>
              <w:rPr>
                <w:b/>
                <w:bCs/>
                <w:color w:val="auto"/>
                <w:sz w:val="24"/>
                <w:szCs w:val="24"/>
                <w:highlight w:val="none"/>
              </w:rPr>
            </w:pPr>
            <w:r>
              <w:rPr>
                <w:rFonts w:hint="eastAsia" w:ascii="宋体" w:hAnsi="宋体" w:cs="宋体"/>
                <w:b/>
                <w:bCs/>
                <w:color w:val="auto"/>
                <w:sz w:val="24"/>
                <w:szCs w:val="24"/>
                <w:highlight w:val="none"/>
              </w:rPr>
              <w:t>被︵</w:t>
            </w:r>
          </w:p>
          <w:p w14:paraId="7EFA56D6">
            <w:pPr>
              <w:jc w:val="center"/>
              <w:rPr>
                <w:color w:val="auto"/>
                <w:sz w:val="21"/>
                <w:szCs w:val="21"/>
                <w:highlight w:val="none"/>
              </w:rPr>
            </w:pPr>
            <w:r>
              <w:rPr>
                <w:rFonts w:hint="eastAsia" w:ascii="宋体" w:hAnsi="宋体" w:cs="宋体"/>
                <w:b/>
                <w:bCs/>
                <w:color w:val="auto"/>
                <w:sz w:val="24"/>
                <w:szCs w:val="24"/>
                <w:highlight w:val="none"/>
              </w:rPr>
              <w:t>12分︶</w:t>
            </w:r>
          </w:p>
        </w:tc>
        <w:tc>
          <w:tcPr>
            <w:tcW w:w="412" w:type="dxa"/>
            <w:tcBorders>
              <w:top w:val="single" w:color="auto" w:sz="4" w:space="0"/>
              <w:left w:val="nil"/>
              <w:bottom w:val="single" w:color="auto" w:sz="4" w:space="0"/>
              <w:right w:val="single" w:color="auto" w:sz="4" w:space="0"/>
            </w:tcBorders>
            <w:noWrap w:val="0"/>
            <w:vAlign w:val="center"/>
          </w:tcPr>
          <w:p w14:paraId="0805B391">
            <w:pPr>
              <w:spacing w:line="440" w:lineRule="exact"/>
              <w:jc w:val="center"/>
              <w:rPr>
                <w:rFonts w:ascii="宋体" w:hAnsi="宋体" w:cs="宋体"/>
                <w:color w:val="auto"/>
                <w:sz w:val="21"/>
                <w:szCs w:val="21"/>
                <w:highlight w:val="none"/>
              </w:rPr>
            </w:pPr>
          </w:p>
          <w:p w14:paraId="25F0C62A">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65" w:type="dxa"/>
            <w:tcBorders>
              <w:top w:val="single" w:color="auto" w:sz="4" w:space="0"/>
              <w:left w:val="nil"/>
              <w:bottom w:val="single" w:color="auto" w:sz="4" w:space="0"/>
              <w:right w:val="single" w:color="auto" w:sz="4" w:space="0"/>
            </w:tcBorders>
            <w:noWrap w:val="0"/>
            <w:vAlign w:val="center"/>
          </w:tcPr>
          <w:p w14:paraId="3B200896">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保持草坪青绿无枯黄，无明显病虫害、无杂草、碎石，草坪美观平整，高度控制在8cm以下。</w:t>
            </w:r>
          </w:p>
        </w:tc>
        <w:tc>
          <w:tcPr>
            <w:tcW w:w="581" w:type="dxa"/>
            <w:tcBorders>
              <w:top w:val="single" w:color="auto" w:sz="4" w:space="0"/>
              <w:left w:val="nil"/>
              <w:bottom w:val="single" w:color="auto" w:sz="4" w:space="0"/>
              <w:right w:val="single" w:color="auto" w:sz="4" w:space="0"/>
            </w:tcBorders>
            <w:noWrap w:val="0"/>
            <w:vAlign w:val="center"/>
          </w:tcPr>
          <w:p w14:paraId="2063A7F6">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968" w:type="dxa"/>
            <w:tcBorders>
              <w:top w:val="single" w:color="auto" w:sz="4" w:space="0"/>
              <w:left w:val="nil"/>
              <w:bottom w:val="single" w:color="auto" w:sz="4" w:space="0"/>
              <w:right w:val="single" w:color="auto" w:sz="4" w:space="0"/>
            </w:tcBorders>
            <w:noWrap w:val="0"/>
            <w:vAlign w:val="center"/>
          </w:tcPr>
          <w:p w14:paraId="751AE175">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草坪枯黄面积达50㎡（重点区域20㎡）以上或有明显病虫害、杂草、碎石的每处扣0.2分，草坪起球、杂乱、高度过高面积达100㎡（重点区域50㎡）的每处扣0.2分。</w:t>
            </w:r>
          </w:p>
        </w:tc>
        <w:tc>
          <w:tcPr>
            <w:tcW w:w="531" w:type="dxa"/>
            <w:tcBorders>
              <w:top w:val="single" w:color="auto" w:sz="4" w:space="0"/>
              <w:left w:val="nil"/>
              <w:bottom w:val="single" w:color="auto" w:sz="4" w:space="0"/>
              <w:right w:val="single" w:color="auto" w:sz="4" w:space="0"/>
            </w:tcBorders>
            <w:noWrap w:val="0"/>
            <w:vAlign w:val="center"/>
          </w:tcPr>
          <w:p w14:paraId="3A9B60F4">
            <w:pPr>
              <w:spacing w:line="440" w:lineRule="exact"/>
              <w:jc w:val="center"/>
              <w:rPr>
                <w:rFonts w:ascii="宋体" w:hAnsi="宋体" w:cs="宋体"/>
                <w:color w:val="auto"/>
                <w:sz w:val="21"/>
                <w:szCs w:val="21"/>
                <w:highlight w:val="none"/>
              </w:rPr>
            </w:pPr>
          </w:p>
        </w:tc>
      </w:tr>
      <w:tr w14:paraId="0E2821AD">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6CAEE572">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4F23FDC8">
            <w:pPr>
              <w:spacing w:line="440" w:lineRule="exact"/>
              <w:jc w:val="center"/>
              <w:rPr>
                <w:rFonts w:ascii="宋体" w:hAnsi="宋体" w:cs="宋体"/>
                <w:color w:val="auto"/>
                <w:sz w:val="21"/>
                <w:szCs w:val="21"/>
                <w:highlight w:val="none"/>
              </w:rPr>
            </w:pPr>
          </w:p>
          <w:p w14:paraId="02013423">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3365" w:type="dxa"/>
            <w:tcBorders>
              <w:top w:val="single" w:color="auto" w:sz="4" w:space="0"/>
              <w:left w:val="nil"/>
              <w:bottom w:val="single" w:color="auto" w:sz="4" w:space="0"/>
              <w:right w:val="single" w:color="auto" w:sz="4" w:space="0"/>
            </w:tcBorders>
            <w:noWrap w:val="0"/>
            <w:vAlign w:val="center"/>
          </w:tcPr>
          <w:p w14:paraId="47FDC629">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打草要及时清理草屑（地面及草地上）；草屑不能摊放过夜。</w:t>
            </w:r>
          </w:p>
        </w:tc>
        <w:tc>
          <w:tcPr>
            <w:tcW w:w="581" w:type="dxa"/>
            <w:tcBorders>
              <w:top w:val="single" w:color="auto" w:sz="4" w:space="0"/>
              <w:left w:val="nil"/>
              <w:bottom w:val="single" w:color="auto" w:sz="4" w:space="0"/>
              <w:right w:val="single" w:color="auto" w:sz="4" w:space="0"/>
            </w:tcBorders>
            <w:noWrap w:val="0"/>
            <w:vAlign w:val="center"/>
          </w:tcPr>
          <w:p w14:paraId="4FD5A02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center"/>
          </w:tcPr>
          <w:p w14:paraId="072E78FB">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草屑不及时清理或不按规定放置警示牌的每处扣0.2分；草屑摊放过夜超100㎡的每处扣0.3分。</w:t>
            </w:r>
          </w:p>
        </w:tc>
        <w:tc>
          <w:tcPr>
            <w:tcW w:w="531" w:type="dxa"/>
            <w:tcBorders>
              <w:top w:val="single" w:color="auto" w:sz="4" w:space="0"/>
              <w:left w:val="nil"/>
              <w:bottom w:val="single" w:color="auto" w:sz="4" w:space="0"/>
              <w:right w:val="single" w:color="auto" w:sz="4" w:space="0"/>
            </w:tcBorders>
            <w:noWrap w:val="0"/>
            <w:vAlign w:val="center"/>
          </w:tcPr>
          <w:p w14:paraId="206D9BA9">
            <w:pPr>
              <w:spacing w:line="440" w:lineRule="exact"/>
              <w:jc w:val="center"/>
              <w:rPr>
                <w:rFonts w:ascii="宋体" w:hAnsi="宋体" w:cs="宋体"/>
                <w:color w:val="auto"/>
                <w:sz w:val="21"/>
                <w:szCs w:val="21"/>
                <w:highlight w:val="none"/>
              </w:rPr>
            </w:pPr>
          </w:p>
        </w:tc>
      </w:tr>
      <w:tr w14:paraId="0A1AA4CE">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6A42BC74">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6B1BAAD8">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3365" w:type="dxa"/>
            <w:tcBorders>
              <w:top w:val="single" w:color="auto" w:sz="4" w:space="0"/>
              <w:left w:val="nil"/>
              <w:bottom w:val="single" w:color="auto" w:sz="4" w:space="0"/>
              <w:right w:val="single" w:color="auto" w:sz="4" w:space="0"/>
            </w:tcBorders>
            <w:noWrap w:val="0"/>
            <w:vAlign w:val="center"/>
          </w:tcPr>
          <w:p w14:paraId="2B9925E9">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地被无明显病虫害、杂草、黄叶。地被植物图形清晰，边线明显。</w:t>
            </w:r>
          </w:p>
        </w:tc>
        <w:tc>
          <w:tcPr>
            <w:tcW w:w="581" w:type="dxa"/>
            <w:tcBorders>
              <w:top w:val="single" w:color="auto" w:sz="4" w:space="0"/>
              <w:left w:val="nil"/>
              <w:bottom w:val="single" w:color="auto" w:sz="4" w:space="0"/>
              <w:right w:val="single" w:color="auto" w:sz="4" w:space="0"/>
            </w:tcBorders>
            <w:noWrap w:val="0"/>
            <w:vAlign w:val="center"/>
          </w:tcPr>
          <w:p w14:paraId="07E87564">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center"/>
          </w:tcPr>
          <w:p w14:paraId="2D3CB46C">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有明显病虫害、杂草、黄叶的每处扣0.1分。</w:t>
            </w:r>
          </w:p>
        </w:tc>
        <w:tc>
          <w:tcPr>
            <w:tcW w:w="531" w:type="dxa"/>
            <w:tcBorders>
              <w:top w:val="single" w:color="auto" w:sz="4" w:space="0"/>
              <w:left w:val="nil"/>
              <w:bottom w:val="single" w:color="auto" w:sz="4" w:space="0"/>
              <w:right w:val="single" w:color="auto" w:sz="4" w:space="0"/>
            </w:tcBorders>
            <w:noWrap w:val="0"/>
            <w:vAlign w:val="center"/>
          </w:tcPr>
          <w:p w14:paraId="4D931364">
            <w:pPr>
              <w:spacing w:line="440" w:lineRule="exact"/>
              <w:jc w:val="center"/>
              <w:rPr>
                <w:rFonts w:ascii="宋体" w:hAnsi="宋体" w:cs="宋体"/>
                <w:color w:val="auto"/>
                <w:sz w:val="21"/>
                <w:szCs w:val="21"/>
                <w:highlight w:val="none"/>
              </w:rPr>
            </w:pPr>
          </w:p>
        </w:tc>
      </w:tr>
      <w:tr w14:paraId="6DF4B608">
        <w:tblPrEx>
          <w:tblCellMar>
            <w:top w:w="0" w:type="dxa"/>
            <w:left w:w="108" w:type="dxa"/>
            <w:bottom w:w="0" w:type="dxa"/>
            <w:right w:w="108" w:type="dxa"/>
          </w:tblCellMar>
        </w:tblPrEx>
        <w:trPr>
          <w:cantSplit/>
          <w:trHeight w:val="620" w:hRule="atLeast"/>
        </w:trPr>
        <w:tc>
          <w:tcPr>
            <w:tcW w:w="567" w:type="dxa"/>
            <w:vMerge w:val="continue"/>
            <w:tcBorders>
              <w:top w:val="nil"/>
              <w:left w:val="single" w:color="auto" w:sz="4" w:space="0"/>
              <w:bottom w:val="single" w:color="auto" w:sz="4" w:space="0"/>
              <w:right w:val="single" w:color="auto" w:sz="4" w:space="0"/>
            </w:tcBorders>
            <w:noWrap w:val="0"/>
            <w:vAlign w:val="center"/>
          </w:tcPr>
          <w:p w14:paraId="643B5B92">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6D81E8A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3365" w:type="dxa"/>
            <w:tcBorders>
              <w:top w:val="single" w:color="auto" w:sz="4" w:space="0"/>
              <w:left w:val="nil"/>
              <w:bottom w:val="single" w:color="auto" w:sz="4" w:space="0"/>
              <w:right w:val="single" w:color="auto" w:sz="4" w:space="0"/>
            </w:tcBorders>
            <w:noWrap w:val="0"/>
            <w:vAlign w:val="center"/>
          </w:tcPr>
          <w:p w14:paraId="526EC03F">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伸出路缘石的地被要及时修剪。</w:t>
            </w:r>
          </w:p>
        </w:tc>
        <w:tc>
          <w:tcPr>
            <w:tcW w:w="581" w:type="dxa"/>
            <w:tcBorders>
              <w:top w:val="single" w:color="auto" w:sz="4" w:space="0"/>
              <w:left w:val="nil"/>
              <w:bottom w:val="single" w:color="auto" w:sz="4" w:space="0"/>
              <w:right w:val="single" w:color="auto" w:sz="4" w:space="0"/>
            </w:tcBorders>
            <w:noWrap w:val="0"/>
            <w:vAlign w:val="center"/>
          </w:tcPr>
          <w:p w14:paraId="71371867">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39D4E87B">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不及时修剪的每处扣0.1分。</w:t>
            </w:r>
          </w:p>
        </w:tc>
        <w:tc>
          <w:tcPr>
            <w:tcW w:w="531" w:type="dxa"/>
            <w:tcBorders>
              <w:top w:val="single" w:color="auto" w:sz="4" w:space="0"/>
              <w:left w:val="nil"/>
              <w:bottom w:val="single" w:color="auto" w:sz="4" w:space="0"/>
              <w:right w:val="single" w:color="auto" w:sz="4" w:space="0"/>
            </w:tcBorders>
            <w:noWrap w:val="0"/>
            <w:vAlign w:val="center"/>
          </w:tcPr>
          <w:p w14:paraId="54925E0F">
            <w:pPr>
              <w:spacing w:line="440" w:lineRule="exact"/>
              <w:jc w:val="center"/>
              <w:rPr>
                <w:rFonts w:ascii="宋体" w:hAnsi="宋体" w:cs="宋体"/>
                <w:color w:val="auto"/>
                <w:sz w:val="21"/>
                <w:szCs w:val="21"/>
                <w:highlight w:val="none"/>
              </w:rPr>
            </w:pPr>
          </w:p>
        </w:tc>
      </w:tr>
      <w:tr w14:paraId="515B0D43">
        <w:tblPrEx>
          <w:tblCellMar>
            <w:top w:w="0" w:type="dxa"/>
            <w:left w:w="108" w:type="dxa"/>
            <w:bottom w:w="0" w:type="dxa"/>
            <w:right w:w="108" w:type="dxa"/>
          </w:tblCellMar>
        </w:tblPrEx>
        <w:trPr>
          <w:cantSplit/>
        </w:trPr>
        <w:tc>
          <w:tcPr>
            <w:tcW w:w="567" w:type="dxa"/>
            <w:vMerge w:val="restart"/>
            <w:tcBorders>
              <w:top w:val="nil"/>
              <w:left w:val="single" w:color="auto" w:sz="4" w:space="0"/>
              <w:bottom w:val="single" w:color="auto" w:sz="4" w:space="0"/>
              <w:right w:val="single" w:color="auto" w:sz="4" w:space="0"/>
            </w:tcBorders>
            <w:noWrap w:val="0"/>
            <w:vAlign w:val="center"/>
          </w:tcPr>
          <w:p w14:paraId="6702CC06">
            <w:pPr>
              <w:spacing w:line="440" w:lineRule="exact"/>
              <w:jc w:val="center"/>
              <w:rPr>
                <w:rFonts w:ascii="宋体" w:hAnsi="宋体" w:cs="宋体"/>
                <w:color w:val="auto"/>
                <w:sz w:val="21"/>
                <w:szCs w:val="21"/>
                <w:highlight w:val="none"/>
              </w:rPr>
            </w:pPr>
          </w:p>
          <w:p w14:paraId="52BBE41B">
            <w:pPr>
              <w:spacing w:line="32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安全生产︵</w:t>
            </w:r>
          </w:p>
          <w:p w14:paraId="1BF4BAE6">
            <w:pPr>
              <w:spacing w:line="320" w:lineRule="exact"/>
              <w:jc w:val="center"/>
              <w:rPr>
                <w:rFonts w:ascii="宋体" w:hAnsi="宋体" w:cs="宋体"/>
                <w:color w:val="auto"/>
                <w:sz w:val="21"/>
                <w:szCs w:val="21"/>
                <w:highlight w:val="none"/>
              </w:rPr>
            </w:pPr>
            <w:r>
              <w:rPr>
                <w:rFonts w:hint="eastAsia" w:ascii="宋体" w:hAnsi="宋体" w:cs="宋体"/>
                <w:b/>
                <w:bCs/>
                <w:color w:val="auto"/>
                <w:sz w:val="24"/>
                <w:szCs w:val="24"/>
                <w:highlight w:val="none"/>
              </w:rPr>
              <w:t>18分︶</w:t>
            </w:r>
          </w:p>
        </w:tc>
        <w:tc>
          <w:tcPr>
            <w:tcW w:w="412" w:type="dxa"/>
            <w:tcBorders>
              <w:top w:val="single" w:color="auto" w:sz="4" w:space="0"/>
              <w:left w:val="nil"/>
              <w:bottom w:val="single" w:color="auto" w:sz="4" w:space="0"/>
              <w:right w:val="single" w:color="auto" w:sz="4" w:space="0"/>
            </w:tcBorders>
            <w:noWrap w:val="0"/>
            <w:vAlign w:val="center"/>
          </w:tcPr>
          <w:p w14:paraId="4737124A">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65" w:type="dxa"/>
            <w:tcBorders>
              <w:top w:val="single" w:color="auto" w:sz="4" w:space="0"/>
              <w:left w:val="nil"/>
              <w:bottom w:val="single" w:color="auto" w:sz="4" w:space="0"/>
              <w:right w:val="single" w:color="auto" w:sz="4" w:space="0"/>
            </w:tcBorders>
            <w:noWrap w:val="0"/>
            <w:vAlign w:val="center"/>
          </w:tcPr>
          <w:p w14:paraId="4535A8FC">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严格按操作规程要求，正确使用器具。</w:t>
            </w:r>
          </w:p>
        </w:tc>
        <w:tc>
          <w:tcPr>
            <w:tcW w:w="581" w:type="dxa"/>
            <w:tcBorders>
              <w:top w:val="single" w:color="auto" w:sz="4" w:space="0"/>
              <w:left w:val="nil"/>
              <w:bottom w:val="single" w:color="auto" w:sz="4" w:space="0"/>
              <w:right w:val="single" w:color="auto" w:sz="4" w:space="0"/>
            </w:tcBorders>
            <w:noWrap w:val="0"/>
            <w:vAlign w:val="center"/>
          </w:tcPr>
          <w:p w14:paraId="0823CFD2">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53377FE7">
            <w:pPr>
              <w:spacing w:line="440" w:lineRule="exact"/>
              <w:rPr>
                <w:rFonts w:hint="eastAsia" w:ascii="宋体" w:hAnsi="宋体" w:eastAsia="宋体" w:cs="宋体"/>
                <w:color w:val="auto"/>
                <w:sz w:val="21"/>
                <w:szCs w:val="21"/>
                <w:highlight w:val="none"/>
                <w:lang w:eastAsia="zh-CN"/>
              </w:rPr>
            </w:pPr>
            <w:r>
              <w:rPr>
                <w:rFonts w:hint="eastAsia" w:ascii="宋体" w:hAnsi="宋体" w:cs="宋体"/>
                <w:bCs/>
                <w:color w:val="auto"/>
                <w:sz w:val="21"/>
                <w:szCs w:val="21"/>
                <w:highlight w:val="none"/>
              </w:rPr>
              <w:t>不按操作规程要求，导致器具损坏而影响到正常养护工作，每次扣0.2分；使人身受到伤害的,每次扣0.5分。</w:t>
            </w:r>
            <w:r>
              <w:rPr>
                <w:rFonts w:hint="eastAsia" w:ascii="宋体" w:hAnsi="宋体" w:cs="宋体"/>
                <w:b/>
                <w:bCs w:val="0"/>
                <w:color w:val="auto"/>
                <w:sz w:val="21"/>
                <w:szCs w:val="21"/>
                <w:highlight w:val="none"/>
                <w:u w:val="single"/>
              </w:rPr>
              <w:t>此条款扣分值不设上限</w:t>
            </w:r>
            <w:r>
              <w:rPr>
                <w:rFonts w:hint="eastAsia" w:ascii="宋体" w:hAnsi="宋体" w:cs="宋体"/>
                <w:b/>
                <w:bCs w:val="0"/>
                <w:color w:val="auto"/>
                <w:sz w:val="21"/>
                <w:szCs w:val="21"/>
                <w:highlight w:val="none"/>
                <w:u w:val="single"/>
                <w:lang w:eastAsia="zh-CN"/>
              </w:rPr>
              <w:t>。</w:t>
            </w:r>
          </w:p>
        </w:tc>
        <w:tc>
          <w:tcPr>
            <w:tcW w:w="531" w:type="dxa"/>
            <w:tcBorders>
              <w:top w:val="single" w:color="auto" w:sz="4" w:space="0"/>
              <w:left w:val="nil"/>
              <w:bottom w:val="single" w:color="auto" w:sz="4" w:space="0"/>
              <w:right w:val="single" w:color="auto" w:sz="4" w:space="0"/>
            </w:tcBorders>
            <w:noWrap w:val="0"/>
            <w:vAlign w:val="center"/>
          </w:tcPr>
          <w:p w14:paraId="3F9E0027">
            <w:pPr>
              <w:spacing w:line="440" w:lineRule="exact"/>
              <w:jc w:val="center"/>
              <w:rPr>
                <w:rFonts w:ascii="宋体" w:hAnsi="宋体" w:cs="宋体"/>
                <w:color w:val="auto"/>
                <w:sz w:val="21"/>
                <w:szCs w:val="21"/>
                <w:highlight w:val="none"/>
              </w:rPr>
            </w:pPr>
          </w:p>
        </w:tc>
      </w:tr>
      <w:tr w14:paraId="5F9B023C">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2A4C1179">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4A85BCA9">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3365" w:type="dxa"/>
            <w:tcBorders>
              <w:top w:val="single" w:color="auto" w:sz="4" w:space="0"/>
              <w:left w:val="nil"/>
              <w:bottom w:val="single" w:color="auto" w:sz="4" w:space="0"/>
              <w:right w:val="single" w:color="auto" w:sz="4" w:space="0"/>
            </w:tcBorders>
            <w:noWrap w:val="0"/>
            <w:vAlign w:val="center"/>
          </w:tcPr>
          <w:p w14:paraId="6880FB0B">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汽油、农药及用完的农药空瓶按规定存放，并及时处理。。</w:t>
            </w:r>
          </w:p>
        </w:tc>
        <w:tc>
          <w:tcPr>
            <w:tcW w:w="581" w:type="dxa"/>
            <w:tcBorders>
              <w:top w:val="single" w:color="auto" w:sz="4" w:space="0"/>
              <w:left w:val="nil"/>
              <w:bottom w:val="single" w:color="auto" w:sz="4" w:space="0"/>
              <w:right w:val="single" w:color="auto" w:sz="4" w:space="0"/>
            </w:tcBorders>
            <w:noWrap w:val="0"/>
            <w:vAlign w:val="center"/>
          </w:tcPr>
          <w:p w14:paraId="15AAB41F">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top"/>
          </w:tcPr>
          <w:p w14:paraId="050F8ED5">
            <w:pPr>
              <w:spacing w:line="440" w:lineRule="exact"/>
              <w:rPr>
                <w:rFonts w:ascii="宋体" w:hAnsi="宋体" w:cs="宋体"/>
                <w:color w:val="auto"/>
                <w:sz w:val="21"/>
                <w:szCs w:val="21"/>
                <w:highlight w:val="none"/>
              </w:rPr>
            </w:pPr>
            <w:r>
              <w:rPr>
                <w:rFonts w:hint="eastAsia" w:ascii="宋体" w:hAnsi="宋体" w:cs="宋体"/>
                <w:bCs/>
                <w:color w:val="auto"/>
                <w:sz w:val="21"/>
                <w:szCs w:val="21"/>
                <w:highlight w:val="none"/>
              </w:rPr>
              <w:t>未按要求存放汽油、农药及农药空瓶</w:t>
            </w:r>
            <w:r>
              <w:rPr>
                <w:rFonts w:hint="eastAsia" w:ascii="宋体" w:hAnsi="宋体" w:cs="宋体"/>
                <w:color w:val="auto"/>
                <w:sz w:val="21"/>
                <w:szCs w:val="21"/>
                <w:highlight w:val="none"/>
              </w:rPr>
              <w:t>或空药瓶（袋）遗留现场</w:t>
            </w:r>
            <w:r>
              <w:rPr>
                <w:rFonts w:hint="eastAsia" w:ascii="宋体" w:hAnsi="宋体" w:cs="宋体"/>
                <w:bCs/>
                <w:color w:val="auto"/>
                <w:sz w:val="21"/>
                <w:szCs w:val="21"/>
                <w:highlight w:val="none"/>
              </w:rPr>
              <w:t>的，每次扣0.5分。此条款扣分值不设上限。</w:t>
            </w:r>
            <w:r>
              <w:rPr>
                <w:rFonts w:hint="eastAsia" w:ascii="宋体" w:hAnsi="宋体" w:cs="宋体"/>
                <w:b/>
                <w:bCs/>
                <w:color w:val="auto"/>
                <w:sz w:val="21"/>
                <w:szCs w:val="21"/>
                <w:highlight w:val="none"/>
                <w:u w:val="single"/>
              </w:rPr>
              <w:t>此条款扣分值不设上限。</w:t>
            </w:r>
          </w:p>
        </w:tc>
        <w:tc>
          <w:tcPr>
            <w:tcW w:w="531" w:type="dxa"/>
            <w:tcBorders>
              <w:top w:val="single" w:color="auto" w:sz="4" w:space="0"/>
              <w:left w:val="nil"/>
              <w:bottom w:val="single" w:color="auto" w:sz="4" w:space="0"/>
              <w:right w:val="single" w:color="auto" w:sz="4" w:space="0"/>
            </w:tcBorders>
            <w:noWrap w:val="0"/>
            <w:vAlign w:val="center"/>
          </w:tcPr>
          <w:p w14:paraId="0E0021BD">
            <w:pPr>
              <w:spacing w:line="440" w:lineRule="exact"/>
              <w:jc w:val="center"/>
              <w:rPr>
                <w:rFonts w:ascii="宋体" w:hAnsi="宋体" w:cs="宋体"/>
                <w:color w:val="auto"/>
                <w:sz w:val="21"/>
                <w:szCs w:val="21"/>
                <w:highlight w:val="none"/>
              </w:rPr>
            </w:pPr>
          </w:p>
        </w:tc>
      </w:tr>
      <w:tr w14:paraId="0A4A6E41">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1059E258">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4BDA4499">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3365" w:type="dxa"/>
            <w:tcBorders>
              <w:top w:val="single" w:color="auto" w:sz="4" w:space="0"/>
              <w:left w:val="nil"/>
              <w:bottom w:val="single" w:color="auto" w:sz="4" w:space="0"/>
              <w:right w:val="single" w:color="auto" w:sz="4" w:space="0"/>
            </w:tcBorders>
            <w:noWrap w:val="0"/>
            <w:vAlign w:val="center"/>
          </w:tcPr>
          <w:p w14:paraId="4D3D4BBD">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作业车辆按时年检，保持车况良好，车内干净整洁。每月对各车辆做一次全面安全卫生检查。驾驶员持证上岗，按规范操作</w:t>
            </w:r>
            <w:r>
              <w:rPr>
                <w:rFonts w:hint="eastAsia" w:ascii="宋体" w:hAnsi="宋体" w:cs="宋体"/>
                <w:color w:val="auto"/>
                <w:sz w:val="21"/>
                <w:szCs w:val="21"/>
                <w:highlight w:val="none"/>
                <w:lang w:val="en-US" w:eastAsia="zh-CN"/>
              </w:rPr>
              <w:t>行驶</w:t>
            </w:r>
            <w:r>
              <w:rPr>
                <w:rFonts w:hint="eastAsia" w:ascii="宋体" w:hAnsi="宋体" w:cs="宋体"/>
                <w:color w:val="auto"/>
                <w:sz w:val="21"/>
                <w:szCs w:val="21"/>
                <w:highlight w:val="none"/>
              </w:rPr>
              <w:t>，不得疲劳、酒后驾驶。</w:t>
            </w:r>
          </w:p>
        </w:tc>
        <w:tc>
          <w:tcPr>
            <w:tcW w:w="581" w:type="dxa"/>
            <w:tcBorders>
              <w:top w:val="single" w:color="auto" w:sz="4" w:space="0"/>
              <w:left w:val="nil"/>
              <w:bottom w:val="single" w:color="auto" w:sz="4" w:space="0"/>
              <w:right w:val="single" w:color="auto" w:sz="4" w:space="0"/>
            </w:tcBorders>
            <w:noWrap w:val="0"/>
            <w:vAlign w:val="center"/>
          </w:tcPr>
          <w:p w14:paraId="692100E2">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41ECEFD7">
            <w:pPr>
              <w:spacing w:before="100" w:beforeAutospacing="1" w:line="440" w:lineRule="exact"/>
              <w:rPr>
                <w:rFonts w:ascii="宋体" w:hAnsi="宋体" w:cs="宋体"/>
                <w:color w:val="auto"/>
                <w:sz w:val="21"/>
                <w:szCs w:val="21"/>
                <w:highlight w:val="none"/>
              </w:rPr>
            </w:pPr>
            <w:r>
              <w:rPr>
                <w:rFonts w:hint="eastAsia" w:ascii="宋体" w:hAnsi="宋体" w:cs="宋体"/>
                <w:color w:val="auto"/>
                <w:sz w:val="21"/>
                <w:szCs w:val="21"/>
                <w:highlight w:val="none"/>
              </w:rPr>
              <w:t>不按时年检或影响生产用车的每次扣1分。不及时清扫工作车辆的每次扣0.2分。没有进行安全卫生检查的每次扣0.5分。驾驶员违规操作</w:t>
            </w:r>
            <w:r>
              <w:rPr>
                <w:rFonts w:hint="eastAsia" w:ascii="宋体" w:hAnsi="宋体" w:cs="宋体"/>
                <w:color w:val="auto"/>
                <w:sz w:val="21"/>
                <w:szCs w:val="21"/>
                <w:highlight w:val="none"/>
                <w:lang w:eastAsia="zh-CN"/>
              </w:rPr>
              <w:t>行驶</w:t>
            </w:r>
            <w:r>
              <w:rPr>
                <w:rFonts w:hint="eastAsia" w:ascii="宋体" w:hAnsi="宋体" w:cs="宋体"/>
                <w:color w:val="auto"/>
                <w:sz w:val="21"/>
                <w:szCs w:val="21"/>
                <w:highlight w:val="none"/>
              </w:rPr>
              <w:t>或疲劳驾驶的每次扣1分；酒后驾驶的，每次扣10分。</w:t>
            </w:r>
            <w:r>
              <w:rPr>
                <w:rFonts w:hint="eastAsia" w:ascii="宋体" w:hAnsi="宋体" w:cs="宋体"/>
                <w:b/>
                <w:bCs/>
                <w:color w:val="auto"/>
                <w:sz w:val="21"/>
                <w:szCs w:val="21"/>
                <w:highlight w:val="none"/>
                <w:u w:val="single"/>
              </w:rPr>
              <w:t>此条款扣分值不设上限。</w:t>
            </w:r>
          </w:p>
        </w:tc>
        <w:tc>
          <w:tcPr>
            <w:tcW w:w="531" w:type="dxa"/>
            <w:tcBorders>
              <w:top w:val="single" w:color="auto" w:sz="4" w:space="0"/>
              <w:left w:val="nil"/>
              <w:bottom w:val="single" w:color="auto" w:sz="4" w:space="0"/>
              <w:right w:val="single" w:color="auto" w:sz="4" w:space="0"/>
            </w:tcBorders>
            <w:noWrap w:val="0"/>
            <w:vAlign w:val="center"/>
          </w:tcPr>
          <w:p w14:paraId="113462B3">
            <w:pPr>
              <w:spacing w:line="440" w:lineRule="exact"/>
              <w:jc w:val="center"/>
              <w:rPr>
                <w:rFonts w:ascii="宋体" w:hAnsi="宋体" w:cs="宋体"/>
                <w:color w:val="auto"/>
                <w:sz w:val="21"/>
                <w:szCs w:val="21"/>
                <w:highlight w:val="none"/>
              </w:rPr>
            </w:pPr>
          </w:p>
        </w:tc>
      </w:tr>
      <w:tr w14:paraId="4E1ABC4A">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6C777F2D">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3121A561">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3365" w:type="dxa"/>
            <w:tcBorders>
              <w:top w:val="single" w:color="auto" w:sz="4" w:space="0"/>
              <w:left w:val="nil"/>
              <w:bottom w:val="single" w:color="auto" w:sz="4" w:space="0"/>
              <w:right w:val="single" w:color="auto" w:sz="4" w:space="0"/>
            </w:tcBorders>
            <w:noWrap w:val="0"/>
            <w:vAlign w:val="center"/>
          </w:tcPr>
          <w:p w14:paraId="57504A0A">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进行喷药、裁枝等对游人游园环境影响较大的工作需提前贴出告示及温馨提示，作业时避开双休日及节假日。高空作业或钩除大树枯枝黄叶时，作业人员</w:t>
            </w:r>
            <w:r>
              <w:rPr>
                <w:rFonts w:hint="eastAsia" w:ascii="宋体" w:hAnsi="宋体" w:cs="宋体"/>
                <w:color w:val="auto"/>
                <w:sz w:val="21"/>
                <w:szCs w:val="21"/>
                <w:highlight w:val="none"/>
                <w:lang w:val="en-US" w:eastAsia="zh-CN"/>
              </w:rPr>
              <w:t>佩</w:t>
            </w:r>
            <w:r>
              <w:rPr>
                <w:rFonts w:hint="eastAsia" w:ascii="宋体" w:hAnsi="宋体" w:cs="宋体"/>
                <w:color w:val="auto"/>
                <w:sz w:val="21"/>
                <w:szCs w:val="21"/>
                <w:highlight w:val="none"/>
              </w:rPr>
              <w:t>戴安全帽和安全绳，作业范围设立安全警示牌并拉好警戒线，规范作业。喷农药时，作业人员佩戴口罩，喷药区域设立安全警示牌。</w:t>
            </w:r>
          </w:p>
        </w:tc>
        <w:tc>
          <w:tcPr>
            <w:tcW w:w="581" w:type="dxa"/>
            <w:tcBorders>
              <w:top w:val="single" w:color="auto" w:sz="4" w:space="0"/>
              <w:left w:val="nil"/>
              <w:bottom w:val="single" w:color="auto" w:sz="4" w:space="0"/>
              <w:right w:val="single" w:color="auto" w:sz="4" w:space="0"/>
            </w:tcBorders>
            <w:noWrap w:val="0"/>
            <w:vAlign w:val="center"/>
          </w:tcPr>
          <w:p w14:paraId="34FDC8F6">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4968" w:type="dxa"/>
            <w:tcBorders>
              <w:top w:val="single" w:color="auto" w:sz="4" w:space="0"/>
              <w:left w:val="nil"/>
              <w:bottom w:val="single" w:color="auto" w:sz="4" w:space="0"/>
              <w:right w:val="single" w:color="auto" w:sz="4" w:space="0"/>
            </w:tcBorders>
            <w:noWrap w:val="0"/>
            <w:vAlign w:val="center"/>
          </w:tcPr>
          <w:p w14:paraId="11D4E28A">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对游人游园环境影响较大的作业时未提前贴出告示及温馨提示的每次扣1分，在双休日及节假日作业的每次扣2分。作业时，不按要求</w:t>
            </w:r>
            <w:r>
              <w:rPr>
                <w:rFonts w:hint="eastAsia" w:ascii="宋体" w:hAnsi="宋体" w:cs="宋体"/>
                <w:color w:val="auto"/>
                <w:sz w:val="21"/>
                <w:szCs w:val="21"/>
                <w:highlight w:val="none"/>
                <w:lang w:val="en-US" w:eastAsia="zh-CN"/>
              </w:rPr>
              <w:t>佩</w:t>
            </w:r>
            <w:r>
              <w:rPr>
                <w:rFonts w:hint="eastAsia" w:ascii="宋体" w:hAnsi="宋体" w:cs="宋体"/>
                <w:color w:val="auto"/>
                <w:sz w:val="21"/>
                <w:szCs w:val="21"/>
                <w:highlight w:val="none"/>
              </w:rPr>
              <w:t>戴安全帽、安全绳或口罩等防护用具、不</w:t>
            </w:r>
            <w:r>
              <w:rPr>
                <w:rFonts w:hint="eastAsia" w:ascii="宋体" w:hAnsi="宋体" w:cs="宋体"/>
                <w:color w:val="auto"/>
                <w:sz w:val="21"/>
                <w:szCs w:val="21"/>
                <w:highlight w:val="none"/>
                <w:lang w:val="en-US" w:eastAsia="zh-CN"/>
              </w:rPr>
              <w:t>竖</w:t>
            </w:r>
            <w:r>
              <w:rPr>
                <w:rFonts w:hint="eastAsia" w:ascii="宋体" w:hAnsi="宋体" w:cs="宋体"/>
                <w:color w:val="auto"/>
                <w:sz w:val="21"/>
                <w:szCs w:val="21"/>
                <w:highlight w:val="none"/>
              </w:rPr>
              <w:t>立警示牌、不拉好警戒线的每发现1次扣1分。</w:t>
            </w:r>
            <w:r>
              <w:rPr>
                <w:rFonts w:hint="eastAsia" w:ascii="宋体" w:hAnsi="宋体" w:cs="宋体"/>
                <w:b/>
                <w:bCs/>
                <w:color w:val="auto"/>
                <w:sz w:val="21"/>
                <w:szCs w:val="21"/>
                <w:highlight w:val="none"/>
                <w:u w:val="single"/>
              </w:rPr>
              <w:t>此条款扣分值不设上限。</w:t>
            </w:r>
          </w:p>
        </w:tc>
        <w:tc>
          <w:tcPr>
            <w:tcW w:w="531" w:type="dxa"/>
            <w:tcBorders>
              <w:top w:val="single" w:color="auto" w:sz="4" w:space="0"/>
              <w:left w:val="nil"/>
              <w:bottom w:val="single" w:color="auto" w:sz="4" w:space="0"/>
              <w:right w:val="single" w:color="auto" w:sz="4" w:space="0"/>
            </w:tcBorders>
            <w:noWrap w:val="0"/>
            <w:vAlign w:val="center"/>
          </w:tcPr>
          <w:p w14:paraId="745C0585">
            <w:pPr>
              <w:spacing w:line="440" w:lineRule="exact"/>
              <w:jc w:val="center"/>
              <w:rPr>
                <w:rFonts w:ascii="宋体" w:hAnsi="宋体" w:cs="宋体"/>
                <w:color w:val="auto"/>
                <w:sz w:val="21"/>
                <w:szCs w:val="21"/>
                <w:highlight w:val="none"/>
              </w:rPr>
            </w:pPr>
          </w:p>
        </w:tc>
      </w:tr>
      <w:tr w14:paraId="6808520B">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6886B265">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1948EC82">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3365" w:type="dxa"/>
            <w:tcBorders>
              <w:top w:val="single" w:color="auto" w:sz="4" w:space="0"/>
              <w:left w:val="nil"/>
              <w:bottom w:val="single" w:color="auto" w:sz="4" w:space="0"/>
              <w:right w:val="single" w:color="auto" w:sz="4" w:space="0"/>
            </w:tcBorders>
            <w:noWrap w:val="0"/>
            <w:vAlign w:val="center"/>
          </w:tcPr>
          <w:p w14:paraId="55A21E5A">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安全作业。如发现责任地段有安全隐患现象，应立即向班长或管理人员汇报。</w:t>
            </w:r>
          </w:p>
        </w:tc>
        <w:tc>
          <w:tcPr>
            <w:tcW w:w="581" w:type="dxa"/>
            <w:tcBorders>
              <w:top w:val="single" w:color="auto" w:sz="4" w:space="0"/>
              <w:left w:val="nil"/>
              <w:bottom w:val="single" w:color="auto" w:sz="4" w:space="0"/>
              <w:right w:val="single" w:color="auto" w:sz="4" w:space="0"/>
            </w:tcBorders>
            <w:noWrap w:val="0"/>
            <w:vAlign w:val="center"/>
          </w:tcPr>
          <w:p w14:paraId="1263C735">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3839D3A6">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不立即汇报安全隐患情况的扣1分。</w:t>
            </w:r>
          </w:p>
        </w:tc>
        <w:tc>
          <w:tcPr>
            <w:tcW w:w="531" w:type="dxa"/>
            <w:tcBorders>
              <w:top w:val="single" w:color="auto" w:sz="4" w:space="0"/>
              <w:left w:val="nil"/>
              <w:bottom w:val="single" w:color="auto" w:sz="4" w:space="0"/>
              <w:right w:val="single" w:color="auto" w:sz="4" w:space="0"/>
            </w:tcBorders>
            <w:noWrap w:val="0"/>
            <w:vAlign w:val="center"/>
          </w:tcPr>
          <w:p w14:paraId="562C724B">
            <w:pPr>
              <w:spacing w:line="440" w:lineRule="exact"/>
              <w:jc w:val="center"/>
              <w:rPr>
                <w:rFonts w:ascii="宋体" w:hAnsi="宋体" w:cs="宋体"/>
                <w:color w:val="auto"/>
                <w:sz w:val="21"/>
                <w:szCs w:val="21"/>
                <w:highlight w:val="none"/>
              </w:rPr>
            </w:pPr>
          </w:p>
        </w:tc>
      </w:tr>
      <w:tr w14:paraId="2A3828EC">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3C01F037">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489AA14B">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3365" w:type="dxa"/>
            <w:tcBorders>
              <w:top w:val="single" w:color="auto" w:sz="4" w:space="0"/>
              <w:left w:val="nil"/>
              <w:bottom w:val="single" w:color="auto" w:sz="4" w:space="0"/>
              <w:right w:val="single" w:color="auto" w:sz="4" w:space="0"/>
            </w:tcBorders>
            <w:noWrap w:val="0"/>
            <w:vAlign w:val="center"/>
          </w:tcPr>
          <w:p w14:paraId="062C6940">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工具房内规范用电，劳动工具应整齐摆放在指定地点，存放工具处整洁、干净，无乱堆杂物。作业工具应整齐摆放在游客视线范围外，并放置物资临时堆放标识牌。</w:t>
            </w:r>
          </w:p>
        </w:tc>
        <w:tc>
          <w:tcPr>
            <w:tcW w:w="581" w:type="dxa"/>
            <w:tcBorders>
              <w:top w:val="single" w:color="auto" w:sz="4" w:space="0"/>
              <w:left w:val="nil"/>
              <w:bottom w:val="single" w:color="auto" w:sz="4" w:space="0"/>
              <w:right w:val="single" w:color="auto" w:sz="4" w:space="0"/>
            </w:tcBorders>
            <w:noWrap w:val="0"/>
            <w:vAlign w:val="center"/>
          </w:tcPr>
          <w:p w14:paraId="3033ACE0">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2953C14E">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违规用电、超负荷用电导致线路故障的，每次扣2分；工具房杂乱、工具乱丢乱放的，每处扣0.2分；作业工具在园内乱摆放或未放置物资临时堆放标识牌的，每处扣0.3分。</w:t>
            </w:r>
            <w:r>
              <w:rPr>
                <w:rFonts w:ascii="宋体" w:hAnsi="宋体" w:cs="宋体"/>
                <w:color w:val="auto"/>
                <w:sz w:val="21"/>
                <w:szCs w:val="21"/>
                <w:highlight w:val="none"/>
              </w:rPr>
              <w:t xml:space="preserve"> </w:t>
            </w:r>
          </w:p>
        </w:tc>
        <w:tc>
          <w:tcPr>
            <w:tcW w:w="531" w:type="dxa"/>
            <w:tcBorders>
              <w:top w:val="single" w:color="auto" w:sz="4" w:space="0"/>
              <w:left w:val="nil"/>
              <w:bottom w:val="single" w:color="auto" w:sz="4" w:space="0"/>
              <w:right w:val="single" w:color="auto" w:sz="4" w:space="0"/>
            </w:tcBorders>
            <w:noWrap w:val="0"/>
            <w:vAlign w:val="center"/>
          </w:tcPr>
          <w:p w14:paraId="38A8187F">
            <w:pPr>
              <w:spacing w:line="440" w:lineRule="exact"/>
              <w:jc w:val="center"/>
              <w:rPr>
                <w:rFonts w:ascii="宋体" w:hAnsi="宋体" w:cs="宋体"/>
                <w:color w:val="auto"/>
                <w:sz w:val="21"/>
                <w:szCs w:val="21"/>
                <w:highlight w:val="none"/>
              </w:rPr>
            </w:pPr>
          </w:p>
        </w:tc>
      </w:tr>
      <w:tr w14:paraId="7148586C">
        <w:tblPrEx>
          <w:tblCellMar>
            <w:top w:w="0" w:type="dxa"/>
            <w:left w:w="108" w:type="dxa"/>
            <w:bottom w:w="0" w:type="dxa"/>
            <w:right w:w="108" w:type="dxa"/>
          </w:tblCellMar>
        </w:tblPrEx>
        <w:trPr>
          <w:cantSplit/>
          <w:trHeight w:val="970" w:hRule="atLeast"/>
        </w:trPr>
        <w:tc>
          <w:tcPr>
            <w:tcW w:w="567" w:type="dxa"/>
            <w:vMerge w:val="continue"/>
            <w:tcBorders>
              <w:top w:val="nil"/>
              <w:left w:val="single" w:color="auto" w:sz="4" w:space="0"/>
              <w:bottom w:val="single" w:color="auto" w:sz="4" w:space="0"/>
              <w:right w:val="single" w:color="auto" w:sz="4" w:space="0"/>
            </w:tcBorders>
            <w:noWrap w:val="0"/>
            <w:vAlign w:val="center"/>
          </w:tcPr>
          <w:p w14:paraId="12F65B94">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207C6B04">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7</w:t>
            </w:r>
          </w:p>
        </w:tc>
        <w:tc>
          <w:tcPr>
            <w:tcW w:w="3365" w:type="dxa"/>
            <w:tcBorders>
              <w:top w:val="single" w:color="auto" w:sz="4" w:space="0"/>
              <w:left w:val="nil"/>
              <w:bottom w:val="single" w:color="auto" w:sz="4" w:space="0"/>
              <w:right w:val="single" w:color="auto" w:sz="4" w:space="0"/>
            </w:tcBorders>
            <w:noWrap w:val="0"/>
            <w:vAlign w:val="center"/>
          </w:tcPr>
          <w:p w14:paraId="4DF33690">
            <w:pPr>
              <w:spacing w:line="30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文明行驶，遵守交通规则；公园内驾驶车辆不可随意鸣喇叭，时速不得超过15km/h。</w:t>
            </w:r>
          </w:p>
        </w:tc>
        <w:tc>
          <w:tcPr>
            <w:tcW w:w="581" w:type="dxa"/>
            <w:tcBorders>
              <w:top w:val="single" w:color="auto" w:sz="4" w:space="0"/>
              <w:left w:val="nil"/>
              <w:bottom w:val="single" w:color="auto" w:sz="4" w:space="0"/>
              <w:right w:val="single" w:color="auto" w:sz="4" w:space="0"/>
            </w:tcBorders>
            <w:noWrap w:val="0"/>
            <w:vAlign w:val="center"/>
          </w:tcPr>
          <w:p w14:paraId="3F327867">
            <w:pPr>
              <w:spacing w:line="30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6FEE2740">
            <w:pPr>
              <w:spacing w:line="30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随意鸣喇叭的每次扣0.5分，被游客投诉的每次扣1分；时速超过15km/h的每次扣0.5分。</w:t>
            </w:r>
          </w:p>
        </w:tc>
        <w:tc>
          <w:tcPr>
            <w:tcW w:w="531" w:type="dxa"/>
            <w:tcBorders>
              <w:top w:val="single" w:color="auto" w:sz="4" w:space="0"/>
              <w:left w:val="nil"/>
              <w:bottom w:val="single" w:color="auto" w:sz="4" w:space="0"/>
              <w:right w:val="single" w:color="auto" w:sz="4" w:space="0"/>
            </w:tcBorders>
            <w:noWrap w:val="0"/>
            <w:vAlign w:val="center"/>
          </w:tcPr>
          <w:p w14:paraId="5613CBE3">
            <w:pPr>
              <w:spacing w:line="440" w:lineRule="exact"/>
              <w:jc w:val="center"/>
              <w:rPr>
                <w:rFonts w:ascii="宋体" w:hAnsi="宋体" w:cs="宋体"/>
                <w:color w:val="auto"/>
                <w:sz w:val="21"/>
                <w:szCs w:val="21"/>
                <w:highlight w:val="none"/>
              </w:rPr>
            </w:pPr>
          </w:p>
        </w:tc>
      </w:tr>
      <w:tr w14:paraId="542E522B">
        <w:tblPrEx>
          <w:tblCellMar>
            <w:top w:w="0" w:type="dxa"/>
            <w:left w:w="108" w:type="dxa"/>
            <w:bottom w:w="0" w:type="dxa"/>
            <w:right w:w="108" w:type="dxa"/>
          </w:tblCellMar>
        </w:tblPrEx>
        <w:trPr>
          <w:cantSplit/>
        </w:trPr>
        <w:tc>
          <w:tcPr>
            <w:tcW w:w="567" w:type="dxa"/>
            <w:vMerge w:val="restart"/>
            <w:tcBorders>
              <w:top w:val="nil"/>
              <w:left w:val="single" w:color="auto" w:sz="4" w:space="0"/>
              <w:bottom w:val="single" w:color="auto" w:sz="4" w:space="0"/>
              <w:right w:val="single" w:color="auto" w:sz="4" w:space="0"/>
            </w:tcBorders>
            <w:noWrap w:val="0"/>
            <w:vAlign w:val="center"/>
          </w:tcPr>
          <w:p w14:paraId="3E50D4BF">
            <w:pPr>
              <w:spacing w:line="440" w:lineRule="exact"/>
              <w:jc w:val="center"/>
              <w:rPr>
                <w:rFonts w:ascii="宋体" w:hAnsi="宋体" w:cs="宋体"/>
                <w:b/>
                <w:bCs/>
                <w:color w:val="auto"/>
                <w:sz w:val="24"/>
                <w:szCs w:val="24"/>
                <w:highlight w:val="none"/>
              </w:rPr>
            </w:pPr>
          </w:p>
          <w:p w14:paraId="602962B5">
            <w:pPr>
              <w:spacing w:line="44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其</w:t>
            </w:r>
          </w:p>
          <w:p w14:paraId="3C7727A0">
            <w:pPr>
              <w:spacing w:line="440" w:lineRule="exact"/>
              <w:jc w:val="center"/>
              <w:rPr>
                <w:rFonts w:ascii="宋体" w:hAnsi="宋体" w:cs="宋体"/>
                <w:b/>
                <w:bCs/>
                <w:color w:val="auto"/>
                <w:sz w:val="24"/>
                <w:szCs w:val="24"/>
                <w:highlight w:val="none"/>
              </w:rPr>
            </w:pPr>
          </w:p>
          <w:p w14:paraId="2D51ABA4">
            <w:pPr>
              <w:spacing w:line="320" w:lineRule="exact"/>
              <w:jc w:val="center"/>
              <w:rPr>
                <w:rFonts w:ascii="宋体" w:hAnsi="宋体" w:cs="宋体"/>
                <w:b/>
                <w:bCs/>
                <w:color w:val="auto"/>
                <w:sz w:val="24"/>
                <w:szCs w:val="24"/>
                <w:highlight w:val="none"/>
              </w:rPr>
            </w:pPr>
            <w:r>
              <w:rPr>
                <w:rFonts w:hint="eastAsia" w:ascii="宋体" w:hAnsi="宋体" w:cs="宋体"/>
                <w:b/>
                <w:bCs/>
                <w:color w:val="auto"/>
                <w:sz w:val="24"/>
                <w:szCs w:val="24"/>
                <w:highlight w:val="none"/>
              </w:rPr>
              <w:t>他︵</w:t>
            </w:r>
          </w:p>
          <w:p w14:paraId="2F5E1226">
            <w:pPr>
              <w:spacing w:line="320" w:lineRule="exact"/>
              <w:jc w:val="center"/>
              <w:rPr>
                <w:rFonts w:ascii="宋体" w:hAnsi="宋体" w:cs="宋体"/>
                <w:color w:val="auto"/>
                <w:sz w:val="21"/>
                <w:szCs w:val="21"/>
                <w:highlight w:val="none"/>
              </w:rPr>
            </w:pPr>
            <w:r>
              <w:rPr>
                <w:rFonts w:hint="eastAsia" w:ascii="宋体" w:hAnsi="宋体" w:cs="宋体"/>
                <w:b/>
                <w:bCs/>
                <w:color w:val="auto"/>
                <w:sz w:val="24"/>
                <w:szCs w:val="24"/>
                <w:highlight w:val="none"/>
              </w:rPr>
              <w:t>24分︶</w:t>
            </w:r>
          </w:p>
        </w:tc>
        <w:tc>
          <w:tcPr>
            <w:tcW w:w="412" w:type="dxa"/>
            <w:tcBorders>
              <w:top w:val="single" w:color="auto" w:sz="4" w:space="0"/>
              <w:left w:val="nil"/>
              <w:bottom w:val="single" w:color="auto" w:sz="4" w:space="0"/>
              <w:right w:val="single" w:color="auto" w:sz="4" w:space="0"/>
            </w:tcBorders>
            <w:noWrap w:val="0"/>
            <w:vAlign w:val="center"/>
          </w:tcPr>
          <w:p w14:paraId="6B13FC2A">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365" w:type="dxa"/>
            <w:tcBorders>
              <w:top w:val="single" w:color="auto" w:sz="4" w:space="0"/>
              <w:left w:val="nil"/>
              <w:bottom w:val="single" w:color="auto" w:sz="4" w:space="0"/>
              <w:right w:val="single" w:color="auto" w:sz="4" w:space="0"/>
            </w:tcBorders>
            <w:noWrap w:val="0"/>
            <w:vAlign w:val="center"/>
          </w:tcPr>
          <w:p w14:paraId="2331B843">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安装指纹打卡机，进行指纹考勤，每月按时报送一次考勤记录。养护人员在作业时做到文明礼貌，服从各项工作安排。做好各项有关养护管理的台账(如：规章制度、人员配置、考勤管理等)。</w:t>
            </w:r>
          </w:p>
        </w:tc>
        <w:tc>
          <w:tcPr>
            <w:tcW w:w="581" w:type="dxa"/>
            <w:tcBorders>
              <w:top w:val="single" w:color="auto" w:sz="4" w:space="0"/>
              <w:left w:val="nil"/>
              <w:bottom w:val="single" w:color="auto" w:sz="4" w:space="0"/>
              <w:right w:val="single" w:color="auto" w:sz="4" w:space="0"/>
            </w:tcBorders>
            <w:noWrap w:val="0"/>
            <w:vAlign w:val="center"/>
          </w:tcPr>
          <w:p w14:paraId="1741250A">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968" w:type="dxa"/>
            <w:tcBorders>
              <w:top w:val="single" w:color="auto" w:sz="4" w:space="0"/>
              <w:left w:val="nil"/>
              <w:bottom w:val="single" w:color="auto" w:sz="4" w:space="0"/>
              <w:right w:val="single" w:color="auto" w:sz="4" w:space="0"/>
            </w:tcBorders>
            <w:noWrap w:val="0"/>
            <w:vAlign w:val="center"/>
          </w:tcPr>
          <w:p w14:paraId="21A3B5EA">
            <w:pPr>
              <w:spacing w:line="400" w:lineRule="exact"/>
              <w:rPr>
                <w:rFonts w:ascii="宋体" w:hAnsi="宋体" w:cs="宋体"/>
                <w:color w:val="auto"/>
                <w:sz w:val="21"/>
                <w:szCs w:val="21"/>
                <w:highlight w:val="none"/>
              </w:rPr>
            </w:pPr>
            <w:r>
              <w:rPr>
                <w:rFonts w:hint="eastAsia" w:ascii="宋体" w:hAnsi="宋体" w:cs="宋体"/>
                <w:color w:val="auto"/>
                <w:sz w:val="21"/>
                <w:szCs w:val="21"/>
                <w:highlight w:val="none"/>
              </w:rPr>
              <w:t>不将打卡机的考勤记录按时报送的，每次扣0.1-0.3分；不得以任何理由与游客发生争执，发现一次扣1分；上班时间不得做与工作无关的事情，发现一次每次扣0.5分；不服从工作安排的每次扣2分；无故不落实管理员安排的任务每次各扣1分；每次检查发现台账不完善的，扣0.5分。</w:t>
            </w:r>
            <w:r>
              <w:rPr>
                <w:rFonts w:hint="eastAsia" w:ascii="宋体" w:hAnsi="宋体" w:cs="宋体"/>
                <w:b/>
                <w:bCs/>
                <w:color w:val="auto"/>
                <w:sz w:val="21"/>
                <w:szCs w:val="21"/>
                <w:highlight w:val="none"/>
                <w:u w:val="single"/>
              </w:rPr>
              <w:t>此条款扣分值不设上限。</w:t>
            </w:r>
          </w:p>
        </w:tc>
        <w:tc>
          <w:tcPr>
            <w:tcW w:w="531" w:type="dxa"/>
            <w:tcBorders>
              <w:top w:val="single" w:color="auto" w:sz="4" w:space="0"/>
              <w:left w:val="nil"/>
              <w:bottom w:val="single" w:color="auto" w:sz="4" w:space="0"/>
              <w:right w:val="single" w:color="auto" w:sz="4" w:space="0"/>
            </w:tcBorders>
            <w:noWrap w:val="0"/>
            <w:vAlign w:val="center"/>
          </w:tcPr>
          <w:p w14:paraId="0C3AB26A">
            <w:pPr>
              <w:spacing w:line="440" w:lineRule="exact"/>
              <w:jc w:val="center"/>
              <w:rPr>
                <w:rFonts w:ascii="宋体" w:hAnsi="宋体" w:cs="宋体"/>
                <w:color w:val="auto"/>
                <w:sz w:val="21"/>
                <w:szCs w:val="21"/>
                <w:highlight w:val="none"/>
              </w:rPr>
            </w:pPr>
          </w:p>
        </w:tc>
      </w:tr>
      <w:tr w14:paraId="7AAA6D4D">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39A61E28">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20485F01">
            <w:pPr>
              <w:spacing w:line="440" w:lineRule="exact"/>
              <w:jc w:val="center"/>
              <w:rPr>
                <w:rFonts w:ascii="宋体" w:hAnsi="宋体" w:cs="宋体"/>
                <w:color w:val="auto"/>
                <w:sz w:val="21"/>
                <w:szCs w:val="21"/>
                <w:highlight w:val="none"/>
              </w:rPr>
            </w:pPr>
          </w:p>
          <w:p w14:paraId="164EF380">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3365" w:type="dxa"/>
            <w:tcBorders>
              <w:top w:val="single" w:color="auto" w:sz="4" w:space="0"/>
              <w:left w:val="nil"/>
              <w:bottom w:val="single" w:color="auto" w:sz="4" w:space="0"/>
              <w:right w:val="single" w:color="auto" w:sz="4" w:space="0"/>
            </w:tcBorders>
            <w:noWrap w:val="0"/>
            <w:vAlign w:val="center"/>
          </w:tcPr>
          <w:p w14:paraId="6EC0DF2B">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保护园林设施的完好，发现破坏绿地的行为要及时制止，发现有外来单位在公园施工要及时上报。</w:t>
            </w:r>
          </w:p>
        </w:tc>
        <w:tc>
          <w:tcPr>
            <w:tcW w:w="581" w:type="dxa"/>
            <w:tcBorders>
              <w:top w:val="single" w:color="auto" w:sz="4" w:space="0"/>
              <w:left w:val="nil"/>
              <w:bottom w:val="single" w:color="auto" w:sz="4" w:space="0"/>
              <w:right w:val="single" w:color="auto" w:sz="4" w:space="0"/>
            </w:tcBorders>
            <w:noWrap w:val="0"/>
            <w:vAlign w:val="center"/>
          </w:tcPr>
          <w:p w14:paraId="225C9C0E">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042533A7">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发现破坏绿地的行为而不及时制止的每次扣0.2分，或发现有外来单位未经公园允许在公园内无证施工不及时上报的每次扣0.5分。</w:t>
            </w:r>
          </w:p>
        </w:tc>
        <w:tc>
          <w:tcPr>
            <w:tcW w:w="531" w:type="dxa"/>
            <w:tcBorders>
              <w:top w:val="single" w:color="auto" w:sz="4" w:space="0"/>
              <w:left w:val="nil"/>
              <w:bottom w:val="single" w:color="auto" w:sz="4" w:space="0"/>
              <w:right w:val="single" w:color="auto" w:sz="4" w:space="0"/>
            </w:tcBorders>
            <w:noWrap w:val="0"/>
            <w:vAlign w:val="center"/>
          </w:tcPr>
          <w:p w14:paraId="5138E311">
            <w:pPr>
              <w:spacing w:line="440" w:lineRule="exact"/>
              <w:jc w:val="center"/>
              <w:rPr>
                <w:rFonts w:ascii="宋体" w:hAnsi="宋体" w:cs="宋体"/>
                <w:color w:val="auto"/>
                <w:sz w:val="21"/>
                <w:szCs w:val="21"/>
                <w:highlight w:val="none"/>
              </w:rPr>
            </w:pPr>
          </w:p>
        </w:tc>
      </w:tr>
      <w:tr w14:paraId="2588B16D">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328EA582">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567E0BB2">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3365" w:type="dxa"/>
            <w:tcBorders>
              <w:top w:val="single" w:color="auto" w:sz="4" w:space="0"/>
              <w:left w:val="nil"/>
              <w:bottom w:val="single" w:color="auto" w:sz="4" w:space="0"/>
              <w:right w:val="single" w:color="auto" w:sz="4" w:space="0"/>
            </w:tcBorders>
            <w:noWrap w:val="0"/>
            <w:vAlign w:val="center"/>
          </w:tcPr>
          <w:p w14:paraId="4FD3448C">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保持绿地整洁，无乱搭棚和圈占绿地现象；无蚁窝、鼠洞、蜂巢等。</w:t>
            </w:r>
          </w:p>
        </w:tc>
        <w:tc>
          <w:tcPr>
            <w:tcW w:w="581" w:type="dxa"/>
            <w:tcBorders>
              <w:top w:val="single" w:color="auto" w:sz="4" w:space="0"/>
              <w:left w:val="nil"/>
              <w:bottom w:val="single" w:color="auto" w:sz="4" w:space="0"/>
              <w:right w:val="single" w:color="auto" w:sz="4" w:space="0"/>
            </w:tcBorders>
            <w:noWrap w:val="0"/>
            <w:vAlign w:val="center"/>
          </w:tcPr>
          <w:p w14:paraId="48B92F44">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4968" w:type="dxa"/>
            <w:tcBorders>
              <w:top w:val="single" w:color="auto" w:sz="4" w:space="0"/>
              <w:left w:val="nil"/>
              <w:bottom w:val="single" w:color="auto" w:sz="4" w:space="0"/>
              <w:right w:val="single" w:color="auto" w:sz="4" w:space="0"/>
            </w:tcBorders>
            <w:noWrap w:val="0"/>
            <w:vAlign w:val="center"/>
          </w:tcPr>
          <w:p w14:paraId="332F95E8">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绿地不整洁，发现乱搭棚或圈占绿地现象的每次每处扣0.2分；绿地发现蚁窝、鼠洞、蜂巢、活鼠等每处（只）扣0.1分。</w:t>
            </w:r>
            <w:r>
              <w:rPr>
                <w:rFonts w:ascii="宋体" w:hAnsi="宋体" w:cs="宋体"/>
                <w:color w:val="auto"/>
                <w:sz w:val="21"/>
                <w:szCs w:val="21"/>
                <w:highlight w:val="none"/>
              </w:rPr>
              <w:t xml:space="preserve"> </w:t>
            </w:r>
          </w:p>
        </w:tc>
        <w:tc>
          <w:tcPr>
            <w:tcW w:w="531" w:type="dxa"/>
            <w:tcBorders>
              <w:top w:val="single" w:color="auto" w:sz="4" w:space="0"/>
              <w:left w:val="nil"/>
              <w:bottom w:val="single" w:color="auto" w:sz="4" w:space="0"/>
              <w:right w:val="single" w:color="auto" w:sz="4" w:space="0"/>
            </w:tcBorders>
            <w:noWrap w:val="0"/>
            <w:vAlign w:val="center"/>
          </w:tcPr>
          <w:p w14:paraId="644B4351">
            <w:pPr>
              <w:spacing w:line="440" w:lineRule="exact"/>
              <w:jc w:val="center"/>
              <w:rPr>
                <w:rFonts w:ascii="宋体" w:hAnsi="宋体" w:cs="宋体"/>
                <w:color w:val="auto"/>
                <w:sz w:val="21"/>
                <w:szCs w:val="21"/>
                <w:highlight w:val="none"/>
              </w:rPr>
            </w:pPr>
          </w:p>
        </w:tc>
      </w:tr>
      <w:tr w14:paraId="1387C5FE">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5B761D4D">
            <w:pPr>
              <w:widowControl/>
              <w:spacing w:line="440" w:lineRule="exac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5285D7D7">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3365" w:type="dxa"/>
            <w:tcBorders>
              <w:top w:val="single" w:color="auto" w:sz="4" w:space="0"/>
              <w:left w:val="nil"/>
              <w:bottom w:val="single" w:color="auto" w:sz="4" w:space="0"/>
              <w:right w:val="single" w:color="auto" w:sz="4" w:space="0"/>
            </w:tcBorders>
            <w:noWrap w:val="0"/>
            <w:vAlign w:val="center"/>
          </w:tcPr>
          <w:p w14:paraId="0F736558">
            <w:pPr>
              <w:spacing w:line="44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绿化垃圾应及时清理，并按指定地点暂时存放，未能及时清理的应放置绿化垃圾临时堆放警示牌。绿化垃圾不可堆放过夜。绿化垃圾的投放和清运需按垃圾分类标准规范执行。公园范围内禁止焚烧垃圾.</w:t>
            </w:r>
          </w:p>
        </w:tc>
        <w:tc>
          <w:tcPr>
            <w:tcW w:w="581" w:type="dxa"/>
            <w:tcBorders>
              <w:top w:val="single" w:color="auto" w:sz="4" w:space="0"/>
              <w:left w:val="nil"/>
              <w:bottom w:val="single" w:color="auto" w:sz="4" w:space="0"/>
              <w:right w:val="single" w:color="auto" w:sz="4" w:space="0"/>
            </w:tcBorders>
            <w:noWrap w:val="0"/>
            <w:vAlign w:val="center"/>
          </w:tcPr>
          <w:p w14:paraId="49CFA4B5">
            <w:pPr>
              <w:spacing w:line="44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4968" w:type="dxa"/>
            <w:tcBorders>
              <w:top w:val="single" w:color="auto" w:sz="4" w:space="0"/>
              <w:left w:val="nil"/>
              <w:bottom w:val="single" w:color="auto" w:sz="4" w:space="0"/>
              <w:right w:val="single" w:color="auto" w:sz="4" w:space="0"/>
            </w:tcBorders>
            <w:noWrap w:val="0"/>
            <w:vAlign w:val="center"/>
          </w:tcPr>
          <w:p w14:paraId="4A9F689D">
            <w:pPr>
              <w:spacing w:line="440" w:lineRule="exact"/>
              <w:rPr>
                <w:rFonts w:ascii="宋体" w:hAnsi="宋体" w:cs="宋体"/>
                <w:color w:val="auto"/>
                <w:sz w:val="21"/>
                <w:szCs w:val="21"/>
                <w:highlight w:val="none"/>
              </w:rPr>
            </w:pPr>
            <w:r>
              <w:rPr>
                <w:rFonts w:hint="eastAsia" w:ascii="宋体" w:hAnsi="宋体" w:cs="宋体"/>
                <w:color w:val="auto"/>
                <w:sz w:val="21"/>
                <w:szCs w:val="21"/>
                <w:highlight w:val="none"/>
              </w:rPr>
              <w:t>绿化垃圾不及时清理或不按垃圾分类规范处理、不按规定放置警示牌的每处扣0.3分。垃圾堆放过夜的每发现一处/次扣0.5分，扣分不设上限。公园范围内焚烧绿化垃圾的每次每处扣2分。</w:t>
            </w:r>
            <w:r>
              <w:rPr>
                <w:rFonts w:hint="eastAsia" w:ascii="宋体" w:hAnsi="宋体" w:cs="宋体"/>
                <w:b/>
                <w:bCs/>
                <w:color w:val="auto"/>
                <w:sz w:val="21"/>
                <w:szCs w:val="21"/>
                <w:highlight w:val="none"/>
                <w:u w:val="single"/>
              </w:rPr>
              <w:t>此条扣分值不设上限。</w:t>
            </w:r>
          </w:p>
        </w:tc>
        <w:tc>
          <w:tcPr>
            <w:tcW w:w="531" w:type="dxa"/>
            <w:tcBorders>
              <w:top w:val="single" w:color="auto" w:sz="4" w:space="0"/>
              <w:left w:val="nil"/>
              <w:bottom w:val="single" w:color="auto" w:sz="4" w:space="0"/>
              <w:right w:val="single" w:color="auto" w:sz="4" w:space="0"/>
            </w:tcBorders>
            <w:noWrap w:val="0"/>
            <w:vAlign w:val="center"/>
          </w:tcPr>
          <w:p w14:paraId="2CA0323D">
            <w:pPr>
              <w:spacing w:line="440" w:lineRule="exact"/>
              <w:jc w:val="center"/>
              <w:rPr>
                <w:rFonts w:ascii="宋体" w:hAnsi="宋体" w:cs="宋体"/>
                <w:color w:val="auto"/>
                <w:sz w:val="21"/>
                <w:szCs w:val="21"/>
                <w:highlight w:val="none"/>
              </w:rPr>
            </w:pPr>
          </w:p>
        </w:tc>
      </w:tr>
      <w:tr w14:paraId="42301FA6">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27D70A52">
            <w:pPr>
              <w:widowControl/>
              <w:spacing w:line="400" w:lineRule="atLeas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257AE28A">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3365" w:type="dxa"/>
            <w:tcBorders>
              <w:top w:val="single" w:color="auto" w:sz="4" w:space="0"/>
              <w:left w:val="nil"/>
              <w:bottom w:val="single" w:color="auto" w:sz="4" w:space="0"/>
              <w:right w:val="single" w:color="auto" w:sz="4" w:space="0"/>
            </w:tcBorders>
            <w:noWrap w:val="0"/>
            <w:vAlign w:val="center"/>
          </w:tcPr>
          <w:p w14:paraId="15592FBB">
            <w:pPr>
              <w:spacing w:line="400" w:lineRule="atLeast"/>
              <w:jc w:val="left"/>
              <w:rPr>
                <w:rFonts w:ascii="宋体" w:hAnsi="宋体" w:cs="宋体"/>
                <w:color w:val="auto"/>
                <w:sz w:val="21"/>
                <w:szCs w:val="21"/>
                <w:highlight w:val="none"/>
              </w:rPr>
            </w:pPr>
            <w:r>
              <w:rPr>
                <w:rFonts w:hint="eastAsia" w:ascii="宋体" w:hAnsi="宋体" w:cs="宋体"/>
                <w:color w:val="auto"/>
                <w:sz w:val="21"/>
                <w:szCs w:val="21"/>
                <w:highlight w:val="none"/>
              </w:rPr>
              <w:t>超过1㎡的黄土裸露或灌木缺株要及时补种。发生较大枝条折断、乔木倒伏等严重影响游园环境的突发事件应立即上报并及时处理。</w:t>
            </w:r>
          </w:p>
        </w:tc>
        <w:tc>
          <w:tcPr>
            <w:tcW w:w="581" w:type="dxa"/>
            <w:tcBorders>
              <w:top w:val="single" w:color="auto" w:sz="4" w:space="0"/>
              <w:left w:val="nil"/>
              <w:bottom w:val="single" w:color="auto" w:sz="4" w:space="0"/>
              <w:right w:val="single" w:color="auto" w:sz="4" w:space="0"/>
            </w:tcBorders>
            <w:noWrap w:val="0"/>
            <w:vAlign w:val="center"/>
          </w:tcPr>
          <w:p w14:paraId="0868BF79">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4968" w:type="dxa"/>
            <w:tcBorders>
              <w:top w:val="single" w:color="auto" w:sz="4" w:space="0"/>
              <w:left w:val="nil"/>
              <w:bottom w:val="single" w:color="auto" w:sz="4" w:space="0"/>
              <w:right w:val="single" w:color="auto" w:sz="4" w:space="0"/>
            </w:tcBorders>
            <w:noWrap w:val="0"/>
            <w:vAlign w:val="center"/>
          </w:tcPr>
          <w:p w14:paraId="11FA0B7E">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不及时补种的每处扣0.2分。突发事件不及时处理的每次扣1分。</w:t>
            </w:r>
            <w:r>
              <w:rPr>
                <w:rFonts w:hint="eastAsia" w:ascii="宋体" w:hAnsi="宋体" w:cs="宋体"/>
                <w:b/>
                <w:bCs/>
                <w:color w:val="auto"/>
                <w:sz w:val="21"/>
                <w:szCs w:val="21"/>
                <w:highlight w:val="none"/>
                <w:u w:val="single"/>
              </w:rPr>
              <w:t>此条扣分值不设上限。</w:t>
            </w:r>
          </w:p>
        </w:tc>
        <w:tc>
          <w:tcPr>
            <w:tcW w:w="531" w:type="dxa"/>
            <w:tcBorders>
              <w:top w:val="single" w:color="auto" w:sz="4" w:space="0"/>
              <w:left w:val="nil"/>
              <w:bottom w:val="single" w:color="auto" w:sz="4" w:space="0"/>
              <w:right w:val="single" w:color="auto" w:sz="4" w:space="0"/>
            </w:tcBorders>
            <w:noWrap w:val="0"/>
            <w:vAlign w:val="center"/>
          </w:tcPr>
          <w:p w14:paraId="5F79C5D7">
            <w:pPr>
              <w:spacing w:line="400" w:lineRule="atLeast"/>
              <w:jc w:val="center"/>
              <w:rPr>
                <w:rFonts w:ascii="宋体" w:hAnsi="宋体" w:cs="宋体"/>
                <w:color w:val="auto"/>
                <w:sz w:val="21"/>
                <w:szCs w:val="21"/>
                <w:highlight w:val="none"/>
              </w:rPr>
            </w:pPr>
          </w:p>
        </w:tc>
      </w:tr>
      <w:tr w14:paraId="67DDADFC">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7C16122C">
            <w:pPr>
              <w:widowControl/>
              <w:spacing w:line="400" w:lineRule="atLeas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24252622">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6</w:t>
            </w:r>
          </w:p>
        </w:tc>
        <w:tc>
          <w:tcPr>
            <w:tcW w:w="3365" w:type="dxa"/>
            <w:tcBorders>
              <w:top w:val="single" w:color="auto" w:sz="4" w:space="0"/>
              <w:left w:val="nil"/>
              <w:bottom w:val="single" w:color="auto" w:sz="4" w:space="0"/>
              <w:right w:val="single" w:color="auto" w:sz="4" w:space="0"/>
            </w:tcBorders>
            <w:noWrap w:val="0"/>
            <w:vAlign w:val="center"/>
          </w:tcPr>
          <w:p w14:paraId="3D1D12F1">
            <w:pPr>
              <w:spacing w:line="400" w:lineRule="atLeast"/>
              <w:jc w:val="left"/>
              <w:rPr>
                <w:rFonts w:ascii="宋体" w:hAnsi="宋体" w:cs="宋体"/>
                <w:color w:val="auto"/>
                <w:sz w:val="21"/>
                <w:szCs w:val="21"/>
                <w:highlight w:val="none"/>
              </w:rPr>
            </w:pPr>
            <w:r>
              <w:rPr>
                <w:rFonts w:hint="eastAsia" w:ascii="宋体" w:hAnsi="宋体" w:cs="宋体"/>
                <w:color w:val="auto"/>
                <w:sz w:val="21"/>
                <w:szCs w:val="21"/>
                <w:highlight w:val="none"/>
              </w:rPr>
              <w:t>不得在指定晾晒区外晾晒衣物。</w:t>
            </w:r>
          </w:p>
        </w:tc>
        <w:tc>
          <w:tcPr>
            <w:tcW w:w="581" w:type="dxa"/>
            <w:tcBorders>
              <w:top w:val="single" w:color="auto" w:sz="4" w:space="0"/>
              <w:left w:val="nil"/>
              <w:bottom w:val="single" w:color="auto" w:sz="4" w:space="0"/>
              <w:right w:val="single" w:color="auto" w:sz="4" w:space="0"/>
            </w:tcBorders>
            <w:noWrap w:val="0"/>
            <w:vAlign w:val="center"/>
          </w:tcPr>
          <w:p w14:paraId="001164AF">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139F2DCD">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在指定晾晒区外晾晒衣物的，每次每处扣0.2分。</w:t>
            </w:r>
          </w:p>
        </w:tc>
        <w:tc>
          <w:tcPr>
            <w:tcW w:w="531" w:type="dxa"/>
            <w:tcBorders>
              <w:top w:val="single" w:color="auto" w:sz="4" w:space="0"/>
              <w:left w:val="nil"/>
              <w:bottom w:val="single" w:color="auto" w:sz="4" w:space="0"/>
              <w:right w:val="single" w:color="auto" w:sz="4" w:space="0"/>
            </w:tcBorders>
            <w:noWrap w:val="0"/>
            <w:vAlign w:val="center"/>
          </w:tcPr>
          <w:p w14:paraId="1FDEA884">
            <w:pPr>
              <w:spacing w:line="400" w:lineRule="atLeast"/>
              <w:jc w:val="center"/>
              <w:rPr>
                <w:rFonts w:ascii="宋体" w:hAnsi="宋体" w:cs="宋体"/>
                <w:color w:val="auto"/>
                <w:sz w:val="21"/>
                <w:szCs w:val="21"/>
                <w:highlight w:val="none"/>
              </w:rPr>
            </w:pPr>
          </w:p>
        </w:tc>
      </w:tr>
      <w:tr w14:paraId="7CDC564D">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5B6B09CB">
            <w:pPr>
              <w:widowControl/>
              <w:spacing w:line="400" w:lineRule="atLeas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339DBBE1">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7</w:t>
            </w:r>
          </w:p>
        </w:tc>
        <w:tc>
          <w:tcPr>
            <w:tcW w:w="3365" w:type="dxa"/>
            <w:tcBorders>
              <w:top w:val="single" w:color="auto" w:sz="4" w:space="0"/>
              <w:left w:val="nil"/>
              <w:bottom w:val="single" w:color="auto" w:sz="4" w:space="0"/>
              <w:right w:val="single" w:color="auto" w:sz="4" w:space="0"/>
            </w:tcBorders>
            <w:noWrap w:val="0"/>
            <w:vAlign w:val="center"/>
          </w:tcPr>
          <w:p w14:paraId="1E1F123B">
            <w:pPr>
              <w:spacing w:line="400" w:lineRule="atLeast"/>
              <w:jc w:val="left"/>
              <w:rPr>
                <w:rFonts w:ascii="宋体" w:hAnsi="宋体" w:cs="宋体"/>
                <w:color w:val="auto"/>
                <w:sz w:val="21"/>
                <w:szCs w:val="21"/>
                <w:highlight w:val="none"/>
              </w:rPr>
            </w:pPr>
            <w:r>
              <w:rPr>
                <w:rFonts w:hint="eastAsia" w:ascii="宋体" w:hAnsi="宋体" w:cs="宋体"/>
                <w:color w:val="auto"/>
                <w:sz w:val="21"/>
                <w:szCs w:val="21"/>
                <w:highlight w:val="none"/>
              </w:rPr>
              <w:t>日常检查整改通知下达后，应及时按整改期限进行整改。</w:t>
            </w:r>
          </w:p>
        </w:tc>
        <w:tc>
          <w:tcPr>
            <w:tcW w:w="581" w:type="dxa"/>
            <w:tcBorders>
              <w:top w:val="single" w:color="auto" w:sz="4" w:space="0"/>
              <w:left w:val="nil"/>
              <w:bottom w:val="single" w:color="auto" w:sz="4" w:space="0"/>
              <w:right w:val="single" w:color="auto" w:sz="4" w:space="0"/>
            </w:tcBorders>
            <w:noWrap w:val="0"/>
            <w:vAlign w:val="center"/>
          </w:tcPr>
          <w:p w14:paraId="7DF2524A">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nil"/>
              <w:bottom w:val="single" w:color="auto" w:sz="4" w:space="0"/>
              <w:right w:val="single" w:color="auto" w:sz="4" w:space="0"/>
            </w:tcBorders>
            <w:noWrap w:val="0"/>
            <w:vAlign w:val="center"/>
          </w:tcPr>
          <w:p w14:paraId="4915BA0D">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不及时按整改期限进行整改的，每延期一天扣0.2分。</w:t>
            </w:r>
            <w:r>
              <w:rPr>
                <w:rFonts w:hint="eastAsia" w:ascii="宋体" w:hAnsi="宋体" w:cs="宋体"/>
                <w:b/>
                <w:bCs/>
                <w:color w:val="auto"/>
                <w:sz w:val="21"/>
                <w:szCs w:val="21"/>
                <w:highlight w:val="none"/>
                <w:u w:val="single"/>
              </w:rPr>
              <w:t>此条款扣分值不设上限。</w:t>
            </w:r>
          </w:p>
        </w:tc>
        <w:tc>
          <w:tcPr>
            <w:tcW w:w="531" w:type="dxa"/>
            <w:tcBorders>
              <w:top w:val="single" w:color="auto" w:sz="4" w:space="0"/>
              <w:left w:val="nil"/>
              <w:bottom w:val="single" w:color="auto" w:sz="4" w:space="0"/>
              <w:right w:val="single" w:color="auto" w:sz="4" w:space="0"/>
            </w:tcBorders>
            <w:noWrap w:val="0"/>
            <w:vAlign w:val="center"/>
          </w:tcPr>
          <w:p w14:paraId="07E296D1">
            <w:pPr>
              <w:spacing w:line="400" w:lineRule="atLeast"/>
              <w:jc w:val="center"/>
              <w:rPr>
                <w:rFonts w:ascii="宋体" w:hAnsi="宋体" w:cs="宋体"/>
                <w:color w:val="auto"/>
                <w:sz w:val="21"/>
                <w:szCs w:val="21"/>
                <w:highlight w:val="none"/>
              </w:rPr>
            </w:pPr>
          </w:p>
        </w:tc>
      </w:tr>
      <w:tr w14:paraId="0DB11297">
        <w:tblPrEx>
          <w:tblCellMar>
            <w:top w:w="0" w:type="dxa"/>
            <w:left w:w="108" w:type="dxa"/>
            <w:bottom w:w="0" w:type="dxa"/>
            <w:right w:w="108" w:type="dxa"/>
          </w:tblCellMar>
        </w:tblPrEx>
        <w:trPr>
          <w:cantSplit/>
        </w:trPr>
        <w:tc>
          <w:tcPr>
            <w:tcW w:w="567" w:type="dxa"/>
            <w:vMerge w:val="continue"/>
            <w:tcBorders>
              <w:top w:val="nil"/>
              <w:left w:val="single" w:color="auto" w:sz="4" w:space="0"/>
              <w:bottom w:val="single" w:color="auto" w:sz="4" w:space="0"/>
              <w:right w:val="single" w:color="auto" w:sz="4" w:space="0"/>
            </w:tcBorders>
            <w:noWrap w:val="0"/>
            <w:vAlign w:val="center"/>
          </w:tcPr>
          <w:p w14:paraId="288FD79C">
            <w:pPr>
              <w:widowControl/>
              <w:spacing w:line="400" w:lineRule="atLeast"/>
              <w:jc w:val="left"/>
              <w:rPr>
                <w:rFonts w:ascii="宋体" w:hAnsi="宋体" w:cs="宋体"/>
                <w:color w:val="auto"/>
                <w:sz w:val="21"/>
                <w:szCs w:val="21"/>
                <w:highlight w:val="none"/>
              </w:rPr>
            </w:pPr>
          </w:p>
        </w:tc>
        <w:tc>
          <w:tcPr>
            <w:tcW w:w="412" w:type="dxa"/>
            <w:tcBorders>
              <w:top w:val="single" w:color="auto" w:sz="4" w:space="0"/>
              <w:left w:val="nil"/>
              <w:bottom w:val="single" w:color="auto" w:sz="4" w:space="0"/>
              <w:right w:val="single" w:color="auto" w:sz="4" w:space="0"/>
            </w:tcBorders>
            <w:noWrap w:val="0"/>
            <w:vAlign w:val="center"/>
          </w:tcPr>
          <w:p w14:paraId="08D3A7FC">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8</w:t>
            </w:r>
          </w:p>
        </w:tc>
        <w:tc>
          <w:tcPr>
            <w:tcW w:w="3365" w:type="dxa"/>
            <w:tcBorders>
              <w:top w:val="single" w:color="auto" w:sz="4" w:space="0"/>
              <w:left w:val="nil"/>
              <w:bottom w:val="single" w:color="auto" w:sz="4" w:space="0"/>
              <w:right w:val="single" w:color="auto" w:sz="4" w:space="0"/>
            </w:tcBorders>
            <w:noWrap w:val="0"/>
            <w:vAlign w:val="center"/>
          </w:tcPr>
          <w:p w14:paraId="61691C54">
            <w:pPr>
              <w:spacing w:line="400" w:lineRule="atLeast"/>
              <w:jc w:val="left"/>
              <w:rPr>
                <w:rFonts w:ascii="宋体" w:hAnsi="宋体" w:cs="宋体"/>
                <w:color w:val="auto"/>
                <w:sz w:val="21"/>
                <w:szCs w:val="21"/>
                <w:highlight w:val="none"/>
              </w:rPr>
            </w:pPr>
            <w:r>
              <w:rPr>
                <w:rFonts w:hint="eastAsia" w:ascii="宋体" w:hAnsi="宋体" w:cs="宋体"/>
                <w:color w:val="auto"/>
                <w:sz w:val="21"/>
                <w:szCs w:val="21"/>
                <w:highlight w:val="none"/>
              </w:rPr>
              <w:t>及时做好绿化养护基础设施（含灌溉系统设备设施、接水管道管头的维护及维修）、工具房或管理房的日常管理及维护。</w:t>
            </w:r>
          </w:p>
        </w:tc>
        <w:tc>
          <w:tcPr>
            <w:tcW w:w="581" w:type="dxa"/>
            <w:tcBorders>
              <w:top w:val="single" w:color="auto" w:sz="4" w:space="0"/>
              <w:left w:val="nil"/>
              <w:bottom w:val="single" w:color="auto" w:sz="4" w:space="0"/>
              <w:right w:val="single" w:color="auto" w:sz="4" w:space="0"/>
            </w:tcBorders>
            <w:noWrap w:val="0"/>
            <w:vAlign w:val="center"/>
          </w:tcPr>
          <w:p w14:paraId="515CA384">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4968" w:type="dxa"/>
            <w:tcBorders>
              <w:top w:val="single" w:color="auto" w:sz="4" w:space="0"/>
              <w:left w:val="nil"/>
              <w:bottom w:val="single" w:color="auto" w:sz="4" w:space="0"/>
              <w:right w:val="single" w:color="auto" w:sz="4" w:space="0"/>
            </w:tcBorders>
            <w:noWrap w:val="0"/>
            <w:vAlign w:val="center"/>
          </w:tcPr>
          <w:p w14:paraId="5C41CAA8">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没有及时做好维护维修工作的，视情况每次扣0.2-1分。</w:t>
            </w:r>
          </w:p>
        </w:tc>
        <w:tc>
          <w:tcPr>
            <w:tcW w:w="531" w:type="dxa"/>
            <w:tcBorders>
              <w:top w:val="single" w:color="auto" w:sz="4" w:space="0"/>
              <w:left w:val="nil"/>
              <w:bottom w:val="single" w:color="auto" w:sz="4" w:space="0"/>
              <w:right w:val="single" w:color="auto" w:sz="4" w:space="0"/>
            </w:tcBorders>
            <w:noWrap w:val="0"/>
            <w:vAlign w:val="center"/>
          </w:tcPr>
          <w:p w14:paraId="3F74B4ED">
            <w:pPr>
              <w:spacing w:line="400" w:lineRule="atLeast"/>
              <w:jc w:val="center"/>
              <w:rPr>
                <w:rFonts w:ascii="宋体" w:hAnsi="宋体" w:cs="宋体"/>
                <w:color w:val="auto"/>
                <w:sz w:val="21"/>
                <w:szCs w:val="21"/>
                <w:highlight w:val="none"/>
              </w:rPr>
            </w:pPr>
          </w:p>
        </w:tc>
      </w:tr>
      <w:tr w14:paraId="4E691228">
        <w:tblPrEx>
          <w:tblCellMar>
            <w:top w:w="0" w:type="dxa"/>
            <w:left w:w="108" w:type="dxa"/>
            <w:bottom w:w="0" w:type="dxa"/>
            <w:right w:w="108" w:type="dxa"/>
          </w:tblCellMar>
        </w:tblPrEx>
        <w:trPr>
          <w:trHeight w:val="467" w:hRule="atLeast"/>
        </w:trPr>
        <w:tc>
          <w:tcPr>
            <w:tcW w:w="567" w:type="dxa"/>
            <w:tcBorders>
              <w:top w:val="single" w:color="auto" w:sz="4" w:space="0"/>
              <w:left w:val="single" w:color="auto" w:sz="4" w:space="0"/>
              <w:bottom w:val="single" w:color="auto" w:sz="4" w:space="0"/>
              <w:right w:val="single" w:color="auto" w:sz="4" w:space="0"/>
            </w:tcBorders>
            <w:noWrap w:val="0"/>
            <w:vAlign w:val="top"/>
          </w:tcPr>
          <w:p w14:paraId="586B80DF">
            <w:pPr>
              <w:spacing w:line="400" w:lineRule="atLeast"/>
              <w:jc w:val="center"/>
              <w:rPr>
                <w:rFonts w:ascii="宋体" w:hAnsi="宋体" w:cs="宋体"/>
                <w:color w:val="auto"/>
                <w:sz w:val="21"/>
                <w:szCs w:val="21"/>
                <w:highlight w:val="none"/>
              </w:rPr>
            </w:pPr>
          </w:p>
        </w:tc>
        <w:tc>
          <w:tcPr>
            <w:tcW w:w="412" w:type="dxa"/>
            <w:tcBorders>
              <w:top w:val="single" w:color="auto" w:sz="4" w:space="0"/>
              <w:left w:val="single" w:color="auto" w:sz="4" w:space="0"/>
              <w:bottom w:val="single" w:color="auto" w:sz="4" w:space="0"/>
              <w:right w:val="single" w:color="auto" w:sz="4" w:space="0"/>
            </w:tcBorders>
            <w:noWrap w:val="0"/>
            <w:vAlign w:val="top"/>
          </w:tcPr>
          <w:p w14:paraId="4D559622">
            <w:pPr>
              <w:spacing w:line="400" w:lineRule="atLeast"/>
              <w:jc w:val="right"/>
              <w:rPr>
                <w:rFonts w:ascii="宋体" w:hAnsi="宋体" w:cs="宋体"/>
                <w:color w:val="auto"/>
                <w:sz w:val="21"/>
                <w:szCs w:val="21"/>
                <w:highlight w:val="none"/>
              </w:rPr>
            </w:pPr>
            <w:r>
              <w:rPr>
                <w:rFonts w:hint="eastAsia" w:ascii="宋体" w:hAnsi="宋体" w:cs="宋体"/>
                <w:color w:val="auto"/>
                <w:sz w:val="21"/>
                <w:szCs w:val="21"/>
                <w:highlight w:val="none"/>
              </w:rPr>
              <w:t>9</w:t>
            </w:r>
          </w:p>
        </w:tc>
        <w:tc>
          <w:tcPr>
            <w:tcW w:w="3365" w:type="dxa"/>
            <w:tcBorders>
              <w:top w:val="single" w:color="auto" w:sz="4" w:space="0"/>
              <w:left w:val="single" w:color="auto" w:sz="4" w:space="0"/>
              <w:bottom w:val="single" w:color="auto" w:sz="4" w:space="0"/>
              <w:right w:val="single" w:color="auto" w:sz="4" w:space="0"/>
            </w:tcBorders>
            <w:noWrap w:val="0"/>
            <w:vAlign w:val="top"/>
          </w:tcPr>
          <w:p w14:paraId="5690ED41">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按时报送月度工作计划、月度问题记录表及整改情况记录表</w:t>
            </w:r>
            <w:r>
              <w:rPr>
                <w:rFonts w:hint="eastAsia" w:ascii="宋体" w:hAnsi="宋体" w:cs="宋体"/>
                <w:color w:val="auto"/>
                <w:sz w:val="21"/>
                <w:szCs w:val="21"/>
                <w:highlight w:val="none"/>
              </w:rPr>
              <w:tab/>
            </w:r>
            <w:r>
              <w:rPr>
                <w:rFonts w:hint="eastAsia" w:ascii="宋体" w:hAnsi="宋体" w:cs="宋体"/>
                <w:color w:val="auto"/>
                <w:sz w:val="21"/>
                <w:szCs w:val="21"/>
                <w:highlight w:val="none"/>
              </w:rPr>
              <w:tab/>
            </w:r>
          </w:p>
        </w:tc>
        <w:tc>
          <w:tcPr>
            <w:tcW w:w="581" w:type="dxa"/>
            <w:tcBorders>
              <w:top w:val="single" w:color="auto" w:sz="4" w:space="0"/>
              <w:left w:val="single" w:color="auto" w:sz="4" w:space="0"/>
              <w:bottom w:val="single" w:color="auto" w:sz="4" w:space="0"/>
              <w:right w:val="single" w:color="auto" w:sz="4" w:space="0"/>
            </w:tcBorders>
            <w:noWrap w:val="0"/>
            <w:vAlign w:val="center"/>
          </w:tcPr>
          <w:p w14:paraId="7043215A">
            <w:pPr>
              <w:spacing w:line="400" w:lineRule="atLeast"/>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4968" w:type="dxa"/>
            <w:tcBorders>
              <w:top w:val="single" w:color="auto" w:sz="4" w:space="0"/>
              <w:left w:val="single" w:color="auto" w:sz="4" w:space="0"/>
              <w:bottom w:val="single" w:color="auto" w:sz="4" w:space="0"/>
              <w:right w:val="single" w:color="auto" w:sz="4" w:space="0"/>
            </w:tcBorders>
            <w:noWrap w:val="0"/>
            <w:vAlign w:val="center"/>
          </w:tcPr>
          <w:p w14:paraId="7EC14C37">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不按时报送的，每延期一天扣0.2-0.5分。</w:t>
            </w:r>
          </w:p>
        </w:tc>
        <w:tc>
          <w:tcPr>
            <w:tcW w:w="531" w:type="dxa"/>
            <w:tcBorders>
              <w:top w:val="single" w:color="auto" w:sz="4" w:space="0"/>
              <w:left w:val="single" w:color="auto" w:sz="4" w:space="0"/>
              <w:bottom w:val="single" w:color="auto" w:sz="4" w:space="0"/>
              <w:right w:val="single" w:color="auto" w:sz="4" w:space="0"/>
            </w:tcBorders>
            <w:noWrap w:val="0"/>
            <w:vAlign w:val="center"/>
          </w:tcPr>
          <w:p w14:paraId="30D98DF1">
            <w:pPr>
              <w:spacing w:line="400" w:lineRule="atLeast"/>
              <w:jc w:val="center"/>
              <w:rPr>
                <w:rFonts w:ascii="宋体" w:hAnsi="宋体" w:cs="宋体"/>
                <w:color w:val="auto"/>
                <w:sz w:val="21"/>
                <w:szCs w:val="21"/>
                <w:highlight w:val="none"/>
              </w:rPr>
            </w:pPr>
          </w:p>
        </w:tc>
      </w:tr>
      <w:tr w14:paraId="60A88F3A">
        <w:tblPrEx>
          <w:tblCellMar>
            <w:top w:w="0" w:type="dxa"/>
            <w:left w:w="108" w:type="dxa"/>
            <w:bottom w:w="0" w:type="dxa"/>
            <w:right w:w="108" w:type="dxa"/>
          </w:tblCellMar>
        </w:tblPrEx>
        <w:trPr>
          <w:trHeight w:val="426" w:hRule="atLeast"/>
        </w:trPr>
        <w:tc>
          <w:tcPr>
            <w:tcW w:w="979" w:type="dxa"/>
            <w:gridSpan w:val="2"/>
            <w:tcBorders>
              <w:top w:val="single" w:color="auto" w:sz="4" w:space="0"/>
              <w:left w:val="single" w:color="auto" w:sz="4" w:space="0"/>
              <w:bottom w:val="single" w:color="auto" w:sz="4" w:space="0"/>
              <w:right w:val="single" w:color="auto" w:sz="4" w:space="0"/>
            </w:tcBorders>
            <w:noWrap w:val="0"/>
            <w:vAlign w:val="top"/>
          </w:tcPr>
          <w:p w14:paraId="6E6B96EF">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合计</w:t>
            </w:r>
          </w:p>
        </w:tc>
        <w:tc>
          <w:tcPr>
            <w:tcW w:w="3365" w:type="dxa"/>
            <w:tcBorders>
              <w:top w:val="single" w:color="auto" w:sz="4" w:space="0"/>
              <w:left w:val="single" w:color="auto" w:sz="4" w:space="0"/>
              <w:bottom w:val="single" w:color="auto" w:sz="4" w:space="0"/>
              <w:right w:val="single" w:color="auto" w:sz="4" w:space="0"/>
            </w:tcBorders>
            <w:noWrap w:val="0"/>
            <w:vAlign w:val="top"/>
          </w:tcPr>
          <w:p w14:paraId="19122A87">
            <w:pPr>
              <w:spacing w:line="400" w:lineRule="atLeast"/>
              <w:rPr>
                <w:rFonts w:ascii="宋体" w:hAnsi="宋体" w:cs="宋体"/>
                <w:color w:val="auto"/>
                <w:sz w:val="21"/>
                <w:szCs w:val="21"/>
                <w:highlight w:val="none"/>
              </w:rPr>
            </w:pPr>
          </w:p>
        </w:tc>
        <w:tc>
          <w:tcPr>
            <w:tcW w:w="581" w:type="dxa"/>
            <w:tcBorders>
              <w:top w:val="single" w:color="auto" w:sz="4" w:space="0"/>
              <w:left w:val="single" w:color="auto" w:sz="4" w:space="0"/>
              <w:bottom w:val="single" w:color="auto" w:sz="4" w:space="0"/>
              <w:right w:val="single" w:color="auto" w:sz="4" w:space="0"/>
            </w:tcBorders>
            <w:noWrap w:val="0"/>
            <w:vAlign w:val="top"/>
          </w:tcPr>
          <w:p w14:paraId="130A03B2">
            <w:pPr>
              <w:spacing w:line="400" w:lineRule="atLeast"/>
              <w:rPr>
                <w:rFonts w:ascii="宋体" w:hAnsi="宋体" w:cs="宋体"/>
                <w:color w:val="auto"/>
                <w:sz w:val="21"/>
                <w:szCs w:val="21"/>
                <w:highlight w:val="none"/>
              </w:rPr>
            </w:pPr>
            <w:r>
              <w:rPr>
                <w:rFonts w:hint="eastAsia" w:ascii="宋体" w:hAnsi="宋体" w:cs="宋体"/>
                <w:color w:val="auto"/>
                <w:sz w:val="21"/>
                <w:szCs w:val="21"/>
                <w:highlight w:val="none"/>
              </w:rPr>
              <w:t>100</w:t>
            </w:r>
          </w:p>
        </w:tc>
        <w:tc>
          <w:tcPr>
            <w:tcW w:w="4968" w:type="dxa"/>
            <w:tcBorders>
              <w:top w:val="single" w:color="auto" w:sz="4" w:space="0"/>
              <w:left w:val="single" w:color="auto" w:sz="4" w:space="0"/>
              <w:bottom w:val="single" w:color="auto" w:sz="4" w:space="0"/>
              <w:right w:val="single" w:color="auto" w:sz="4" w:space="0"/>
            </w:tcBorders>
            <w:noWrap w:val="0"/>
            <w:vAlign w:val="top"/>
          </w:tcPr>
          <w:p w14:paraId="032211D0">
            <w:pPr>
              <w:spacing w:line="400" w:lineRule="atLeast"/>
              <w:rPr>
                <w:rFonts w:ascii="宋体" w:hAnsi="宋体" w:cs="宋体"/>
                <w:color w:val="auto"/>
                <w:sz w:val="21"/>
                <w:szCs w:val="21"/>
                <w:highlight w:val="none"/>
              </w:rPr>
            </w:pPr>
          </w:p>
        </w:tc>
        <w:tc>
          <w:tcPr>
            <w:tcW w:w="531" w:type="dxa"/>
            <w:tcBorders>
              <w:top w:val="single" w:color="auto" w:sz="4" w:space="0"/>
              <w:left w:val="single" w:color="auto" w:sz="4" w:space="0"/>
              <w:bottom w:val="single" w:color="auto" w:sz="4" w:space="0"/>
              <w:right w:val="single" w:color="auto" w:sz="4" w:space="0"/>
            </w:tcBorders>
            <w:noWrap w:val="0"/>
            <w:vAlign w:val="top"/>
          </w:tcPr>
          <w:p w14:paraId="7AA87BF3">
            <w:pPr>
              <w:spacing w:line="400" w:lineRule="atLeast"/>
              <w:rPr>
                <w:rFonts w:ascii="宋体" w:hAnsi="宋体" w:cs="宋体"/>
                <w:color w:val="auto"/>
                <w:sz w:val="21"/>
                <w:szCs w:val="21"/>
                <w:highlight w:val="none"/>
              </w:rPr>
            </w:pPr>
          </w:p>
        </w:tc>
      </w:tr>
      <w:tr w14:paraId="6C20E050">
        <w:tblPrEx>
          <w:tblCellMar>
            <w:top w:w="0" w:type="dxa"/>
            <w:left w:w="108" w:type="dxa"/>
            <w:bottom w:w="0" w:type="dxa"/>
            <w:right w:w="108" w:type="dxa"/>
          </w:tblCellMar>
        </w:tblPrEx>
        <w:trPr>
          <w:trHeight w:val="426" w:hRule="atLeast"/>
        </w:trPr>
        <w:tc>
          <w:tcPr>
            <w:tcW w:w="10424" w:type="dxa"/>
            <w:gridSpan w:val="6"/>
            <w:tcBorders>
              <w:top w:val="single" w:color="auto" w:sz="4" w:space="0"/>
              <w:left w:val="single" w:color="auto" w:sz="4" w:space="0"/>
              <w:bottom w:val="single" w:color="auto" w:sz="4" w:space="0"/>
              <w:right w:val="single" w:color="auto" w:sz="4" w:space="0"/>
            </w:tcBorders>
            <w:noWrap w:val="0"/>
            <w:vAlign w:val="top"/>
          </w:tcPr>
          <w:p w14:paraId="6A07B35E">
            <w:pPr>
              <w:spacing w:line="400" w:lineRule="atLeast"/>
              <w:rPr>
                <w:rFonts w:ascii="宋体" w:hAnsi="宋体" w:cs="宋体"/>
                <w:color w:val="auto"/>
                <w:sz w:val="24"/>
                <w:szCs w:val="24"/>
                <w:highlight w:val="none"/>
              </w:rPr>
            </w:pPr>
            <w:r>
              <w:rPr>
                <w:rFonts w:hint="eastAsia" w:ascii="宋体" w:hAnsi="宋体" w:cs="宋体"/>
                <w:color w:val="auto"/>
                <w:sz w:val="24"/>
                <w:szCs w:val="24"/>
                <w:highlight w:val="none"/>
              </w:rPr>
              <w:t>其他管养工作：</w:t>
            </w:r>
          </w:p>
        </w:tc>
      </w:tr>
      <w:tr w14:paraId="27524A20">
        <w:tblPrEx>
          <w:tblCellMar>
            <w:top w:w="0" w:type="dxa"/>
            <w:left w:w="108" w:type="dxa"/>
            <w:bottom w:w="0" w:type="dxa"/>
            <w:right w:w="108" w:type="dxa"/>
          </w:tblCellMar>
        </w:tblPrEx>
        <w:trPr>
          <w:trHeight w:val="426" w:hRule="atLeast"/>
        </w:trPr>
        <w:tc>
          <w:tcPr>
            <w:tcW w:w="10424" w:type="dxa"/>
            <w:gridSpan w:val="6"/>
            <w:tcBorders>
              <w:top w:val="single" w:color="auto" w:sz="4" w:space="0"/>
              <w:left w:val="single" w:color="auto" w:sz="4" w:space="0"/>
              <w:bottom w:val="single" w:color="auto" w:sz="4" w:space="0"/>
              <w:right w:val="single" w:color="auto" w:sz="4" w:space="0"/>
            </w:tcBorders>
            <w:noWrap w:val="0"/>
            <w:vAlign w:val="top"/>
          </w:tcPr>
          <w:p w14:paraId="06993C32">
            <w:pPr>
              <w:spacing w:line="400" w:lineRule="atLeast"/>
              <w:rPr>
                <w:rFonts w:hint="eastAsia" w:ascii="宋体" w:hAnsi="宋体" w:cs="宋体"/>
                <w:color w:val="auto"/>
                <w:sz w:val="24"/>
                <w:szCs w:val="24"/>
                <w:highlight w:val="none"/>
              </w:rPr>
            </w:pPr>
          </w:p>
        </w:tc>
      </w:tr>
    </w:tbl>
    <w:p w14:paraId="45206F41">
      <w:pPr>
        <w:spacing w:line="400" w:lineRule="atLeast"/>
        <w:rPr>
          <w:rFonts w:ascii="宋体" w:hAnsi="宋体" w:cs="宋体"/>
          <w:b/>
          <w:bCs/>
          <w:color w:val="auto"/>
          <w:sz w:val="24"/>
          <w:highlight w:val="none"/>
        </w:rPr>
      </w:pPr>
      <w:r>
        <w:rPr>
          <w:rFonts w:hint="eastAsia" w:ascii="宋体" w:hAnsi="宋体" w:cs="宋体"/>
          <w:b/>
          <w:bCs/>
          <w:color w:val="auto"/>
          <w:sz w:val="24"/>
          <w:highlight w:val="none"/>
        </w:rPr>
        <w:t xml:space="preserve">说明：                                                                                                                                                                                                                                                                                                                                                                                                                                                                                                                                                                                                                                                                                                                                                                                                                                                                                                                                                                                                                                                                                                                                                                                                                                                                                                                                                                                                                                                                                                                                                                                                                                                                                                                                                                                                                                                                                                                                                                                                                                                                                                                                                                                                                                                                                                                                                                                                                                                                                                                                                                                                                                                                                                                                                                                                                                                                                                                                                                                                                                                                                                                                                                                                                         </w:t>
      </w:r>
    </w:p>
    <w:p w14:paraId="48851C28">
      <w:pPr>
        <w:spacing w:line="400" w:lineRule="atLeas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1、考核表满分为100分，人员、养护内容及要求均列入考核范围，按要求进行考核。</w:t>
      </w:r>
    </w:p>
    <w:p w14:paraId="0F9B7661">
      <w:pPr>
        <w:spacing w:line="400" w:lineRule="atLeas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2、考核方式分为日常巡查和月度考核。</w:t>
      </w:r>
    </w:p>
    <w:p w14:paraId="0A099132">
      <w:pPr>
        <w:spacing w:line="400" w:lineRule="atLeas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3、日常巡查：平时公园不定期抽查发现问题，能认真对待、及时整改的，不作扣分处理。经提醒仍不整改的，计入月度考核。</w:t>
      </w:r>
    </w:p>
    <w:p w14:paraId="2D35614A">
      <w:pPr>
        <w:spacing w:line="400" w:lineRule="atLeas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4、月度考核：每月公园依照《南宁市</w:t>
      </w:r>
      <w:r>
        <w:rPr>
          <w:rFonts w:hint="eastAsia" w:ascii="宋体" w:hAnsi="宋体" w:cs="宋体"/>
          <w:color w:val="auto"/>
          <w:kern w:val="0"/>
          <w:sz w:val="24"/>
          <w:highlight w:val="none"/>
          <w:lang w:val="en-US" w:eastAsia="zh-CN"/>
        </w:rPr>
        <w:t>花卉</w:t>
      </w:r>
      <w:r>
        <w:rPr>
          <w:rFonts w:hint="eastAsia" w:ascii="宋体" w:hAnsi="宋体" w:cs="宋体"/>
          <w:color w:val="auto"/>
          <w:kern w:val="0"/>
          <w:sz w:val="24"/>
          <w:highlight w:val="none"/>
        </w:rPr>
        <w:t>公园绿化养护月度考核评分表》组织一次对中标单位绿化养护工作的全面考核，存在问题产生的损失从服务费用中扣除。</w:t>
      </w:r>
    </w:p>
    <w:p w14:paraId="6C7A8FC7">
      <w:pPr>
        <w:spacing w:line="400" w:lineRule="atLeast"/>
        <w:ind w:firstLine="480" w:firstLineChars="200"/>
        <w:rPr>
          <w:rFonts w:ascii="宋体" w:hAnsi="宋体" w:cs="宋体"/>
          <w:b/>
          <w:bCs/>
          <w:color w:val="auto"/>
          <w:sz w:val="24"/>
          <w:highlight w:val="none"/>
        </w:rPr>
        <w:sectPr>
          <w:pgSz w:w="12240" w:h="15840"/>
          <w:pgMar w:top="1440" w:right="1080" w:bottom="1440" w:left="1080" w:header="720" w:footer="720" w:gutter="0"/>
          <w:cols w:space="720" w:num="1"/>
          <w:titlePg/>
          <w:docGrid w:linePitch="286" w:charSpace="0"/>
        </w:sectPr>
      </w:pPr>
      <w:r>
        <w:rPr>
          <w:rFonts w:hint="eastAsia" w:ascii="宋体" w:hAnsi="宋体" w:cs="宋体"/>
          <w:color w:val="auto"/>
          <w:kern w:val="0"/>
          <w:sz w:val="24"/>
          <w:highlight w:val="none"/>
        </w:rPr>
        <w:t>5、公园在对中标单位的考核检查中发现的问题以通报表的形式发出后，中标单位连续3次或累计5次未按考核情况通报表要求整改的，公园有权单方面解除合同。</w:t>
      </w:r>
    </w:p>
    <w:p w14:paraId="64DC6F41">
      <w:pPr>
        <w:spacing w:line="440" w:lineRule="exact"/>
        <w:outlineLvl w:val="9"/>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附件</w:t>
      </w:r>
      <w:r>
        <w:rPr>
          <w:rFonts w:hint="eastAsia" w:ascii="宋体" w:hAnsi="宋体" w:eastAsia="宋体" w:cs="宋体"/>
          <w:b/>
          <w:bCs/>
          <w:color w:val="auto"/>
          <w:sz w:val="24"/>
          <w:highlight w:val="none"/>
          <w:lang w:val="en-US" w:eastAsia="zh-CN"/>
        </w:rPr>
        <w:t>5-2-</w:t>
      </w:r>
      <w:r>
        <w:rPr>
          <w:rFonts w:hint="eastAsia" w:ascii="宋体" w:hAnsi="宋体" w:cs="宋体"/>
          <w:b/>
          <w:bCs/>
          <w:color w:val="auto"/>
          <w:sz w:val="24"/>
          <w:highlight w:val="none"/>
          <w:lang w:val="en-US" w:eastAsia="zh-CN"/>
        </w:rPr>
        <w:t>3</w:t>
      </w:r>
      <w:r>
        <w:rPr>
          <w:rFonts w:hint="eastAsia" w:ascii="宋体" w:hAnsi="宋体" w:eastAsia="宋体" w:cs="宋体"/>
          <w:b/>
          <w:bCs/>
          <w:color w:val="auto"/>
          <w:sz w:val="24"/>
          <w:highlight w:val="none"/>
          <w:lang w:val="en-US" w:eastAsia="zh-CN"/>
        </w:rPr>
        <w:t>-1</w:t>
      </w:r>
    </w:p>
    <w:p w14:paraId="340835A3">
      <w:pPr>
        <w:pageBreakBefore w:val="0"/>
        <w:numPr>
          <w:ilvl w:val="0"/>
          <w:numId w:val="0"/>
        </w:numPr>
        <w:kinsoku/>
        <w:wordWrap w:val="0"/>
        <w:overflowPunct/>
        <w:topLinePunct w:val="0"/>
        <w:bidi w:val="0"/>
        <w:ind w:firstLine="241" w:firstLineChars="100"/>
        <w:outlineLvl w:val="2"/>
        <w:rPr>
          <w:rFonts w:hint="eastAsia" w:ascii="宋体" w:hAnsi="宋体" w:eastAsia="宋体" w:cs="宋体"/>
          <w:b/>
          <w:color w:val="auto"/>
          <w:sz w:val="32"/>
          <w:szCs w:val="32"/>
          <w:highlight w:val="none"/>
        </w:rPr>
        <w:sectPr>
          <w:headerReference r:id="rId8" w:type="default"/>
          <w:footerReference r:id="rId9" w:type="default"/>
          <w:pgSz w:w="16838" w:h="11906" w:orient="landscape"/>
          <w:pgMar w:top="1304" w:right="1440" w:bottom="1304"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b/>
          <w:bCs/>
          <w:color w:val="auto"/>
          <w:sz w:val="24"/>
          <w:highlight w:val="none"/>
          <w:lang w:eastAsia="zh-CN"/>
        </w:rPr>
        <w:drawing>
          <wp:anchor distT="0" distB="0" distL="114300" distR="114300" simplePos="0" relativeHeight="251668480" behindDoc="1" locked="0" layoutInCell="1" allowOverlap="1">
            <wp:simplePos x="0" y="0"/>
            <wp:positionH relativeFrom="column">
              <wp:posOffset>-122555</wp:posOffset>
            </wp:positionH>
            <wp:positionV relativeFrom="paragraph">
              <wp:posOffset>47625</wp:posOffset>
            </wp:positionV>
            <wp:extent cx="8863330" cy="5276850"/>
            <wp:effectExtent l="0" t="0" r="13970" b="0"/>
            <wp:wrapNone/>
            <wp:docPr id="1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图片1"/>
                    <pic:cNvPicPr>
                      <a:picLocks noChangeAspect="1"/>
                    </pic:cNvPicPr>
                  </pic:nvPicPr>
                  <pic:blipFill>
                    <a:blip r:embed="rId24"/>
                    <a:stretch>
                      <a:fillRect/>
                    </a:stretch>
                  </pic:blipFill>
                  <pic:spPr>
                    <a:xfrm>
                      <a:off x="0" y="0"/>
                      <a:ext cx="8863330" cy="5276850"/>
                    </a:xfrm>
                    <a:prstGeom prst="rect">
                      <a:avLst/>
                    </a:prstGeom>
                    <a:noFill/>
                    <a:ln>
                      <a:noFill/>
                    </a:ln>
                  </pic:spPr>
                </pic:pic>
              </a:graphicData>
            </a:graphic>
          </wp:anchor>
        </w:drawing>
      </w:r>
    </w:p>
    <w:p w14:paraId="5E7813E1">
      <w:pPr>
        <w:pStyle w:val="10"/>
        <w:rPr>
          <w:rFonts w:ascii="宋体" w:hAnsi="宋体" w:cs="宋体"/>
          <w:b/>
          <w:bCs/>
          <w:color w:val="auto"/>
          <w:sz w:val="24"/>
          <w:highlight w:val="none"/>
        </w:rPr>
      </w:pPr>
      <w:r>
        <w:rPr>
          <w:rFonts w:hint="eastAsia" w:ascii="宋体" w:hAnsi="宋体" w:cs="宋体"/>
          <w:b/>
          <w:bCs/>
          <w:color w:val="auto"/>
          <w:sz w:val="24"/>
          <w:highlight w:val="none"/>
        </w:rPr>
        <w:t>附件</w:t>
      </w:r>
      <w:r>
        <w:rPr>
          <w:rFonts w:hint="eastAsia" w:ascii="宋体" w:hAnsi="宋体" w:cs="宋体"/>
          <w:b/>
          <w:bCs/>
          <w:color w:val="auto"/>
          <w:sz w:val="24"/>
          <w:highlight w:val="none"/>
          <w:lang w:val="en-US" w:eastAsia="zh-CN"/>
        </w:rPr>
        <w:t>5-2-4</w:t>
      </w:r>
      <w:r>
        <w:rPr>
          <w:rFonts w:hint="eastAsia" w:ascii="宋体" w:hAnsi="宋体" w:cs="宋体"/>
          <w:b/>
          <w:bCs/>
          <w:color w:val="auto"/>
          <w:sz w:val="24"/>
          <w:highlight w:val="none"/>
        </w:rPr>
        <w:t xml:space="preserve">         </w:t>
      </w:r>
      <w:r>
        <w:rPr>
          <w:rFonts w:hint="eastAsia" w:ascii="宋体" w:hAnsi="宋体" w:cs="宋体"/>
          <w:b/>
          <w:bCs/>
          <w:color w:val="auto"/>
          <w:sz w:val="32"/>
          <w:szCs w:val="32"/>
          <w:highlight w:val="none"/>
        </w:rPr>
        <w:t>南宁市花卉公园绿化养护月度检查评分标准</w:t>
      </w:r>
    </w:p>
    <w:tbl>
      <w:tblPr>
        <w:tblStyle w:val="22"/>
        <w:tblW w:w="9980" w:type="dxa"/>
        <w:tblInd w:w="-275" w:type="dxa"/>
        <w:tblLayout w:type="autofit"/>
        <w:tblCellMar>
          <w:top w:w="0" w:type="dxa"/>
          <w:left w:w="108" w:type="dxa"/>
          <w:bottom w:w="0" w:type="dxa"/>
          <w:right w:w="108" w:type="dxa"/>
        </w:tblCellMar>
      </w:tblPr>
      <w:tblGrid>
        <w:gridCol w:w="555"/>
        <w:gridCol w:w="540"/>
        <w:gridCol w:w="1980"/>
        <w:gridCol w:w="3600"/>
        <w:gridCol w:w="3305"/>
      </w:tblGrid>
      <w:tr w14:paraId="314EDE9C">
        <w:tblPrEx>
          <w:tblCellMar>
            <w:top w:w="0" w:type="dxa"/>
            <w:left w:w="108" w:type="dxa"/>
            <w:bottom w:w="0" w:type="dxa"/>
            <w:right w:w="108" w:type="dxa"/>
          </w:tblCellMar>
        </w:tblPrEx>
        <w:trPr>
          <w:trHeight w:val="20" w:hRule="atLeast"/>
        </w:trPr>
        <w:tc>
          <w:tcPr>
            <w:tcW w:w="555" w:type="dxa"/>
            <w:tcBorders>
              <w:top w:val="single" w:color="auto" w:sz="6" w:space="0"/>
              <w:left w:val="single" w:color="auto" w:sz="6" w:space="0"/>
              <w:bottom w:val="single" w:color="auto" w:sz="6" w:space="0"/>
              <w:right w:val="single" w:color="auto" w:sz="6" w:space="0"/>
            </w:tcBorders>
            <w:noWrap w:val="0"/>
            <w:vAlign w:val="top"/>
          </w:tcPr>
          <w:p w14:paraId="4729D70F">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类别</w:t>
            </w:r>
          </w:p>
        </w:tc>
        <w:tc>
          <w:tcPr>
            <w:tcW w:w="540" w:type="dxa"/>
            <w:tcBorders>
              <w:top w:val="single" w:color="auto" w:sz="6" w:space="0"/>
              <w:left w:val="single" w:color="auto" w:sz="6" w:space="0"/>
              <w:bottom w:val="single" w:color="auto" w:sz="6" w:space="0"/>
              <w:right w:val="single" w:color="auto" w:sz="6" w:space="0"/>
            </w:tcBorders>
            <w:noWrap w:val="0"/>
            <w:vAlign w:val="top"/>
          </w:tcPr>
          <w:p w14:paraId="50E453E0">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4EB77C26">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考核项目</w:t>
            </w:r>
          </w:p>
        </w:tc>
        <w:tc>
          <w:tcPr>
            <w:tcW w:w="3600" w:type="dxa"/>
            <w:tcBorders>
              <w:top w:val="single" w:color="auto" w:sz="6" w:space="0"/>
              <w:left w:val="single" w:color="auto" w:sz="6" w:space="0"/>
              <w:bottom w:val="single" w:color="auto" w:sz="6" w:space="0"/>
              <w:right w:val="single" w:color="auto" w:sz="6" w:space="0"/>
            </w:tcBorders>
            <w:noWrap w:val="0"/>
            <w:vAlign w:val="center"/>
          </w:tcPr>
          <w:p w14:paraId="5E9E9932">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考核内容</w:t>
            </w:r>
          </w:p>
        </w:tc>
        <w:tc>
          <w:tcPr>
            <w:tcW w:w="3305" w:type="dxa"/>
            <w:tcBorders>
              <w:top w:val="single" w:color="auto" w:sz="6" w:space="0"/>
              <w:left w:val="single" w:color="auto" w:sz="6" w:space="0"/>
              <w:bottom w:val="single" w:color="auto" w:sz="6" w:space="0"/>
              <w:right w:val="single" w:color="auto" w:sz="6" w:space="0"/>
            </w:tcBorders>
            <w:noWrap w:val="0"/>
            <w:vAlign w:val="center"/>
          </w:tcPr>
          <w:p w14:paraId="25141294">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评分细则</w:t>
            </w:r>
          </w:p>
        </w:tc>
      </w:tr>
      <w:tr w14:paraId="43A1C286">
        <w:tblPrEx>
          <w:tblCellMar>
            <w:top w:w="0" w:type="dxa"/>
            <w:left w:w="108" w:type="dxa"/>
            <w:bottom w:w="0" w:type="dxa"/>
            <w:right w:w="108" w:type="dxa"/>
          </w:tblCellMar>
        </w:tblPrEx>
        <w:trPr>
          <w:trHeight w:val="20" w:hRule="atLeast"/>
        </w:trPr>
        <w:tc>
          <w:tcPr>
            <w:tcW w:w="555" w:type="dxa"/>
            <w:vMerge w:val="restart"/>
            <w:tcBorders>
              <w:top w:val="single" w:color="auto" w:sz="6" w:space="0"/>
              <w:left w:val="single" w:color="auto" w:sz="6" w:space="0"/>
              <w:right w:val="single" w:color="auto" w:sz="6" w:space="0"/>
            </w:tcBorders>
            <w:noWrap w:val="0"/>
            <w:vAlign w:val="top"/>
          </w:tcPr>
          <w:p w14:paraId="7199A647">
            <w:pPr>
              <w:autoSpaceDE w:val="0"/>
              <w:autoSpaceDN w:val="0"/>
              <w:spacing w:line="440" w:lineRule="exact"/>
              <w:jc w:val="center"/>
              <w:rPr>
                <w:rFonts w:ascii="宋体" w:hAnsi="宋体" w:cs="宋体"/>
                <w:color w:val="auto"/>
                <w:szCs w:val="21"/>
                <w:highlight w:val="none"/>
              </w:rPr>
            </w:pPr>
          </w:p>
          <w:p w14:paraId="6FF373AD">
            <w:pPr>
              <w:autoSpaceDE w:val="0"/>
              <w:autoSpaceDN w:val="0"/>
              <w:spacing w:line="440" w:lineRule="exact"/>
              <w:jc w:val="center"/>
              <w:rPr>
                <w:rFonts w:ascii="宋体" w:hAnsi="宋体" w:cs="宋体"/>
                <w:color w:val="auto"/>
                <w:szCs w:val="21"/>
                <w:highlight w:val="none"/>
              </w:rPr>
            </w:pPr>
          </w:p>
          <w:p w14:paraId="01A6C9C9">
            <w:pPr>
              <w:autoSpaceDE w:val="0"/>
              <w:autoSpaceDN w:val="0"/>
              <w:spacing w:line="440" w:lineRule="exact"/>
              <w:jc w:val="center"/>
              <w:rPr>
                <w:rFonts w:ascii="宋体" w:hAnsi="宋体" w:cs="宋体"/>
                <w:color w:val="auto"/>
                <w:szCs w:val="21"/>
                <w:highlight w:val="none"/>
              </w:rPr>
            </w:pPr>
          </w:p>
          <w:p w14:paraId="2FF59C62">
            <w:pPr>
              <w:autoSpaceDE w:val="0"/>
              <w:autoSpaceDN w:val="0"/>
              <w:spacing w:line="440" w:lineRule="exact"/>
              <w:jc w:val="center"/>
              <w:rPr>
                <w:rFonts w:ascii="宋体" w:hAnsi="宋体" w:cs="宋体"/>
                <w:color w:val="auto"/>
                <w:szCs w:val="21"/>
                <w:highlight w:val="none"/>
              </w:rPr>
            </w:pPr>
          </w:p>
          <w:p w14:paraId="39797230">
            <w:pPr>
              <w:autoSpaceDE w:val="0"/>
              <w:autoSpaceDN w:val="0"/>
              <w:spacing w:line="440" w:lineRule="exact"/>
              <w:jc w:val="center"/>
              <w:rPr>
                <w:rFonts w:ascii="宋体" w:hAnsi="宋体" w:cs="宋体"/>
                <w:color w:val="auto"/>
                <w:szCs w:val="21"/>
                <w:highlight w:val="none"/>
              </w:rPr>
            </w:pPr>
          </w:p>
          <w:p w14:paraId="48A008EC">
            <w:pPr>
              <w:autoSpaceDE w:val="0"/>
              <w:autoSpaceDN w:val="0"/>
              <w:spacing w:line="440" w:lineRule="exact"/>
              <w:jc w:val="center"/>
              <w:rPr>
                <w:rFonts w:ascii="宋体" w:hAnsi="宋体" w:cs="宋体"/>
                <w:color w:val="auto"/>
                <w:szCs w:val="21"/>
                <w:highlight w:val="none"/>
              </w:rPr>
            </w:pPr>
          </w:p>
          <w:p w14:paraId="19476052">
            <w:pPr>
              <w:autoSpaceDE w:val="0"/>
              <w:autoSpaceDN w:val="0"/>
              <w:spacing w:line="440" w:lineRule="exact"/>
              <w:jc w:val="center"/>
              <w:rPr>
                <w:rFonts w:ascii="宋体" w:hAnsi="宋体" w:cs="宋体"/>
                <w:color w:val="auto"/>
                <w:szCs w:val="21"/>
                <w:highlight w:val="none"/>
              </w:rPr>
            </w:pPr>
          </w:p>
          <w:p w14:paraId="19531E9E">
            <w:pPr>
              <w:autoSpaceDE w:val="0"/>
              <w:autoSpaceDN w:val="0"/>
              <w:spacing w:line="440" w:lineRule="exact"/>
              <w:jc w:val="center"/>
              <w:rPr>
                <w:rFonts w:ascii="宋体" w:hAnsi="宋体" w:cs="宋体"/>
                <w:color w:val="auto"/>
                <w:szCs w:val="21"/>
                <w:highlight w:val="none"/>
              </w:rPr>
            </w:pPr>
          </w:p>
          <w:p w14:paraId="6236F639">
            <w:pPr>
              <w:autoSpaceDE w:val="0"/>
              <w:autoSpaceDN w:val="0"/>
              <w:spacing w:line="440" w:lineRule="exact"/>
              <w:jc w:val="center"/>
              <w:rPr>
                <w:rFonts w:ascii="宋体" w:hAnsi="宋体" w:cs="宋体"/>
                <w:color w:val="auto"/>
                <w:szCs w:val="21"/>
                <w:highlight w:val="none"/>
              </w:rPr>
            </w:pPr>
          </w:p>
          <w:p w14:paraId="1B173F09">
            <w:pPr>
              <w:autoSpaceDE w:val="0"/>
              <w:autoSpaceDN w:val="0"/>
              <w:spacing w:line="440" w:lineRule="exact"/>
              <w:jc w:val="center"/>
              <w:rPr>
                <w:rFonts w:ascii="宋体" w:hAnsi="宋体" w:cs="宋体"/>
                <w:color w:val="auto"/>
                <w:szCs w:val="21"/>
                <w:highlight w:val="none"/>
              </w:rPr>
            </w:pPr>
          </w:p>
          <w:p w14:paraId="677CB30B">
            <w:pPr>
              <w:autoSpaceDE w:val="0"/>
              <w:autoSpaceDN w:val="0"/>
              <w:spacing w:line="440" w:lineRule="exact"/>
              <w:jc w:val="center"/>
              <w:rPr>
                <w:rFonts w:ascii="宋体" w:hAnsi="宋体" w:cs="宋体"/>
                <w:color w:val="auto"/>
                <w:szCs w:val="21"/>
                <w:highlight w:val="none"/>
              </w:rPr>
            </w:pPr>
          </w:p>
          <w:p w14:paraId="74FE9DA8">
            <w:pPr>
              <w:autoSpaceDE w:val="0"/>
              <w:autoSpaceDN w:val="0"/>
              <w:spacing w:line="440" w:lineRule="exact"/>
              <w:jc w:val="center"/>
              <w:rPr>
                <w:rFonts w:ascii="宋体" w:hAnsi="宋体" w:cs="宋体"/>
                <w:color w:val="auto"/>
                <w:szCs w:val="21"/>
                <w:highlight w:val="none"/>
              </w:rPr>
            </w:pPr>
          </w:p>
          <w:p w14:paraId="431B144E">
            <w:pPr>
              <w:autoSpaceDE w:val="0"/>
              <w:autoSpaceDN w:val="0"/>
              <w:spacing w:line="440" w:lineRule="exact"/>
              <w:jc w:val="center"/>
              <w:rPr>
                <w:rFonts w:ascii="宋体" w:hAnsi="宋体" w:cs="宋体"/>
                <w:color w:val="auto"/>
                <w:szCs w:val="21"/>
                <w:highlight w:val="none"/>
              </w:rPr>
            </w:pPr>
          </w:p>
          <w:p w14:paraId="5F2BB184">
            <w:pPr>
              <w:autoSpaceDE w:val="0"/>
              <w:autoSpaceDN w:val="0"/>
              <w:spacing w:line="440" w:lineRule="exact"/>
              <w:jc w:val="center"/>
              <w:rPr>
                <w:rFonts w:ascii="宋体" w:hAnsi="宋体" w:cs="宋体"/>
                <w:color w:val="auto"/>
                <w:szCs w:val="21"/>
                <w:highlight w:val="none"/>
              </w:rPr>
            </w:pPr>
          </w:p>
          <w:p w14:paraId="4159FAA4">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 xml:space="preserve">现场检查 </w:t>
            </w:r>
          </w:p>
        </w:tc>
        <w:tc>
          <w:tcPr>
            <w:tcW w:w="540" w:type="dxa"/>
            <w:tcBorders>
              <w:top w:val="single" w:color="auto" w:sz="6" w:space="0"/>
              <w:left w:val="single" w:color="auto" w:sz="6" w:space="0"/>
              <w:bottom w:val="single" w:color="auto" w:sz="6" w:space="0"/>
              <w:right w:val="single" w:color="auto" w:sz="6" w:space="0"/>
            </w:tcBorders>
            <w:noWrap w:val="0"/>
            <w:vAlign w:val="center"/>
          </w:tcPr>
          <w:p w14:paraId="6757DB35">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一</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1EA8A3FF">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人员、物资、机械、车辆投入管理（10分）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7E3B796B">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1.全月技术人员和绿化养护人员总出工数是否按投标文件的要求到位；是否按照养护工作计划开展养护工作，物资、机械、车辆投入是否与计划量严重脱离。</w:t>
            </w:r>
          </w:p>
          <w:p w14:paraId="3ED14600">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2.提高服务意识，服务态度好，工作热情周到。</w:t>
            </w:r>
          </w:p>
          <w:p w14:paraId="4052EADB">
            <w:pPr>
              <w:autoSpaceDE w:val="0"/>
              <w:autoSpaceDN w:val="0"/>
              <w:spacing w:line="360" w:lineRule="exact"/>
              <w:rPr>
                <w:rFonts w:ascii="宋体" w:hAnsi="宋体" w:cs="宋体"/>
                <w:color w:val="auto"/>
                <w:szCs w:val="21"/>
                <w:highlight w:val="none"/>
              </w:rPr>
            </w:pPr>
          </w:p>
        </w:tc>
        <w:tc>
          <w:tcPr>
            <w:tcW w:w="3305" w:type="dxa"/>
            <w:tcBorders>
              <w:top w:val="single" w:color="auto" w:sz="6" w:space="0"/>
              <w:left w:val="single" w:color="auto" w:sz="6" w:space="0"/>
              <w:bottom w:val="single" w:color="auto" w:sz="6" w:space="0"/>
              <w:right w:val="single" w:color="auto" w:sz="6" w:space="0"/>
            </w:tcBorders>
            <w:noWrap w:val="0"/>
            <w:vAlign w:val="top"/>
          </w:tcPr>
          <w:p w14:paraId="2038209C">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考核月内管理人员出勤每少一工日扣0.5分；绿化养护人员出勤每少一工日扣0.2分，有人员作假的扣0.5分；物资、园林机械投入比计划少的每件次扣0.1分，车辆投入比计划少的每件次扣0.5分。</w:t>
            </w:r>
          </w:p>
          <w:p w14:paraId="49C46926">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考核月内出现与游客吵架或恶语伤人的，视情况每次扣0.2-1分；打架的，直接扣10分，并承担相应的法律责任。</w:t>
            </w:r>
          </w:p>
        </w:tc>
      </w:tr>
      <w:tr w14:paraId="688DF90B">
        <w:tblPrEx>
          <w:tblCellMar>
            <w:top w:w="0" w:type="dxa"/>
            <w:left w:w="108" w:type="dxa"/>
            <w:bottom w:w="0" w:type="dxa"/>
            <w:right w:w="108" w:type="dxa"/>
          </w:tblCellMar>
        </w:tblPrEx>
        <w:trPr>
          <w:trHeight w:val="20" w:hRule="atLeast"/>
        </w:trPr>
        <w:tc>
          <w:tcPr>
            <w:tcW w:w="555" w:type="dxa"/>
            <w:vMerge w:val="continue"/>
            <w:tcBorders>
              <w:left w:val="single" w:color="auto" w:sz="6" w:space="0"/>
              <w:right w:val="single" w:color="auto" w:sz="6" w:space="0"/>
            </w:tcBorders>
            <w:noWrap w:val="0"/>
            <w:vAlign w:val="center"/>
          </w:tcPr>
          <w:p w14:paraId="03DEB62F">
            <w:pPr>
              <w:widowControl/>
              <w:spacing w:line="440" w:lineRule="exact"/>
              <w:jc w:val="left"/>
              <w:rPr>
                <w:rFonts w:ascii="宋体" w:hAnsi="宋体" w:cs="宋体"/>
                <w:color w:val="auto"/>
                <w:szCs w:val="21"/>
                <w:highlight w:val="non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14:paraId="01C9FC2A">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二</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53E052C3">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草坪及地被养护（12分）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1116080F">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1.草坪景观效果良好，秋冬季保持绿色，长势茂盛，无黄土裸露；平整不起团，无积水，无垃圾；无明显杂草，杂草率在10%以内，草净率在90%以上；草高低于8厘米；</w:t>
            </w:r>
          </w:p>
          <w:p w14:paraId="197D1E91">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2.地被无明显病虫害、杂草、黄叶；地被植物图形清晰，边线明显。伸出路缘石的地被要及时修剪</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117D5B0A">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1.草坪枯黄面积达50㎡（重点区域20㎡）以上或有明显病虫害、杂草、碎石的每处扣0.2分；草坪面积1000㎡（重点区域50㎡）以上起球、杂乱、高度过高的每处扣0.2分。</w:t>
            </w:r>
          </w:p>
          <w:p w14:paraId="58DD4B5C">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2.地被有明显病虫害、杂草、黄叶的每处扣0.2分。地被伸出路缘不及时修剪的每处扣0.1分。</w:t>
            </w:r>
          </w:p>
        </w:tc>
      </w:tr>
      <w:tr w14:paraId="3CC1C239">
        <w:tblPrEx>
          <w:tblCellMar>
            <w:top w:w="0" w:type="dxa"/>
            <w:left w:w="108" w:type="dxa"/>
            <w:bottom w:w="0" w:type="dxa"/>
            <w:right w:w="108" w:type="dxa"/>
          </w:tblCellMar>
        </w:tblPrEx>
        <w:trPr>
          <w:trHeight w:val="20" w:hRule="atLeast"/>
        </w:trPr>
        <w:tc>
          <w:tcPr>
            <w:tcW w:w="555" w:type="dxa"/>
            <w:vMerge w:val="continue"/>
            <w:tcBorders>
              <w:left w:val="single" w:color="auto" w:sz="6" w:space="0"/>
              <w:right w:val="single" w:color="auto" w:sz="6" w:space="0"/>
            </w:tcBorders>
            <w:noWrap w:val="0"/>
            <w:vAlign w:val="center"/>
          </w:tcPr>
          <w:p w14:paraId="5F5358BD">
            <w:pPr>
              <w:widowControl/>
              <w:spacing w:line="440" w:lineRule="exact"/>
              <w:jc w:val="left"/>
              <w:rPr>
                <w:rFonts w:ascii="宋体" w:hAnsi="宋体" w:cs="宋体"/>
                <w:color w:val="auto"/>
                <w:szCs w:val="21"/>
                <w:highlight w:val="non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14:paraId="4854451A">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三</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6F20C3AF">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乔木、灌木、绿篱养护（15分）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0838C359">
            <w:pPr>
              <w:numPr>
                <w:ilvl w:val="0"/>
                <w:numId w:val="0"/>
              </w:numPr>
              <w:autoSpaceDE w:val="0"/>
              <w:autoSpaceDN w:val="0"/>
              <w:spacing w:line="360" w:lineRule="exact"/>
              <w:rPr>
                <w:rFonts w:ascii="宋体" w:hAnsi="宋体" w:cs="宋体"/>
                <w:color w:val="auto"/>
                <w:szCs w:val="21"/>
                <w:highlight w:val="none"/>
              </w:rPr>
            </w:pPr>
            <w:r>
              <w:rPr>
                <w:rFonts w:ascii="宋体" w:hAnsi="宋体" w:eastAsia="宋体" w:cs="宋体"/>
                <w:color w:val="auto"/>
                <w:kern w:val="2"/>
                <w:sz w:val="21"/>
                <w:szCs w:val="21"/>
                <w:highlight w:val="none"/>
                <w:lang w:val="en-US" w:eastAsia="zh-CN" w:bidi="ar-SA"/>
              </w:rPr>
              <w:t>1.</w:t>
            </w:r>
            <w:r>
              <w:rPr>
                <w:rFonts w:hint="eastAsia" w:ascii="宋体" w:hAnsi="宋体" w:cs="宋体"/>
                <w:color w:val="auto"/>
                <w:szCs w:val="21"/>
                <w:highlight w:val="none"/>
              </w:rPr>
              <w:t>乔木、灌木、绿篱要求生长良好，无病虫害，无明显枯枝黄叶、断枝；需修剪的修剪面平滑整齐，无枝叶粘连，无枝</w:t>
            </w:r>
            <w:r>
              <w:rPr>
                <w:rFonts w:hint="eastAsia" w:ascii="宋体" w:hAnsi="宋体" w:cs="宋体"/>
                <w:color w:val="auto"/>
                <w:szCs w:val="21"/>
                <w:highlight w:val="none"/>
                <w:lang w:val="en-US" w:eastAsia="zh-CN"/>
              </w:rPr>
              <w:t>干</w:t>
            </w:r>
            <w:r>
              <w:rPr>
                <w:rFonts w:hint="eastAsia" w:ascii="宋体" w:hAnsi="宋体" w:cs="宋体"/>
                <w:color w:val="auto"/>
                <w:szCs w:val="21"/>
                <w:highlight w:val="none"/>
              </w:rPr>
              <w:t>撕裂，剪后成形美观，内部通透；树盘、绿篱边线整齐干净，无杂草石块杂物；妥善处理死株缺株，及时补植。</w:t>
            </w:r>
          </w:p>
          <w:p w14:paraId="1146F43D">
            <w:pPr>
              <w:numPr>
                <w:ilvl w:val="0"/>
                <w:numId w:val="0"/>
              </w:numPr>
              <w:autoSpaceDE w:val="0"/>
              <w:autoSpaceDN w:val="0"/>
              <w:spacing w:line="360" w:lineRule="exact"/>
              <w:rPr>
                <w:rFonts w:ascii="宋体" w:hAnsi="宋体" w:cs="宋体"/>
                <w:color w:val="auto"/>
                <w:szCs w:val="21"/>
                <w:highlight w:val="none"/>
              </w:rPr>
            </w:pPr>
            <w:r>
              <w:rPr>
                <w:rFonts w:ascii="宋体" w:hAnsi="宋体" w:eastAsia="宋体" w:cs="宋体"/>
                <w:color w:val="auto"/>
                <w:kern w:val="2"/>
                <w:sz w:val="21"/>
                <w:szCs w:val="21"/>
                <w:highlight w:val="none"/>
                <w:lang w:val="en-US" w:eastAsia="zh-CN" w:bidi="ar-SA"/>
              </w:rPr>
              <w:t>2.</w:t>
            </w:r>
            <w:r>
              <w:rPr>
                <w:rFonts w:hint="eastAsia" w:ascii="宋体" w:hAnsi="宋体" w:cs="宋体"/>
                <w:color w:val="auto"/>
                <w:szCs w:val="21"/>
                <w:highlight w:val="none"/>
              </w:rPr>
              <w:t>倒伏树、歪斜树或断枝应及时处理。</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696BF1BE">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乔木、灌木、绿篱因养护不到位导致长势不良，有明显病虫害的每株（平方米）扣0.2分，出现死株缺株现象每株（平方米）扣0.5分；死株缺株清理后不按管理人员安排补植每株（平方米）扣0.5分；乔灌木上有钉挂物和悬挂物、干枝枯叶、断枝、寄生现象每处扣0.2分；乔灌木、绿篱不及时修剪或未按技术规范修剪每株（平方米）扣0.2分；树盘不干净平整，有杂草石头等杂物每个（平方米）扣0.2分；倒伏树或歪斜树未及时扶正的每株扣0.5分；因养护不到位导致乔灌木一次死亡3株（含3株）以上的每次扣0.5分。</w:t>
            </w:r>
          </w:p>
        </w:tc>
      </w:tr>
      <w:tr w14:paraId="4288BE93">
        <w:tblPrEx>
          <w:tblCellMar>
            <w:top w:w="0" w:type="dxa"/>
            <w:left w:w="108" w:type="dxa"/>
            <w:bottom w:w="0" w:type="dxa"/>
            <w:right w:w="108" w:type="dxa"/>
          </w:tblCellMar>
        </w:tblPrEx>
        <w:trPr>
          <w:trHeight w:val="20" w:hRule="atLeast"/>
        </w:trPr>
        <w:tc>
          <w:tcPr>
            <w:tcW w:w="555" w:type="dxa"/>
            <w:vMerge w:val="continue"/>
            <w:tcBorders>
              <w:left w:val="single" w:color="auto" w:sz="6" w:space="0"/>
              <w:right w:val="single" w:color="auto" w:sz="6" w:space="0"/>
            </w:tcBorders>
            <w:noWrap w:val="0"/>
            <w:vAlign w:val="center"/>
          </w:tcPr>
          <w:p w14:paraId="633FEA5D">
            <w:pPr>
              <w:widowControl/>
              <w:spacing w:line="440" w:lineRule="exact"/>
              <w:jc w:val="left"/>
              <w:rPr>
                <w:rFonts w:ascii="宋体" w:hAnsi="宋体" w:cs="宋体"/>
                <w:color w:val="auto"/>
                <w:szCs w:val="21"/>
                <w:highlight w:val="non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14:paraId="67A0252A">
            <w:pPr>
              <w:autoSpaceDE w:val="0"/>
              <w:autoSpaceDN w:val="0"/>
              <w:spacing w:line="440" w:lineRule="exact"/>
              <w:jc w:val="center"/>
              <w:rPr>
                <w:rFonts w:hint="eastAsia" w:ascii="宋体" w:hAnsi="宋体" w:cs="宋体"/>
                <w:color w:val="auto"/>
                <w:szCs w:val="21"/>
                <w:highlight w:val="none"/>
              </w:rPr>
            </w:pPr>
          </w:p>
          <w:p w14:paraId="08CAC8E2">
            <w:pPr>
              <w:autoSpaceDE w:val="0"/>
              <w:autoSpaceDN w:val="0"/>
              <w:spacing w:line="440" w:lineRule="exact"/>
              <w:jc w:val="center"/>
              <w:rPr>
                <w:rFonts w:hint="eastAsia" w:ascii="宋体" w:hAnsi="宋体" w:cs="宋体"/>
                <w:color w:val="auto"/>
                <w:szCs w:val="21"/>
                <w:highlight w:val="none"/>
              </w:rPr>
            </w:pPr>
          </w:p>
          <w:p w14:paraId="411AFE68">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四</w:t>
            </w:r>
          </w:p>
        </w:tc>
        <w:tc>
          <w:tcPr>
            <w:tcW w:w="1980" w:type="dxa"/>
            <w:tcBorders>
              <w:top w:val="single" w:color="auto" w:sz="6" w:space="0"/>
              <w:left w:val="single" w:color="auto" w:sz="6" w:space="0"/>
              <w:bottom w:val="single" w:color="auto" w:sz="6" w:space="0"/>
              <w:right w:val="single" w:color="auto" w:sz="6" w:space="0"/>
            </w:tcBorders>
            <w:noWrap w:val="0"/>
            <w:vAlign w:val="top"/>
          </w:tcPr>
          <w:p w14:paraId="4C318711">
            <w:pPr>
              <w:autoSpaceDE w:val="0"/>
              <w:autoSpaceDN w:val="0"/>
              <w:spacing w:line="360" w:lineRule="exact"/>
              <w:jc w:val="left"/>
              <w:rPr>
                <w:rFonts w:hint="eastAsia" w:ascii="宋体" w:hAnsi="宋体" w:cs="宋体"/>
                <w:color w:val="auto"/>
                <w:szCs w:val="21"/>
                <w:highlight w:val="none"/>
              </w:rPr>
            </w:pPr>
          </w:p>
          <w:p w14:paraId="773F85F7">
            <w:pPr>
              <w:autoSpaceDE w:val="0"/>
              <w:autoSpaceDN w:val="0"/>
              <w:spacing w:line="360" w:lineRule="exact"/>
              <w:jc w:val="left"/>
              <w:rPr>
                <w:rFonts w:hint="eastAsia" w:ascii="宋体" w:hAnsi="宋体" w:cs="宋体"/>
                <w:color w:val="auto"/>
                <w:szCs w:val="21"/>
                <w:highlight w:val="none"/>
              </w:rPr>
            </w:pPr>
          </w:p>
          <w:p w14:paraId="27BDB169">
            <w:pPr>
              <w:autoSpaceDE w:val="0"/>
              <w:autoSpaceDN w:val="0"/>
              <w:spacing w:line="360" w:lineRule="exact"/>
              <w:jc w:val="left"/>
              <w:rPr>
                <w:rFonts w:hint="eastAsia" w:ascii="宋体" w:hAnsi="宋体" w:cs="宋体"/>
                <w:color w:val="auto"/>
                <w:szCs w:val="21"/>
                <w:highlight w:val="none"/>
              </w:rPr>
            </w:pPr>
          </w:p>
          <w:p w14:paraId="7CEF5495">
            <w:pPr>
              <w:autoSpaceDE w:val="0"/>
              <w:autoSpaceDN w:val="0"/>
              <w:spacing w:line="360" w:lineRule="exact"/>
              <w:jc w:val="left"/>
              <w:rPr>
                <w:rFonts w:ascii="宋体" w:hAnsi="宋体" w:cs="宋体"/>
                <w:color w:val="auto"/>
                <w:szCs w:val="21"/>
                <w:highlight w:val="none"/>
              </w:rPr>
            </w:pPr>
            <w:r>
              <w:rPr>
                <w:rFonts w:hint="eastAsia" w:ascii="宋体" w:hAnsi="宋体" w:cs="宋体"/>
                <w:color w:val="auto"/>
                <w:szCs w:val="21"/>
                <w:highlight w:val="none"/>
              </w:rPr>
              <w:t>花坛（花池）、花境、水生植物养护（6分）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7C5EEDEE">
            <w:pPr>
              <w:numPr>
                <w:ilvl w:val="0"/>
                <w:numId w:val="11"/>
              </w:num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花坛（花池）全年观赏期应不少于330天。花坛（花池）植株生长健壮，无明显缺株倒伏的花苗，无明显病虫害，枯枝残花黄叶率小于5%，无杂物，无杂草，无有害性生物危害。</w:t>
            </w:r>
          </w:p>
          <w:p w14:paraId="2E30C4BF">
            <w:pPr>
              <w:numPr>
                <w:ilvl w:val="0"/>
                <w:numId w:val="11"/>
              </w:num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花境植物的养护参照花坛植物执行， 花境植物必须经常修剪以保持最佳效果。</w:t>
            </w:r>
          </w:p>
          <w:p w14:paraId="6CA6E176">
            <w:pPr>
              <w:numPr>
                <w:ilvl w:val="0"/>
                <w:numId w:val="11"/>
              </w:num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水生植物景观效果美观，无残花败叶漂浮，无杂生植物，植株生长健壮，叶色正常，花开艳丽；水生植物的生长范围应严格控制，防止影响水面倒影，超出范围的叶片，应在水面以下随时割除；枯死植株小于5%，基本无有害生物危害状，无杂草。</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33B1ECA2">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花坛（花池）、花境、水生植物因养护不到位，有寄生现象和明显病虫害的每平方米扣0.2分，出现死株缺株现象每平方米扣0.3分；死株缺株清理后不按管理人员安排补植每平方米扣0.5分；残花、枯萎的花蒂和枯枝黄叶或水生植物在水面及水面以上的枯黄部分未及时清除每平方米扣0.2分；植株生长瘦弱，花色暗淡，花坛（花池）花期和株高参差不齐，花境植物长期不修剪或未按技术规范修剪和不及时更换时花，每平方米扣0.5分；花坛、花境、水生植物中有杂草石头等杂物每个（处）扣0.2分。</w:t>
            </w:r>
          </w:p>
        </w:tc>
      </w:tr>
      <w:tr w14:paraId="6E70EC9B">
        <w:tblPrEx>
          <w:tblCellMar>
            <w:top w:w="0" w:type="dxa"/>
            <w:left w:w="108" w:type="dxa"/>
            <w:bottom w:w="0" w:type="dxa"/>
            <w:right w:w="108" w:type="dxa"/>
          </w:tblCellMar>
        </w:tblPrEx>
        <w:trPr>
          <w:trHeight w:val="20" w:hRule="atLeast"/>
        </w:trPr>
        <w:tc>
          <w:tcPr>
            <w:tcW w:w="555" w:type="dxa"/>
            <w:vMerge w:val="continue"/>
            <w:tcBorders>
              <w:left w:val="single" w:color="auto" w:sz="6" w:space="0"/>
              <w:right w:val="single" w:color="auto" w:sz="6" w:space="0"/>
            </w:tcBorders>
            <w:noWrap w:val="0"/>
            <w:vAlign w:val="center"/>
          </w:tcPr>
          <w:p w14:paraId="739945C5">
            <w:pPr>
              <w:widowControl/>
              <w:spacing w:line="440" w:lineRule="exact"/>
              <w:jc w:val="left"/>
              <w:rPr>
                <w:rFonts w:ascii="宋体" w:hAnsi="宋体" w:cs="宋体"/>
                <w:b/>
                <w:color w:val="auto"/>
                <w:szCs w:val="21"/>
                <w:highlight w:val="non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14:paraId="2F6CEF41">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五</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4002F899">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其它（6分）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033DF8E4">
            <w:pPr>
              <w:numPr>
                <w:ilvl w:val="0"/>
                <w:numId w:val="12"/>
              </w:num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绿化垃圾及时清运、并按垃圾分类规范处理，公园范围内禁止焚烧树叶杂物等，未能及时清理的应放置绿化垃圾临时堆放警示牌。绿化垃圾不可堆放过夜。</w:t>
            </w:r>
          </w:p>
          <w:p w14:paraId="11CF9D43">
            <w:pPr>
              <w:numPr>
                <w:ilvl w:val="0"/>
                <w:numId w:val="12"/>
              </w:num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黄土裸露或灌木缺株要及时补种。</w:t>
            </w:r>
          </w:p>
          <w:p w14:paraId="77235974">
            <w:pPr>
              <w:numPr>
                <w:ilvl w:val="0"/>
                <w:numId w:val="12"/>
              </w:num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不存在影响游园环境的其它事项。</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4CB54689">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绿化垃圾不及时清理或不按垃圾分类规范处理、未放置绿化垃圾临时堆放警示牌等的每处扣0.5分；绿化垃圾堆放过夜的每处扣1分；在公园范围内焚烧垃圾的每处扣3分。</w:t>
            </w:r>
          </w:p>
          <w:p w14:paraId="3D8747FB">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黄土裸露面积为1-3㎡的每处扣0.2分，超过3㎡的每处扣0.3分。</w:t>
            </w:r>
          </w:p>
          <w:p w14:paraId="36457D36">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工具房脏乱差的，每次扣0.2分；</w:t>
            </w:r>
          </w:p>
          <w:p w14:paraId="6C59EF63">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作业工具在园内乱摆放或未放置物资临时堆放标识牌的，每处扣0.5分。</w:t>
            </w:r>
          </w:p>
        </w:tc>
      </w:tr>
      <w:tr w14:paraId="2959055E">
        <w:tblPrEx>
          <w:tblCellMar>
            <w:top w:w="0" w:type="dxa"/>
            <w:left w:w="108" w:type="dxa"/>
            <w:bottom w:w="0" w:type="dxa"/>
            <w:right w:w="108" w:type="dxa"/>
          </w:tblCellMar>
        </w:tblPrEx>
        <w:trPr>
          <w:trHeight w:val="20" w:hRule="atLeast"/>
        </w:trPr>
        <w:tc>
          <w:tcPr>
            <w:tcW w:w="555" w:type="dxa"/>
            <w:vMerge w:val="continue"/>
            <w:tcBorders>
              <w:left w:val="single" w:color="auto" w:sz="6" w:space="0"/>
              <w:bottom w:val="single" w:color="auto" w:sz="4" w:space="0"/>
              <w:right w:val="single" w:color="auto" w:sz="6" w:space="0"/>
            </w:tcBorders>
            <w:noWrap w:val="0"/>
            <w:vAlign w:val="center"/>
          </w:tcPr>
          <w:p w14:paraId="597A7622">
            <w:pPr>
              <w:widowControl/>
              <w:spacing w:line="440" w:lineRule="exact"/>
              <w:jc w:val="left"/>
              <w:rPr>
                <w:rFonts w:ascii="宋体" w:hAnsi="宋体" w:cs="宋体"/>
                <w:b/>
                <w:color w:val="auto"/>
                <w:szCs w:val="21"/>
                <w:highlight w:val="non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14:paraId="3D039F28">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六</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71C425E9">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安全生产（15分）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137584DB">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严格遵照园林机械使用及用后维护程序操作，杜绝出现伤人伤</w:t>
            </w:r>
            <w:r>
              <w:rPr>
                <w:rFonts w:hint="eastAsia" w:ascii="宋体" w:hAnsi="宋体" w:cs="宋体"/>
                <w:color w:val="auto"/>
                <w:szCs w:val="21"/>
                <w:highlight w:val="none"/>
                <w:lang w:eastAsia="zh-CN"/>
              </w:rPr>
              <w:t>己</w:t>
            </w:r>
            <w:r>
              <w:rPr>
                <w:rFonts w:hint="eastAsia" w:ascii="宋体" w:hAnsi="宋体" w:cs="宋体"/>
                <w:color w:val="auto"/>
                <w:szCs w:val="21"/>
                <w:highlight w:val="none"/>
              </w:rPr>
              <w:t>的安全事故；保证安全生产工作顺利开展。</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790A56DD">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考核月内安全生产存在问题累计达3次及以上的扣1分，6次及以上的扣3分，超过8次的扣6分，超过10次的扣10分；发生因养护操作不当，伤及人员的每次扣10分并赔偿相关人员损失；</w:t>
            </w:r>
            <w:r>
              <w:rPr>
                <w:rFonts w:hint="eastAsia" w:ascii="宋体" w:hAnsi="宋体" w:cs="宋体"/>
                <w:b/>
                <w:color w:val="auto"/>
                <w:szCs w:val="21"/>
                <w:highlight w:val="none"/>
              </w:rPr>
              <w:t>凡出现严重安全生产事故的当月考核不合格并承担安全责任及相应赔偿（发生2人以上（含）重伤，或者50万元以上（含）直接经济损失的事故的，扣完15分）</w:t>
            </w:r>
          </w:p>
        </w:tc>
      </w:tr>
      <w:tr w14:paraId="4C55ABB7">
        <w:tblPrEx>
          <w:tblCellMar>
            <w:top w:w="0" w:type="dxa"/>
            <w:left w:w="108" w:type="dxa"/>
            <w:bottom w:w="0" w:type="dxa"/>
            <w:right w:w="108" w:type="dxa"/>
          </w:tblCellMar>
        </w:tblPrEx>
        <w:trPr>
          <w:trHeight w:val="20" w:hRule="atLeast"/>
        </w:trPr>
        <w:tc>
          <w:tcPr>
            <w:tcW w:w="555" w:type="dxa"/>
            <w:tcBorders>
              <w:left w:val="single" w:color="auto" w:sz="6" w:space="0"/>
              <w:bottom w:val="single" w:color="auto" w:sz="4" w:space="0"/>
              <w:right w:val="single" w:color="auto" w:sz="6" w:space="0"/>
            </w:tcBorders>
            <w:noWrap w:val="0"/>
            <w:vAlign w:val="center"/>
          </w:tcPr>
          <w:p w14:paraId="40D9B77E">
            <w:pPr>
              <w:widowControl/>
              <w:spacing w:line="380" w:lineRule="exact"/>
              <w:jc w:val="left"/>
              <w:rPr>
                <w:rFonts w:ascii="宋体" w:hAnsi="宋体" w:cs="宋体"/>
                <w:color w:val="auto"/>
                <w:szCs w:val="21"/>
                <w:highlight w:val="none"/>
              </w:rPr>
            </w:pPr>
            <w:r>
              <w:rPr>
                <w:rFonts w:hint="eastAsia" w:ascii="宋体" w:hAnsi="宋体" w:cs="宋体"/>
                <w:color w:val="auto"/>
                <w:szCs w:val="21"/>
                <w:highlight w:val="none"/>
              </w:rPr>
              <w:t>内业管理检查</w:t>
            </w:r>
          </w:p>
        </w:tc>
        <w:tc>
          <w:tcPr>
            <w:tcW w:w="540" w:type="dxa"/>
            <w:tcBorders>
              <w:top w:val="single" w:color="auto" w:sz="6" w:space="0"/>
              <w:left w:val="single" w:color="auto" w:sz="6" w:space="0"/>
              <w:bottom w:val="single" w:color="auto" w:sz="6" w:space="0"/>
              <w:right w:val="single" w:color="auto" w:sz="6" w:space="0"/>
            </w:tcBorders>
            <w:noWrap w:val="0"/>
            <w:vAlign w:val="center"/>
          </w:tcPr>
          <w:p w14:paraId="4C67496B">
            <w:pPr>
              <w:autoSpaceDE w:val="0"/>
              <w:autoSpaceDN w:val="0"/>
              <w:spacing w:line="440" w:lineRule="exact"/>
              <w:jc w:val="center"/>
              <w:rPr>
                <w:rFonts w:ascii="宋体" w:hAnsi="宋体" w:cs="宋体"/>
                <w:b/>
                <w:color w:val="auto"/>
                <w:szCs w:val="21"/>
                <w:highlight w:val="none"/>
              </w:rPr>
            </w:pPr>
            <w:r>
              <w:rPr>
                <w:rFonts w:hint="eastAsia" w:ascii="宋体" w:hAnsi="宋体" w:cs="宋体"/>
                <w:color w:val="auto"/>
                <w:szCs w:val="21"/>
                <w:highlight w:val="none"/>
              </w:rPr>
              <w:t>七</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6D67A0A3">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内业管理（6分）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38250088">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每月按时报送考勤记录、日常检查记录、月工作计划（含安全和技术培训计划）、月工作总结及临时通知的其它资料；资料数据准确，内容完整且符合实际，没有错误或缺项。</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3B9D67D1">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每项资料每迟报一天扣0.2分；资料数据不准确，内容不符合实际或有错漏，每次扣0.1-0.5分。</w:t>
            </w:r>
          </w:p>
          <w:p w14:paraId="27C7F02B">
            <w:pPr>
              <w:autoSpaceDE w:val="0"/>
              <w:autoSpaceDN w:val="0"/>
              <w:spacing w:line="360" w:lineRule="exact"/>
              <w:rPr>
                <w:rFonts w:ascii="宋体" w:hAnsi="宋体" w:cs="宋体"/>
                <w:color w:val="auto"/>
                <w:szCs w:val="21"/>
                <w:highlight w:val="none"/>
              </w:rPr>
            </w:pPr>
          </w:p>
        </w:tc>
      </w:tr>
      <w:tr w14:paraId="3205A6D3">
        <w:tblPrEx>
          <w:tblCellMar>
            <w:top w:w="0" w:type="dxa"/>
            <w:left w:w="108" w:type="dxa"/>
            <w:bottom w:w="0" w:type="dxa"/>
            <w:right w:w="108" w:type="dxa"/>
          </w:tblCellMar>
        </w:tblPrEx>
        <w:trPr>
          <w:trHeight w:val="20" w:hRule="atLeast"/>
        </w:trPr>
        <w:tc>
          <w:tcPr>
            <w:tcW w:w="555" w:type="dxa"/>
            <w:vMerge w:val="restart"/>
            <w:tcBorders>
              <w:left w:val="single" w:color="auto" w:sz="6" w:space="0"/>
              <w:right w:val="single" w:color="auto" w:sz="6" w:space="0"/>
            </w:tcBorders>
            <w:noWrap w:val="0"/>
            <w:vAlign w:val="center"/>
          </w:tcPr>
          <w:p w14:paraId="2EA36B8C">
            <w:pPr>
              <w:widowControl/>
              <w:spacing w:line="440" w:lineRule="exact"/>
              <w:jc w:val="left"/>
              <w:rPr>
                <w:rFonts w:ascii="宋体" w:hAnsi="宋体" w:cs="宋体"/>
                <w:color w:val="auto"/>
                <w:szCs w:val="21"/>
                <w:highlight w:val="none"/>
              </w:rPr>
            </w:pPr>
            <w:r>
              <w:rPr>
                <w:rFonts w:hint="eastAsia" w:ascii="宋体" w:hAnsi="宋体" w:cs="宋体"/>
                <w:color w:val="auto"/>
                <w:szCs w:val="21"/>
                <w:highlight w:val="none"/>
              </w:rPr>
              <w:t>管理专项检查</w:t>
            </w:r>
          </w:p>
        </w:tc>
        <w:tc>
          <w:tcPr>
            <w:tcW w:w="540" w:type="dxa"/>
            <w:tcBorders>
              <w:top w:val="single" w:color="auto" w:sz="6" w:space="0"/>
              <w:left w:val="single" w:color="auto" w:sz="6" w:space="0"/>
              <w:bottom w:val="single" w:color="auto" w:sz="6" w:space="0"/>
              <w:right w:val="single" w:color="auto" w:sz="6" w:space="0"/>
            </w:tcBorders>
            <w:noWrap w:val="0"/>
            <w:vAlign w:val="center"/>
          </w:tcPr>
          <w:p w14:paraId="2DEA883B">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八</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6E121387">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水肥管理（10分）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16128DC2">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1.春冬两季（每年2-4月和10-12月），管养绿地全面施肥至少各一次，每年1月和9月的10日前报送春、冬季施肥工作计划。</w:t>
            </w:r>
          </w:p>
          <w:p w14:paraId="20BA7E8D">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2.旱季（9-12月），根据实际情况对管养绿地开展大面积淋水抗旱工作；每年8月30日前，及时上交淋水抗旱工作计划。</w:t>
            </w:r>
          </w:p>
          <w:p w14:paraId="35E8C405">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3.其余月份视情况合理施肥和淋水，保证植物正常生长。</w:t>
            </w:r>
          </w:p>
          <w:p w14:paraId="2EB53D7B">
            <w:pPr>
              <w:autoSpaceDE w:val="0"/>
              <w:autoSpaceDN w:val="0"/>
              <w:spacing w:line="360" w:lineRule="exact"/>
              <w:rPr>
                <w:rFonts w:ascii="宋体" w:hAnsi="宋体" w:cs="宋体"/>
                <w:color w:val="auto"/>
                <w:szCs w:val="21"/>
                <w:highlight w:val="none"/>
              </w:rPr>
            </w:pPr>
          </w:p>
        </w:tc>
        <w:tc>
          <w:tcPr>
            <w:tcW w:w="3305" w:type="dxa"/>
            <w:tcBorders>
              <w:top w:val="single" w:color="auto" w:sz="6" w:space="0"/>
              <w:left w:val="single" w:color="auto" w:sz="6" w:space="0"/>
              <w:bottom w:val="single" w:color="auto" w:sz="6" w:space="0"/>
              <w:right w:val="single" w:color="auto" w:sz="6" w:space="0"/>
            </w:tcBorders>
            <w:noWrap w:val="0"/>
            <w:vAlign w:val="top"/>
          </w:tcPr>
          <w:p w14:paraId="6007C4B9">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1.不按要求上交施肥或淋水计划的，每次扣1分；春冬两季（每年2-4月和10-12月）未按施肥计划全面施肥，每少一次在4月或12月扣10分。</w:t>
            </w:r>
          </w:p>
          <w:p w14:paraId="29616D65">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2.未及时施肥或抗旱淋水导致植物生长不良或萎蔫每株（平方米）扣0.2分；因施肥不当或不按管理人员技术指导导致肥害，影响植物生长的每株（平方米）扣0.5分，造成植株死亡的每株（平方米）扣2分；因淋水或抗旱工作不及时导致乔灌木10株以上、草坪100平方米以上出现缺水枯萎现象的每次扣5分；因施肥不及时导致乔灌木20株以上、草坪200平方米以上出现缺肥长势不良现象的每次扣10分。</w:t>
            </w:r>
          </w:p>
        </w:tc>
      </w:tr>
      <w:tr w14:paraId="03F2250F">
        <w:tblPrEx>
          <w:tblCellMar>
            <w:top w:w="0" w:type="dxa"/>
            <w:left w:w="108" w:type="dxa"/>
            <w:bottom w:w="0" w:type="dxa"/>
            <w:right w:w="108" w:type="dxa"/>
          </w:tblCellMar>
        </w:tblPrEx>
        <w:trPr>
          <w:trHeight w:val="20" w:hRule="atLeast"/>
        </w:trPr>
        <w:tc>
          <w:tcPr>
            <w:tcW w:w="555" w:type="dxa"/>
            <w:vMerge w:val="continue"/>
            <w:tcBorders>
              <w:left w:val="single" w:color="auto" w:sz="6" w:space="0"/>
              <w:right w:val="single" w:color="auto" w:sz="6" w:space="0"/>
            </w:tcBorders>
            <w:noWrap w:val="0"/>
            <w:vAlign w:val="center"/>
          </w:tcPr>
          <w:p w14:paraId="2F8CFBBD">
            <w:pPr>
              <w:widowControl/>
              <w:spacing w:line="440" w:lineRule="exact"/>
              <w:jc w:val="left"/>
              <w:rPr>
                <w:rFonts w:ascii="宋体" w:hAnsi="宋体" w:cs="宋体"/>
                <w:color w:val="auto"/>
                <w:szCs w:val="21"/>
                <w:highlight w:val="non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14:paraId="5F834A02">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九</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6295632C">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病虫害防治专项（10分）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41F420A9">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进场后30日内报送蛀干害虫、白蚁、红火蚁等害虫的专项防治方案，按通知要求报送“灭四害”或其它临时病虫害防治专项计划，并按计划实施</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5FF5FD75">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不按时报送病虫害防治专项计划每项扣1分；蛀干害虫、白蚁、红火蚁等防治不及时导致植物生长不良、枯黄萎蔫每株（平方米）扣1分，死亡的每株（平方米）扣2分；绿地发现蚁窝、鼠洞、蜂巢、活鼠等每处（只）扣0.2分；农药使用不当或不按管理人员技术指导使用导致植物产生药害，每株（平方米）扣1分。</w:t>
            </w:r>
          </w:p>
        </w:tc>
      </w:tr>
      <w:tr w14:paraId="6D7EB427">
        <w:tblPrEx>
          <w:tblCellMar>
            <w:top w:w="0" w:type="dxa"/>
            <w:left w:w="108" w:type="dxa"/>
            <w:bottom w:w="0" w:type="dxa"/>
            <w:right w:w="108" w:type="dxa"/>
          </w:tblCellMar>
        </w:tblPrEx>
        <w:trPr>
          <w:trHeight w:val="20" w:hRule="atLeast"/>
        </w:trPr>
        <w:tc>
          <w:tcPr>
            <w:tcW w:w="555" w:type="dxa"/>
            <w:vMerge w:val="continue"/>
            <w:tcBorders>
              <w:left w:val="single" w:color="auto" w:sz="6" w:space="0"/>
              <w:bottom w:val="single" w:color="auto" w:sz="4" w:space="0"/>
              <w:right w:val="single" w:color="auto" w:sz="6" w:space="0"/>
            </w:tcBorders>
            <w:noWrap w:val="0"/>
            <w:vAlign w:val="top"/>
          </w:tcPr>
          <w:p w14:paraId="2E3238AD">
            <w:pPr>
              <w:autoSpaceDE w:val="0"/>
              <w:autoSpaceDN w:val="0"/>
              <w:spacing w:line="440" w:lineRule="exact"/>
              <w:rPr>
                <w:rFonts w:ascii="宋体" w:hAnsi="宋体" w:cs="宋体"/>
                <w:color w:val="auto"/>
                <w:szCs w:val="21"/>
                <w:highlight w:val="none"/>
              </w:rPr>
            </w:pPr>
          </w:p>
        </w:tc>
        <w:tc>
          <w:tcPr>
            <w:tcW w:w="540" w:type="dxa"/>
            <w:tcBorders>
              <w:top w:val="single" w:color="auto" w:sz="6" w:space="0"/>
              <w:left w:val="single" w:color="auto" w:sz="6" w:space="0"/>
              <w:bottom w:val="single" w:color="auto" w:sz="6" w:space="0"/>
              <w:right w:val="single" w:color="auto" w:sz="6" w:space="0"/>
            </w:tcBorders>
            <w:noWrap w:val="0"/>
            <w:vAlign w:val="center"/>
          </w:tcPr>
          <w:p w14:paraId="66C13C13">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十</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6B4A3AC4">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灾害应对专项（10分）</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079F10AD">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按要求制定灾害应急预案，对出现台风预警、长时间低温、长时间干旱、洪涝等极端恶劣天气灾害的应对措施及时有效。</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37770C5F">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不按要求报送灾害应急预案的每次扣1分；应对措施不及时，视情节轻重扣2-10分。</w:t>
            </w:r>
          </w:p>
        </w:tc>
      </w:tr>
      <w:tr w14:paraId="71281B3F">
        <w:tblPrEx>
          <w:tblCellMar>
            <w:top w:w="0" w:type="dxa"/>
            <w:left w:w="108" w:type="dxa"/>
            <w:bottom w:w="0" w:type="dxa"/>
            <w:right w:w="108" w:type="dxa"/>
          </w:tblCellMar>
        </w:tblPrEx>
        <w:trPr>
          <w:trHeight w:val="20" w:hRule="atLeast"/>
        </w:trPr>
        <w:tc>
          <w:tcPr>
            <w:tcW w:w="555" w:type="dxa"/>
            <w:tcBorders>
              <w:top w:val="single" w:color="auto" w:sz="4" w:space="0"/>
              <w:left w:val="single" w:color="auto" w:sz="6" w:space="0"/>
              <w:bottom w:val="single" w:color="auto" w:sz="4" w:space="0"/>
              <w:right w:val="single" w:color="auto" w:sz="6" w:space="0"/>
            </w:tcBorders>
            <w:noWrap w:val="0"/>
            <w:vAlign w:val="top"/>
          </w:tcPr>
          <w:p w14:paraId="0F8F4C09">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活</w:t>
            </w:r>
          </w:p>
          <w:p w14:paraId="31FC4E97">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动</w:t>
            </w:r>
          </w:p>
          <w:p w14:paraId="051D8649">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专</w:t>
            </w:r>
          </w:p>
          <w:p w14:paraId="5A5A2C64">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项</w:t>
            </w:r>
          </w:p>
          <w:p w14:paraId="04DAA961">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考</w:t>
            </w:r>
          </w:p>
          <w:p w14:paraId="1194B832">
            <w:pPr>
              <w:autoSpaceDE w:val="0"/>
              <w:autoSpaceDN w:val="0"/>
              <w:spacing w:line="440" w:lineRule="exact"/>
              <w:rPr>
                <w:rFonts w:ascii="宋体" w:hAnsi="宋体" w:cs="宋体"/>
                <w:color w:val="auto"/>
                <w:szCs w:val="21"/>
                <w:highlight w:val="none"/>
              </w:rPr>
            </w:pPr>
            <w:r>
              <w:rPr>
                <w:rFonts w:hint="eastAsia" w:ascii="宋体" w:hAnsi="宋体" w:cs="宋体"/>
                <w:color w:val="auto"/>
                <w:szCs w:val="21"/>
                <w:highlight w:val="none"/>
              </w:rPr>
              <w:t>评</w:t>
            </w:r>
          </w:p>
        </w:tc>
        <w:tc>
          <w:tcPr>
            <w:tcW w:w="540" w:type="dxa"/>
            <w:tcBorders>
              <w:top w:val="single" w:color="auto" w:sz="6" w:space="0"/>
              <w:left w:val="single" w:color="auto" w:sz="6" w:space="0"/>
              <w:bottom w:val="single" w:color="auto" w:sz="4" w:space="0"/>
              <w:right w:val="single" w:color="auto" w:sz="6" w:space="0"/>
            </w:tcBorders>
            <w:noWrap w:val="0"/>
            <w:vAlign w:val="center"/>
          </w:tcPr>
          <w:p w14:paraId="3B743C5C">
            <w:pPr>
              <w:autoSpaceDE w:val="0"/>
              <w:autoSpaceDN w:val="0"/>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十一</w:t>
            </w:r>
          </w:p>
        </w:tc>
        <w:tc>
          <w:tcPr>
            <w:tcW w:w="1980" w:type="dxa"/>
            <w:tcBorders>
              <w:top w:val="single" w:color="auto" w:sz="6" w:space="0"/>
              <w:left w:val="single" w:color="auto" w:sz="6" w:space="0"/>
              <w:bottom w:val="single" w:color="auto" w:sz="6" w:space="0"/>
              <w:right w:val="single" w:color="auto" w:sz="6" w:space="0"/>
            </w:tcBorders>
            <w:noWrap w:val="0"/>
            <w:vAlign w:val="center"/>
          </w:tcPr>
          <w:p w14:paraId="02D87D40">
            <w:pPr>
              <w:autoSpaceDE w:val="0"/>
              <w:autoSpaceDN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“创文明城”“创卫生城”“美丽南宁”等系列行动等国家级、区级、市级等活动</w:t>
            </w:r>
          </w:p>
        </w:tc>
        <w:tc>
          <w:tcPr>
            <w:tcW w:w="3600" w:type="dxa"/>
            <w:tcBorders>
              <w:top w:val="single" w:color="auto" w:sz="6" w:space="0"/>
              <w:left w:val="single" w:color="auto" w:sz="6" w:space="0"/>
              <w:bottom w:val="single" w:color="auto" w:sz="6" w:space="0"/>
              <w:right w:val="single" w:color="auto" w:sz="6" w:space="0"/>
            </w:tcBorders>
            <w:noWrap w:val="0"/>
            <w:vAlign w:val="top"/>
          </w:tcPr>
          <w:p w14:paraId="74250E75">
            <w:pPr>
              <w:autoSpaceDE w:val="0"/>
              <w:autoSpaceDN w:val="0"/>
              <w:spacing w:line="360" w:lineRule="exact"/>
              <w:rPr>
                <w:rFonts w:ascii="宋体" w:hAnsi="宋体" w:cs="宋体"/>
                <w:color w:val="auto"/>
                <w:szCs w:val="21"/>
                <w:highlight w:val="none"/>
              </w:rPr>
            </w:pPr>
            <w:r>
              <w:rPr>
                <w:rFonts w:hint="eastAsia" w:ascii="宋体" w:hAnsi="宋体" w:cs="宋体"/>
                <w:color w:val="auto"/>
                <w:szCs w:val="21"/>
                <w:highlight w:val="none"/>
              </w:rPr>
              <w:t>配合公园做好重大活动、公共节假日的突击检查和迎检工作；做好“美丽南宁.整洁畅通有序大行动”“创文明城市”“创卫生城”等国家级、区级、市级等活动的迎检工作。</w:t>
            </w:r>
          </w:p>
        </w:tc>
        <w:tc>
          <w:tcPr>
            <w:tcW w:w="3305" w:type="dxa"/>
            <w:tcBorders>
              <w:top w:val="single" w:color="auto" w:sz="6" w:space="0"/>
              <w:left w:val="single" w:color="auto" w:sz="6" w:space="0"/>
              <w:bottom w:val="single" w:color="auto" w:sz="6" w:space="0"/>
              <w:right w:val="single" w:color="auto" w:sz="6" w:space="0"/>
            </w:tcBorders>
            <w:noWrap w:val="0"/>
            <w:vAlign w:val="top"/>
          </w:tcPr>
          <w:p w14:paraId="18EF2D8F">
            <w:pPr>
              <w:autoSpaceDE w:val="0"/>
              <w:autoSpaceDN w:val="0"/>
              <w:spacing w:line="360" w:lineRule="exact"/>
              <w:rPr>
                <w:rFonts w:ascii="宋体" w:hAnsi="宋体" w:cs="宋体"/>
                <w:color w:val="auto"/>
                <w:szCs w:val="21"/>
                <w:highlight w:val="none"/>
              </w:rPr>
            </w:pPr>
            <w:r>
              <w:rPr>
                <w:rFonts w:hint="eastAsia" w:ascii="宋体" w:hAnsi="宋体" w:cs="宋体"/>
                <w:color w:val="auto"/>
                <w:kern w:val="0"/>
                <w:szCs w:val="21"/>
                <w:highlight w:val="none"/>
                <w:lang w:val="en-US" w:eastAsia="zh-CN" w:bidi="ar"/>
              </w:rPr>
              <w:t>在各项迎接工作中</w:t>
            </w:r>
            <w:r>
              <w:rPr>
                <w:rFonts w:hint="eastAsia" w:ascii="宋体" w:hAnsi="宋体" w:cs="宋体"/>
                <w:color w:val="auto"/>
                <w:kern w:val="0"/>
                <w:szCs w:val="21"/>
                <w:highlight w:val="none"/>
                <w:lang w:bidi="ar"/>
              </w:rPr>
              <w:t>，因岗位工作不到位在迎检工作中被上级部门扣分的，按被扣分项相应分值的二倍进行扣分，扣分不设上限，每扣0.1分扣除服务费50元。若被上级通报并无具体扣分分值的按案件数直接扣款，自治区级以上检查每个案件按照1000元/件，市级检查每个案件按照500元/件，城区、主管局检查每个案件按照100元/件</w:t>
            </w:r>
            <w:r>
              <w:rPr>
                <w:rFonts w:hint="eastAsia" w:ascii="宋体" w:hAnsi="宋体" w:cs="宋体"/>
                <w:color w:val="auto"/>
                <w:szCs w:val="21"/>
                <w:highlight w:val="none"/>
              </w:rPr>
              <w:t>。</w:t>
            </w:r>
          </w:p>
        </w:tc>
      </w:tr>
    </w:tbl>
    <w:p w14:paraId="785C1D5D">
      <w:pPr>
        <w:spacing w:line="440" w:lineRule="exact"/>
        <w:ind w:left="720" w:hanging="720" w:hangingChars="300"/>
        <w:rPr>
          <w:rFonts w:ascii="宋体" w:hAnsi="宋体" w:cs="宋体"/>
          <w:color w:val="auto"/>
          <w:sz w:val="24"/>
          <w:highlight w:val="none"/>
        </w:rPr>
      </w:pPr>
      <w:r>
        <w:rPr>
          <w:rFonts w:hint="eastAsia" w:ascii="宋体" w:hAnsi="宋体" w:cs="宋体"/>
          <w:color w:val="auto"/>
          <w:sz w:val="24"/>
          <w:highlight w:val="none"/>
        </w:rPr>
        <w:t>说明：1.月度检查发现的问题不在本表范围内的，参照《南宁市花卉公园绿化养护日常检查评分标准》进行扣分。</w:t>
      </w:r>
    </w:p>
    <w:p w14:paraId="0004B6FB">
      <w:pPr>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2.月度检查各项扣分不设上限。</w:t>
      </w:r>
    </w:p>
    <w:p w14:paraId="4C60EF66">
      <w:pPr>
        <w:spacing w:line="440" w:lineRule="exact"/>
        <w:ind w:left="990" w:leftChars="357" w:hanging="240" w:hangingChars="100"/>
        <w:rPr>
          <w:rFonts w:ascii="宋体" w:hAnsi="宋体" w:cs="宋体"/>
          <w:color w:val="auto"/>
          <w:sz w:val="24"/>
          <w:highlight w:val="none"/>
        </w:rPr>
      </w:pPr>
      <w:r>
        <w:rPr>
          <w:rFonts w:hint="eastAsia" w:ascii="宋体" w:hAnsi="宋体" w:cs="宋体"/>
          <w:color w:val="auto"/>
          <w:sz w:val="24"/>
          <w:highlight w:val="none"/>
        </w:rPr>
        <w:t>3.检查人员对发现问题予以扣分，对扣分项中标单位应在限期内整改，整改期限后仍出现问题的，可再次扣罚，并可加倍扣罚。</w:t>
      </w:r>
    </w:p>
    <w:p w14:paraId="7D5FBE47">
      <w:pPr>
        <w:spacing w:line="440" w:lineRule="exact"/>
        <w:ind w:left="990" w:leftChars="357" w:hanging="240" w:hangingChars="100"/>
        <w:rPr>
          <w:rFonts w:ascii="宋体" w:hAnsi="宋体" w:cs="宋体"/>
          <w:color w:val="auto"/>
          <w:sz w:val="24"/>
          <w:highlight w:val="none"/>
        </w:rPr>
      </w:pPr>
      <w:r>
        <w:rPr>
          <w:rFonts w:hint="eastAsia" w:ascii="宋体" w:hAnsi="宋体" w:cs="宋体"/>
          <w:color w:val="auto"/>
          <w:sz w:val="24"/>
          <w:highlight w:val="none"/>
        </w:rPr>
        <w:t>4.整改期限参照日常检查整改期限规定</w:t>
      </w:r>
    </w:p>
    <w:p w14:paraId="0BDFE61A">
      <w:pPr>
        <w:spacing w:line="440" w:lineRule="exact"/>
        <w:rPr>
          <w:rFonts w:ascii="宋体" w:hAnsi="宋体" w:cs="宋体"/>
          <w:b/>
          <w:bCs/>
          <w:color w:val="auto"/>
          <w:sz w:val="24"/>
          <w:highlight w:val="none"/>
        </w:rPr>
      </w:pPr>
    </w:p>
    <w:p w14:paraId="13D7ABAC">
      <w:pPr>
        <w:spacing w:line="400" w:lineRule="exact"/>
        <w:jc w:val="left"/>
        <w:outlineLvl w:val="9"/>
        <w:rPr>
          <w:rFonts w:hint="default" w:ascii="宋体" w:hAnsi="Courier New" w:eastAsia="宋体"/>
          <w:b/>
          <w:bCs/>
          <w:color w:val="auto"/>
          <w:sz w:val="24"/>
          <w:szCs w:val="20"/>
          <w:highlight w:val="none"/>
          <w:lang w:val="en-US" w:eastAsia="zh-CN"/>
        </w:rPr>
      </w:pPr>
      <w:r>
        <w:rPr>
          <w:rFonts w:ascii="宋体" w:hAnsi="Courier New"/>
          <w:b/>
          <w:bCs/>
          <w:color w:val="auto"/>
          <w:sz w:val="24"/>
          <w:szCs w:val="20"/>
          <w:highlight w:val="none"/>
        </w:rPr>
        <w:br w:type="page"/>
      </w:r>
      <w:r>
        <w:rPr>
          <w:rFonts w:hint="eastAsia" w:ascii="宋体" w:hAnsi="Courier New"/>
          <w:b/>
          <w:bCs/>
          <w:color w:val="auto"/>
          <w:sz w:val="24"/>
          <w:szCs w:val="20"/>
          <w:highlight w:val="none"/>
        </w:rPr>
        <w:t>附件</w:t>
      </w:r>
      <w:r>
        <w:rPr>
          <w:rFonts w:hint="eastAsia" w:ascii="宋体" w:hAnsi="Courier New"/>
          <w:b/>
          <w:bCs/>
          <w:color w:val="auto"/>
          <w:sz w:val="24"/>
          <w:szCs w:val="20"/>
          <w:highlight w:val="none"/>
          <w:lang w:val="en-US" w:eastAsia="zh-CN"/>
        </w:rPr>
        <w:t>5-2-4-1</w:t>
      </w:r>
    </w:p>
    <w:p w14:paraId="4F60B446">
      <w:pPr>
        <w:spacing w:line="400" w:lineRule="exact"/>
        <w:jc w:val="center"/>
        <w:rPr>
          <w:rFonts w:ascii="宋体" w:hAnsi="Courier New"/>
          <w:b/>
          <w:bCs/>
          <w:color w:val="auto"/>
          <w:sz w:val="24"/>
          <w:szCs w:val="20"/>
          <w:highlight w:val="none"/>
        </w:rPr>
      </w:pPr>
      <w:r>
        <w:rPr>
          <w:rFonts w:hint="eastAsia" w:ascii="宋体" w:hAnsi="Courier New"/>
          <w:b/>
          <w:bCs/>
          <w:color w:val="auto"/>
          <w:sz w:val="24"/>
          <w:szCs w:val="20"/>
          <w:highlight w:val="none"/>
        </w:rPr>
        <w:t>南宁市花卉公园绿化养护月度检查评分表</w:t>
      </w:r>
    </w:p>
    <w:p w14:paraId="54762C38">
      <w:pPr>
        <w:spacing w:line="280" w:lineRule="exact"/>
        <w:ind w:firstLine="330" w:firstLineChars="150"/>
        <w:rPr>
          <w:rFonts w:ascii="宋体" w:hAnsi="Courier New"/>
          <w:color w:val="auto"/>
          <w:sz w:val="22"/>
          <w:szCs w:val="20"/>
          <w:highlight w:val="none"/>
        </w:rPr>
      </w:pPr>
    </w:p>
    <w:p w14:paraId="58E354F4">
      <w:pPr>
        <w:spacing w:line="280" w:lineRule="exact"/>
        <w:jc w:val="left"/>
        <w:rPr>
          <w:rFonts w:ascii="宋体" w:hAnsi="Courier New"/>
          <w:color w:val="auto"/>
          <w:sz w:val="22"/>
          <w:szCs w:val="20"/>
          <w:highlight w:val="none"/>
        </w:rPr>
      </w:pPr>
      <w:r>
        <w:rPr>
          <w:rFonts w:hint="eastAsia" w:ascii="宋体" w:hAnsi="Courier New"/>
          <w:color w:val="auto"/>
          <w:szCs w:val="20"/>
          <w:highlight w:val="none"/>
        </w:rPr>
        <w:t xml:space="preserve">项目编号：            养护单位：                      </w:t>
      </w:r>
      <w:r>
        <w:rPr>
          <w:rFonts w:hint="eastAsia" w:ascii="宋体" w:hAnsi="Courier New"/>
          <w:color w:val="auto"/>
          <w:szCs w:val="20"/>
          <w:highlight w:val="none"/>
          <w:lang w:eastAsia="zh-CN"/>
        </w:rPr>
        <w:t>提交服务成果时间</w:t>
      </w:r>
      <w:r>
        <w:rPr>
          <w:rFonts w:hint="eastAsia" w:ascii="宋体" w:hAnsi="Courier New"/>
          <w:color w:val="auto"/>
          <w:szCs w:val="20"/>
          <w:highlight w:val="none"/>
        </w:rPr>
        <w:t>：</w:t>
      </w:r>
      <w:r>
        <w:rPr>
          <w:rFonts w:hint="eastAsia" w:ascii="宋体" w:hAnsi="Courier New"/>
          <w:color w:val="auto"/>
          <w:sz w:val="22"/>
          <w:szCs w:val="20"/>
          <w:highlight w:val="none"/>
        </w:rPr>
        <w:t xml:space="preserve">                   </w:t>
      </w:r>
    </w:p>
    <w:tbl>
      <w:tblPr>
        <w:tblStyle w:val="22"/>
        <w:tblW w:w="9680" w:type="dxa"/>
        <w:tblInd w:w="-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698"/>
        <w:gridCol w:w="2738"/>
        <w:gridCol w:w="713"/>
        <w:gridCol w:w="2547"/>
        <w:gridCol w:w="992"/>
        <w:gridCol w:w="461"/>
      </w:tblGrid>
      <w:tr w14:paraId="1495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31" w:type="dxa"/>
            <w:noWrap w:val="0"/>
            <w:vAlign w:val="top"/>
          </w:tcPr>
          <w:p w14:paraId="3778FFEE">
            <w:pPr>
              <w:rPr>
                <w:rFonts w:ascii="宋体" w:hAnsi="Courier New"/>
                <w:bCs/>
                <w:color w:val="auto"/>
                <w:szCs w:val="20"/>
                <w:highlight w:val="none"/>
              </w:rPr>
            </w:pPr>
            <w:r>
              <w:rPr>
                <w:rFonts w:hint="eastAsia" w:ascii="宋体" w:hAnsi="Courier New"/>
                <w:bCs/>
                <w:color w:val="auto"/>
                <w:szCs w:val="20"/>
                <w:highlight w:val="none"/>
              </w:rPr>
              <w:t>序号</w:t>
            </w:r>
          </w:p>
        </w:tc>
        <w:tc>
          <w:tcPr>
            <w:tcW w:w="1698" w:type="dxa"/>
            <w:noWrap w:val="0"/>
            <w:vAlign w:val="center"/>
          </w:tcPr>
          <w:p w14:paraId="2F6E57E6">
            <w:pPr>
              <w:jc w:val="center"/>
              <w:rPr>
                <w:rFonts w:ascii="宋体" w:hAnsi="Courier New"/>
                <w:bCs/>
                <w:color w:val="auto"/>
                <w:szCs w:val="20"/>
                <w:highlight w:val="none"/>
              </w:rPr>
            </w:pPr>
            <w:r>
              <w:rPr>
                <w:rFonts w:hint="eastAsia" w:ascii="宋体" w:hAnsi="Courier New"/>
                <w:bCs/>
                <w:color w:val="auto"/>
                <w:szCs w:val="20"/>
                <w:highlight w:val="none"/>
              </w:rPr>
              <w:t>考核内容</w:t>
            </w:r>
          </w:p>
        </w:tc>
        <w:tc>
          <w:tcPr>
            <w:tcW w:w="3451" w:type="dxa"/>
            <w:gridSpan w:val="2"/>
            <w:noWrap w:val="0"/>
            <w:vAlign w:val="center"/>
          </w:tcPr>
          <w:p w14:paraId="2623B1B4">
            <w:pPr>
              <w:jc w:val="center"/>
              <w:rPr>
                <w:rFonts w:ascii="宋体" w:hAnsi="Courier New"/>
                <w:bCs/>
                <w:color w:val="auto"/>
                <w:szCs w:val="20"/>
                <w:highlight w:val="none"/>
              </w:rPr>
            </w:pPr>
            <w:r>
              <w:rPr>
                <w:rFonts w:hint="eastAsia" w:ascii="宋体" w:hAnsi="Courier New"/>
                <w:bCs/>
                <w:color w:val="auto"/>
                <w:szCs w:val="20"/>
                <w:highlight w:val="none"/>
              </w:rPr>
              <w:t>评分细则</w:t>
            </w:r>
          </w:p>
        </w:tc>
        <w:tc>
          <w:tcPr>
            <w:tcW w:w="2547" w:type="dxa"/>
            <w:noWrap w:val="0"/>
            <w:vAlign w:val="center"/>
          </w:tcPr>
          <w:p w14:paraId="77BA5123">
            <w:pPr>
              <w:jc w:val="center"/>
              <w:rPr>
                <w:rFonts w:ascii="宋体" w:hAnsi="Courier New"/>
                <w:bCs/>
                <w:color w:val="auto"/>
                <w:szCs w:val="20"/>
                <w:highlight w:val="none"/>
              </w:rPr>
            </w:pPr>
            <w:r>
              <w:rPr>
                <w:rFonts w:hint="eastAsia" w:ascii="宋体" w:hAnsi="Courier New"/>
                <w:bCs/>
                <w:color w:val="auto"/>
                <w:szCs w:val="20"/>
                <w:highlight w:val="none"/>
              </w:rPr>
              <w:t>存在问题</w:t>
            </w:r>
          </w:p>
        </w:tc>
        <w:tc>
          <w:tcPr>
            <w:tcW w:w="992" w:type="dxa"/>
            <w:noWrap w:val="0"/>
            <w:vAlign w:val="center"/>
          </w:tcPr>
          <w:p w14:paraId="104073A2">
            <w:pPr>
              <w:jc w:val="center"/>
              <w:rPr>
                <w:rFonts w:ascii="宋体" w:hAnsi="Courier New"/>
                <w:bCs/>
                <w:color w:val="auto"/>
                <w:szCs w:val="20"/>
                <w:highlight w:val="none"/>
              </w:rPr>
            </w:pPr>
            <w:r>
              <w:rPr>
                <w:rFonts w:hint="eastAsia" w:ascii="宋体" w:hAnsi="Courier New"/>
                <w:bCs/>
                <w:color w:val="auto"/>
                <w:szCs w:val="20"/>
                <w:highlight w:val="none"/>
              </w:rPr>
              <w:t>扣分</w:t>
            </w:r>
          </w:p>
        </w:tc>
        <w:tc>
          <w:tcPr>
            <w:tcW w:w="461" w:type="dxa"/>
            <w:noWrap w:val="0"/>
            <w:vAlign w:val="top"/>
          </w:tcPr>
          <w:p w14:paraId="58C9F85B">
            <w:pPr>
              <w:rPr>
                <w:rFonts w:ascii="宋体" w:hAnsi="Courier New"/>
                <w:bCs/>
                <w:color w:val="auto"/>
                <w:szCs w:val="20"/>
                <w:highlight w:val="none"/>
              </w:rPr>
            </w:pPr>
            <w:r>
              <w:rPr>
                <w:rFonts w:hint="eastAsia" w:ascii="宋体" w:hAnsi="Courier New"/>
                <w:bCs/>
                <w:color w:val="auto"/>
                <w:szCs w:val="20"/>
                <w:highlight w:val="none"/>
              </w:rPr>
              <w:t>备注</w:t>
            </w:r>
          </w:p>
        </w:tc>
      </w:tr>
      <w:tr w14:paraId="4BA4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31" w:type="dxa"/>
            <w:noWrap w:val="0"/>
            <w:vAlign w:val="top"/>
          </w:tcPr>
          <w:p w14:paraId="591ABD16">
            <w:pPr>
              <w:rPr>
                <w:rFonts w:ascii="宋体" w:hAnsi="Courier New"/>
                <w:b/>
                <w:bCs/>
                <w:color w:val="auto"/>
                <w:sz w:val="20"/>
                <w:szCs w:val="20"/>
                <w:highlight w:val="none"/>
              </w:rPr>
            </w:pPr>
            <w:r>
              <w:rPr>
                <w:rFonts w:hint="eastAsia" w:ascii="宋体" w:hAnsi="Courier New"/>
                <w:b/>
                <w:bCs/>
                <w:color w:val="auto"/>
                <w:sz w:val="20"/>
                <w:szCs w:val="20"/>
                <w:highlight w:val="none"/>
              </w:rPr>
              <w:t>1</w:t>
            </w:r>
          </w:p>
        </w:tc>
        <w:tc>
          <w:tcPr>
            <w:tcW w:w="1698" w:type="dxa"/>
            <w:noWrap w:val="0"/>
            <w:vAlign w:val="top"/>
          </w:tcPr>
          <w:p w14:paraId="3D0470D1">
            <w:pPr>
              <w:rPr>
                <w:rFonts w:ascii="宋体" w:hAnsi="Courier New"/>
                <w:color w:val="auto"/>
                <w:sz w:val="20"/>
                <w:szCs w:val="20"/>
                <w:highlight w:val="none"/>
              </w:rPr>
            </w:pPr>
          </w:p>
        </w:tc>
        <w:tc>
          <w:tcPr>
            <w:tcW w:w="3451" w:type="dxa"/>
            <w:gridSpan w:val="2"/>
            <w:noWrap w:val="0"/>
            <w:vAlign w:val="top"/>
          </w:tcPr>
          <w:p w14:paraId="15EAF80A">
            <w:pPr>
              <w:rPr>
                <w:rFonts w:ascii="宋体" w:hAnsi="Courier New"/>
                <w:color w:val="auto"/>
                <w:sz w:val="20"/>
                <w:szCs w:val="20"/>
                <w:highlight w:val="none"/>
              </w:rPr>
            </w:pPr>
          </w:p>
        </w:tc>
        <w:tc>
          <w:tcPr>
            <w:tcW w:w="2547" w:type="dxa"/>
            <w:noWrap/>
            <w:vAlign w:val="top"/>
          </w:tcPr>
          <w:p w14:paraId="74128842">
            <w:pPr>
              <w:rPr>
                <w:rFonts w:ascii="宋体" w:hAnsi="Courier New"/>
                <w:color w:val="auto"/>
                <w:sz w:val="20"/>
                <w:szCs w:val="20"/>
                <w:highlight w:val="none"/>
              </w:rPr>
            </w:pPr>
            <w:r>
              <w:rPr>
                <w:rFonts w:hint="eastAsia" w:ascii="宋体" w:hAnsi="Courier New"/>
                <w:color w:val="auto"/>
                <w:sz w:val="20"/>
                <w:szCs w:val="20"/>
                <w:highlight w:val="none"/>
              </w:rPr>
              <w:t>　</w:t>
            </w:r>
          </w:p>
        </w:tc>
        <w:tc>
          <w:tcPr>
            <w:tcW w:w="992" w:type="dxa"/>
            <w:noWrap/>
            <w:vAlign w:val="top"/>
          </w:tcPr>
          <w:p w14:paraId="1B710D6C">
            <w:pPr>
              <w:rPr>
                <w:rFonts w:ascii="宋体" w:hAnsi="Courier New"/>
                <w:color w:val="auto"/>
                <w:sz w:val="20"/>
                <w:szCs w:val="20"/>
                <w:highlight w:val="none"/>
              </w:rPr>
            </w:pPr>
            <w:r>
              <w:rPr>
                <w:rFonts w:hint="eastAsia" w:ascii="宋体" w:hAnsi="Courier New"/>
                <w:color w:val="auto"/>
                <w:sz w:val="20"/>
                <w:szCs w:val="20"/>
                <w:highlight w:val="none"/>
              </w:rPr>
              <w:t>　</w:t>
            </w:r>
          </w:p>
        </w:tc>
        <w:tc>
          <w:tcPr>
            <w:tcW w:w="461" w:type="dxa"/>
            <w:noWrap/>
            <w:vAlign w:val="top"/>
          </w:tcPr>
          <w:p w14:paraId="0286073F">
            <w:pPr>
              <w:rPr>
                <w:rFonts w:ascii="宋体" w:hAnsi="Courier New"/>
                <w:color w:val="auto"/>
                <w:sz w:val="20"/>
                <w:szCs w:val="20"/>
                <w:highlight w:val="none"/>
              </w:rPr>
            </w:pPr>
            <w:r>
              <w:rPr>
                <w:rFonts w:hint="eastAsia" w:ascii="宋体" w:hAnsi="Courier New"/>
                <w:color w:val="auto"/>
                <w:sz w:val="20"/>
                <w:szCs w:val="20"/>
                <w:highlight w:val="none"/>
              </w:rPr>
              <w:t>　</w:t>
            </w:r>
          </w:p>
        </w:tc>
      </w:tr>
      <w:tr w14:paraId="66E4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31" w:type="dxa"/>
            <w:noWrap w:val="0"/>
            <w:vAlign w:val="top"/>
          </w:tcPr>
          <w:p w14:paraId="423AAC69">
            <w:pPr>
              <w:rPr>
                <w:rFonts w:ascii="宋体" w:hAnsi="Courier New"/>
                <w:b/>
                <w:bCs/>
                <w:color w:val="auto"/>
                <w:sz w:val="20"/>
                <w:szCs w:val="20"/>
                <w:highlight w:val="none"/>
              </w:rPr>
            </w:pPr>
            <w:r>
              <w:rPr>
                <w:rFonts w:hint="eastAsia" w:ascii="宋体" w:hAnsi="Courier New"/>
                <w:b/>
                <w:bCs/>
                <w:color w:val="auto"/>
                <w:sz w:val="20"/>
                <w:szCs w:val="20"/>
                <w:highlight w:val="none"/>
              </w:rPr>
              <w:t>2</w:t>
            </w:r>
          </w:p>
        </w:tc>
        <w:tc>
          <w:tcPr>
            <w:tcW w:w="1698" w:type="dxa"/>
            <w:noWrap w:val="0"/>
            <w:vAlign w:val="top"/>
          </w:tcPr>
          <w:p w14:paraId="5B443A74">
            <w:pPr>
              <w:rPr>
                <w:rFonts w:ascii="宋体" w:hAnsi="Courier New"/>
                <w:color w:val="auto"/>
                <w:sz w:val="20"/>
                <w:szCs w:val="20"/>
                <w:highlight w:val="none"/>
              </w:rPr>
            </w:pPr>
          </w:p>
        </w:tc>
        <w:tc>
          <w:tcPr>
            <w:tcW w:w="3451" w:type="dxa"/>
            <w:gridSpan w:val="2"/>
            <w:noWrap w:val="0"/>
            <w:vAlign w:val="top"/>
          </w:tcPr>
          <w:p w14:paraId="78CEEA89">
            <w:pPr>
              <w:rPr>
                <w:rFonts w:ascii="宋体" w:hAnsi="Courier New"/>
                <w:color w:val="auto"/>
                <w:sz w:val="20"/>
                <w:szCs w:val="20"/>
                <w:highlight w:val="none"/>
              </w:rPr>
            </w:pPr>
          </w:p>
        </w:tc>
        <w:tc>
          <w:tcPr>
            <w:tcW w:w="2547" w:type="dxa"/>
            <w:noWrap/>
            <w:vAlign w:val="top"/>
          </w:tcPr>
          <w:p w14:paraId="71E0FE33">
            <w:pPr>
              <w:rPr>
                <w:rFonts w:ascii="宋体" w:hAnsi="Courier New"/>
                <w:color w:val="auto"/>
                <w:sz w:val="20"/>
                <w:szCs w:val="20"/>
                <w:highlight w:val="none"/>
              </w:rPr>
            </w:pPr>
            <w:r>
              <w:rPr>
                <w:rFonts w:hint="eastAsia" w:ascii="宋体" w:hAnsi="Courier New"/>
                <w:color w:val="auto"/>
                <w:sz w:val="20"/>
                <w:szCs w:val="20"/>
                <w:highlight w:val="none"/>
              </w:rPr>
              <w:t>　</w:t>
            </w:r>
          </w:p>
        </w:tc>
        <w:tc>
          <w:tcPr>
            <w:tcW w:w="992" w:type="dxa"/>
            <w:noWrap/>
            <w:vAlign w:val="top"/>
          </w:tcPr>
          <w:p w14:paraId="2ABA9890">
            <w:pPr>
              <w:rPr>
                <w:rFonts w:ascii="宋体" w:hAnsi="Courier New"/>
                <w:color w:val="auto"/>
                <w:sz w:val="20"/>
                <w:szCs w:val="20"/>
                <w:highlight w:val="none"/>
              </w:rPr>
            </w:pPr>
            <w:r>
              <w:rPr>
                <w:rFonts w:hint="eastAsia" w:ascii="宋体" w:hAnsi="Courier New"/>
                <w:color w:val="auto"/>
                <w:sz w:val="20"/>
                <w:szCs w:val="20"/>
                <w:highlight w:val="none"/>
              </w:rPr>
              <w:t>　</w:t>
            </w:r>
          </w:p>
        </w:tc>
        <w:tc>
          <w:tcPr>
            <w:tcW w:w="461" w:type="dxa"/>
            <w:noWrap/>
            <w:vAlign w:val="top"/>
          </w:tcPr>
          <w:p w14:paraId="0BC45B13">
            <w:pPr>
              <w:rPr>
                <w:rFonts w:ascii="宋体" w:hAnsi="Courier New"/>
                <w:color w:val="auto"/>
                <w:sz w:val="20"/>
                <w:szCs w:val="20"/>
                <w:highlight w:val="none"/>
              </w:rPr>
            </w:pPr>
            <w:r>
              <w:rPr>
                <w:rFonts w:hint="eastAsia" w:ascii="宋体" w:hAnsi="Courier New"/>
                <w:color w:val="auto"/>
                <w:sz w:val="20"/>
                <w:szCs w:val="20"/>
                <w:highlight w:val="none"/>
              </w:rPr>
              <w:t>　</w:t>
            </w:r>
          </w:p>
        </w:tc>
      </w:tr>
      <w:tr w14:paraId="5E67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531" w:type="dxa"/>
            <w:noWrap w:val="0"/>
            <w:vAlign w:val="top"/>
          </w:tcPr>
          <w:p w14:paraId="4F09A4BC">
            <w:pPr>
              <w:rPr>
                <w:rFonts w:ascii="宋体" w:hAnsi="Courier New"/>
                <w:b/>
                <w:bCs/>
                <w:color w:val="auto"/>
                <w:sz w:val="20"/>
                <w:szCs w:val="20"/>
                <w:highlight w:val="none"/>
              </w:rPr>
            </w:pPr>
            <w:r>
              <w:rPr>
                <w:rFonts w:hint="eastAsia" w:ascii="宋体" w:hAnsi="Courier New"/>
                <w:b/>
                <w:bCs/>
                <w:color w:val="auto"/>
                <w:sz w:val="20"/>
                <w:szCs w:val="20"/>
                <w:highlight w:val="none"/>
              </w:rPr>
              <w:t>3</w:t>
            </w:r>
          </w:p>
        </w:tc>
        <w:tc>
          <w:tcPr>
            <w:tcW w:w="1698" w:type="dxa"/>
            <w:noWrap w:val="0"/>
            <w:vAlign w:val="top"/>
          </w:tcPr>
          <w:p w14:paraId="0F9568C9">
            <w:pPr>
              <w:rPr>
                <w:rFonts w:ascii="宋体" w:hAnsi="Courier New"/>
                <w:color w:val="auto"/>
                <w:sz w:val="20"/>
                <w:szCs w:val="20"/>
                <w:highlight w:val="none"/>
              </w:rPr>
            </w:pPr>
          </w:p>
        </w:tc>
        <w:tc>
          <w:tcPr>
            <w:tcW w:w="3451" w:type="dxa"/>
            <w:gridSpan w:val="2"/>
            <w:noWrap w:val="0"/>
            <w:vAlign w:val="top"/>
          </w:tcPr>
          <w:p w14:paraId="133DEA50">
            <w:pPr>
              <w:rPr>
                <w:rFonts w:ascii="宋体" w:hAnsi="Courier New"/>
                <w:color w:val="auto"/>
                <w:sz w:val="20"/>
                <w:szCs w:val="20"/>
                <w:highlight w:val="none"/>
              </w:rPr>
            </w:pPr>
          </w:p>
        </w:tc>
        <w:tc>
          <w:tcPr>
            <w:tcW w:w="2547" w:type="dxa"/>
            <w:noWrap/>
            <w:vAlign w:val="top"/>
          </w:tcPr>
          <w:p w14:paraId="59DDFD7F">
            <w:pPr>
              <w:rPr>
                <w:rFonts w:ascii="宋体" w:hAnsi="Courier New"/>
                <w:color w:val="auto"/>
                <w:sz w:val="20"/>
                <w:szCs w:val="20"/>
                <w:highlight w:val="none"/>
              </w:rPr>
            </w:pPr>
            <w:r>
              <w:rPr>
                <w:rFonts w:hint="eastAsia" w:ascii="宋体" w:hAnsi="Courier New"/>
                <w:color w:val="auto"/>
                <w:sz w:val="20"/>
                <w:szCs w:val="20"/>
                <w:highlight w:val="none"/>
              </w:rPr>
              <w:t>　</w:t>
            </w:r>
          </w:p>
        </w:tc>
        <w:tc>
          <w:tcPr>
            <w:tcW w:w="992" w:type="dxa"/>
            <w:noWrap/>
            <w:vAlign w:val="top"/>
          </w:tcPr>
          <w:p w14:paraId="18AECCB7">
            <w:pPr>
              <w:rPr>
                <w:rFonts w:ascii="宋体" w:hAnsi="Courier New"/>
                <w:color w:val="auto"/>
                <w:sz w:val="20"/>
                <w:szCs w:val="20"/>
                <w:highlight w:val="none"/>
              </w:rPr>
            </w:pPr>
            <w:r>
              <w:rPr>
                <w:rFonts w:hint="eastAsia" w:ascii="宋体" w:hAnsi="Courier New"/>
                <w:color w:val="auto"/>
                <w:sz w:val="20"/>
                <w:szCs w:val="20"/>
                <w:highlight w:val="none"/>
              </w:rPr>
              <w:t>　</w:t>
            </w:r>
          </w:p>
        </w:tc>
        <w:tc>
          <w:tcPr>
            <w:tcW w:w="461" w:type="dxa"/>
            <w:noWrap/>
            <w:vAlign w:val="top"/>
          </w:tcPr>
          <w:p w14:paraId="54E1749A">
            <w:pPr>
              <w:rPr>
                <w:rFonts w:ascii="宋体" w:hAnsi="Courier New"/>
                <w:color w:val="auto"/>
                <w:sz w:val="20"/>
                <w:szCs w:val="20"/>
                <w:highlight w:val="none"/>
              </w:rPr>
            </w:pPr>
            <w:r>
              <w:rPr>
                <w:rFonts w:hint="eastAsia" w:ascii="宋体" w:hAnsi="Courier New"/>
                <w:color w:val="auto"/>
                <w:sz w:val="20"/>
                <w:szCs w:val="20"/>
                <w:highlight w:val="none"/>
              </w:rPr>
              <w:t>　</w:t>
            </w:r>
          </w:p>
        </w:tc>
      </w:tr>
      <w:tr w14:paraId="0A9E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31" w:type="dxa"/>
            <w:noWrap w:val="0"/>
            <w:vAlign w:val="top"/>
          </w:tcPr>
          <w:p w14:paraId="0185060D">
            <w:pPr>
              <w:rPr>
                <w:rFonts w:ascii="宋体" w:hAnsi="Courier New"/>
                <w:b/>
                <w:bCs/>
                <w:color w:val="auto"/>
                <w:sz w:val="20"/>
                <w:szCs w:val="20"/>
                <w:highlight w:val="none"/>
              </w:rPr>
            </w:pPr>
            <w:r>
              <w:rPr>
                <w:rFonts w:hint="eastAsia" w:ascii="宋体" w:hAnsi="Courier New"/>
                <w:b/>
                <w:bCs/>
                <w:color w:val="auto"/>
                <w:sz w:val="20"/>
                <w:szCs w:val="20"/>
                <w:highlight w:val="none"/>
              </w:rPr>
              <w:t>4</w:t>
            </w:r>
          </w:p>
        </w:tc>
        <w:tc>
          <w:tcPr>
            <w:tcW w:w="1698" w:type="dxa"/>
            <w:noWrap w:val="0"/>
            <w:vAlign w:val="top"/>
          </w:tcPr>
          <w:p w14:paraId="64E46110">
            <w:pPr>
              <w:rPr>
                <w:rFonts w:ascii="宋体" w:hAnsi="Courier New"/>
                <w:color w:val="auto"/>
                <w:sz w:val="20"/>
                <w:szCs w:val="20"/>
                <w:highlight w:val="none"/>
              </w:rPr>
            </w:pPr>
          </w:p>
        </w:tc>
        <w:tc>
          <w:tcPr>
            <w:tcW w:w="3451" w:type="dxa"/>
            <w:gridSpan w:val="2"/>
            <w:noWrap w:val="0"/>
            <w:vAlign w:val="top"/>
          </w:tcPr>
          <w:p w14:paraId="128E1498">
            <w:pPr>
              <w:rPr>
                <w:rFonts w:ascii="宋体" w:hAnsi="Courier New"/>
                <w:color w:val="auto"/>
                <w:sz w:val="20"/>
                <w:szCs w:val="20"/>
                <w:highlight w:val="none"/>
              </w:rPr>
            </w:pPr>
          </w:p>
        </w:tc>
        <w:tc>
          <w:tcPr>
            <w:tcW w:w="2547" w:type="dxa"/>
            <w:noWrap/>
            <w:vAlign w:val="top"/>
          </w:tcPr>
          <w:p w14:paraId="0E69214E">
            <w:pPr>
              <w:rPr>
                <w:rFonts w:ascii="宋体" w:hAnsi="Courier New"/>
                <w:color w:val="auto"/>
                <w:sz w:val="20"/>
                <w:szCs w:val="20"/>
                <w:highlight w:val="none"/>
              </w:rPr>
            </w:pPr>
            <w:r>
              <w:rPr>
                <w:rFonts w:hint="eastAsia" w:ascii="宋体" w:hAnsi="Courier New"/>
                <w:color w:val="auto"/>
                <w:sz w:val="20"/>
                <w:szCs w:val="20"/>
                <w:highlight w:val="none"/>
              </w:rPr>
              <w:t>　</w:t>
            </w:r>
          </w:p>
        </w:tc>
        <w:tc>
          <w:tcPr>
            <w:tcW w:w="992" w:type="dxa"/>
            <w:noWrap/>
            <w:vAlign w:val="top"/>
          </w:tcPr>
          <w:p w14:paraId="491B161A">
            <w:pPr>
              <w:rPr>
                <w:rFonts w:ascii="宋体" w:hAnsi="Courier New"/>
                <w:color w:val="auto"/>
                <w:sz w:val="20"/>
                <w:szCs w:val="20"/>
                <w:highlight w:val="none"/>
              </w:rPr>
            </w:pPr>
            <w:r>
              <w:rPr>
                <w:rFonts w:hint="eastAsia" w:ascii="宋体" w:hAnsi="Courier New"/>
                <w:color w:val="auto"/>
                <w:sz w:val="20"/>
                <w:szCs w:val="20"/>
                <w:highlight w:val="none"/>
              </w:rPr>
              <w:t>　</w:t>
            </w:r>
          </w:p>
        </w:tc>
        <w:tc>
          <w:tcPr>
            <w:tcW w:w="461" w:type="dxa"/>
            <w:noWrap/>
            <w:vAlign w:val="top"/>
          </w:tcPr>
          <w:p w14:paraId="6CEA4130">
            <w:pPr>
              <w:rPr>
                <w:rFonts w:ascii="宋体" w:hAnsi="Courier New"/>
                <w:color w:val="auto"/>
                <w:sz w:val="20"/>
                <w:szCs w:val="20"/>
                <w:highlight w:val="none"/>
              </w:rPr>
            </w:pPr>
            <w:r>
              <w:rPr>
                <w:rFonts w:hint="eastAsia" w:ascii="宋体" w:hAnsi="Courier New"/>
                <w:color w:val="auto"/>
                <w:sz w:val="20"/>
                <w:szCs w:val="20"/>
                <w:highlight w:val="none"/>
              </w:rPr>
              <w:t>　</w:t>
            </w:r>
          </w:p>
        </w:tc>
      </w:tr>
      <w:tr w14:paraId="08CE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31" w:type="dxa"/>
            <w:noWrap w:val="0"/>
            <w:vAlign w:val="top"/>
          </w:tcPr>
          <w:p w14:paraId="2561D560">
            <w:pPr>
              <w:rPr>
                <w:rFonts w:ascii="宋体" w:hAnsi="Courier New"/>
                <w:b/>
                <w:bCs/>
                <w:color w:val="auto"/>
                <w:sz w:val="20"/>
                <w:szCs w:val="20"/>
                <w:highlight w:val="none"/>
              </w:rPr>
            </w:pPr>
            <w:r>
              <w:rPr>
                <w:rFonts w:hint="eastAsia" w:ascii="宋体" w:hAnsi="Courier New"/>
                <w:b/>
                <w:bCs/>
                <w:color w:val="auto"/>
                <w:sz w:val="20"/>
                <w:szCs w:val="20"/>
                <w:highlight w:val="none"/>
              </w:rPr>
              <w:t>5</w:t>
            </w:r>
          </w:p>
        </w:tc>
        <w:tc>
          <w:tcPr>
            <w:tcW w:w="1698" w:type="dxa"/>
            <w:noWrap w:val="0"/>
            <w:vAlign w:val="top"/>
          </w:tcPr>
          <w:p w14:paraId="325C1DC5">
            <w:pPr>
              <w:rPr>
                <w:rFonts w:ascii="宋体" w:hAnsi="Courier New"/>
                <w:color w:val="auto"/>
                <w:sz w:val="20"/>
                <w:szCs w:val="20"/>
                <w:highlight w:val="none"/>
              </w:rPr>
            </w:pPr>
          </w:p>
        </w:tc>
        <w:tc>
          <w:tcPr>
            <w:tcW w:w="3451" w:type="dxa"/>
            <w:gridSpan w:val="2"/>
            <w:noWrap w:val="0"/>
            <w:vAlign w:val="top"/>
          </w:tcPr>
          <w:p w14:paraId="17209FC7">
            <w:pPr>
              <w:rPr>
                <w:rFonts w:ascii="宋体" w:hAnsi="Courier New"/>
                <w:b/>
                <w:color w:val="auto"/>
                <w:sz w:val="20"/>
                <w:szCs w:val="20"/>
                <w:highlight w:val="none"/>
              </w:rPr>
            </w:pPr>
          </w:p>
        </w:tc>
        <w:tc>
          <w:tcPr>
            <w:tcW w:w="2547" w:type="dxa"/>
            <w:noWrap/>
            <w:vAlign w:val="top"/>
          </w:tcPr>
          <w:p w14:paraId="3EBBA119">
            <w:pPr>
              <w:rPr>
                <w:rFonts w:ascii="宋体" w:hAnsi="Courier New"/>
                <w:color w:val="auto"/>
                <w:sz w:val="20"/>
                <w:szCs w:val="20"/>
                <w:highlight w:val="none"/>
              </w:rPr>
            </w:pPr>
          </w:p>
        </w:tc>
        <w:tc>
          <w:tcPr>
            <w:tcW w:w="992" w:type="dxa"/>
            <w:noWrap/>
            <w:vAlign w:val="top"/>
          </w:tcPr>
          <w:p w14:paraId="129E8AFD">
            <w:pPr>
              <w:rPr>
                <w:rFonts w:ascii="宋体" w:hAnsi="Courier New"/>
                <w:color w:val="auto"/>
                <w:sz w:val="20"/>
                <w:szCs w:val="20"/>
                <w:highlight w:val="none"/>
              </w:rPr>
            </w:pPr>
          </w:p>
        </w:tc>
        <w:tc>
          <w:tcPr>
            <w:tcW w:w="461" w:type="dxa"/>
            <w:noWrap/>
            <w:vAlign w:val="top"/>
          </w:tcPr>
          <w:p w14:paraId="614DA1C6">
            <w:pPr>
              <w:rPr>
                <w:rFonts w:ascii="宋体" w:hAnsi="Courier New"/>
                <w:color w:val="auto"/>
                <w:sz w:val="20"/>
                <w:szCs w:val="20"/>
                <w:highlight w:val="none"/>
              </w:rPr>
            </w:pPr>
          </w:p>
        </w:tc>
      </w:tr>
      <w:tr w14:paraId="134B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31" w:type="dxa"/>
            <w:noWrap w:val="0"/>
            <w:vAlign w:val="top"/>
          </w:tcPr>
          <w:p w14:paraId="69C98D93">
            <w:pPr>
              <w:rPr>
                <w:rFonts w:ascii="宋体" w:hAnsi="Courier New"/>
                <w:b/>
                <w:bCs/>
                <w:color w:val="auto"/>
                <w:sz w:val="20"/>
                <w:szCs w:val="20"/>
                <w:highlight w:val="none"/>
              </w:rPr>
            </w:pPr>
            <w:r>
              <w:rPr>
                <w:rFonts w:hint="eastAsia" w:ascii="宋体" w:hAnsi="Courier New"/>
                <w:b/>
                <w:bCs/>
                <w:color w:val="auto"/>
                <w:sz w:val="20"/>
                <w:szCs w:val="20"/>
                <w:highlight w:val="none"/>
              </w:rPr>
              <w:t>6</w:t>
            </w:r>
          </w:p>
        </w:tc>
        <w:tc>
          <w:tcPr>
            <w:tcW w:w="1698" w:type="dxa"/>
            <w:noWrap w:val="0"/>
            <w:vAlign w:val="top"/>
          </w:tcPr>
          <w:p w14:paraId="25B4A45B">
            <w:pPr>
              <w:rPr>
                <w:rFonts w:ascii="宋体" w:hAnsi="Courier New"/>
                <w:color w:val="auto"/>
                <w:sz w:val="20"/>
                <w:szCs w:val="20"/>
                <w:highlight w:val="none"/>
              </w:rPr>
            </w:pPr>
          </w:p>
        </w:tc>
        <w:tc>
          <w:tcPr>
            <w:tcW w:w="3451" w:type="dxa"/>
            <w:gridSpan w:val="2"/>
            <w:noWrap w:val="0"/>
            <w:vAlign w:val="top"/>
          </w:tcPr>
          <w:p w14:paraId="448F48C2">
            <w:pPr>
              <w:rPr>
                <w:rFonts w:ascii="宋体" w:hAnsi="Courier New"/>
                <w:b/>
                <w:color w:val="auto"/>
                <w:sz w:val="20"/>
                <w:szCs w:val="20"/>
                <w:highlight w:val="none"/>
              </w:rPr>
            </w:pPr>
          </w:p>
        </w:tc>
        <w:tc>
          <w:tcPr>
            <w:tcW w:w="2547" w:type="dxa"/>
            <w:noWrap/>
            <w:vAlign w:val="top"/>
          </w:tcPr>
          <w:p w14:paraId="1B86D1DC">
            <w:pPr>
              <w:rPr>
                <w:rFonts w:ascii="宋体" w:hAnsi="Courier New"/>
                <w:color w:val="auto"/>
                <w:sz w:val="20"/>
                <w:szCs w:val="20"/>
                <w:highlight w:val="none"/>
              </w:rPr>
            </w:pPr>
          </w:p>
        </w:tc>
        <w:tc>
          <w:tcPr>
            <w:tcW w:w="992" w:type="dxa"/>
            <w:noWrap/>
            <w:vAlign w:val="top"/>
          </w:tcPr>
          <w:p w14:paraId="257C7566">
            <w:pPr>
              <w:rPr>
                <w:rFonts w:ascii="宋体" w:hAnsi="Courier New"/>
                <w:color w:val="auto"/>
                <w:sz w:val="20"/>
                <w:szCs w:val="20"/>
                <w:highlight w:val="none"/>
              </w:rPr>
            </w:pPr>
          </w:p>
        </w:tc>
        <w:tc>
          <w:tcPr>
            <w:tcW w:w="461" w:type="dxa"/>
            <w:noWrap/>
            <w:vAlign w:val="top"/>
          </w:tcPr>
          <w:p w14:paraId="0353F8B2">
            <w:pPr>
              <w:rPr>
                <w:rFonts w:ascii="宋体" w:hAnsi="Courier New"/>
                <w:color w:val="auto"/>
                <w:sz w:val="20"/>
                <w:szCs w:val="20"/>
                <w:highlight w:val="none"/>
              </w:rPr>
            </w:pPr>
          </w:p>
        </w:tc>
      </w:tr>
      <w:tr w14:paraId="3FED0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31" w:type="dxa"/>
            <w:noWrap w:val="0"/>
            <w:vAlign w:val="top"/>
          </w:tcPr>
          <w:p w14:paraId="7C121C50">
            <w:pPr>
              <w:rPr>
                <w:rFonts w:ascii="宋体" w:hAnsi="Courier New"/>
                <w:b/>
                <w:bCs/>
                <w:color w:val="auto"/>
                <w:sz w:val="20"/>
                <w:szCs w:val="20"/>
                <w:highlight w:val="none"/>
              </w:rPr>
            </w:pPr>
            <w:r>
              <w:rPr>
                <w:rFonts w:hint="eastAsia" w:ascii="宋体" w:hAnsi="Courier New"/>
                <w:b/>
                <w:bCs/>
                <w:color w:val="auto"/>
                <w:sz w:val="20"/>
                <w:szCs w:val="20"/>
                <w:highlight w:val="none"/>
              </w:rPr>
              <w:t>7</w:t>
            </w:r>
          </w:p>
        </w:tc>
        <w:tc>
          <w:tcPr>
            <w:tcW w:w="1698" w:type="dxa"/>
            <w:noWrap w:val="0"/>
            <w:vAlign w:val="top"/>
          </w:tcPr>
          <w:p w14:paraId="6B3F0245">
            <w:pPr>
              <w:rPr>
                <w:rFonts w:ascii="宋体" w:hAnsi="Courier New"/>
                <w:color w:val="auto"/>
                <w:sz w:val="20"/>
                <w:szCs w:val="20"/>
                <w:highlight w:val="none"/>
              </w:rPr>
            </w:pPr>
          </w:p>
        </w:tc>
        <w:tc>
          <w:tcPr>
            <w:tcW w:w="3451" w:type="dxa"/>
            <w:gridSpan w:val="2"/>
            <w:noWrap w:val="0"/>
            <w:vAlign w:val="top"/>
          </w:tcPr>
          <w:p w14:paraId="608E6D80">
            <w:pPr>
              <w:rPr>
                <w:rFonts w:ascii="宋体" w:hAnsi="Courier New"/>
                <w:b/>
                <w:color w:val="auto"/>
                <w:sz w:val="20"/>
                <w:szCs w:val="20"/>
                <w:highlight w:val="none"/>
              </w:rPr>
            </w:pPr>
          </w:p>
        </w:tc>
        <w:tc>
          <w:tcPr>
            <w:tcW w:w="2547" w:type="dxa"/>
            <w:noWrap/>
            <w:vAlign w:val="top"/>
          </w:tcPr>
          <w:p w14:paraId="3D88A834">
            <w:pPr>
              <w:rPr>
                <w:rFonts w:ascii="宋体" w:hAnsi="Courier New"/>
                <w:color w:val="auto"/>
                <w:sz w:val="20"/>
                <w:szCs w:val="20"/>
                <w:highlight w:val="none"/>
              </w:rPr>
            </w:pPr>
          </w:p>
        </w:tc>
        <w:tc>
          <w:tcPr>
            <w:tcW w:w="992" w:type="dxa"/>
            <w:noWrap/>
            <w:vAlign w:val="top"/>
          </w:tcPr>
          <w:p w14:paraId="0296514C">
            <w:pPr>
              <w:rPr>
                <w:rFonts w:ascii="宋体" w:hAnsi="Courier New"/>
                <w:color w:val="auto"/>
                <w:sz w:val="20"/>
                <w:szCs w:val="20"/>
                <w:highlight w:val="none"/>
              </w:rPr>
            </w:pPr>
          </w:p>
        </w:tc>
        <w:tc>
          <w:tcPr>
            <w:tcW w:w="461" w:type="dxa"/>
            <w:noWrap/>
            <w:vAlign w:val="top"/>
          </w:tcPr>
          <w:p w14:paraId="340D1F0E">
            <w:pPr>
              <w:rPr>
                <w:rFonts w:ascii="宋体" w:hAnsi="Courier New"/>
                <w:color w:val="auto"/>
                <w:sz w:val="20"/>
                <w:szCs w:val="20"/>
                <w:highlight w:val="none"/>
              </w:rPr>
            </w:pPr>
          </w:p>
        </w:tc>
      </w:tr>
      <w:tr w14:paraId="5851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31" w:type="dxa"/>
            <w:noWrap w:val="0"/>
            <w:vAlign w:val="top"/>
          </w:tcPr>
          <w:p w14:paraId="6D6C981F">
            <w:pPr>
              <w:rPr>
                <w:rFonts w:ascii="宋体" w:hAnsi="Courier New"/>
                <w:b/>
                <w:bCs/>
                <w:color w:val="auto"/>
                <w:sz w:val="20"/>
                <w:szCs w:val="20"/>
                <w:highlight w:val="none"/>
              </w:rPr>
            </w:pPr>
            <w:r>
              <w:rPr>
                <w:rFonts w:hint="eastAsia" w:ascii="宋体" w:hAnsi="Courier New"/>
                <w:b/>
                <w:bCs/>
                <w:color w:val="auto"/>
                <w:sz w:val="20"/>
                <w:szCs w:val="20"/>
                <w:highlight w:val="none"/>
              </w:rPr>
              <w:t>8</w:t>
            </w:r>
          </w:p>
        </w:tc>
        <w:tc>
          <w:tcPr>
            <w:tcW w:w="1698" w:type="dxa"/>
            <w:noWrap w:val="0"/>
            <w:vAlign w:val="top"/>
          </w:tcPr>
          <w:p w14:paraId="5F663B0B">
            <w:pPr>
              <w:rPr>
                <w:rFonts w:ascii="宋体" w:hAnsi="Courier New"/>
                <w:color w:val="auto"/>
                <w:sz w:val="20"/>
                <w:szCs w:val="20"/>
                <w:highlight w:val="none"/>
              </w:rPr>
            </w:pPr>
          </w:p>
        </w:tc>
        <w:tc>
          <w:tcPr>
            <w:tcW w:w="3451" w:type="dxa"/>
            <w:gridSpan w:val="2"/>
            <w:noWrap w:val="0"/>
            <w:vAlign w:val="top"/>
          </w:tcPr>
          <w:p w14:paraId="10F84982">
            <w:pPr>
              <w:rPr>
                <w:rFonts w:ascii="宋体" w:hAnsi="Courier New"/>
                <w:b/>
                <w:color w:val="auto"/>
                <w:sz w:val="20"/>
                <w:szCs w:val="20"/>
                <w:highlight w:val="none"/>
              </w:rPr>
            </w:pPr>
          </w:p>
        </w:tc>
        <w:tc>
          <w:tcPr>
            <w:tcW w:w="2547" w:type="dxa"/>
            <w:noWrap/>
            <w:vAlign w:val="top"/>
          </w:tcPr>
          <w:p w14:paraId="566C8DE7">
            <w:pPr>
              <w:rPr>
                <w:rFonts w:ascii="宋体" w:hAnsi="Courier New"/>
                <w:color w:val="auto"/>
                <w:sz w:val="20"/>
                <w:szCs w:val="20"/>
                <w:highlight w:val="none"/>
              </w:rPr>
            </w:pPr>
          </w:p>
        </w:tc>
        <w:tc>
          <w:tcPr>
            <w:tcW w:w="992" w:type="dxa"/>
            <w:noWrap/>
            <w:vAlign w:val="top"/>
          </w:tcPr>
          <w:p w14:paraId="205C9D50">
            <w:pPr>
              <w:rPr>
                <w:rFonts w:ascii="宋体" w:hAnsi="Courier New"/>
                <w:color w:val="auto"/>
                <w:sz w:val="20"/>
                <w:szCs w:val="20"/>
                <w:highlight w:val="none"/>
              </w:rPr>
            </w:pPr>
          </w:p>
        </w:tc>
        <w:tc>
          <w:tcPr>
            <w:tcW w:w="461" w:type="dxa"/>
            <w:noWrap/>
            <w:vAlign w:val="top"/>
          </w:tcPr>
          <w:p w14:paraId="3364469D">
            <w:pPr>
              <w:rPr>
                <w:rFonts w:ascii="宋体" w:hAnsi="Courier New"/>
                <w:color w:val="auto"/>
                <w:sz w:val="20"/>
                <w:szCs w:val="20"/>
                <w:highlight w:val="none"/>
              </w:rPr>
            </w:pPr>
          </w:p>
        </w:tc>
      </w:tr>
      <w:tr w14:paraId="7E0E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31" w:type="dxa"/>
            <w:noWrap w:val="0"/>
            <w:vAlign w:val="top"/>
          </w:tcPr>
          <w:p w14:paraId="5B8ECC9F">
            <w:pPr>
              <w:rPr>
                <w:rFonts w:ascii="宋体" w:hAnsi="Courier New"/>
                <w:b/>
                <w:bCs/>
                <w:color w:val="auto"/>
                <w:sz w:val="20"/>
                <w:szCs w:val="20"/>
                <w:highlight w:val="none"/>
              </w:rPr>
            </w:pPr>
            <w:r>
              <w:rPr>
                <w:rFonts w:hint="eastAsia" w:ascii="宋体" w:hAnsi="Courier New"/>
                <w:b/>
                <w:bCs/>
                <w:color w:val="auto"/>
                <w:sz w:val="20"/>
                <w:szCs w:val="20"/>
                <w:highlight w:val="none"/>
              </w:rPr>
              <w:t>9</w:t>
            </w:r>
          </w:p>
        </w:tc>
        <w:tc>
          <w:tcPr>
            <w:tcW w:w="1698" w:type="dxa"/>
            <w:noWrap w:val="0"/>
            <w:vAlign w:val="top"/>
          </w:tcPr>
          <w:p w14:paraId="1A1D11E6">
            <w:pPr>
              <w:rPr>
                <w:rFonts w:ascii="宋体" w:hAnsi="Courier New"/>
                <w:color w:val="auto"/>
                <w:sz w:val="20"/>
                <w:szCs w:val="20"/>
                <w:highlight w:val="none"/>
              </w:rPr>
            </w:pPr>
          </w:p>
        </w:tc>
        <w:tc>
          <w:tcPr>
            <w:tcW w:w="3451" w:type="dxa"/>
            <w:gridSpan w:val="2"/>
            <w:noWrap w:val="0"/>
            <w:vAlign w:val="top"/>
          </w:tcPr>
          <w:p w14:paraId="196FB2FE">
            <w:pPr>
              <w:rPr>
                <w:rFonts w:ascii="宋体" w:hAnsi="Courier New"/>
                <w:b/>
                <w:color w:val="auto"/>
                <w:sz w:val="20"/>
                <w:szCs w:val="20"/>
                <w:highlight w:val="none"/>
              </w:rPr>
            </w:pPr>
          </w:p>
        </w:tc>
        <w:tc>
          <w:tcPr>
            <w:tcW w:w="2547" w:type="dxa"/>
            <w:noWrap/>
            <w:vAlign w:val="top"/>
          </w:tcPr>
          <w:p w14:paraId="76E1104C">
            <w:pPr>
              <w:rPr>
                <w:rFonts w:ascii="宋体" w:hAnsi="Courier New"/>
                <w:color w:val="auto"/>
                <w:sz w:val="20"/>
                <w:szCs w:val="20"/>
                <w:highlight w:val="none"/>
              </w:rPr>
            </w:pPr>
          </w:p>
        </w:tc>
        <w:tc>
          <w:tcPr>
            <w:tcW w:w="992" w:type="dxa"/>
            <w:noWrap/>
            <w:vAlign w:val="top"/>
          </w:tcPr>
          <w:p w14:paraId="65F79F3D">
            <w:pPr>
              <w:rPr>
                <w:rFonts w:ascii="宋体" w:hAnsi="Courier New"/>
                <w:color w:val="auto"/>
                <w:sz w:val="20"/>
                <w:szCs w:val="20"/>
                <w:highlight w:val="none"/>
              </w:rPr>
            </w:pPr>
          </w:p>
        </w:tc>
        <w:tc>
          <w:tcPr>
            <w:tcW w:w="461" w:type="dxa"/>
            <w:noWrap/>
            <w:vAlign w:val="top"/>
          </w:tcPr>
          <w:p w14:paraId="05B12A4D">
            <w:pPr>
              <w:rPr>
                <w:rFonts w:ascii="宋体" w:hAnsi="Courier New"/>
                <w:color w:val="auto"/>
                <w:sz w:val="20"/>
                <w:szCs w:val="20"/>
                <w:highlight w:val="none"/>
              </w:rPr>
            </w:pPr>
          </w:p>
        </w:tc>
      </w:tr>
      <w:tr w14:paraId="02E2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31" w:type="dxa"/>
            <w:noWrap w:val="0"/>
            <w:vAlign w:val="top"/>
          </w:tcPr>
          <w:p w14:paraId="092EDA2E">
            <w:pPr>
              <w:rPr>
                <w:rFonts w:ascii="宋体" w:hAnsi="Courier New"/>
                <w:b/>
                <w:bCs/>
                <w:color w:val="auto"/>
                <w:sz w:val="20"/>
                <w:szCs w:val="20"/>
                <w:highlight w:val="none"/>
              </w:rPr>
            </w:pPr>
            <w:r>
              <w:rPr>
                <w:rFonts w:hint="eastAsia" w:ascii="宋体" w:hAnsi="Courier New"/>
                <w:b/>
                <w:bCs/>
                <w:color w:val="auto"/>
                <w:sz w:val="20"/>
                <w:szCs w:val="20"/>
                <w:highlight w:val="none"/>
              </w:rPr>
              <w:t>10</w:t>
            </w:r>
          </w:p>
        </w:tc>
        <w:tc>
          <w:tcPr>
            <w:tcW w:w="1698" w:type="dxa"/>
            <w:noWrap w:val="0"/>
            <w:vAlign w:val="top"/>
          </w:tcPr>
          <w:p w14:paraId="531F165E">
            <w:pPr>
              <w:rPr>
                <w:rFonts w:ascii="宋体" w:hAnsi="Courier New"/>
                <w:color w:val="auto"/>
                <w:sz w:val="20"/>
                <w:szCs w:val="20"/>
                <w:highlight w:val="none"/>
              </w:rPr>
            </w:pPr>
          </w:p>
        </w:tc>
        <w:tc>
          <w:tcPr>
            <w:tcW w:w="3451" w:type="dxa"/>
            <w:gridSpan w:val="2"/>
            <w:noWrap w:val="0"/>
            <w:vAlign w:val="top"/>
          </w:tcPr>
          <w:p w14:paraId="7CE12FDB">
            <w:pPr>
              <w:rPr>
                <w:rFonts w:ascii="宋体" w:hAnsi="Courier New"/>
                <w:b/>
                <w:color w:val="auto"/>
                <w:sz w:val="20"/>
                <w:szCs w:val="20"/>
                <w:highlight w:val="none"/>
              </w:rPr>
            </w:pPr>
          </w:p>
        </w:tc>
        <w:tc>
          <w:tcPr>
            <w:tcW w:w="2547" w:type="dxa"/>
            <w:noWrap/>
            <w:vAlign w:val="top"/>
          </w:tcPr>
          <w:p w14:paraId="56A28691">
            <w:pPr>
              <w:rPr>
                <w:rFonts w:ascii="宋体" w:hAnsi="Courier New"/>
                <w:color w:val="auto"/>
                <w:sz w:val="20"/>
                <w:szCs w:val="20"/>
                <w:highlight w:val="none"/>
              </w:rPr>
            </w:pPr>
          </w:p>
        </w:tc>
        <w:tc>
          <w:tcPr>
            <w:tcW w:w="992" w:type="dxa"/>
            <w:noWrap/>
            <w:vAlign w:val="top"/>
          </w:tcPr>
          <w:p w14:paraId="133A0D23">
            <w:pPr>
              <w:rPr>
                <w:rFonts w:ascii="宋体" w:hAnsi="Courier New"/>
                <w:color w:val="auto"/>
                <w:sz w:val="20"/>
                <w:szCs w:val="20"/>
                <w:highlight w:val="none"/>
              </w:rPr>
            </w:pPr>
          </w:p>
        </w:tc>
        <w:tc>
          <w:tcPr>
            <w:tcW w:w="461" w:type="dxa"/>
            <w:noWrap/>
            <w:vAlign w:val="top"/>
          </w:tcPr>
          <w:p w14:paraId="3CEA1752">
            <w:pPr>
              <w:rPr>
                <w:rFonts w:ascii="宋体" w:hAnsi="Courier New"/>
                <w:color w:val="auto"/>
                <w:sz w:val="20"/>
                <w:szCs w:val="20"/>
                <w:highlight w:val="none"/>
              </w:rPr>
            </w:pPr>
          </w:p>
        </w:tc>
      </w:tr>
      <w:tr w14:paraId="23F89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531" w:type="dxa"/>
            <w:noWrap w:val="0"/>
            <w:vAlign w:val="top"/>
          </w:tcPr>
          <w:p w14:paraId="084544BB">
            <w:pPr>
              <w:rPr>
                <w:rFonts w:ascii="宋体" w:hAnsi="Courier New"/>
                <w:b/>
                <w:bCs/>
                <w:color w:val="auto"/>
                <w:sz w:val="20"/>
                <w:szCs w:val="20"/>
                <w:highlight w:val="none"/>
              </w:rPr>
            </w:pPr>
            <w:r>
              <w:rPr>
                <w:rFonts w:hint="eastAsia" w:ascii="宋体" w:hAnsi="Courier New"/>
                <w:b/>
                <w:bCs/>
                <w:color w:val="auto"/>
                <w:sz w:val="20"/>
                <w:szCs w:val="20"/>
                <w:highlight w:val="none"/>
              </w:rPr>
              <w:t>11</w:t>
            </w:r>
          </w:p>
        </w:tc>
        <w:tc>
          <w:tcPr>
            <w:tcW w:w="1698" w:type="dxa"/>
            <w:noWrap w:val="0"/>
            <w:vAlign w:val="top"/>
          </w:tcPr>
          <w:p w14:paraId="239DF02D">
            <w:pPr>
              <w:rPr>
                <w:rFonts w:ascii="宋体" w:hAnsi="Courier New"/>
                <w:color w:val="auto"/>
                <w:sz w:val="20"/>
                <w:szCs w:val="20"/>
                <w:highlight w:val="none"/>
              </w:rPr>
            </w:pPr>
          </w:p>
        </w:tc>
        <w:tc>
          <w:tcPr>
            <w:tcW w:w="3451" w:type="dxa"/>
            <w:gridSpan w:val="2"/>
            <w:noWrap w:val="0"/>
            <w:vAlign w:val="top"/>
          </w:tcPr>
          <w:p w14:paraId="35D71546">
            <w:pPr>
              <w:rPr>
                <w:rFonts w:ascii="宋体" w:hAnsi="Courier New"/>
                <w:b/>
                <w:color w:val="auto"/>
                <w:sz w:val="20"/>
                <w:szCs w:val="20"/>
                <w:highlight w:val="none"/>
              </w:rPr>
            </w:pPr>
          </w:p>
        </w:tc>
        <w:tc>
          <w:tcPr>
            <w:tcW w:w="2547" w:type="dxa"/>
            <w:noWrap/>
            <w:vAlign w:val="top"/>
          </w:tcPr>
          <w:p w14:paraId="6C0163E2">
            <w:pPr>
              <w:rPr>
                <w:rFonts w:ascii="宋体" w:hAnsi="Courier New"/>
                <w:color w:val="auto"/>
                <w:sz w:val="20"/>
                <w:szCs w:val="20"/>
                <w:highlight w:val="none"/>
              </w:rPr>
            </w:pPr>
            <w:r>
              <w:rPr>
                <w:rFonts w:hint="eastAsia" w:ascii="宋体" w:hAnsi="Courier New"/>
                <w:color w:val="auto"/>
                <w:sz w:val="20"/>
                <w:szCs w:val="20"/>
                <w:highlight w:val="none"/>
              </w:rPr>
              <w:t>　</w:t>
            </w:r>
          </w:p>
        </w:tc>
        <w:tc>
          <w:tcPr>
            <w:tcW w:w="992" w:type="dxa"/>
            <w:noWrap/>
            <w:vAlign w:val="top"/>
          </w:tcPr>
          <w:p w14:paraId="744035D4">
            <w:pPr>
              <w:rPr>
                <w:rFonts w:ascii="宋体" w:hAnsi="Courier New"/>
                <w:color w:val="auto"/>
                <w:sz w:val="20"/>
                <w:szCs w:val="20"/>
                <w:highlight w:val="none"/>
              </w:rPr>
            </w:pPr>
            <w:r>
              <w:rPr>
                <w:rFonts w:hint="eastAsia" w:ascii="宋体" w:hAnsi="Courier New"/>
                <w:color w:val="auto"/>
                <w:sz w:val="20"/>
                <w:szCs w:val="20"/>
                <w:highlight w:val="none"/>
              </w:rPr>
              <w:t>　</w:t>
            </w:r>
          </w:p>
        </w:tc>
        <w:tc>
          <w:tcPr>
            <w:tcW w:w="461" w:type="dxa"/>
            <w:noWrap/>
            <w:vAlign w:val="top"/>
          </w:tcPr>
          <w:p w14:paraId="5DE9A7DC">
            <w:pPr>
              <w:rPr>
                <w:rFonts w:ascii="宋体" w:hAnsi="Courier New"/>
                <w:color w:val="auto"/>
                <w:sz w:val="20"/>
                <w:szCs w:val="20"/>
                <w:highlight w:val="none"/>
              </w:rPr>
            </w:pPr>
            <w:r>
              <w:rPr>
                <w:rFonts w:hint="eastAsia" w:ascii="宋体" w:hAnsi="Courier New"/>
                <w:color w:val="auto"/>
                <w:sz w:val="20"/>
                <w:szCs w:val="20"/>
                <w:highlight w:val="none"/>
              </w:rPr>
              <w:t>　</w:t>
            </w:r>
          </w:p>
        </w:tc>
      </w:tr>
      <w:tr w14:paraId="7F75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5680" w:type="dxa"/>
            <w:gridSpan w:val="4"/>
            <w:noWrap w:val="0"/>
            <w:vAlign w:val="center"/>
          </w:tcPr>
          <w:p w14:paraId="4B0D2302">
            <w:pPr>
              <w:jc w:val="center"/>
              <w:rPr>
                <w:rFonts w:ascii="宋体" w:hAnsi="Courier New"/>
                <w:color w:val="auto"/>
                <w:szCs w:val="20"/>
                <w:highlight w:val="none"/>
              </w:rPr>
            </w:pPr>
            <w:r>
              <w:rPr>
                <w:rFonts w:hint="eastAsia" w:ascii="宋体" w:hAnsi="Courier New"/>
                <w:color w:val="auto"/>
                <w:szCs w:val="20"/>
                <w:highlight w:val="none"/>
              </w:rPr>
              <w:t>扣分合计</w:t>
            </w:r>
          </w:p>
        </w:tc>
        <w:tc>
          <w:tcPr>
            <w:tcW w:w="2547" w:type="dxa"/>
            <w:noWrap w:val="0"/>
            <w:vAlign w:val="top"/>
          </w:tcPr>
          <w:p w14:paraId="34654716">
            <w:pPr>
              <w:rPr>
                <w:rFonts w:ascii="宋体" w:hAnsi="Courier New"/>
                <w:color w:val="auto"/>
                <w:szCs w:val="20"/>
                <w:highlight w:val="none"/>
              </w:rPr>
            </w:pPr>
            <w:r>
              <w:rPr>
                <w:rFonts w:hint="eastAsia" w:ascii="宋体" w:hAnsi="Courier New"/>
                <w:color w:val="auto"/>
                <w:szCs w:val="20"/>
                <w:highlight w:val="none"/>
              </w:rPr>
              <w:t>　</w:t>
            </w:r>
          </w:p>
        </w:tc>
        <w:tc>
          <w:tcPr>
            <w:tcW w:w="992" w:type="dxa"/>
            <w:noWrap w:val="0"/>
            <w:vAlign w:val="center"/>
          </w:tcPr>
          <w:p w14:paraId="3D32E96F">
            <w:pPr>
              <w:jc w:val="center"/>
              <w:rPr>
                <w:rFonts w:ascii="宋体" w:hAnsi="Courier New"/>
                <w:color w:val="auto"/>
                <w:szCs w:val="20"/>
                <w:highlight w:val="none"/>
              </w:rPr>
            </w:pPr>
          </w:p>
        </w:tc>
        <w:tc>
          <w:tcPr>
            <w:tcW w:w="461" w:type="dxa"/>
            <w:noWrap w:val="0"/>
            <w:vAlign w:val="top"/>
          </w:tcPr>
          <w:p w14:paraId="0965C78C">
            <w:pPr>
              <w:rPr>
                <w:rFonts w:ascii="宋体" w:hAnsi="Courier New"/>
                <w:color w:val="auto"/>
                <w:szCs w:val="20"/>
                <w:highlight w:val="none"/>
              </w:rPr>
            </w:pPr>
            <w:r>
              <w:rPr>
                <w:rFonts w:hint="eastAsia" w:ascii="宋体" w:hAnsi="Courier New"/>
                <w:color w:val="auto"/>
                <w:szCs w:val="20"/>
                <w:highlight w:val="none"/>
              </w:rPr>
              <w:t>　</w:t>
            </w:r>
          </w:p>
        </w:tc>
      </w:tr>
      <w:tr w14:paraId="16F5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229" w:type="dxa"/>
            <w:gridSpan w:val="2"/>
            <w:tcBorders>
              <w:bottom w:val="single" w:color="auto" w:sz="4" w:space="0"/>
            </w:tcBorders>
            <w:noWrap w:val="0"/>
            <w:vAlign w:val="center"/>
          </w:tcPr>
          <w:p w14:paraId="78271591">
            <w:pPr>
              <w:jc w:val="center"/>
              <w:rPr>
                <w:rFonts w:ascii="Times New Roman" w:hAnsi="Times New Roman"/>
                <w:color w:val="auto"/>
                <w:highlight w:val="none"/>
              </w:rPr>
            </w:pPr>
            <w:r>
              <w:rPr>
                <w:rFonts w:hint="eastAsia" w:ascii="Times New Roman" w:hAnsi="Times New Roman"/>
                <w:color w:val="auto"/>
                <w:highlight w:val="none"/>
              </w:rPr>
              <w:t>整 改 要 求</w:t>
            </w:r>
          </w:p>
        </w:tc>
        <w:tc>
          <w:tcPr>
            <w:tcW w:w="7451" w:type="dxa"/>
            <w:gridSpan w:val="5"/>
            <w:tcBorders>
              <w:bottom w:val="single" w:color="auto" w:sz="4" w:space="0"/>
            </w:tcBorders>
            <w:noWrap w:val="0"/>
            <w:vAlign w:val="center"/>
          </w:tcPr>
          <w:p w14:paraId="0C9344B4">
            <w:pPr>
              <w:ind w:left="-107" w:leftChars="-51" w:firstLine="107" w:firstLineChars="51"/>
              <w:rPr>
                <w:rFonts w:ascii="宋体" w:hAnsi="Courier New"/>
                <w:color w:val="auto"/>
                <w:szCs w:val="20"/>
                <w:highlight w:val="none"/>
              </w:rPr>
            </w:pPr>
            <w:r>
              <w:rPr>
                <w:rFonts w:hint="eastAsia" w:ascii="宋体" w:hAnsi="Courier New"/>
                <w:color w:val="auto"/>
                <w:szCs w:val="20"/>
                <w:highlight w:val="none"/>
              </w:rPr>
              <w:t>　以上存在问题请于</w:t>
            </w:r>
            <w:r>
              <w:rPr>
                <w:rFonts w:hint="eastAsia" w:ascii="宋体" w:hAnsi="Courier New"/>
                <w:color w:val="auto"/>
                <w:szCs w:val="20"/>
                <w:highlight w:val="none"/>
                <w:u w:val="single"/>
              </w:rPr>
              <w:t xml:space="preserve">       </w:t>
            </w:r>
            <w:r>
              <w:rPr>
                <w:rFonts w:hint="eastAsia" w:ascii="宋体" w:hAnsi="Courier New"/>
                <w:color w:val="auto"/>
                <w:szCs w:val="20"/>
                <w:highlight w:val="none"/>
              </w:rPr>
              <w:t>年</w:t>
            </w:r>
            <w:r>
              <w:rPr>
                <w:rFonts w:hint="eastAsia" w:ascii="宋体" w:hAnsi="Courier New"/>
                <w:color w:val="auto"/>
                <w:szCs w:val="20"/>
                <w:highlight w:val="none"/>
                <w:u w:val="single"/>
              </w:rPr>
              <w:t xml:space="preserve">    </w:t>
            </w:r>
            <w:r>
              <w:rPr>
                <w:rFonts w:hint="eastAsia" w:ascii="宋体" w:hAnsi="Courier New"/>
                <w:color w:val="auto"/>
                <w:szCs w:val="20"/>
                <w:highlight w:val="none"/>
              </w:rPr>
              <w:t>月</w:t>
            </w:r>
            <w:r>
              <w:rPr>
                <w:rFonts w:hint="eastAsia" w:ascii="宋体" w:hAnsi="Courier New"/>
                <w:color w:val="auto"/>
                <w:szCs w:val="20"/>
                <w:highlight w:val="none"/>
                <w:u w:val="single"/>
              </w:rPr>
              <w:t xml:space="preserve">     </w:t>
            </w:r>
            <w:r>
              <w:rPr>
                <w:rFonts w:hint="eastAsia" w:ascii="宋体" w:hAnsi="Courier New"/>
                <w:color w:val="auto"/>
                <w:szCs w:val="20"/>
                <w:highlight w:val="none"/>
              </w:rPr>
              <w:t>日前完成整改。</w:t>
            </w:r>
          </w:p>
        </w:tc>
      </w:tr>
      <w:tr w14:paraId="751C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4967" w:type="dxa"/>
            <w:gridSpan w:val="3"/>
            <w:tcBorders>
              <w:top w:val="single" w:color="auto" w:sz="4" w:space="0"/>
              <w:left w:val="single" w:color="auto" w:sz="4" w:space="0"/>
              <w:bottom w:val="single" w:color="auto" w:sz="4" w:space="0"/>
              <w:right w:val="single" w:color="auto" w:sz="4" w:space="0"/>
            </w:tcBorders>
            <w:noWrap w:val="0"/>
            <w:vAlign w:val="top"/>
          </w:tcPr>
          <w:p w14:paraId="77EBC3B9">
            <w:pPr>
              <w:rPr>
                <w:rFonts w:ascii="宋体" w:hAnsi="Courier New"/>
                <w:color w:val="auto"/>
                <w:szCs w:val="20"/>
                <w:highlight w:val="none"/>
              </w:rPr>
            </w:pPr>
            <w:r>
              <w:rPr>
                <w:rFonts w:hint="eastAsia" w:ascii="宋体" w:hAnsi="Courier New"/>
                <w:color w:val="auto"/>
                <w:szCs w:val="20"/>
                <w:highlight w:val="none"/>
              </w:rPr>
              <w:t xml:space="preserve"> 公园方检查考核人员：                                                 </w:t>
            </w:r>
          </w:p>
        </w:tc>
        <w:tc>
          <w:tcPr>
            <w:tcW w:w="4713" w:type="dxa"/>
            <w:gridSpan w:val="4"/>
            <w:tcBorders>
              <w:top w:val="single" w:color="auto" w:sz="4" w:space="0"/>
              <w:left w:val="single" w:color="auto" w:sz="4" w:space="0"/>
              <w:bottom w:val="single" w:color="auto" w:sz="4" w:space="0"/>
              <w:right w:val="single" w:color="auto" w:sz="4" w:space="0"/>
            </w:tcBorders>
            <w:noWrap w:val="0"/>
            <w:vAlign w:val="top"/>
          </w:tcPr>
          <w:p w14:paraId="139F71D3">
            <w:pPr>
              <w:rPr>
                <w:rFonts w:ascii="宋体" w:hAnsi="Courier New"/>
                <w:color w:val="auto"/>
                <w:szCs w:val="20"/>
                <w:highlight w:val="none"/>
              </w:rPr>
            </w:pPr>
            <w:r>
              <w:rPr>
                <w:rFonts w:hint="eastAsia" w:ascii="宋体" w:hAnsi="Courier New"/>
                <w:color w:val="auto"/>
                <w:szCs w:val="20"/>
                <w:highlight w:val="none"/>
              </w:rPr>
              <w:t>养护单位检查考核人员：</w:t>
            </w:r>
          </w:p>
        </w:tc>
      </w:tr>
    </w:tbl>
    <w:p w14:paraId="2E0CDD72">
      <w:pPr>
        <w:rPr>
          <w:rFonts w:ascii="宋体" w:hAnsi="宋体"/>
          <w:color w:val="auto"/>
          <w:szCs w:val="20"/>
          <w:highlight w:val="none"/>
        </w:rPr>
      </w:pPr>
      <w:r>
        <w:rPr>
          <w:rFonts w:hint="eastAsia" w:ascii="宋体" w:hAnsi="Courier New"/>
          <w:color w:val="auto"/>
          <w:szCs w:val="20"/>
          <w:highlight w:val="none"/>
        </w:rPr>
        <w:t>检查日期：         年    月    日</w:t>
      </w:r>
    </w:p>
    <w:p w14:paraId="49C7B197">
      <w:pPr>
        <w:rPr>
          <w:rFonts w:ascii="宋体" w:hAnsi="宋体" w:cs="宋体"/>
          <w:b/>
          <w:bCs/>
          <w:color w:val="auto"/>
          <w:sz w:val="24"/>
          <w:highlight w:val="none"/>
        </w:rPr>
      </w:pPr>
      <w:r>
        <w:rPr>
          <w:rFonts w:ascii="宋体" w:hAnsi="宋体" w:cs="宋体"/>
          <w:b/>
          <w:bCs/>
          <w:color w:val="auto"/>
          <w:sz w:val="24"/>
          <w:highlight w:val="none"/>
        </w:rPr>
        <w:br w:type="page"/>
      </w:r>
    </w:p>
    <w:p w14:paraId="0D895A92">
      <w:pPr>
        <w:keepNext w:val="0"/>
        <w:keepLines w:val="0"/>
        <w:pageBreakBefore w:val="0"/>
        <w:kinsoku/>
        <w:wordWrap/>
        <w:overflowPunct/>
        <w:topLinePunct w:val="0"/>
        <w:autoSpaceDE/>
        <w:autoSpaceDN/>
        <w:bidi w:val="0"/>
        <w:snapToGrid/>
        <w:spacing w:line="320" w:lineRule="exact"/>
        <w:outlineLvl w:val="9"/>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rPr>
        <w:t>附件</w:t>
      </w:r>
      <w:r>
        <w:rPr>
          <w:rFonts w:hint="eastAsia" w:ascii="宋体" w:hAnsi="Courier New"/>
          <w:b/>
          <w:bCs/>
          <w:color w:val="auto"/>
          <w:sz w:val="24"/>
          <w:szCs w:val="20"/>
          <w:highlight w:val="none"/>
          <w:lang w:val="en-US" w:eastAsia="zh-CN"/>
        </w:rPr>
        <w:t>5-2-4-2</w:t>
      </w:r>
    </w:p>
    <w:tbl>
      <w:tblPr>
        <w:tblStyle w:val="22"/>
        <w:tblW w:w="10343" w:type="dxa"/>
        <w:tblInd w:w="-351" w:type="dxa"/>
        <w:tblLayout w:type="fixed"/>
        <w:tblCellMar>
          <w:top w:w="0" w:type="dxa"/>
          <w:left w:w="108" w:type="dxa"/>
          <w:bottom w:w="0" w:type="dxa"/>
          <w:right w:w="108" w:type="dxa"/>
        </w:tblCellMar>
      </w:tblPr>
      <w:tblGrid>
        <w:gridCol w:w="705"/>
        <w:gridCol w:w="425"/>
        <w:gridCol w:w="2995"/>
        <w:gridCol w:w="720"/>
        <w:gridCol w:w="715"/>
        <w:gridCol w:w="35"/>
        <w:gridCol w:w="781"/>
        <w:gridCol w:w="149"/>
        <w:gridCol w:w="985"/>
        <w:gridCol w:w="2833"/>
      </w:tblGrid>
      <w:tr w14:paraId="260F808F">
        <w:tblPrEx>
          <w:tblCellMar>
            <w:top w:w="0" w:type="dxa"/>
            <w:left w:w="108" w:type="dxa"/>
            <w:bottom w:w="0" w:type="dxa"/>
            <w:right w:w="108" w:type="dxa"/>
          </w:tblCellMar>
        </w:tblPrEx>
        <w:trPr>
          <w:trHeight w:val="537" w:hRule="atLeast"/>
        </w:trPr>
        <w:tc>
          <w:tcPr>
            <w:tcW w:w="10343" w:type="dxa"/>
            <w:gridSpan w:val="10"/>
            <w:tcBorders>
              <w:top w:val="nil"/>
              <w:left w:val="nil"/>
              <w:bottom w:val="nil"/>
              <w:right w:val="nil"/>
            </w:tcBorders>
            <w:noWrap/>
            <w:vAlign w:val="center"/>
          </w:tcPr>
          <w:p w14:paraId="5FD70A6C">
            <w:pPr>
              <w:keepNext w:val="0"/>
              <w:keepLines w:val="0"/>
              <w:pageBreakBefore w:val="0"/>
              <w:widowControl/>
              <w:kinsoku/>
              <w:wordWrap/>
              <w:overflowPunct/>
              <w:topLinePunct w:val="0"/>
              <w:autoSpaceDE/>
              <w:autoSpaceDN/>
              <w:bidi w:val="0"/>
              <w:snapToGrid/>
              <w:spacing w:line="320" w:lineRule="exact"/>
              <w:jc w:val="center"/>
              <w:rPr>
                <w:rFonts w:ascii="宋体" w:hAnsi="宋体" w:cs="宋体"/>
                <w:b/>
                <w:bCs/>
                <w:color w:val="auto"/>
                <w:kern w:val="0"/>
                <w:sz w:val="36"/>
                <w:szCs w:val="36"/>
                <w:highlight w:val="none"/>
              </w:rPr>
            </w:pPr>
            <w:r>
              <w:rPr>
                <w:rFonts w:hint="eastAsia" w:ascii="宋体" w:hAnsi="宋体" w:cs="宋体"/>
                <w:b/>
                <w:bCs/>
                <w:color w:val="auto"/>
                <w:kern w:val="0"/>
                <w:sz w:val="32"/>
                <w:szCs w:val="36"/>
                <w:highlight w:val="none"/>
              </w:rPr>
              <w:t>南宁市花卉公园绿化养护月度考核通报表</w:t>
            </w:r>
          </w:p>
        </w:tc>
      </w:tr>
      <w:tr w14:paraId="623260A8">
        <w:tblPrEx>
          <w:tblCellMar>
            <w:top w:w="0" w:type="dxa"/>
            <w:left w:w="108" w:type="dxa"/>
            <w:bottom w:w="0" w:type="dxa"/>
            <w:right w:w="108" w:type="dxa"/>
          </w:tblCellMar>
        </w:tblPrEx>
        <w:trPr>
          <w:trHeight w:val="375" w:hRule="atLeast"/>
        </w:trPr>
        <w:tc>
          <w:tcPr>
            <w:tcW w:w="10343" w:type="dxa"/>
            <w:gridSpan w:val="10"/>
            <w:tcBorders>
              <w:top w:val="nil"/>
              <w:left w:val="nil"/>
              <w:bottom w:val="nil"/>
              <w:right w:val="nil"/>
            </w:tcBorders>
            <w:noWrap/>
            <w:vAlign w:val="center"/>
          </w:tcPr>
          <w:p w14:paraId="54BCD03E">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合同期限：                                  考核期限：   年  月</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日-月</w:t>
            </w:r>
            <w:r>
              <w:rPr>
                <w:rFonts w:hint="eastAsia" w:ascii="宋体" w:hAnsi="宋体" w:cs="宋体"/>
                <w:color w:val="auto"/>
                <w:kern w:val="0"/>
                <w:szCs w:val="21"/>
                <w:highlight w:val="none"/>
                <w:lang w:val="en-US" w:eastAsia="zh-CN"/>
              </w:rPr>
              <w:t xml:space="preserve">  </w:t>
            </w:r>
            <w:r>
              <w:rPr>
                <w:rFonts w:hint="eastAsia" w:ascii="宋体" w:hAnsi="宋体" w:cs="宋体"/>
                <w:color w:val="auto"/>
                <w:kern w:val="0"/>
                <w:szCs w:val="21"/>
                <w:highlight w:val="none"/>
              </w:rPr>
              <w:t xml:space="preserve">日      </w:t>
            </w:r>
          </w:p>
        </w:tc>
      </w:tr>
      <w:tr w14:paraId="0C027BDD">
        <w:tblPrEx>
          <w:tblCellMar>
            <w:top w:w="0" w:type="dxa"/>
            <w:left w:w="108" w:type="dxa"/>
            <w:bottom w:w="0" w:type="dxa"/>
            <w:right w:w="108" w:type="dxa"/>
          </w:tblCellMar>
        </w:tblPrEx>
        <w:trPr>
          <w:trHeight w:val="360" w:hRule="atLeast"/>
        </w:trPr>
        <w:tc>
          <w:tcPr>
            <w:tcW w:w="705" w:type="dxa"/>
            <w:vMerge w:val="restart"/>
            <w:tcBorders>
              <w:top w:val="single" w:color="auto" w:sz="4" w:space="0"/>
              <w:left w:val="single" w:color="auto" w:sz="4" w:space="0"/>
              <w:bottom w:val="single" w:color="000000" w:sz="4" w:space="0"/>
              <w:right w:val="single" w:color="auto" w:sz="4" w:space="0"/>
            </w:tcBorders>
            <w:noWrap w:val="0"/>
            <w:vAlign w:val="center"/>
          </w:tcPr>
          <w:p w14:paraId="748B88FE">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类别</w:t>
            </w:r>
          </w:p>
        </w:tc>
        <w:tc>
          <w:tcPr>
            <w:tcW w:w="3420" w:type="dxa"/>
            <w:gridSpan w:val="2"/>
            <w:vMerge w:val="restart"/>
            <w:tcBorders>
              <w:top w:val="single" w:color="auto" w:sz="4" w:space="0"/>
              <w:left w:val="nil"/>
              <w:bottom w:val="single" w:color="000000" w:sz="4" w:space="0"/>
              <w:right w:val="single" w:color="auto" w:sz="4" w:space="0"/>
            </w:tcBorders>
            <w:noWrap w:val="0"/>
            <w:vAlign w:val="center"/>
          </w:tcPr>
          <w:p w14:paraId="10FF6130">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项目　</w:t>
            </w:r>
          </w:p>
        </w:tc>
        <w:tc>
          <w:tcPr>
            <w:tcW w:w="2251" w:type="dxa"/>
            <w:gridSpan w:val="4"/>
            <w:tcBorders>
              <w:top w:val="single" w:color="auto" w:sz="4" w:space="0"/>
              <w:left w:val="nil"/>
              <w:bottom w:val="single" w:color="auto" w:sz="4" w:space="0"/>
              <w:right w:val="single" w:color="000000" w:sz="4" w:space="0"/>
            </w:tcBorders>
            <w:noWrap w:val="0"/>
            <w:vAlign w:val="center"/>
          </w:tcPr>
          <w:p w14:paraId="5C3288B9">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扣分（分）</w:t>
            </w:r>
          </w:p>
        </w:tc>
        <w:tc>
          <w:tcPr>
            <w:tcW w:w="1134" w:type="dxa"/>
            <w:gridSpan w:val="2"/>
            <w:vMerge w:val="restart"/>
            <w:tcBorders>
              <w:top w:val="single" w:color="auto" w:sz="4" w:space="0"/>
              <w:left w:val="single" w:color="auto" w:sz="4" w:space="0"/>
              <w:bottom w:val="single" w:color="000000" w:sz="4" w:space="0"/>
              <w:right w:val="single" w:color="auto" w:sz="4" w:space="0"/>
            </w:tcBorders>
            <w:noWrap w:val="0"/>
            <w:vAlign w:val="center"/>
          </w:tcPr>
          <w:p w14:paraId="512101D2">
            <w:pPr>
              <w:keepNext w:val="0"/>
              <w:keepLines w:val="0"/>
              <w:pageBreakBefore w:val="0"/>
              <w:widowControl/>
              <w:kinsoku/>
              <w:wordWrap/>
              <w:overflowPunct/>
              <w:topLinePunct w:val="0"/>
              <w:autoSpaceDE/>
              <w:autoSpaceDN/>
              <w:bidi w:val="0"/>
              <w:snapToGrid/>
              <w:spacing w:line="32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逾期整改</w:t>
            </w:r>
          </w:p>
          <w:p w14:paraId="355EABDE">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扣款(元)</w:t>
            </w:r>
          </w:p>
        </w:tc>
        <w:tc>
          <w:tcPr>
            <w:tcW w:w="2833" w:type="dxa"/>
            <w:vMerge w:val="restart"/>
            <w:tcBorders>
              <w:top w:val="single" w:color="auto" w:sz="4" w:space="0"/>
              <w:left w:val="single" w:color="auto" w:sz="4" w:space="0"/>
              <w:bottom w:val="single" w:color="000000" w:sz="4" w:space="0"/>
              <w:right w:val="single" w:color="auto" w:sz="4" w:space="0"/>
            </w:tcBorders>
            <w:noWrap w:val="0"/>
            <w:vAlign w:val="center"/>
          </w:tcPr>
          <w:p w14:paraId="17EDC77C">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698139AF">
        <w:tblPrEx>
          <w:tblCellMar>
            <w:top w:w="0" w:type="dxa"/>
            <w:left w:w="108" w:type="dxa"/>
            <w:bottom w:w="0" w:type="dxa"/>
            <w:right w:w="108" w:type="dxa"/>
          </w:tblCellMar>
        </w:tblPrEx>
        <w:trPr>
          <w:trHeight w:val="390" w:hRule="atLeast"/>
        </w:trPr>
        <w:tc>
          <w:tcPr>
            <w:tcW w:w="705" w:type="dxa"/>
            <w:vMerge w:val="continue"/>
            <w:tcBorders>
              <w:top w:val="single" w:color="auto" w:sz="4" w:space="0"/>
              <w:left w:val="single" w:color="auto" w:sz="4" w:space="0"/>
              <w:bottom w:val="single" w:color="000000" w:sz="4" w:space="0"/>
              <w:right w:val="single" w:color="auto" w:sz="4" w:space="0"/>
            </w:tcBorders>
            <w:noWrap w:val="0"/>
            <w:vAlign w:val="center"/>
          </w:tcPr>
          <w:p w14:paraId="340E5187">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vMerge w:val="continue"/>
            <w:tcBorders>
              <w:top w:val="single" w:color="auto" w:sz="4" w:space="0"/>
              <w:left w:val="nil"/>
              <w:bottom w:val="single" w:color="000000" w:sz="4" w:space="0"/>
              <w:right w:val="single" w:color="auto" w:sz="4" w:space="0"/>
            </w:tcBorders>
            <w:noWrap w:val="0"/>
            <w:vAlign w:val="center"/>
          </w:tcPr>
          <w:p w14:paraId="3837E47D">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720" w:type="dxa"/>
            <w:tcBorders>
              <w:top w:val="nil"/>
              <w:left w:val="nil"/>
              <w:bottom w:val="single" w:color="auto" w:sz="4" w:space="0"/>
              <w:right w:val="single" w:color="auto" w:sz="4" w:space="0"/>
            </w:tcBorders>
            <w:noWrap w:val="0"/>
            <w:vAlign w:val="center"/>
          </w:tcPr>
          <w:p w14:paraId="6CD32214">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分项</w:t>
            </w:r>
          </w:p>
        </w:tc>
        <w:tc>
          <w:tcPr>
            <w:tcW w:w="750" w:type="dxa"/>
            <w:gridSpan w:val="2"/>
            <w:tcBorders>
              <w:top w:val="nil"/>
              <w:left w:val="nil"/>
              <w:bottom w:val="single" w:color="auto" w:sz="4" w:space="0"/>
              <w:right w:val="single" w:color="auto" w:sz="4" w:space="0"/>
            </w:tcBorders>
            <w:noWrap w:val="0"/>
            <w:vAlign w:val="center"/>
          </w:tcPr>
          <w:p w14:paraId="113701F2">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分项</w:t>
            </w:r>
          </w:p>
          <w:p w14:paraId="52CF0E95">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合计</w:t>
            </w:r>
          </w:p>
        </w:tc>
        <w:tc>
          <w:tcPr>
            <w:tcW w:w="781" w:type="dxa"/>
            <w:tcBorders>
              <w:top w:val="nil"/>
              <w:left w:val="nil"/>
              <w:bottom w:val="single" w:color="auto" w:sz="4" w:space="0"/>
              <w:right w:val="single" w:color="auto" w:sz="4" w:space="0"/>
            </w:tcBorders>
            <w:noWrap w:val="0"/>
            <w:vAlign w:val="center"/>
          </w:tcPr>
          <w:p w14:paraId="3331B156">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最终</w:t>
            </w:r>
          </w:p>
          <w:p w14:paraId="7F0D18D2">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扣分</w:t>
            </w:r>
          </w:p>
        </w:tc>
        <w:tc>
          <w:tcPr>
            <w:tcW w:w="1134" w:type="dxa"/>
            <w:gridSpan w:val="2"/>
            <w:vMerge w:val="continue"/>
            <w:tcBorders>
              <w:top w:val="single" w:color="auto" w:sz="4" w:space="0"/>
              <w:left w:val="single" w:color="auto" w:sz="4" w:space="0"/>
              <w:bottom w:val="single" w:color="000000" w:sz="4" w:space="0"/>
              <w:right w:val="single" w:color="auto" w:sz="4" w:space="0"/>
            </w:tcBorders>
            <w:noWrap w:val="0"/>
            <w:vAlign w:val="center"/>
          </w:tcPr>
          <w:p w14:paraId="1CC1F4F6">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2833" w:type="dxa"/>
            <w:vMerge w:val="continue"/>
            <w:tcBorders>
              <w:top w:val="single" w:color="auto" w:sz="4" w:space="0"/>
              <w:left w:val="single" w:color="auto" w:sz="4" w:space="0"/>
              <w:bottom w:val="single" w:color="000000" w:sz="4" w:space="0"/>
              <w:right w:val="single" w:color="auto" w:sz="4" w:space="0"/>
            </w:tcBorders>
            <w:noWrap w:val="0"/>
            <w:vAlign w:val="center"/>
          </w:tcPr>
          <w:p w14:paraId="2D9A7316">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5FE33826">
        <w:tblPrEx>
          <w:tblCellMar>
            <w:top w:w="0" w:type="dxa"/>
            <w:left w:w="108" w:type="dxa"/>
            <w:bottom w:w="0" w:type="dxa"/>
            <w:right w:w="108" w:type="dxa"/>
          </w:tblCellMar>
        </w:tblPrEx>
        <w:trPr>
          <w:trHeight w:val="511" w:hRule="atLeast"/>
        </w:trPr>
        <w:tc>
          <w:tcPr>
            <w:tcW w:w="705" w:type="dxa"/>
            <w:tcBorders>
              <w:top w:val="nil"/>
              <w:left w:val="single" w:color="auto" w:sz="4" w:space="0"/>
              <w:bottom w:val="nil"/>
              <w:right w:val="single" w:color="auto" w:sz="4" w:space="0"/>
            </w:tcBorders>
            <w:noWrap w:val="0"/>
            <w:vAlign w:val="center"/>
          </w:tcPr>
          <w:p w14:paraId="0890510D">
            <w:pPr>
              <w:keepNext w:val="0"/>
              <w:keepLines w:val="0"/>
              <w:pageBreakBefore w:val="0"/>
              <w:widowControl/>
              <w:kinsoku/>
              <w:wordWrap/>
              <w:overflowPunct/>
              <w:topLinePunct w:val="0"/>
              <w:autoSpaceDE/>
              <w:autoSpaceDN/>
              <w:bidi w:val="0"/>
              <w:snapToGrid/>
              <w:spacing w:line="32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日常</w:t>
            </w:r>
          </w:p>
          <w:p w14:paraId="54C8FCCF">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检查</w:t>
            </w:r>
          </w:p>
        </w:tc>
        <w:tc>
          <w:tcPr>
            <w:tcW w:w="3420" w:type="dxa"/>
            <w:gridSpan w:val="2"/>
            <w:tcBorders>
              <w:top w:val="nil"/>
              <w:left w:val="nil"/>
              <w:bottom w:val="nil"/>
              <w:right w:val="single" w:color="auto" w:sz="4" w:space="0"/>
            </w:tcBorders>
            <w:noWrap w:val="0"/>
            <w:vAlign w:val="center"/>
          </w:tcPr>
          <w:p w14:paraId="1CE5154F">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日常检查</w:t>
            </w:r>
          </w:p>
        </w:tc>
        <w:tc>
          <w:tcPr>
            <w:tcW w:w="720" w:type="dxa"/>
            <w:tcBorders>
              <w:top w:val="nil"/>
              <w:left w:val="nil"/>
              <w:bottom w:val="single" w:color="auto" w:sz="4" w:space="0"/>
              <w:right w:val="single" w:color="auto" w:sz="4" w:space="0"/>
            </w:tcBorders>
            <w:noWrap w:val="0"/>
            <w:vAlign w:val="center"/>
          </w:tcPr>
          <w:p w14:paraId="658BA204">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tcBorders>
              <w:top w:val="nil"/>
              <w:left w:val="nil"/>
              <w:bottom w:val="nil"/>
              <w:right w:val="single" w:color="auto" w:sz="4" w:space="0"/>
            </w:tcBorders>
            <w:noWrap w:val="0"/>
            <w:vAlign w:val="center"/>
          </w:tcPr>
          <w:p w14:paraId="1B53084A">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tcBorders>
              <w:top w:val="nil"/>
              <w:left w:val="nil"/>
              <w:bottom w:val="nil"/>
              <w:right w:val="single" w:color="auto" w:sz="4" w:space="0"/>
            </w:tcBorders>
            <w:noWrap w:val="0"/>
            <w:vAlign w:val="center"/>
          </w:tcPr>
          <w:p w14:paraId="6316EEE0">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2FC5B700">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tcBorders>
              <w:top w:val="nil"/>
              <w:left w:val="nil"/>
              <w:bottom w:val="nil"/>
              <w:right w:val="single" w:color="auto" w:sz="4" w:space="0"/>
            </w:tcBorders>
            <w:noWrap w:val="0"/>
            <w:vAlign w:val="center"/>
          </w:tcPr>
          <w:p w14:paraId="2351E646">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最终扣分</w:t>
            </w:r>
          </w:p>
          <w:p w14:paraId="42651439">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=分项合计*20%</w:t>
            </w:r>
          </w:p>
        </w:tc>
      </w:tr>
      <w:tr w14:paraId="71CCFC17">
        <w:tblPrEx>
          <w:tblCellMar>
            <w:top w:w="0" w:type="dxa"/>
            <w:left w:w="108" w:type="dxa"/>
            <w:bottom w:w="0" w:type="dxa"/>
            <w:right w:w="108" w:type="dxa"/>
          </w:tblCellMar>
        </w:tblPrEx>
        <w:trPr>
          <w:trHeight w:val="353" w:hRule="atLeast"/>
        </w:trPr>
        <w:tc>
          <w:tcPr>
            <w:tcW w:w="705" w:type="dxa"/>
            <w:vMerge w:val="restart"/>
            <w:tcBorders>
              <w:top w:val="single" w:color="auto" w:sz="4" w:space="0"/>
              <w:left w:val="single" w:color="auto" w:sz="4" w:space="0"/>
              <w:right w:val="single" w:color="auto" w:sz="4" w:space="0"/>
            </w:tcBorders>
            <w:noWrap w:val="0"/>
            <w:vAlign w:val="center"/>
          </w:tcPr>
          <w:p w14:paraId="7C273C7C">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月</w:t>
            </w:r>
          </w:p>
          <w:p w14:paraId="277C13AF">
            <w:pPr>
              <w:keepNext w:val="0"/>
              <w:keepLines w:val="0"/>
              <w:pageBreakBefore w:val="0"/>
              <w:widowControl/>
              <w:kinsoku/>
              <w:wordWrap/>
              <w:overflowPunct/>
              <w:topLinePunct w:val="0"/>
              <w:autoSpaceDE/>
              <w:autoSpaceDN/>
              <w:bidi w:val="0"/>
              <w:snapToGrid/>
              <w:spacing w:line="320" w:lineRule="exact"/>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度</w:t>
            </w:r>
          </w:p>
          <w:p w14:paraId="35A33B70">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检</w:t>
            </w:r>
          </w:p>
          <w:p w14:paraId="471CC9A4">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查</w:t>
            </w:r>
          </w:p>
        </w:tc>
        <w:tc>
          <w:tcPr>
            <w:tcW w:w="3420" w:type="dxa"/>
            <w:gridSpan w:val="2"/>
            <w:tcBorders>
              <w:top w:val="single" w:color="auto" w:sz="4" w:space="0"/>
              <w:left w:val="nil"/>
              <w:bottom w:val="single" w:color="auto" w:sz="4" w:space="0"/>
              <w:right w:val="nil"/>
            </w:tcBorders>
            <w:noWrap w:val="0"/>
            <w:vAlign w:val="center"/>
          </w:tcPr>
          <w:p w14:paraId="5FD0F193">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人员、物资、机械、车辆投入管理</w:t>
            </w:r>
          </w:p>
        </w:tc>
        <w:tc>
          <w:tcPr>
            <w:tcW w:w="720" w:type="dxa"/>
            <w:tcBorders>
              <w:top w:val="nil"/>
              <w:left w:val="single" w:color="auto" w:sz="4" w:space="0"/>
              <w:bottom w:val="single" w:color="auto" w:sz="4" w:space="0"/>
              <w:right w:val="single" w:color="auto" w:sz="4" w:space="0"/>
            </w:tcBorders>
            <w:noWrap/>
            <w:vAlign w:val="center"/>
          </w:tcPr>
          <w:p w14:paraId="3604C537">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restart"/>
            <w:tcBorders>
              <w:top w:val="single" w:color="auto" w:sz="4" w:space="0"/>
              <w:left w:val="single" w:color="auto" w:sz="4" w:space="0"/>
              <w:right w:val="single" w:color="auto" w:sz="4" w:space="0"/>
            </w:tcBorders>
            <w:noWrap/>
            <w:vAlign w:val="center"/>
          </w:tcPr>
          <w:p w14:paraId="37C49615">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81" w:type="dxa"/>
            <w:vMerge w:val="restart"/>
            <w:tcBorders>
              <w:top w:val="single" w:color="auto" w:sz="4" w:space="0"/>
              <w:left w:val="single" w:color="auto" w:sz="4" w:space="0"/>
              <w:right w:val="single" w:color="auto" w:sz="4" w:space="0"/>
            </w:tcBorders>
            <w:noWrap/>
            <w:vAlign w:val="center"/>
          </w:tcPr>
          <w:p w14:paraId="2A0310C8">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1134" w:type="dxa"/>
            <w:gridSpan w:val="2"/>
            <w:tcBorders>
              <w:top w:val="nil"/>
              <w:left w:val="nil"/>
              <w:bottom w:val="single" w:color="auto" w:sz="4" w:space="0"/>
              <w:right w:val="single" w:color="auto" w:sz="4" w:space="0"/>
            </w:tcBorders>
            <w:noWrap w:val="0"/>
            <w:vAlign w:val="center"/>
          </w:tcPr>
          <w:p w14:paraId="0F90372B">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restart"/>
            <w:tcBorders>
              <w:top w:val="single" w:color="auto" w:sz="4" w:space="0"/>
              <w:left w:val="single" w:color="auto" w:sz="4" w:space="0"/>
              <w:right w:val="single" w:color="auto" w:sz="4" w:space="0"/>
            </w:tcBorders>
            <w:noWrap w:val="0"/>
            <w:vAlign w:val="top"/>
          </w:tcPr>
          <w:p w14:paraId="722FB9B4">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最终扣分</w:t>
            </w:r>
          </w:p>
          <w:p w14:paraId="0C2BDFDD">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=分项合计*80%</w:t>
            </w:r>
          </w:p>
        </w:tc>
      </w:tr>
      <w:tr w14:paraId="60EAC1B4">
        <w:tblPrEx>
          <w:tblCellMar>
            <w:top w:w="0" w:type="dxa"/>
            <w:left w:w="108" w:type="dxa"/>
            <w:bottom w:w="0" w:type="dxa"/>
            <w:right w:w="108" w:type="dxa"/>
          </w:tblCellMar>
        </w:tblPrEx>
        <w:trPr>
          <w:trHeight w:val="395" w:hRule="atLeast"/>
        </w:trPr>
        <w:tc>
          <w:tcPr>
            <w:tcW w:w="705" w:type="dxa"/>
            <w:vMerge w:val="continue"/>
            <w:tcBorders>
              <w:left w:val="single" w:color="auto" w:sz="4" w:space="0"/>
              <w:right w:val="single" w:color="auto" w:sz="4" w:space="0"/>
            </w:tcBorders>
            <w:noWrap w:val="0"/>
            <w:vAlign w:val="center"/>
          </w:tcPr>
          <w:p w14:paraId="2D207794">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single" w:color="auto" w:sz="4" w:space="0"/>
              <w:right w:val="nil"/>
            </w:tcBorders>
            <w:noWrap w:val="0"/>
            <w:vAlign w:val="center"/>
          </w:tcPr>
          <w:p w14:paraId="2E7A3917">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草坪及地被养护</w:t>
            </w:r>
          </w:p>
        </w:tc>
        <w:tc>
          <w:tcPr>
            <w:tcW w:w="720" w:type="dxa"/>
            <w:tcBorders>
              <w:top w:val="nil"/>
              <w:left w:val="single" w:color="auto" w:sz="4" w:space="0"/>
              <w:bottom w:val="single" w:color="auto" w:sz="4" w:space="0"/>
              <w:right w:val="single" w:color="auto" w:sz="4" w:space="0"/>
            </w:tcBorders>
            <w:noWrap w:val="0"/>
            <w:vAlign w:val="center"/>
          </w:tcPr>
          <w:p w14:paraId="4D85E804">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3DFD9988">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7250B930">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21E0BB0B">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1313A5E5">
            <w:pPr>
              <w:keepNext w:val="0"/>
              <w:keepLines w:val="0"/>
              <w:pageBreakBefore w:val="0"/>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30CEDCD4">
        <w:tblPrEx>
          <w:tblCellMar>
            <w:top w:w="0" w:type="dxa"/>
            <w:left w:w="108" w:type="dxa"/>
            <w:bottom w:w="0" w:type="dxa"/>
            <w:right w:w="108" w:type="dxa"/>
          </w:tblCellMar>
        </w:tblPrEx>
        <w:trPr>
          <w:trHeight w:val="317" w:hRule="atLeast"/>
        </w:trPr>
        <w:tc>
          <w:tcPr>
            <w:tcW w:w="705" w:type="dxa"/>
            <w:vMerge w:val="continue"/>
            <w:tcBorders>
              <w:left w:val="single" w:color="auto" w:sz="4" w:space="0"/>
              <w:right w:val="single" w:color="auto" w:sz="4" w:space="0"/>
            </w:tcBorders>
            <w:noWrap w:val="0"/>
            <w:vAlign w:val="center"/>
          </w:tcPr>
          <w:p w14:paraId="24463883">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single" w:color="auto" w:sz="4" w:space="0"/>
              <w:right w:val="nil"/>
            </w:tcBorders>
            <w:noWrap w:val="0"/>
            <w:vAlign w:val="center"/>
          </w:tcPr>
          <w:p w14:paraId="56358399">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乔木、灌木、绿篱养护</w:t>
            </w:r>
          </w:p>
        </w:tc>
        <w:tc>
          <w:tcPr>
            <w:tcW w:w="720" w:type="dxa"/>
            <w:tcBorders>
              <w:top w:val="nil"/>
              <w:left w:val="single" w:color="auto" w:sz="4" w:space="0"/>
              <w:bottom w:val="single" w:color="auto" w:sz="4" w:space="0"/>
              <w:right w:val="single" w:color="auto" w:sz="4" w:space="0"/>
            </w:tcBorders>
            <w:noWrap w:val="0"/>
            <w:vAlign w:val="center"/>
          </w:tcPr>
          <w:p w14:paraId="24E511A7">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3972209E">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4662E23C">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617F9967">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5B0FE116">
            <w:pPr>
              <w:keepNext w:val="0"/>
              <w:keepLines w:val="0"/>
              <w:pageBreakBefore w:val="0"/>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3F129E71">
        <w:tblPrEx>
          <w:tblCellMar>
            <w:top w:w="0" w:type="dxa"/>
            <w:left w:w="108" w:type="dxa"/>
            <w:bottom w:w="0" w:type="dxa"/>
            <w:right w:w="108" w:type="dxa"/>
          </w:tblCellMar>
        </w:tblPrEx>
        <w:trPr>
          <w:trHeight w:val="280" w:hRule="atLeast"/>
        </w:trPr>
        <w:tc>
          <w:tcPr>
            <w:tcW w:w="705" w:type="dxa"/>
            <w:vMerge w:val="continue"/>
            <w:tcBorders>
              <w:left w:val="single" w:color="auto" w:sz="4" w:space="0"/>
              <w:right w:val="single" w:color="auto" w:sz="4" w:space="0"/>
            </w:tcBorders>
            <w:noWrap w:val="0"/>
            <w:vAlign w:val="center"/>
          </w:tcPr>
          <w:p w14:paraId="44D07470">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single" w:color="auto" w:sz="4" w:space="0"/>
              <w:right w:val="nil"/>
            </w:tcBorders>
            <w:noWrap w:val="0"/>
            <w:vAlign w:val="center"/>
          </w:tcPr>
          <w:p w14:paraId="66DF557E">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花坛、花境、水生植物养护 </w:t>
            </w:r>
          </w:p>
        </w:tc>
        <w:tc>
          <w:tcPr>
            <w:tcW w:w="720" w:type="dxa"/>
            <w:tcBorders>
              <w:top w:val="nil"/>
              <w:left w:val="single" w:color="auto" w:sz="4" w:space="0"/>
              <w:bottom w:val="single" w:color="auto" w:sz="4" w:space="0"/>
              <w:right w:val="single" w:color="auto" w:sz="4" w:space="0"/>
            </w:tcBorders>
            <w:noWrap w:val="0"/>
            <w:vAlign w:val="center"/>
          </w:tcPr>
          <w:p w14:paraId="1C67FEEF">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0E4D7C3B">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5C4100E8">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64A04E8E">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4B232B14">
            <w:pPr>
              <w:keepNext w:val="0"/>
              <w:keepLines w:val="0"/>
              <w:pageBreakBefore w:val="0"/>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5AAA4153">
        <w:tblPrEx>
          <w:tblCellMar>
            <w:top w:w="0" w:type="dxa"/>
            <w:left w:w="108" w:type="dxa"/>
            <w:bottom w:w="0" w:type="dxa"/>
            <w:right w:w="108" w:type="dxa"/>
          </w:tblCellMar>
        </w:tblPrEx>
        <w:trPr>
          <w:trHeight w:val="285" w:hRule="atLeast"/>
        </w:trPr>
        <w:tc>
          <w:tcPr>
            <w:tcW w:w="705" w:type="dxa"/>
            <w:vMerge w:val="continue"/>
            <w:tcBorders>
              <w:left w:val="single" w:color="auto" w:sz="4" w:space="0"/>
              <w:right w:val="single" w:color="auto" w:sz="4" w:space="0"/>
            </w:tcBorders>
            <w:noWrap w:val="0"/>
            <w:vAlign w:val="center"/>
          </w:tcPr>
          <w:p w14:paraId="6604F284">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single" w:color="auto" w:sz="4" w:space="0"/>
              <w:right w:val="nil"/>
            </w:tcBorders>
            <w:noWrap w:val="0"/>
            <w:vAlign w:val="center"/>
          </w:tcPr>
          <w:p w14:paraId="5754E9A1">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xml:space="preserve">安全生产 </w:t>
            </w:r>
          </w:p>
        </w:tc>
        <w:tc>
          <w:tcPr>
            <w:tcW w:w="720" w:type="dxa"/>
            <w:tcBorders>
              <w:top w:val="nil"/>
              <w:left w:val="single" w:color="auto" w:sz="4" w:space="0"/>
              <w:bottom w:val="single" w:color="auto" w:sz="4" w:space="0"/>
              <w:right w:val="single" w:color="auto" w:sz="4" w:space="0"/>
            </w:tcBorders>
            <w:noWrap w:val="0"/>
            <w:vAlign w:val="center"/>
          </w:tcPr>
          <w:p w14:paraId="5CD25220">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1AC33EF8">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67A2F304">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60C472E8">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405E6E1B">
            <w:pPr>
              <w:keepNext w:val="0"/>
              <w:keepLines w:val="0"/>
              <w:pageBreakBefore w:val="0"/>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18A09DCC">
        <w:tblPrEx>
          <w:tblCellMar>
            <w:top w:w="0" w:type="dxa"/>
            <w:left w:w="108" w:type="dxa"/>
            <w:bottom w:w="0" w:type="dxa"/>
            <w:right w:w="108" w:type="dxa"/>
          </w:tblCellMar>
        </w:tblPrEx>
        <w:trPr>
          <w:trHeight w:val="262" w:hRule="atLeast"/>
        </w:trPr>
        <w:tc>
          <w:tcPr>
            <w:tcW w:w="705" w:type="dxa"/>
            <w:vMerge w:val="continue"/>
            <w:tcBorders>
              <w:left w:val="single" w:color="auto" w:sz="4" w:space="0"/>
              <w:right w:val="single" w:color="auto" w:sz="4" w:space="0"/>
            </w:tcBorders>
            <w:noWrap w:val="0"/>
            <w:vAlign w:val="center"/>
          </w:tcPr>
          <w:p w14:paraId="70B7A45B">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single" w:color="auto" w:sz="4" w:space="0"/>
              <w:right w:val="nil"/>
            </w:tcBorders>
            <w:noWrap w:val="0"/>
            <w:vAlign w:val="center"/>
          </w:tcPr>
          <w:p w14:paraId="6F5B953F">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其它</w:t>
            </w:r>
          </w:p>
        </w:tc>
        <w:tc>
          <w:tcPr>
            <w:tcW w:w="720" w:type="dxa"/>
            <w:tcBorders>
              <w:top w:val="nil"/>
              <w:left w:val="single" w:color="auto" w:sz="4" w:space="0"/>
              <w:bottom w:val="single" w:color="auto" w:sz="4" w:space="0"/>
              <w:right w:val="single" w:color="auto" w:sz="4" w:space="0"/>
            </w:tcBorders>
            <w:noWrap w:val="0"/>
            <w:vAlign w:val="center"/>
          </w:tcPr>
          <w:p w14:paraId="49635915">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09B0FE68">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20CD66FA">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6A2D563A">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3BFCC867">
            <w:pPr>
              <w:keepNext w:val="0"/>
              <w:keepLines w:val="0"/>
              <w:pageBreakBefore w:val="0"/>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2631773F">
        <w:tblPrEx>
          <w:tblCellMar>
            <w:top w:w="0" w:type="dxa"/>
            <w:left w:w="108" w:type="dxa"/>
            <w:bottom w:w="0" w:type="dxa"/>
            <w:right w:w="108" w:type="dxa"/>
          </w:tblCellMar>
        </w:tblPrEx>
        <w:trPr>
          <w:trHeight w:val="351" w:hRule="atLeast"/>
        </w:trPr>
        <w:tc>
          <w:tcPr>
            <w:tcW w:w="705" w:type="dxa"/>
            <w:vMerge w:val="continue"/>
            <w:tcBorders>
              <w:left w:val="single" w:color="auto" w:sz="4" w:space="0"/>
              <w:right w:val="single" w:color="auto" w:sz="4" w:space="0"/>
            </w:tcBorders>
            <w:noWrap w:val="0"/>
            <w:vAlign w:val="center"/>
          </w:tcPr>
          <w:p w14:paraId="0F7ECAFC">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nil"/>
              <w:right w:val="nil"/>
            </w:tcBorders>
            <w:noWrap w:val="0"/>
            <w:vAlign w:val="center"/>
          </w:tcPr>
          <w:p w14:paraId="16C7A2B9">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内业管理</w:t>
            </w:r>
          </w:p>
        </w:tc>
        <w:tc>
          <w:tcPr>
            <w:tcW w:w="720" w:type="dxa"/>
            <w:tcBorders>
              <w:top w:val="nil"/>
              <w:left w:val="single" w:color="auto" w:sz="4" w:space="0"/>
              <w:bottom w:val="single" w:color="auto" w:sz="4" w:space="0"/>
              <w:right w:val="single" w:color="auto" w:sz="4" w:space="0"/>
            </w:tcBorders>
            <w:noWrap w:val="0"/>
            <w:vAlign w:val="center"/>
          </w:tcPr>
          <w:p w14:paraId="033A0D49">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3EF1CEA0">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3E825375">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74B47413">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50F6420D">
            <w:pPr>
              <w:keepNext w:val="0"/>
              <w:keepLines w:val="0"/>
              <w:pageBreakBefore w:val="0"/>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4FDEE4BD">
        <w:tblPrEx>
          <w:tblCellMar>
            <w:top w:w="0" w:type="dxa"/>
            <w:left w:w="108" w:type="dxa"/>
            <w:bottom w:w="0" w:type="dxa"/>
            <w:right w:w="108" w:type="dxa"/>
          </w:tblCellMar>
        </w:tblPrEx>
        <w:trPr>
          <w:trHeight w:val="365" w:hRule="atLeast"/>
        </w:trPr>
        <w:tc>
          <w:tcPr>
            <w:tcW w:w="705" w:type="dxa"/>
            <w:vMerge w:val="continue"/>
            <w:tcBorders>
              <w:left w:val="single" w:color="auto" w:sz="4" w:space="0"/>
              <w:right w:val="single" w:color="auto" w:sz="4" w:space="0"/>
            </w:tcBorders>
            <w:noWrap w:val="0"/>
            <w:vAlign w:val="center"/>
          </w:tcPr>
          <w:p w14:paraId="588BA983">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3420" w:type="dxa"/>
            <w:gridSpan w:val="2"/>
            <w:tcBorders>
              <w:top w:val="single" w:color="auto" w:sz="4" w:space="0"/>
              <w:left w:val="nil"/>
              <w:bottom w:val="single" w:color="auto" w:sz="4" w:space="0"/>
              <w:right w:val="nil"/>
            </w:tcBorders>
            <w:noWrap w:val="0"/>
            <w:vAlign w:val="center"/>
          </w:tcPr>
          <w:p w14:paraId="29BA5124">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水肥管理</w:t>
            </w:r>
          </w:p>
        </w:tc>
        <w:tc>
          <w:tcPr>
            <w:tcW w:w="720" w:type="dxa"/>
            <w:tcBorders>
              <w:top w:val="nil"/>
              <w:left w:val="single" w:color="auto" w:sz="4" w:space="0"/>
              <w:bottom w:val="single" w:color="auto" w:sz="4" w:space="0"/>
              <w:right w:val="single" w:color="auto" w:sz="4" w:space="0"/>
            </w:tcBorders>
            <w:noWrap w:val="0"/>
            <w:vAlign w:val="center"/>
          </w:tcPr>
          <w:p w14:paraId="35623CA1">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36A34248">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399F9545">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596BA6E4">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78506365">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3894E1E7">
        <w:tblPrEx>
          <w:tblCellMar>
            <w:top w:w="0" w:type="dxa"/>
            <w:left w:w="108" w:type="dxa"/>
            <w:bottom w:w="0" w:type="dxa"/>
            <w:right w:w="108" w:type="dxa"/>
          </w:tblCellMar>
        </w:tblPrEx>
        <w:trPr>
          <w:trHeight w:val="250" w:hRule="atLeast"/>
        </w:trPr>
        <w:tc>
          <w:tcPr>
            <w:tcW w:w="705" w:type="dxa"/>
            <w:vMerge w:val="continue"/>
            <w:tcBorders>
              <w:left w:val="single" w:color="auto" w:sz="4" w:space="0"/>
              <w:right w:val="single" w:color="auto" w:sz="4" w:space="0"/>
            </w:tcBorders>
            <w:noWrap w:val="0"/>
            <w:vAlign w:val="center"/>
          </w:tcPr>
          <w:p w14:paraId="23DBB157">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single" w:color="auto" w:sz="4" w:space="0"/>
              <w:right w:val="nil"/>
            </w:tcBorders>
            <w:noWrap w:val="0"/>
            <w:vAlign w:val="center"/>
          </w:tcPr>
          <w:p w14:paraId="27E6531D">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病虫害专项防治</w:t>
            </w:r>
          </w:p>
        </w:tc>
        <w:tc>
          <w:tcPr>
            <w:tcW w:w="720" w:type="dxa"/>
            <w:tcBorders>
              <w:top w:val="nil"/>
              <w:left w:val="single" w:color="auto" w:sz="4" w:space="0"/>
              <w:bottom w:val="single" w:color="auto" w:sz="4" w:space="0"/>
              <w:right w:val="single" w:color="auto" w:sz="4" w:space="0"/>
            </w:tcBorders>
            <w:noWrap w:val="0"/>
            <w:vAlign w:val="center"/>
          </w:tcPr>
          <w:p w14:paraId="523A87C8">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right w:val="single" w:color="auto" w:sz="4" w:space="0"/>
            </w:tcBorders>
            <w:noWrap w:val="0"/>
            <w:vAlign w:val="center"/>
          </w:tcPr>
          <w:p w14:paraId="004A98FB">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781" w:type="dxa"/>
            <w:vMerge w:val="continue"/>
            <w:tcBorders>
              <w:left w:val="single" w:color="auto" w:sz="4" w:space="0"/>
              <w:right w:val="single" w:color="auto" w:sz="4" w:space="0"/>
            </w:tcBorders>
            <w:noWrap w:val="0"/>
            <w:vAlign w:val="center"/>
          </w:tcPr>
          <w:p w14:paraId="34BEDB96">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3EA23343">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right w:val="single" w:color="auto" w:sz="4" w:space="0"/>
            </w:tcBorders>
            <w:noWrap w:val="0"/>
            <w:vAlign w:val="center"/>
          </w:tcPr>
          <w:p w14:paraId="04586263">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2594188C">
        <w:tblPrEx>
          <w:tblCellMar>
            <w:top w:w="0" w:type="dxa"/>
            <w:left w:w="108" w:type="dxa"/>
            <w:bottom w:w="0" w:type="dxa"/>
            <w:right w:w="108" w:type="dxa"/>
          </w:tblCellMar>
        </w:tblPrEx>
        <w:trPr>
          <w:trHeight w:val="301" w:hRule="atLeast"/>
        </w:trPr>
        <w:tc>
          <w:tcPr>
            <w:tcW w:w="705" w:type="dxa"/>
            <w:vMerge w:val="continue"/>
            <w:tcBorders>
              <w:left w:val="single" w:color="auto" w:sz="4" w:space="0"/>
              <w:bottom w:val="single" w:color="000000" w:sz="4" w:space="0"/>
              <w:right w:val="single" w:color="auto" w:sz="4" w:space="0"/>
            </w:tcBorders>
            <w:noWrap w:val="0"/>
            <w:vAlign w:val="center"/>
          </w:tcPr>
          <w:p w14:paraId="0C44685A">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3420" w:type="dxa"/>
            <w:gridSpan w:val="2"/>
            <w:tcBorders>
              <w:top w:val="nil"/>
              <w:left w:val="nil"/>
              <w:bottom w:val="single" w:color="auto" w:sz="4" w:space="0"/>
              <w:right w:val="nil"/>
            </w:tcBorders>
            <w:noWrap w:val="0"/>
            <w:vAlign w:val="center"/>
          </w:tcPr>
          <w:p w14:paraId="3B388FE3">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灾害应对专项</w:t>
            </w:r>
          </w:p>
        </w:tc>
        <w:tc>
          <w:tcPr>
            <w:tcW w:w="720" w:type="dxa"/>
            <w:tcBorders>
              <w:top w:val="nil"/>
              <w:left w:val="single" w:color="auto" w:sz="4" w:space="0"/>
              <w:bottom w:val="single" w:color="auto" w:sz="4" w:space="0"/>
              <w:right w:val="single" w:color="auto" w:sz="4" w:space="0"/>
            </w:tcBorders>
            <w:noWrap w:val="0"/>
            <w:vAlign w:val="center"/>
          </w:tcPr>
          <w:p w14:paraId="101F2465">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750" w:type="dxa"/>
            <w:gridSpan w:val="2"/>
            <w:vMerge w:val="continue"/>
            <w:tcBorders>
              <w:left w:val="single" w:color="auto" w:sz="4" w:space="0"/>
              <w:bottom w:val="single" w:color="auto" w:sz="4" w:space="0"/>
              <w:right w:val="single" w:color="auto" w:sz="4" w:space="0"/>
            </w:tcBorders>
            <w:noWrap w:val="0"/>
            <w:vAlign w:val="center"/>
          </w:tcPr>
          <w:p w14:paraId="01C86543">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781" w:type="dxa"/>
            <w:vMerge w:val="continue"/>
            <w:tcBorders>
              <w:left w:val="single" w:color="auto" w:sz="4" w:space="0"/>
              <w:bottom w:val="single" w:color="auto" w:sz="4" w:space="0"/>
              <w:right w:val="single" w:color="auto" w:sz="4" w:space="0"/>
            </w:tcBorders>
            <w:noWrap w:val="0"/>
            <w:vAlign w:val="center"/>
          </w:tcPr>
          <w:p w14:paraId="58612CDC">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1134" w:type="dxa"/>
            <w:gridSpan w:val="2"/>
            <w:tcBorders>
              <w:top w:val="nil"/>
              <w:left w:val="nil"/>
              <w:bottom w:val="single" w:color="auto" w:sz="4" w:space="0"/>
              <w:right w:val="single" w:color="auto" w:sz="4" w:space="0"/>
            </w:tcBorders>
            <w:noWrap w:val="0"/>
            <w:vAlign w:val="center"/>
          </w:tcPr>
          <w:p w14:paraId="5577200A">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vMerge w:val="continue"/>
            <w:tcBorders>
              <w:left w:val="single" w:color="auto" w:sz="4" w:space="0"/>
              <w:bottom w:val="nil"/>
              <w:right w:val="single" w:color="auto" w:sz="4" w:space="0"/>
            </w:tcBorders>
            <w:noWrap w:val="0"/>
            <w:vAlign w:val="center"/>
          </w:tcPr>
          <w:p w14:paraId="554949D7">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5500EA9B">
        <w:tblPrEx>
          <w:tblCellMar>
            <w:top w:w="0" w:type="dxa"/>
            <w:left w:w="108" w:type="dxa"/>
            <w:bottom w:w="0" w:type="dxa"/>
            <w:right w:w="108" w:type="dxa"/>
          </w:tblCellMar>
        </w:tblPrEx>
        <w:trPr>
          <w:trHeight w:val="492" w:hRule="atLeast"/>
        </w:trPr>
        <w:tc>
          <w:tcPr>
            <w:tcW w:w="5595" w:type="dxa"/>
            <w:gridSpan w:val="6"/>
            <w:tcBorders>
              <w:top w:val="single" w:color="auto" w:sz="4" w:space="0"/>
              <w:left w:val="single" w:color="auto" w:sz="4" w:space="0"/>
              <w:right w:val="single" w:color="auto" w:sz="4" w:space="0"/>
            </w:tcBorders>
            <w:noWrap w:val="0"/>
            <w:vAlign w:val="center"/>
          </w:tcPr>
          <w:p w14:paraId="35CE8F6C">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日常检查+月度检查最终扣分合计</w:t>
            </w:r>
          </w:p>
        </w:tc>
        <w:tc>
          <w:tcPr>
            <w:tcW w:w="781" w:type="dxa"/>
            <w:tcBorders>
              <w:top w:val="single" w:color="auto" w:sz="4" w:space="0"/>
              <w:left w:val="single" w:color="auto" w:sz="4" w:space="0"/>
              <w:right w:val="single" w:color="auto" w:sz="4" w:space="0"/>
            </w:tcBorders>
            <w:noWrap w:val="0"/>
            <w:vAlign w:val="center"/>
          </w:tcPr>
          <w:p w14:paraId="4686EC6D">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134" w:type="dxa"/>
            <w:gridSpan w:val="2"/>
            <w:tcBorders>
              <w:top w:val="nil"/>
              <w:left w:val="single" w:color="auto" w:sz="4" w:space="0"/>
              <w:bottom w:val="single" w:color="auto" w:sz="4" w:space="0"/>
              <w:right w:val="single" w:color="auto" w:sz="4" w:space="0"/>
            </w:tcBorders>
            <w:noWrap w:val="0"/>
            <w:vAlign w:val="center"/>
          </w:tcPr>
          <w:p w14:paraId="4C016D30">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c>
          <w:tcPr>
            <w:tcW w:w="2833" w:type="dxa"/>
            <w:tcBorders>
              <w:top w:val="single" w:color="auto" w:sz="4" w:space="0"/>
              <w:left w:val="nil"/>
              <w:right w:val="single" w:color="auto" w:sz="4" w:space="0"/>
            </w:tcBorders>
            <w:noWrap w:val="0"/>
            <w:vAlign w:val="center"/>
          </w:tcPr>
          <w:p w14:paraId="5FFD56E6">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32551B7F">
        <w:tblPrEx>
          <w:tblCellMar>
            <w:top w:w="0" w:type="dxa"/>
            <w:left w:w="108" w:type="dxa"/>
            <w:bottom w:w="0" w:type="dxa"/>
            <w:right w:w="108" w:type="dxa"/>
          </w:tblCellMar>
        </w:tblPrEx>
        <w:trPr>
          <w:trHeight w:val="1372" w:hRule="atLeast"/>
        </w:trPr>
        <w:tc>
          <w:tcPr>
            <w:tcW w:w="1130" w:type="dxa"/>
            <w:gridSpan w:val="2"/>
            <w:tcBorders>
              <w:top w:val="single" w:color="auto" w:sz="4" w:space="0"/>
              <w:left w:val="single" w:color="auto" w:sz="4" w:space="0"/>
              <w:right w:val="single" w:color="auto" w:sz="4" w:space="0"/>
            </w:tcBorders>
            <w:noWrap w:val="0"/>
            <w:vAlign w:val="center"/>
          </w:tcPr>
          <w:p w14:paraId="6097FE58">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专项活动考评</w:t>
            </w:r>
          </w:p>
        </w:tc>
        <w:tc>
          <w:tcPr>
            <w:tcW w:w="2995" w:type="dxa"/>
            <w:tcBorders>
              <w:top w:val="single" w:color="auto" w:sz="4" w:space="0"/>
              <w:left w:val="single" w:color="auto" w:sz="4" w:space="0"/>
              <w:right w:val="single" w:color="auto" w:sz="4" w:space="0"/>
            </w:tcBorders>
            <w:noWrap w:val="0"/>
            <w:vAlign w:val="center"/>
          </w:tcPr>
          <w:p w14:paraId="13BB7A9C">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lang w:bidi="ar"/>
              </w:rPr>
              <w:t>“创文明城、创卫生城、美丽南宁”等专项检查扣款(元）</w:t>
            </w:r>
          </w:p>
        </w:tc>
        <w:tc>
          <w:tcPr>
            <w:tcW w:w="720" w:type="dxa"/>
            <w:tcBorders>
              <w:top w:val="single" w:color="auto" w:sz="4" w:space="0"/>
              <w:left w:val="single" w:color="auto" w:sz="4" w:space="0"/>
              <w:right w:val="single" w:color="auto" w:sz="4" w:space="0"/>
            </w:tcBorders>
            <w:noWrap w:val="0"/>
            <w:vAlign w:val="center"/>
          </w:tcPr>
          <w:p w14:paraId="4CD98E79">
            <w:pPr>
              <w:keepNext w:val="0"/>
              <w:keepLines w:val="0"/>
              <w:pageBreakBefore w:val="0"/>
              <w:kinsoku/>
              <w:wordWrap/>
              <w:overflowPunct/>
              <w:topLinePunct w:val="0"/>
              <w:autoSpaceDE/>
              <w:autoSpaceDN/>
              <w:bidi w:val="0"/>
              <w:snapToGrid/>
              <w:spacing w:line="320" w:lineRule="exact"/>
              <w:jc w:val="center"/>
              <w:rPr>
                <w:rFonts w:hint="eastAsia" w:ascii="宋体" w:hAnsi="宋体" w:cs="宋体"/>
                <w:color w:val="auto"/>
                <w:kern w:val="0"/>
                <w:szCs w:val="21"/>
                <w:highlight w:val="none"/>
              </w:rPr>
            </w:pPr>
          </w:p>
        </w:tc>
        <w:tc>
          <w:tcPr>
            <w:tcW w:w="5498" w:type="dxa"/>
            <w:gridSpan w:val="6"/>
            <w:tcBorders>
              <w:top w:val="single" w:color="auto" w:sz="4" w:space="0"/>
              <w:left w:val="single" w:color="auto" w:sz="4" w:space="0"/>
              <w:bottom w:val="single" w:color="auto" w:sz="4" w:space="0"/>
              <w:right w:val="single" w:color="auto" w:sz="4" w:space="0"/>
            </w:tcBorders>
            <w:noWrap w:val="0"/>
            <w:vAlign w:val="center"/>
          </w:tcPr>
          <w:p w14:paraId="11857218">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lang w:val="en-US" w:eastAsia="zh-CN" w:bidi="ar"/>
              </w:rPr>
              <w:t>在各项迎接工作中</w:t>
            </w:r>
            <w:r>
              <w:rPr>
                <w:rFonts w:hint="eastAsia" w:ascii="宋体" w:hAnsi="宋体" w:cs="宋体"/>
                <w:color w:val="auto"/>
                <w:kern w:val="0"/>
                <w:szCs w:val="21"/>
                <w:highlight w:val="none"/>
                <w:lang w:bidi="ar"/>
              </w:rPr>
              <w:t>，因岗位工作不到位在迎检工作中被上级部门扣分的，按被扣分项相应分值的二倍进行扣分，扣分不设上限，每扣0.1分扣除服务费50元。若被上级通报并无具体扣分分值的按案件数直接扣款，自治区级以上检查每个案件按照1000元/件，市级检查每个案件按照500元/件，城区、主管局检查每个案件按照100元/件。</w:t>
            </w:r>
          </w:p>
        </w:tc>
      </w:tr>
      <w:tr w14:paraId="405BF24B">
        <w:tblPrEx>
          <w:tblCellMar>
            <w:top w:w="0" w:type="dxa"/>
            <w:left w:w="108" w:type="dxa"/>
            <w:bottom w:w="0" w:type="dxa"/>
            <w:right w:w="108" w:type="dxa"/>
          </w:tblCellMar>
        </w:tblPrEx>
        <w:trPr>
          <w:trHeight w:val="246" w:hRule="atLeast"/>
        </w:trPr>
        <w:tc>
          <w:tcPr>
            <w:tcW w:w="1130" w:type="dxa"/>
            <w:gridSpan w:val="2"/>
            <w:vMerge w:val="restart"/>
            <w:tcBorders>
              <w:top w:val="single" w:color="auto" w:sz="4" w:space="0"/>
              <w:left w:val="single" w:color="auto" w:sz="4" w:space="0"/>
              <w:right w:val="single" w:color="auto" w:sz="4" w:space="0"/>
            </w:tcBorders>
            <w:noWrap w:val="0"/>
            <w:vAlign w:val="center"/>
          </w:tcPr>
          <w:p w14:paraId="672F2831">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 w:val="22"/>
                <w:szCs w:val="21"/>
                <w:highlight w:val="none"/>
              </w:rPr>
            </w:pPr>
            <w:r>
              <w:rPr>
                <w:rFonts w:hint="eastAsia" w:ascii="宋体" w:hAnsi="宋体" w:cs="宋体"/>
                <w:color w:val="auto"/>
                <w:kern w:val="0"/>
                <w:sz w:val="22"/>
                <w:szCs w:val="21"/>
                <w:highlight w:val="none"/>
              </w:rPr>
              <w:t>考</w:t>
            </w:r>
          </w:p>
          <w:p w14:paraId="157D7D61">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 w:val="22"/>
                <w:szCs w:val="21"/>
                <w:highlight w:val="none"/>
              </w:rPr>
            </w:pPr>
            <w:r>
              <w:rPr>
                <w:rFonts w:hint="eastAsia" w:ascii="宋体" w:hAnsi="宋体" w:cs="宋体"/>
                <w:color w:val="auto"/>
                <w:kern w:val="0"/>
                <w:sz w:val="22"/>
                <w:szCs w:val="21"/>
                <w:highlight w:val="none"/>
              </w:rPr>
              <w:t>核</w:t>
            </w:r>
          </w:p>
          <w:p w14:paraId="242B331A">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 w:val="22"/>
                <w:szCs w:val="21"/>
                <w:highlight w:val="none"/>
              </w:rPr>
            </w:pPr>
            <w:r>
              <w:rPr>
                <w:rFonts w:hint="eastAsia" w:ascii="宋体" w:hAnsi="宋体" w:cs="宋体"/>
                <w:color w:val="auto"/>
                <w:kern w:val="0"/>
                <w:sz w:val="22"/>
                <w:szCs w:val="21"/>
                <w:highlight w:val="none"/>
              </w:rPr>
              <w:t>结</w:t>
            </w:r>
          </w:p>
          <w:p w14:paraId="773052CD">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 w:val="22"/>
                <w:szCs w:val="21"/>
                <w:highlight w:val="none"/>
              </w:rPr>
            </w:pPr>
            <w:r>
              <w:rPr>
                <w:rFonts w:hint="eastAsia" w:ascii="宋体" w:hAnsi="宋体" w:cs="宋体"/>
                <w:color w:val="auto"/>
                <w:kern w:val="0"/>
                <w:sz w:val="22"/>
                <w:szCs w:val="21"/>
                <w:highlight w:val="none"/>
              </w:rPr>
              <w:t>果</w:t>
            </w:r>
          </w:p>
        </w:tc>
        <w:tc>
          <w:tcPr>
            <w:tcW w:w="3715" w:type="dxa"/>
            <w:gridSpan w:val="2"/>
            <w:tcBorders>
              <w:top w:val="single" w:color="auto" w:sz="4" w:space="0"/>
              <w:left w:val="single" w:color="auto" w:sz="4" w:space="0"/>
              <w:bottom w:val="single" w:color="auto" w:sz="4" w:space="0"/>
              <w:right w:val="single" w:color="auto" w:sz="4" w:space="0"/>
            </w:tcBorders>
            <w:noWrap w:val="0"/>
            <w:vAlign w:val="center"/>
          </w:tcPr>
          <w:p w14:paraId="0E9B2966">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逾期整改扣款合计（元）</w:t>
            </w:r>
          </w:p>
        </w:tc>
        <w:tc>
          <w:tcPr>
            <w:tcW w:w="1531" w:type="dxa"/>
            <w:gridSpan w:val="3"/>
            <w:tcBorders>
              <w:top w:val="single" w:color="auto" w:sz="4" w:space="0"/>
              <w:left w:val="single" w:color="auto" w:sz="4" w:space="0"/>
              <w:bottom w:val="single" w:color="auto" w:sz="4" w:space="0"/>
              <w:right w:val="single" w:color="000000" w:sz="4" w:space="0"/>
            </w:tcBorders>
            <w:noWrap w:val="0"/>
            <w:vAlign w:val="center"/>
          </w:tcPr>
          <w:p w14:paraId="477BD6D0">
            <w:pPr>
              <w:keepNext w:val="0"/>
              <w:keepLines w:val="0"/>
              <w:pageBreakBefore w:val="0"/>
              <w:kinsoku/>
              <w:wordWrap/>
              <w:overflowPunct/>
              <w:topLinePunct w:val="0"/>
              <w:autoSpaceDE/>
              <w:autoSpaceDN/>
              <w:bidi w:val="0"/>
              <w:snapToGrid/>
              <w:spacing w:line="320" w:lineRule="exact"/>
              <w:jc w:val="center"/>
              <w:rPr>
                <w:rFonts w:hint="eastAsia" w:ascii="宋体" w:hAnsi="宋体" w:cs="宋体"/>
                <w:color w:val="auto"/>
                <w:kern w:val="0"/>
                <w:szCs w:val="21"/>
                <w:highlight w:val="none"/>
              </w:rPr>
            </w:pPr>
          </w:p>
        </w:tc>
        <w:tc>
          <w:tcPr>
            <w:tcW w:w="3967" w:type="dxa"/>
            <w:gridSpan w:val="3"/>
            <w:tcBorders>
              <w:top w:val="nil"/>
              <w:left w:val="nil"/>
              <w:bottom w:val="single" w:color="auto" w:sz="4" w:space="0"/>
              <w:right w:val="single" w:color="auto" w:sz="4" w:space="0"/>
            </w:tcBorders>
            <w:noWrap w:val="0"/>
            <w:vAlign w:val="center"/>
          </w:tcPr>
          <w:p w14:paraId="463CB430">
            <w:pPr>
              <w:keepNext w:val="0"/>
              <w:keepLines w:val="0"/>
              <w:pageBreakBefore w:val="0"/>
              <w:widowControl/>
              <w:tabs>
                <w:tab w:val="left" w:pos="716"/>
              </w:tabs>
              <w:kinsoku/>
              <w:wordWrap/>
              <w:overflowPunct/>
              <w:topLinePunct w:val="0"/>
              <w:autoSpaceDE/>
              <w:autoSpaceDN/>
              <w:bidi w:val="0"/>
              <w:snapToGrid/>
              <w:spacing w:line="32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 w:val="18"/>
                <w:szCs w:val="18"/>
                <w:highlight w:val="none"/>
                <w:lang w:bidi="ar"/>
              </w:rPr>
              <w:t>逾期整改天数×逾期整改问题扣分分值×500元</w:t>
            </w:r>
          </w:p>
        </w:tc>
      </w:tr>
      <w:tr w14:paraId="003F532B">
        <w:tblPrEx>
          <w:tblCellMar>
            <w:top w:w="0" w:type="dxa"/>
            <w:left w:w="108" w:type="dxa"/>
            <w:bottom w:w="0" w:type="dxa"/>
            <w:right w:w="108" w:type="dxa"/>
          </w:tblCellMar>
        </w:tblPrEx>
        <w:trPr>
          <w:trHeight w:val="286" w:hRule="atLeast"/>
        </w:trPr>
        <w:tc>
          <w:tcPr>
            <w:tcW w:w="1130" w:type="dxa"/>
            <w:gridSpan w:val="2"/>
            <w:vMerge w:val="continue"/>
            <w:tcBorders>
              <w:left w:val="single" w:color="auto" w:sz="4" w:space="0"/>
              <w:right w:val="single" w:color="auto" w:sz="4" w:space="0"/>
            </w:tcBorders>
            <w:noWrap w:val="0"/>
            <w:vAlign w:val="center"/>
          </w:tcPr>
          <w:p w14:paraId="191B1C3A">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4465" w:type="dxa"/>
            <w:gridSpan w:val="4"/>
            <w:tcBorders>
              <w:top w:val="single" w:color="auto" w:sz="4" w:space="0"/>
              <w:left w:val="single" w:color="auto" w:sz="4" w:space="0"/>
              <w:bottom w:val="single" w:color="auto" w:sz="4" w:space="0"/>
              <w:right w:val="single" w:color="auto" w:sz="4" w:space="0"/>
            </w:tcBorders>
            <w:noWrap w:val="0"/>
            <w:vAlign w:val="center"/>
          </w:tcPr>
          <w:p w14:paraId="7807E0CB">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人员扣款（元）</w:t>
            </w:r>
          </w:p>
        </w:tc>
        <w:tc>
          <w:tcPr>
            <w:tcW w:w="1915" w:type="dxa"/>
            <w:gridSpan w:val="3"/>
            <w:tcBorders>
              <w:top w:val="single" w:color="auto" w:sz="4" w:space="0"/>
              <w:left w:val="single" w:color="auto" w:sz="4" w:space="0"/>
              <w:bottom w:val="single" w:color="auto" w:sz="4" w:space="0"/>
              <w:right w:val="single" w:color="auto" w:sz="4" w:space="0"/>
            </w:tcBorders>
            <w:noWrap w:val="0"/>
            <w:vAlign w:val="center"/>
          </w:tcPr>
          <w:p w14:paraId="7A1C8B3D">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c>
          <w:tcPr>
            <w:tcW w:w="2833" w:type="dxa"/>
            <w:tcBorders>
              <w:top w:val="single" w:color="auto" w:sz="4" w:space="0"/>
              <w:left w:val="nil"/>
              <w:bottom w:val="single" w:color="auto" w:sz="4" w:space="0"/>
              <w:right w:val="single" w:color="auto" w:sz="4" w:space="0"/>
            </w:tcBorders>
            <w:noWrap w:val="0"/>
            <w:vAlign w:val="center"/>
          </w:tcPr>
          <w:p w14:paraId="0C039576">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9BCD7B3">
        <w:tblPrEx>
          <w:tblCellMar>
            <w:top w:w="0" w:type="dxa"/>
            <w:left w:w="108" w:type="dxa"/>
            <w:bottom w:w="0" w:type="dxa"/>
            <w:right w:w="108" w:type="dxa"/>
          </w:tblCellMar>
        </w:tblPrEx>
        <w:trPr>
          <w:trHeight w:val="333" w:hRule="atLeast"/>
        </w:trPr>
        <w:tc>
          <w:tcPr>
            <w:tcW w:w="1130" w:type="dxa"/>
            <w:gridSpan w:val="2"/>
            <w:vMerge w:val="continue"/>
            <w:tcBorders>
              <w:left w:val="single" w:color="auto" w:sz="4" w:space="0"/>
              <w:right w:val="single" w:color="auto" w:sz="4" w:space="0"/>
            </w:tcBorders>
            <w:noWrap w:val="0"/>
            <w:vAlign w:val="center"/>
          </w:tcPr>
          <w:p w14:paraId="46E52AF8">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4465" w:type="dxa"/>
            <w:gridSpan w:val="4"/>
            <w:tcBorders>
              <w:top w:val="single" w:color="auto" w:sz="4" w:space="0"/>
              <w:left w:val="single" w:color="auto" w:sz="4" w:space="0"/>
              <w:bottom w:val="single" w:color="auto" w:sz="4" w:space="0"/>
              <w:right w:val="single" w:color="000000" w:sz="4" w:space="0"/>
            </w:tcBorders>
            <w:noWrap w:val="0"/>
            <w:vAlign w:val="center"/>
          </w:tcPr>
          <w:p w14:paraId="700D12F5">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活动专项扣款合计（元）</w:t>
            </w:r>
          </w:p>
        </w:tc>
        <w:tc>
          <w:tcPr>
            <w:tcW w:w="1915" w:type="dxa"/>
            <w:gridSpan w:val="3"/>
            <w:tcBorders>
              <w:top w:val="single" w:color="auto" w:sz="4" w:space="0"/>
              <w:left w:val="nil"/>
              <w:bottom w:val="single" w:color="auto" w:sz="4" w:space="0"/>
              <w:right w:val="single" w:color="000000" w:sz="4" w:space="0"/>
            </w:tcBorders>
            <w:noWrap w:val="0"/>
            <w:vAlign w:val="center"/>
          </w:tcPr>
          <w:p w14:paraId="13AF08AD">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2833" w:type="dxa"/>
            <w:tcBorders>
              <w:top w:val="nil"/>
              <w:left w:val="nil"/>
              <w:bottom w:val="single" w:color="auto" w:sz="4" w:space="0"/>
              <w:right w:val="single" w:color="auto" w:sz="4" w:space="0"/>
            </w:tcBorders>
            <w:noWrap w:val="0"/>
            <w:vAlign w:val="center"/>
          </w:tcPr>
          <w:p w14:paraId="7D428400">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27DAC565">
        <w:tblPrEx>
          <w:tblCellMar>
            <w:top w:w="0" w:type="dxa"/>
            <w:left w:w="108" w:type="dxa"/>
            <w:bottom w:w="0" w:type="dxa"/>
            <w:right w:w="108" w:type="dxa"/>
          </w:tblCellMar>
        </w:tblPrEx>
        <w:trPr>
          <w:trHeight w:val="337" w:hRule="atLeast"/>
        </w:trPr>
        <w:tc>
          <w:tcPr>
            <w:tcW w:w="1130" w:type="dxa"/>
            <w:gridSpan w:val="2"/>
            <w:vMerge w:val="continue"/>
            <w:tcBorders>
              <w:left w:val="single" w:color="auto" w:sz="4" w:space="0"/>
              <w:right w:val="single" w:color="auto" w:sz="4" w:space="0"/>
            </w:tcBorders>
            <w:noWrap w:val="0"/>
            <w:vAlign w:val="center"/>
          </w:tcPr>
          <w:p w14:paraId="395CB375">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2995" w:type="dxa"/>
            <w:tcBorders>
              <w:top w:val="single" w:color="auto" w:sz="4" w:space="0"/>
              <w:left w:val="single" w:color="auto" w:sz="4" w:space="0"/>
              <w:bottom w:val="single" w:color="auto" w:sz="4" w:space="0"/>
              <w:right w:val="single" w:color="000000" w:sz="4" w:space="0"/>
            </w:tcBorders>
            <w:noWrap w:val="0"/>
            <w:vAlign w:val="center"/>
          </w:tcPr>
          <w:p w14:paraId="034C479F">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月度考核综合得分</w:t>
            </w:r>
          </w:p>
          <w:p w14:paraId="62DE0F51">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（等级评定）</w:t>
            </w:r>
          </w:p>
        </w:tc>
        <w:tc>
          <w:tcPr>
            <w:tcW w:w="2400" w:type="dxa"/>
            <w:gridSpan w:val="5"/>
            <w:tcBorders>
              <w:top w:val="single" w:color="auto" w:sz="4" w:space="0"/>
              <w:left w:val="nil"/>
              <w:bottom w:val="single" w:color="auto" w:sz="4" w:space="0"/>
              <w:right w:val="single" w:color="auto" w:sz="4" w:space="0"/>
            </w:tcBorders>
            <w:noWrap w:val="0"/>
            <w:vAlign w:val="center"/>
          </w:tcPr>
          <w:p w14:paraId="0262671E">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分（  ）</w:t>
            </w:r>
          </w:p>
        </w:tc>
        <w:tc>
          <w:tcPr>
            <w:tcW w:w="3818" w:type="dxa"/>
            <w:gridSpan w:val="2"/>
            <w:tcBorders>
              <w:top w:val="single" w:color="auto" w:sz="4" w:space="0"/>
              <w:left w:val="single" w:color="auto" w:sz="4" w:space="0"/>
              <w:bottom w:val="single" w:color="auto" w:sz="4" w:space="0"/>
              <w:right w:val="single" w:color="auto" w:sz="4" w:space="0"/>
            </w:tcBorders>
            <w:noWrap w:val="0"/>
            <w:vAlign w:val="center"/>
          </w:tcPr>
          <w:p w14:paraId="18D54DA0">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 w:val="16"/>
                <w:szCs w:val="21"/>
                <w:highlight w:val="none"/>
              </w:rPr>
              <w:t>得分=100-最终扣分；优秀（得分≥90分）、合格（90分&gt;得分≥85分）、不合格（得分＜85分）</w:t>
            </w:r>
          </w:p>
        </w:tc>
      </w:tr>
      <w:tr w14:paraId="7ED30D76">
        <w:tblPrEx>
          <w:tblCellMar>
            <w:top w:w="0" w:type="dxa"/>
            <w:left w:w="108" w:type="dxa"/>
            <w:bottom w:w="0" w:type="dxa"/>
            <w:right w:w="108" w:type="dxa"/>
          </w:tblCellMar>
        </w:tblPrEx>
        <w:trPr>
          <w:trHeight w:val="270" w:hRule="atLeast"/>
        </w:trPr>
        <w:tc>
          <w:tcPr>
            <w:tcW w:w="1130" w:type="dxa"/>
            <w:gridSpan w:val="2"/>
            <w:vMerge w:val="continue"/>
            <w:tcBorders>
              <w:left w:val="single" w:color="auto" w:sz="4" w:space="0"/>
              <w:right w:val="single" w:color="auto" w:sz="4" w:space="0"/>
            </w:tcBorders>
            <w:noWrap w:val="0"/>
            <w:vAlign w:val="center"/>
          </w:tcPr>
          <w:p w14:paraId="520F19F6">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2995" w:type="dxa"/>
            <w:tcBorders>
              <w:top w:val="single" w:color="auto" w:sz="4" w:space="0"/>
              <w:left w:val="single" w:color="auto" w:sz="4" w:space="0"/>
              <w:bottom w:val="single" w:color="auto" w:sz="4" w:space="0"/>
              <w:right w:val="single" w:color="000000" w:sz="4" w:space="0"/>
            </w:tcBorders>
            <w:noWrap w:val="0"/>
            <w:vAlign w:val="center"/>
          </w:tcPr>
          <w:p w14:paraId="5DE6B5AD">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等级评定扣款（元）</w:t>
            </w:r>
          </w:p>
        </w:tc>
        <w:tc>
          <w:tcPr>
            <w:tcW w:w="3385" w:type="dxa"/>
            <w:gridSpan w:val="6"/>
            <w:tcBorders>
              <w:top w:val="single" w:color="auto" w:sz="4" w:space="0"/>
              <w:left w:val="nil"/>
              <w:bottom w:val="single" w:color="auto" w:sz="4" w:space="0"/>
              <w:right w:val="single" w:color="auto" w:sz="4" w:space="0"/>
            </w:tcBorders>
            <w:noWrap w:val="0"/>
            <w:vAlign w:val="center"/>
          </w:tcPr>
          <w:p w14:paraId="1F2508D6">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2833" w:type="dxa"/>
            <w:tcBorders>
              <w:top w:val="nil"/>
              <w:left w:val="single" w:color="auto" w:sz="4" w:space="0"/>
              <w:bottom w:val="single" w:color="auto" w:sz="4" w:space="0"/>
              <w:right w:val="single" w:color="auto" w:sz="4" w:space="0"/>
            </w:tcBorders>
            <w:noWrap w:val="0"/>
            <w:vAlign w:val="center"/>
          </w:tcPr>
          <w:p w14:paraId="5EB43150">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p>
        </w:tc>
      </w:tr>
      <w:tr w14:paraId="0B9CB20B">
        <w:tblPrEx>
          <w:tblCellMar>
            <w:top w:w="0" w:type="dxa"/>
            <w:left w:w="108" w:type="dxa"/>
            <w:bottom w:w="0" w:type="dxa"/>
            <w:right w:w="108" w:type="dxa"/>
          </w:tblCellMar>
        </w:tblPrEx>
        <w:trPr>
          <w:trHeight w:val="270" w:hRule="atLeast"/>
        </w:trPr>
        <w:tc>
          <w:tcPr>
            <w:tcW w:w="1130" w:type="dxa"/>
            <w:gridSpan w:val="2"/>
            <w:vMerge w:val="continue"/>
            <w:tcBorders>
              <w:left w:val="single" w:color="auto" w:sz="4" w:space="0"/>
              <w:right w:val="single" w:color="auto" w:sz="4" w:space="0"/>
            </w:tcBorders>
            <w:noWrap w:val="0"/>
            <w:vAlign w:val="center"/>
          </w:tcPr>
          <w:p w14:paraId="5317AACC">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2995" w:type="dxa"/>
            <w:tcBorders>
              <w:top w:val="single" w:color="auto" w:sz="4" w:space="0"/>
              <w:left w:val="single" w:color="auto" w:sz="4" w:space="0"/>
              <w:bottom w:val="single" w:color="auto" w:sz="4" w:space="0"/>
              <w:right w:val="single" w:color="000000" w:sz="4" w:space="0"/>
            </w:tcBorders>
            <w:noWrap w:val="0"/>
            <w:vAlign w:val="center"/>
          </w:tcPr>
          <w:p w14:paraId="1FFE864F">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合同金额（元）</w:t>
            </w:r>
          </w:p>
        </w:tc>
        <w:tc>
          <w:tcPr>
            <w:tcW w:w="1470" w:type="dxa"/>
            <w:gridSpan w:val="3"/>
            <w:tcBorders>
              <w:top w:val="single" w:color="auto" w:sz="4" w:space="0"/>
              <w:left w:val="nil"/>
              <w:bottom w:val="single" w:color="auto" w:sz="4" w:space="0"/>
              <w:right w:val="single" w:color="auto" w:sz="4" w:space="0"/>
            </w:tcBorders>
            <w:noWrap w:val="0"/>
            <w:vAlign w:val="center"/>
          </w:tcPr>
          <w:p w14:paraId="4D9F7A5E">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1915" w:type="dxa"/>
            <w:gridSpan w:val="3"/>
            <w:tcBorders>
              <w:top w:val="single" w:color="auto" w:sz="4" w:space="0"/>
              <w:left w:val="single" w:color="auto" w:sz="4" w:space="0"/>
              <w:bottom w:val="single" w:color="auto" w:sz="4" w:space="0"/>
              <w:right w:val="nil"/>
            </w:tcBorders>
            <w:noWrap w:val="0"/>
            <w:vAlign w:val="center"/>
          </w:tcPr>
          <w:p w14:paraId="6B6340F0">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月应付款（元）</w:t>
            </w:r>
          </w:p>
        </w:tc>
        <w:tc>
          <w:tcPr>
            <w:tcW w:w="2833" w:type="dxa"/>
            <w:tcBorders>
              <w:top w:val="nil"/>
              <w:left w:val="single" w:color="auto" w:sz="4" w:space="0"/>
              <w:bottom w:val="single" w:color="auto" w:sz="4" w:space="0"/>
              <w:right w:val="single" w:color="auto" w:sz="4" w:space="0"/>
            </w:tcBorders>
            <w:noWrap w:val="0"/>
            <w:vAlign w:val="center"/>
          </w:tcPr>
          <w:p w14:paraId="394DE385">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0A4F3DAE">
        <w:tblPrEx>
          <w:tblCellMar>
            <w:top w:w="0" w:type="dxa"/>
            <w:left w:w="108" w:type="dxa"/>
            <w:bottom w:w="0" w:type="dxa"/>
            <w:right w:w="108" w:type="dxa"/>
          </w:tblCellMar>
        </w:tblPrEx>
        <w:trPr>
          <w:trHeight w:val="267" w:hRule="atLeast"/>
        </w:trPr>
        <w:tc>
          <w:tcPr>
            <w:tcW w:w="1130" w:type="dxa"/>
            <w:gridSpan w:val="2"/>
            <w:vMerge w:val="continue"/>
            <w:tcBorders>
              <w:left w:val="single" w:color="auto" w:sz="4" w:space="0"/>
              <w:bottom w:val="single" w:color="auto" w:sz="4" w:space="0"/>
              <w:right w:val="single" w:color="auto" w:sz="4" w:space="0"/>
            </w:tcBorders>
            <w:noWrap w:val="0"/>
            <w:vAlign w:val="center"/>
          </w:tcPr>
          <w:p w14:paraId="446C6DDC">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p>
        </w:tc>
        <w:tc>
          <w:tcPr>
            <w:tcW w:w="2995" w:type="dxa"/>
            <w:tcBorders>
              <w:top w:val="single" w:color="auto" w:sz="4" w:space="0"/>
              <w:left w:val="single" w:color="auto" w:sz="4" w:space="0"/>
              <w:bottom w:val="single" w:color="auto" w:sz="4" w:space="0"/>
              <w:right w:val="single" w:color="000000" w:sz="4" w:space="0"/>
            </w:tcBorders>
            <w:noWrap w:val="0"/>
            <w:vAlign w:val="center"/>
          </w:tcPr>
          <w:p w14:paraId="76AEB752">
            <w:pPr>
              <w:keepNext w:val="0"/>
              <w:keepLines w:val="0"/>
              <w:pageBreakBefore w:val="0"/>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本月实付款（元）</w:t>
            </w:r>
          </w:p>
        </w:tc>
        <w:tc>
          <w:tcPr>
            <w:tcW w:w="3385" w:type="dxa"/>
            <w:gridSpan w:val="6"/>
            <w:tcBorders>
              <w:top w:val="single" w:color="auto" w:sz="4" w:space="0"/>
              <w:left w:val="nil"/>
              <w:bottom w:val="single" w:color="auto" w:sz="4" w:space="0"/>
              <w:right w:val="single" w:color="auto" w:sz="4" w:space="0"/>
            </w:tcBorders>
            <w:noWrap w:val="0"/>
            <w:vAlign w:val="center"/>
          </w:tcPr>
          <w:p w14:paraId="11B847FC">
            <w:pPr>
              <w:keepNext w:val="0"/>
              <w:keepLines w:val="0"/>
              <w:pageBreakBefore w:val="0"/>
              <w:widowControl/>
              <w:kinsoku/>
              <w:wordWrap/>
              <w:overflowPunct/>
              <w:topLinePunct w:val="0"/>
              <w:autoSpaceDE/>
              <w:autoSpaceDN/>
              <w:bidi w:val="0"/>
              <w:snapToGrid/>
              <w:spacing w:line="32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2833" w:type="dxa"/>
            <w:tcBorders>
              <w:top w:val="nil"/>
              <w:left w:val="nil"/>
              <w:bottom w:val="single" w:color="auto" w:sz="4" w:space="0"/>
              <w:right w:val="single" w:color="auto" w:sz="4" w:space="0"/>
            </w:tcBorders>
            <w:noWrap w:val="0"/>
            <w:vAlign w:val="center"/>
          </w:tcPr>
          <w:p w14:paraId="7D0E7B82">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实付款=月应付款-所有扣款</w:t>
            </w:r>
          </w:p>
        </w:tc>
      </w:tr>
      <w:tr w14:paraId="7620AD37">
        <w:tblPrEx>
          <w:tblCellMar>
            <w:top w:w="0" w:type="dxa"/>
            <w:left w:w="108" w:type="dxa"/>
            <w:bottom w:w="0" w:type="dxa"/>
            <w:right w:w="108" w:type="dxa"/>
          </w:tblCellMar>
        </w:tblPrEx>
        <w:trPr>
          <w:trHeight w:val="2748" w:hRule="atLeast"/>
        </w:trPr>
        <w:tc>
          <w:tcPr>
            <w:tcW w:w="5560" w:type="dxa"/>
            <w:gridSpan w:val="5"/>
            <w:tcBorders>
              <w:top w:val="single" w:color="auto" w:sz="4" w:space="0"/>
              <w:left w:val="single" w:color="auto" w:sz="4" w:space="0"/>
              <w:bottom w:val="single" w:color="auto" w:sz="4" w:space="0"/>
              <w:right w:val="single" w:color="auto" w:sz="4" w:space="0"/>
            </w:tcBorders>
            <w:noWrap w:val="0"/>
            <w:vAlign w:val="top"/>
          </w:tcPr>
          <w:p w14:paraId="439289CC">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南宁市花卉公园确认（盖章）</w:t>
            </w:r>
          </w:p>
          <w:p w14:paraId="5D629493">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考核组成员：</w:t>
            </w:r>
          </w:p>
          <w:p w14:paraId="0AC81F90">
            <w:pPr>
              <w:pStyle w:val="29"/>
              <w:keepNext w:val="0"/>
              <w:keepLines w:val="0"/>
              <w:pageBreakBefore w:val="0"/>
              <w:kinsoku/>
              <w:wordWrap/>
              <w:overflowPunct/>
              <w:topLinePunct w:val="0"/>
              <w:autoSpaceDE/>
              <w:autoSpaceDN/>
              <w:bidi w:val="0"/>
              <w:snapToGrid/>
              <w:spacing w:line="320" w:lineRule="exact"/>
              <w:rPr>
                <w:rFonts w:hint="eastAsia"/>
                <w:color w:val="auto"/>
                <w:highlight w:val="none"/>
                <w:lang w:val="en-US" w:eastAsia="zh-CN"/>
              </w:rPr>
            </w:pPr>
          </w:p>
          <w:p w14:paraId="1C620D90">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财务负责人：</w:t>
            </w:r>
          </w:p>
          <w:p w14:paraId="7D1EC204">
            <w:pPr>
              <w:pStyle w:val="29"/>
              <w:keepNext w:val="0"/>
              <w:keepLines w:val="0"/>
              <w:pageBreakBefore w:val="0"/>
              <w:kinsoku/>
              <w:wordWrap/>
              <w:overflowPunct/>
              <w:topLinePunct w:val="0"/>
              <w:autoSpaceDE/>
              <w:autoSpaceDN/>
              <w:bidi w:val="0"/>
              <w:snapToGrid/>
              <w:spacing w:line="320" w:lineRule="exact"/>
              <w:rPr>
                <w:rFonts w:hint="eastAsia"/>
                <w:color w:val="auto"/>
                <w:highlight w:val="none"/>
                <w:lang w:eastAsia="zh-CN"/>
              </w:rPr>
            </w:pPr>
          </w:p>
          <w:p w14:paraId="5BACBDDC">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分管领导：</w:t>
            </w:r>
          </w:p>
          <w:p w14:paraId="78BCF71D">
            <w:pPr>
              <w:pStyle w:val="29"/>
              <w:keepNext w:val="0"/>
              <w:keepLines w:val="0"/>
              <w:pageBreakBefore w:val="0"/>
              <w:kinsoku/>
              <w:wordWrap/>
              <w:overflowPunct/>
              <w:topLinePunct w:val="0"/>
              <w:autoSpaceDE/>
              <w:autoSpaceDN/>
              <w:bidi w:val="0"/>
              <w:snapToGrid/>
              <w:spacing w:line="320" w:lineRule="exact"/>
              <w:rPr>
                <w:rFonts w:hint="eastAsia"/>
                <w:color w:val="auto"/>
                <w:highlight w:val="none"/>
                <w:lang w:eastAsia="zh-CN"/>
              </w:rPr>
            </w:pPr>
          </w:p>
          <w:p w14:paraId="5A0F43B4">
            <w:pPr>
              <w:keepNext w:val="0"/>
              <w:keepLines w:val="0"/>
              <w:pageBreakBefore w:val="0"/>
              <w:widowControl/>
              <w:kinsoku/>
              <w:wordWrap/>
              <w:overflowPunct/>
              <w:topLinePunct w:val="0"/>
              <w:autoSpaceDE/>
              <w:autoSpaceDN/>
              <w:bidi w:val="0"/>
              <w:snapToGrid/>
              <w:spacing w:line="320" w:lineRule="exact"/>
              <w:jc w:val="left"/>
              <w:rPr>
                <w:color w:val="auto"/>
                <w:highlight w:val="none"/>
              </w:rPr>
            </w:pPr>
            <w:r>
              <w:rPr>
                <w:rFonts w:hint="eastAsia" w:ascii="宋体" w:hAnsi="宋体" w:cs="宋体"/>
                <w:color w:val="auto"/>
                <w:kern w:val="0"/>
                <w:szCs w:val="21"/>
                <w:highlight w:val="none"/>
              </w:rPr>
              <w:t>单位领导：</w:t>
            </w:r>
          </w:p>
        </w:tc>
        <w:tc>
          <w:tcPr>
            <w:tcW w:w="4783" w:type="dxa"/>
            <w:gridSpan w:val="5"/>
            <w:tcBorders>
              <w:top w:val="single" w:color="auto" w:sz="4" w:space="0"/>
              <w:left w:val="single" w:color="auto" w:sz="4" w:space="0"/>
              <w:bottom w:val="single" w:color="auto" w:sz="4" w:space="0"/>
              <w:right w:val="single" w:color="000000" w:sz="4" w:space="0"/>
            </w:tcBorders>
            <w:noWrap w:val="0"/>
            <w:vAlign w:val="top"/>
          </w:tcPr>
          <w:p w14:paraId="46EBD976">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养护单位确认（盖章）</w:t>
            </w:r>
          </w:p>
          <w:p w14:paraId="0A2145AF">
            <w:pPr>
              <w:pStyle w:val="29"/>
              <w:keepNext w:val="0"/>
              <w:keepLines w:val="0"/>
              <w:pageBreakBefore w:val="0"/>
              <w:kinsoku/>
              <w:wordWrap/>
              <w:overflowPunct/>
              <w:topLinePunct w:val="0"/>
              <w:autoSpaceDE/>
              <w:autoSpaceDN/>
              <w:bidi w:val="0"/>
              <w:snapToGrid/>
              <w:spacing w:line="320" w:lineRule="exact"/>
              <w:rPr>
                <w:rFonts w:hint="eastAsia"/>
                <w:color w:val="auto"/>
                <w:highlight w:val="none"/>
                <w:lang w:eastAsia="zh-CN"/>
              </w:rPr>
            </w:pPr>
          </w:p>
          <w:p w14:paraId="26339647">
            <w:pPr>
              <w:keepNext w:val="0"/>
              <w:keepLines w:val="0"/>
              <w:pageBreakBefore w:val="0"/>
              <w:widowControl/>
              <w:kinsoku/>
              <w:wordWrap/>
              <w:overflowPunct/>
              <w:topLinePunct w:val="0"/>
              <w:autoSpaceDE/>
              <w:autoSpaceDN/>
              <w:bidi w:val="0"/>
              <w:snapToGrid/>
              <w:spacing w:line="320" w:lineRule="exact"/>
              <w:jc w:val="left"/>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现场技术员:</w:t>
            </w:r>
          </w:p>
          <w:p w14:paraId="42AC6EBB">
            <w:pPr>
              <w:pStyle w:val="29"/>
              <w:keepNext w:val="0"/>
              <w:keepLines w:val="0"/>
              <w:pageBreakBefore w:val="0"/>
              <w:kinsoku/>
              <w:wordWrap/>
              <w:overflowPunct/>
              <w:topLinePunct w:val="0"/>
              <w:autoSpaceDE/>
              <w:autoSpaceDN/>
              <w:bidi w:val="0"/>
              <w:snapToGrid/>
              <w:spacing w:line="320" w:lineRule="exact"/>
              <w:rPr>
                <w:rFonts w:hint="eastAsia"/>
                <w:color w:val="auto"/>
                <w:highlight w:val="none"/>
                <w:lang w:eastAsia="zh-CN"/>
              </w:rPr>
            </w:pPr>
          </w:p>
          <w:p w14:paraId="032531E0">
            <w:pPr>
              <w:keepNext w:val="0"/>
              <w:keepLines w:val="0"/>
              <w:pageBreakBefore w:val="0"/>
              <w:widowControl/>
              <w:kinsoku/>
              <w:wordWrap/>
              <w:overflowPunct/>
              <w:topLinePunct w:val="0"/>
              <w:autoSpaceDE/>
              <w:autoSpaceDN/>
              <w:bidi w:val="0"/>
              <w:snapToGrid/>
              <w:spacing w:line="32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项目负责人:</w:t>
            </w:r>
          </w:p>
        </w:tc>
      </w:tr>
    </w:tbl>
    <w:p w14:paraId="3027FEF5">
      <w:pPr>
        <w:rPr>
          <w:rFonts w:hint="eastAsia" w:ascii="宋体" w:hAnsi="宋体" w:cs="宋体"/>
          <w:b/>
          <w:bCs/>
          <w:color w:val="auto"/>
          <w:sz w:val="24"/>
          <w:highlight w:val="none"/>
        </w:rPr>
      </w:pPr>
      <w:r>
        <w:rPr>
          <w:rFonts w:hint="eastAsia" w:ascii="宋体" w:hAnsi="宋体" w:cs="宋体"/>
          <w:b/>
          <w:bCs/>
          <w:color w:val="auto"/>
          <w:sz w:val="24"/>
          <w:highlight w:val="none"/>
        </w:rPr>
        <w:br w:type="page"/>
      </w:r>
    </w:p>
    <w:p w14:paraId="2D657E4D">
      <w:pPr>
        <w:spacing w:line="440" w:lineRule="exact"/>
        <w:outlineLvl w:val="9"/>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rPr>
        <w:t>附件</w:t>
      </w:r>
      <w:r>
        <w:rPr>
          <w:rFonts w:hint="eastAsia" w:ascii="宋体" w:hAnsi="Courier New"/>
          <w:b/>
          <w:bCs/>
          <w:color w:val="auto"/>
          <w:sz w:val="24"/>
          <w:szCs w:val="20"/>
          <w:highlight w:val="none"/>
          <w:lang w:val="en-US" w:eastAsia="zh-CN"/>
        </w:rPr>
        <w:t>5-2-4-3</w:t>
      </w:r>
    </w:p>
    <w:p w14:paraId="78D29CC7">
      <w:pPr>
        <w:jc w:val="center"/>
        <w:rPr>
          <w:rFonts w:ascii="宋体"/>
          <w:b/>
          <w:bCs/>
          <w:color w:val="auto"/>
          <w:sz w:val="32"/>
          <w:szCs w:val="32"/>
          <w:highlight w:val="none"/>
        </w:rPr>
      </w:pPr>
      <w:r>
        <w:rPr>
          <w:rFonts w:hint="eastAsia" w:ascii="宋体" w:hAnsi="宋体"/>
          <w:b/>
          <w:bCs/>
          <w:color w:val="auto"/>
          <w:sz w:val="32"/>
          <w:szCs w:val="32"/>
          <w:highlight w:val="none"/>
        </w:rPr>
        <w:t>南宁市花卉公园绿化养护检查整改反馈表</w:t>
      </w:r>
    </w:p>
    <w:p w14:paraId="457C2878">
      <w:pPr>
        <w:spacing w:line="400" w:lineRule="exact"/>
        <w:rPr>
          <w:rFonts w:ascii="宋体"/>
          <w:color w:val="auto"/>
          <w:highlight w:val="none"/>
        </w:rPr>
      </w:pPr>
    </w:p>
    <w:tbl>
      <w:tblPr>
        <w:tblStyle w:val="22"/>
        <w:tblW w:w="8836" w:type="dxa"/>
        <w:jc w:val="center"/>
        <w:tblLayout w:type="fixed"/>
        <w:tblCellMar>
          <w:top w:w="0" w:type="dxa"/>
          <w:left w:w="108" w:type="dxa"/>
          <w:bottom w:w="0" w:type="dxa"/>
          <w:right w:w="108" w:type="dxa"/>
        </w:tblCellMar>
      </w:tblPr>
      <w:tblGrid>
        <w:gridCol w:w="1253"/>
        <w:gridCol w:w="3263"/>
        <w:gridCol w:w="1879"/>
        <w:gridCol w:w="2441"/>
      </w:tblGrid>
      <w:tr w14:paraId="7209F6C5">
        <w:tblPrEx>
          <w:tblCellMar>
            <w:top w:w="0" w:type="dxa"/>
            <w:left w:w="108" w:type="dxa"/>
            <w:bottom w:w="0" w:type="dxa"/>
            <w:right w:w="108" w:type="dxa"/>
          </w:tblCellMar>
        </w:tblPrEx>
        <w:trPr>
          <w:trHeight w:val="603" w:hRule="atLeast"/>
          <w:jc w:val="center"/>
        </w:trPr>
        <w:tc>
          <w:tcPr>
            <w:tcW w:w="1253" w:type="dxa"/>
            <w:tcBorders>
              <w:top w:val="single" w:color="auto" w:sz="4" w:space="0"/>
              <w:left w:val="single" w:color="auto" w:sz="4" w:space="0"/>
              <w:bottom w:val="single" w:color="auto" w:sz="4" w:space="0"/>
              <w:right w:val="single" w:color="auto" w:sz="4" w:space="0"/>
            </w:tcBorders>
            <w:noWrap w:val="0"/>
            <w:vAlign w:val="center"/>
          </w:tcPr>
          <w:p w14:paraId="34E2668B">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检查时间</w:t>
            </w:r>
          </w:p>
        </w:tc>
        <w:tc>
          <w:tcPr>
            <w:tcW w:w="5142" w:type="dxa"/>
            <w:gridSpan w:val="2"/>
            <w:tcBorders>
              <w:top w:val="single" w:color="auto" w:sz="4" w:space="0"/>
              <w:left w:val="single" w:color="auto" w:sz="4" w:space="0"/>
              <w:bottom w:val="single" w:color="auto" w:sz="4" w:space="0"/>
              <w:right w:val="single" w:color="auto" w:sz="4" w:space="0"/>
            </w:tcBorders>
            <w:noWrap w:val="0"/>
            <w:vAlign w:val="center"/>
          </w:tcPr>
          <w:p w14:paraId="73CD6B9A">
            <w:pPr>
              <w:widowControl/>
              <w:ind w:firstLine="840" w:firstLineChars="350"/>
              <w:rPr>
                <w:rFonts w:ascii="宋体" w:cs="宋体"/>
                <w:color w:val="auto"/>
                <w:kern w:val="0"/>
                <w:sz w:val="24"/>
                <w:szCs w:val="20"/>
                <w:highlight w:val="none"/>
              </w:rPr>
            </w:pPr>
            <w:r>
              <w:rPr>
                <w:rFonts w:hint="eastAsia" w:ascii="宋体" w:hAnsi="宋体" w:cs="宋体"/>
                <w:color w:val="auto"/>
                <w:kern w:val="0"/>
                <w:sz w:val="24"/>
                <w:szCs w:val="20"/>
                <w:highlight w:val="none"/>
              </w:rPr>
              <w:t>年    月    日</w:t>
            </w:r>
          </w:p>
        </w:tc>
        <w:tc>
          <w:tcPr>
            <w:tcW w:w="2441" w:type="dxa"/>
            <w:tcBorders>
              <w:top w:val="single" w:color="auto" w:sz="4" w:space="0"/>
              <w:left w:val="single" w:color="auto" w:sz="4" w:space="0"/>
              <w:bottom w:val="single" w:color="auto" w:sz="4" w:space="0"/>
              <w:right w:val="single" w:color="auto" w:sz="4" w:space="0"/>
            </w:tcBorders>
            <w:noWrap w:val="0"/>
            <w:vAlign w:val="center"/>
          </w:tcPr>
          <w:p w14:paraId="739E3F4E">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编号：</w:t>
            </w:r>
          </w:p>
        </w:tc>
      </w:tr>
      <w:tr w14:paraId="4C1C8FBD">
        <w:tblPrEx>
          <w:tblCellMar>
            <w:top w:w="0" w:type="dxa"/>
            <w:left w:w="108" w:type="dxa"/>
            <w:bottom w:w="0" w:type="dxa"/>
            <w:right w:w="108" w:type="dxa"/>
          </w:tblCellMar>
        </w:tblPrEx>
        <w:trPr>
          <w:trHeight w:val="554" w:hRule="atLeast"/>
          <w:jc w:val="center"/>
        </w:trPr>
        <w:tc>
          <w:tcPr>
            <w:tcW w:w="1253" w:type="dxa"/>
            <w:tcBorders>
              <w:top w:val="nil"/>
              <w:left w:val="single" w:color="auto" w:sz="4" w:space="0"/>
              <w:bottom w:val="single" w:color="auto" w:sz="4" w:space="0"/>
              <w:right w:val="single" w:color="auto" w:sz="4" w:space="0"/>
            </w:tcBorders>
            <w:noWrap w:val="0"/>
            <w:vAlign w:val="center"/>
          </w:tcPr>
          <w:p w14:paraId="4568CB59">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巡检人员</w:t>
            </w:r>
          </w:p>
        </w:tc>
        <w:tc>
          <w:tcPr>
            <w:tcW w:w="3263" w:type="dxa"/>
            <w:tcBorders>
              <w:top w:val="nil"/>
              <w:left w:val="nil"/>
              <w:bottom w:val="single" w:color="auto" w:sz="4" w:space="0"/>
              <w:right w:val="single" w:color="auto" w:sz="4" w:space="0"/>
            </w:tcBorders>
            <w:noWrap w:val="0"/>
            <w:vAlign w:val="center"/>
          </w:tcPr>
          <w:p w14:paraId="7B2B3CA7">
            <w:pPr>
              <w:widowControl/>
              <w:jc w:val="right"/>
              <w:rPr>
                <w:rFonts w:ascii="宋体" w:cs="宋体"/>
                <w:color w:val="auto"/>
                <w:kern w:val="0"/>
                <w:sz w:val="24"/>
                <w:szCs w:val="20"/>
                <w:highlight w:val="none"/>
              </w:rPr>
            </w:pPr>
            <w:r>
              <w:rPr>
                <w:rFonts w:hint="eastAsia" w:ascii="宋体" w:hAnsi="宋体" w:cs="宋体"/>
                <w:color w:val="auto"/>
                <w:kern w:val="0"/>
                <w:sz w:val="24"/>
                <w:szCs w:val="20"/>
                <w:highlight w:val="none"/>
              </w:rPr>
              <w:t xml:space="preserve">  </w:t>
            </w:r>
          </w:p>
        </w:tc>
        <w:tc>
          <w:tcPr>
            <w:tcW w:w="1879" w:type="dxa"/>
            <w:tcBorders>
              <w:top w:val="nil"/>
              <w:left w:val="nil"/>
              <w:bottom w:val="single" w:color="auto" w:sz="4" w:space="0"/>
              <w:right w:val="single" w:color="auto" w:sz="4" w:space="0"/>
            </w:tcBorders>
            <w:noWrap w:val="0"/>
            <w:vAlign w:val="center"/>
          </w:tcPr>
          <w:p w14:paraId="776FFB1F">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乙方签字确认</w:t>
            </w:r>
          </w:p>
        </w:tc>
        <w:tc>
          <w:tcPr>
            <w:tcW w:w="2441" w:type="dxa"/>
            <w:tcBorders>
              <w:top w:val="nil"/>
              <w:left w:val="nil"/>
              <w:bottom w:val="single" w:color="auto" w:sz="4" w:space="0"/>
              <w:right w:val="single" w:color="auto" w:sz="4" w:space="0"/>
            </w:tcBorders>
            <w:noWrap w:val="0"/>
            <w:vAlign w:val="center"/>
          </w:tcPr>
          <w:p w14:paraId="2ADAC76D">
            <w:pPr>
              <w:widowControl/>
              <w:jc w:val="left"/>
              <w:rPr>
                <w:rFonts w:ascii="宋体" w:cs="宋体"/>
                <w:color w:val="auto"/>
                <w:kern w:val="0"/>
                <w:sz w:val="24"/>
                <w:szCs w:val="20"/>
                <w:highlight w:val="none"/>
              </w:rPr>
            </w:pPr>
          </w:p>
        </w:tc>
      </w:tr>
      <w:tr w14:paraId="389AB19A">
        <w:tblPrEx>
          <w:tblCellMar>
            <w:top w:w="0" w:type="dxa"/>
            <w:left w:w="108" w:type="dxa"/>
            <w:bottom w:w="0" w:type="dxa"/>
            <w:right w:w="108" w:type="dxa"/>
          </w:tblCellMar>
        </w:tblPrEx>
        <w:trPr>
          <w:trHeight w:val="649" w:hRule="atLeast"/>
          <w:jc w:val="center"/>
        </w:trPr>
        <w:tc>
          <w:tcPr>
            <w:tcW w:w="1253" w:type="dxa"/>
            <w:tcBorders>
              <w:top w:val="nil"/>
              <w:left w:val="single" w:color="auto" w:sz="4" w:space="0"/>
              <w:bottom w:val="single" w:color="auto" w:sz="4" w:space="0"/>
              <w:right w:val="single" w:color="auto" w:sz="4" w:space="0"/>
            </w:tcBorders>
            <w:noWrap w:val="0"/>
            <w:vAlign w:val="center"/>
          </w:tcPr>
          <w:p w14:paraId="1FD97B28">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存在问题</w:t>
            </w:r>
          </w:p>
        </w:tc>
        <w:tc>
          <w:tcPr>
            <w:tcW w:w="7583" w:type="dxa"/>
            <w:gridSpan w:val="3"/>
            <w:tcBorders>
              <w:top w:val="single" w:color="auto" w:sz="4" w:space="0"/>
              <w:left w:val="nil"/>
              <w:bottom w:val="single" w:color="auto" w:sz="4" w:space="0"/>
              <w:right w:val="single" w:color="auto" w:sz="4" w:space="0"/>
            </w:tcBorders>
            <w:noWrap w:val="0"/>
            <w:vAlign w:val="center"/>
          </w:tcPr>
          <w:p w14:paraId="666FDF1D">
            <w:pPr>
              <w:widowControl/>
              <w:jc w:val="center"/>
              <w:rPr>
                <w:rFonts w:ascii="宋体" w:cs="宋体"/>
                <w:color w:val="auto"/>
                <w:kern w:val="0"/>
                <w:sz w:val="24"/>
                <w:szCs w:val="20"/>
                <w:highlight w:val="none"/>
              </w:rPr>
            </w:pPr>
          </w:p>
        </w:tc>
      </w:tr>
      <w:tr w14:paraId="34D46509">
        <w:tblPrEx>
          <w:tblCellMar>
            <w:top w:w="0" w:type="dxa"/>
            <w:left w:w="108" w:type="dxa"/>
            <w:bottom w:w="0" w:type="dxa"/>
            <w:right w:w="108" w:type="dxa"/>
          </w:tblCellMar>
        </w:tblPrEx>
        <w:trPr>
          <w:trHeight w:val="717" w:hRule="atLeast"/>
          <w:jc w:val="center"/>
        </w:trPr>
        <w:tc>
          <w:tcPr>
            <w:tcW w:w="1253" w:type="dxa"/>
            <w:tcBorders>
              <w:top w:val="nil"/>
              <w:left w:val="single" w:color="auto" w:sz="4" w:space="0"/>
              <w:bottom w:val="single" w:color="auto" w:sz="4" w:space="0"/>
              <w:right w:val="single" w:color="auto" w:sz="4" w:space="0"/>
            </w:tcBorders>
            <w:noWrap w:val="0"/>
            <w:vAlign w:val="center"/>
          </w:tcPr>
          <w:p w14:paraId="3D54C28B">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整改意见</w:t>
            </w:r>
          </w:p>
        </w:tc>
        <w:tc>
          <w:tcPr>
            <w:tcW w:w="7583" w:type="dxa"/>
            <w:gridSpan w:val="3"/>
            <w:tcBorders>
              <w:top w:val="single" w:color="auto" w:sz="4" w:space="0"/>
              <w:left w:val="nil"/>
              <w:bottom w:val="single" w:color="auto" w:sz="4" w:space="0"/>
              <w:right w:val="single" w:color="000000" w:sz="4" w:space="0"/>
            </w:tcBorders>
            <w:noWrap w:val="0"/>
            <w:vAlign w:val="center"/>
          </w:tcPr>
          <w:p w14:paraId="3928E8E6">
            <w:pPr>
              <w:widowControl/>
              <w:jc w:val="center"/>
              <w:rPr>
                <w:rFonts w:ascii="宋体" w:cs="宋体"/>
                <w:color w:val="auto"/>
                <w:kern w:val="0"/>
                <w:sz w:val="24"/>
                <w:szCs w:val="20"/>
                <w:highlight w:val="none"/>
              </w:rPr>
            </w:pPr>
          </w:p>
        </w:tc>
      </w:tr>
      <w:tr w14:paraId="2511AC28">
        <w:tblPrEx>
          <w:tblCellMar>
            <w:top w:w="0" w:type="dxa"/>
            <w:left w:w="108" w:type="dxa"/>
            <w:bottom w:w="0" w:type="dxa"/>
            <w:right w:w="108" w:type="dxa"/>
          </w:tblCellMar>
        </w:tblPrEx>
        <w:trPr>
          <w:trHeight w:val="849" w:hRule="atLeast"/>
          <w:jc w:val="center"/>
        </w:trPr>
        <w:tc>
          <w:tcPr>
            <w:tcW w:w="1253" w:type="dxa"/>
            <w:tcBorders>
              <w:top w:val="nil"/>
              <w:left w:val="single" w:color="auto" w:sz="4" w:space="0"/>
              <w:bottom w:val="single" w:color="auto" w:sz="4" w:space="0"/>
              <w:right w:val="single" w:color="auto" w:sz="4" w:space="0"/>
            </w:tcBorders>
            <w:noWrap w:val="0"/>
            <w:vAlign w:val="center"/>
          </w:tcPr>
          <w:p w14:paraId="7ED2FD43">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管护单位</w:t>
            </w:r>
          </w:p>
        </w:tc>
        <w:tc>
          <w:tcPr>
            <w:tcW w:w="7583" w:type="dxa"/>
            <w:gridSpan w:val="3"/>
            <w:tcBorders>
              <w:top w:val="single" w:color="auto" w:sz="4" w:space="0"/>
              <w:left w:val="nil"/>
              <w:bottom w:val="single" w:color="auto" w:sz="4" w:space="0"/>
              <w:right w:val="single" w:color="auto" w:sz="4" w:space="0"/>
            </w:tcBorders>
            <w:noWrap w:val="0"/>
            <w:vAlign w:val="bottom"/>
          </w:tcPr>
          <w:p w14:paraId="61002957">
            <w:pPr>
              <w:widowControl/>
              <w:jc w:val="right"/>
              <w:rPr>
                <w:rFonts w:ascii="宋体" w:cs="宋体"/>
                <w:color w:val="auto"/>
                <w:kern w:val="0"/>
                <w:sz w:val="24"/>
                <w:szCs w:val="20"/>
                <w:highlight w:val="none"/>
              </w:rPr>
            </w:pPr>
            <w:r>
              <w:rPr>
                <w:rFonts w:hint="eastAsia" w:ascii="宋体" w:hAnsi="宋体" w:cs="宋体"/>
                <w:color w:val="auto"/>
                <w:kern w:val="0"/>
                <w:sz w:val="24"/>
                <w:szCs w:val="20"/>
                <w:highlight w:val="none"/>
              </w:rPr>
              <w:t xml:space="preserve">                             （签字）   年   月   日   </w:t>
            </w:r>
          </w:p>
        </w:tc>
      </w:tr>
      <w:tr w14:paraId="5096977F">
        <w:tblPrEx>
          <w:tblCellMar>
            <w:top w:w="0" w:type="dxa"/>
            <w:left w:w="108" w:type="dxa"/>
            <w:bottom w:w="0" w:type="dxa"/>
            <w:right w:w="108" w:type="dxa"/>
          </w:tblCellMar>
        </w:tblPrEx>
        <w:trPr>
          <w:trHeight w:val="766" w:hRule="atLeast"/>
          <w:jc w:val="center"/>
        </w:trPr>
        <w:tc>
          <w:tcPr>
            <w:tcW w:w="1253" w:type="dxa"/>
            <w:tcBorders>
              <w:top w:val="nil"/>
              <w:left w:val="single" w:color="auto" w:sz="4" w:space="0"/>
              <w:bottom w:val="single" w:color="auto" w:sz="4" w:space="0"/>
              <w:right w:val="single" w:color="auto" w:sz="4" w:space="0"/>
            </w:tcBorders>
            <w:noWrap w:val="0"/>
            <w:vAlign w:val="center"/>
          </w:tcPr>
          <w:p w14:paraId="720161AF">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整改情况</w:t>
            </w:r>
          </w:p>
        </w:tc>
        <w:tc>
          <w:tcPr>
            <w:tcW w:w="7583" w:type="dxa"/>
            <w:gridSpan w:val="3"/>
            <w:tcBorders>
              <w:top w:val="single" w:color="auto" w:sz="4" w:space="0"/>
              <w:left w:val="nil"/>
              <w:bottom w:val="single" w:color="auto" w:sz="4" w:space="0"/>
              <w:right w:val="single" w:color="000000" w:sz="4" w:space="0"/>
            </w:tcBorders>
            <w:noWrap w:val="0"/>
            <w:vAlign w:val="bottom"/>
          </w:tcPr>
          <w:p w14:paraId="261F754B">
            <w:pPr>
              <w:widowControl/>
              <w:jc w:val="right"/>
              <w:rPr>
                <w:rFonts w:ascii="宋体" w:cs="宋体"/>
                <w:color w:val="auto"/>
                <w:kern w:val="0"/>
                <w:sz w:val="24"/>
                <w:szCs w:val="20"/>
                <w:highlight w:val="none"/>
              </w:rPr>
            </w:pPr>
            <w:r>
              <w:rPr>
                <w:rFonts w:hint="eastAsia" w:ascii="宋体" w:hAnsi="宋体" w:cs="宋体"/>
                <w:color w:val="auto"/>
                <w:kern w:val="0"/>
                <w:sz w:val="24"/>
                <w:szCs w:val="20"/>
                <w:highlight w:val="none"/>
              </w:rPr>
              <w:t xml:space="preserve">                             （签字）   年   月   日   </w:t>
            </w:r>
          </w:p>
        </w:tc>
      </w:tr>
      <w:tr w14:paraId="32F4B452">
        <w:tblPrEx>
          <w:tblCellMar>
            <w:top w:w="0" w:type="dxa"/>
            <w:left w:w="108" w:type="dxa"/>
            <w:bottom w:w="0" w:type="dxa"/>
            <w:right w:w="108" w:type="dxa"/>
          </w:tblCellMar>
        </w:tblPrEx>
        <w:trPr>
          <w:trHeight w:val="761" w:hRule="atLeast"/>
          <w:jc w:val="center"/>
        </w:trPr>
        <w:tc>
          <w:tcPr>
            <w:tcW w:w="1253" w:type="dxa"/>
            <w:tcBorders>
              <w:top w:val="nil"/>
              <w:left w:val="single" w:color="auto" w:sz="4" w:space="0"/>
              <w:bottom w:val="single" w:color="auto" w:sz="4" w:space="0"/>
              <w:right w:val="single" w:color="auto" w:sz="4" w:space="0"/>
            </w:tcBorders>
            <w:noWrap w:val="0"/>
            <w:vAlign w:val="center"/>
          </w:tcPr>
          <w:p w14:paraId="296E5F3E">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整改前</w:t>
            </w:r>
          </w:p>
        </w:tc>
        <w:tc>
          <w:tcPr>
            <w:tcW w:w="7583" w:type="dxa"/>
            <w:gridSpan w:val="3"/>
            <w:tcBorders>
              <w:top w:val="single" w:color="auto" w:sz="4" w:space="0"/>
              <w:left w:val="nil"/>
              <w:bottom w:val="single" w:color="auto" w:sz="4" w:space="0"/>
              <w:right w:val="single" w:color="auto" w:sz="4" w:space="0"/>
            </w:tcBorders>
            <w:noWrap w:val="0"/>
            <w:vAlign w:val="center"/>
          </w:tcPr>
          <w:p w14:paraId="61F2AF12">
            <w:pPr>
              <w:widowControl/>
              <w:jc w:val="center"/>
              <w:rPr>
                <w:rFonts w:ascii="宋体" w:cs="宋体"/>
                <w:color w:val="auto"/>
                <w:kern w:val="0"/>
                <w:sz w:val="24"/>
                <w:szCs w:val="20"/>
                <w:highlight w:val="none"/>
              </w:rPr>
            </w:pPr>
            <w:r>
              <w:rPr>
                <w:rFonts w:hint="eastAsia" w:ascii="宋体" w:hAnsi="宋体" w:cs="宋体"/>
                <w:color w:val="auto"/>
                <w:kern w:val="0"/>
                <w:sz w:val="24"/>
                <w:szCs w:val="20"/>
                <w:highlight w:val="none"/>
              </w:rPr>
              <w:t>（图片）</w:t>
            </w:r>
          </w:p>
        </w:tc>
      </w:tr>
      <w:tr w14:paraId="43D4F913">
        <w:tblPrEx>
          <w:tblCellMar>
            <w:top w:w="0" w:type="dxa"/>
            <w:left w:w="108" w:type="dxa"/>
            <w:bottom w:w="0" w:type="dxa"/>
            <w:right w:w="108" w:type="dxa"/>
          </w:tblCellMar>
        </w:tblPrEx>
        <w:trPr>
          <w:trHeight w:val="1318" w:hRule="atLeast"/>
          <w:jc w:val="center"/>
        </w:trPr>
        <w:tc>
          <w:tcPr>
            <w:tcW w:w="1253" w:type="dxa"/>
            <w:tcBorders>
              <w:top w:val="nil"/>
              <w:left w:val="single" w:color="auto" w:sz="4" w:space="0"/>
              <w:bottom w:val="single" w:color="auto" w:sz="4" w:space="0"/>
              <w:right w:val="single" w:color="auto" w:sz="4" w:space="0"/>
            </w:tcBorders>
            <w:noWrap w:val="0"/>
            <w:vAlign w:val="center"/>
          </w:tcPr>
          <w:p w14:paraId="58187AC4">
            <w:pPr>
              <w:widowControl/>
              <w:jc w:val="left"/>
              <w:rPr>
                <w:rFonts w:ascii="宋体" w:cs="宋体"/>
                <w:color w:val="auto"/>
                <w:kern w:val="0"/>
                <w:sz w:val="24"/>
                <w:szCs w:val="20"/>
                <w:highlight w:val="none"/>
              </w:rPr>
            </w:pPr>
            <w:r>
              <w:rPr>
                <w:rFonts w:hint="eastAsia" w:ascii="宋体" w:hAnsi="宋体" w:cs="宋体"/>
                <w:color w:val="auto"/>
                <w:kern w:val="0"/>
                <w:sz w:val="24"/>
                <w:szCs w:val="20"/>
                <w:highlight w:val="none"/>
              </w:rPr>
              <w:t>整改后</w:t>
            </w:r>
          </w:p>
        </w:tc>
        <w:tc>
          <w:tcPr>
            <w:tcW w:w="7583" w:type="dxa"/>
            <w:gridSpan w:val="3"/>
            <w:tcBorders>
              <w:top w:val="single" w:color="auto" w:sz="4" w:space="0"/>
              <w:left w:val="nil"/>
              <w:bottom w:val="single" w:color="auto" w:sz="4" w:space="0"/>
              <w:right w:val="single" w:color="auto" w:sz="4" w:space="0"/>
            </w:tcBorders>
            <w:noWrap w:val="0"/>
            <w:vAlign w:val="center"/>
          </w:tcPr>
          <w:p w14:paraId="04C39915">
            <w:pPr>
              <w:widowControl/>
              <w:jc w:val="center"/>
              <w:rPr>
                <w:rFonts w:ascii="宋体" w:cs="宋体"/>
                <w:color w:val="auto"/>
                <w:kern w:val="0"/>
                <w:sz w:val="24"/>
                <w:szCs w:val="20"/>
                <w:highlight w:val="none"/>
              </w:rPr>
            </w:pPr>
            <w:r>
              <w:rPr>
                <w:rFonts w:hint="eastAsia" w:ascii="宋体" w:hAnsi="宋体" w:cs="宋体"/>
                <w:color w:val="auto"/>
                <w:kern w:val="0"/>
                <w:sz w:val="24"/>
                <w:szCs w:val="20"/>
                <w:highlight w:val="none"/>
              </w:rPr>
              <w:t>（图片）</w:t>
            </w:r>
          </w:p>
        </w:tc>
      </w:tr>
    </w:tbl>
    <w:p w14:paraId="195EFA71">
      <w:pPr>
        <w:spacing w:line="400" w:lineRule="exact"/>
        <w:rPr>
          <w:rFonts w:ascii="宋体"/>
          <w:color w:val="auto"/>
          <w:highlight w:val="none"/>
        </w:rPr>
      </w:pPr>
    </w:p>
    <w:p w14:paraId="24F27660">
      <w:pPr>
        <w:ind w:firstLine="630" w:firstLineChars="300"/>
        <w:rPr>
          <w:color w:val="auto"/>
          <w:highlight w:val="none"/>
        </w:rPr>
      </w:pPr>
      <w:r>
        <w:rPr>
          <w:rFonts w:hint="eastAsia"/>
          <w:color w:val="auto"/>
          <w:highlight w:val="none"/>
        </w:rPr>
        <w:t>说明：</w:t>
      </w:r>
    </w:p>
    <w:p w14:paraId="7F955B34">
      <w:pPr>
        <w:ind w:firstLine="630" w:firstLineChars="300"/>
        <w:rPr>
          <w:color w:val="auto"/>
          <w:highlight w:val="none"/>
        </w:rPr>
      </w:pPr>
      <w:r>
        <w:rPr>
          <w:color w:val="auto"/>
          <w:highlight w:val="none"/>
        </w:rPr>
        <w:t>1.</w:t>
      </w:r>
      <w:r>
        <w:rPr>
          <w:rFonts w:hint="eastAsia"/>
          <w:color w:val="auto"/>
          <w:highlight w:val="none"/>
        </w:rPr>
        <w:t>检查人员对扣分项给予限期整改，整改期限内同一地点同一事项不再重复扣分。中标单位未在整改期限内完成整改的，按未整改问题翻倍扣分。</w:t>
      </w:r>
    </w:p>
    <w:p w14:paraId="0ABE0AF6">
      <w:pPr>
        <w:rPr>
          <w:color w:val="auto"/>
          <w:highlight w:val="none"/>
        </w:rPr>
      </w:pPr>
      <w:r>
        <w:rPr>
          <w:color w:val="auto"/>
          <w:highlight w:val="none"/>
        </w:rPr>
        <w:t xml:space="preserve">      2.</w:t>
      </w:r>
      <w:r>
        <w:rPr>
          <w:rFonts w:hint="eastAsia" w:ascii="宋体" w:hAnsi="宋体"/>
          <w:color w:val="auto"/>
          <w:highlight w:val="none"/>
        </w:rPr>
        <w:t>一般扣分情况整改期限规定：</w:t>
      </w:r>
    </w:p>
    <w:p w14:paraId="1B616171">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1</w:t>
      </w:r>
      <w:r>
        <w:rPr>
          <w:rFonts w:hint="eastAsia" w:ascii="宋体" w:hAnsi="宋体"/>
          <w:color w:val="auto"/>
          <w:highlight w:val="none"/>
          <w:lang w:eastAsia="zh-CN"/>
        </w:rPr>
        <w:t>）</w:t>
      </w:r>
      <w:r>
        <w:rPr>
          <w:rFonts w:hint="eastAsia" w:ascii="宋体" w:hAnsi="宋体"/>
          <w:color w:val="auto"/>
          <w:highlight w:val="none"/>
        </w:rPr>
        <w:t>违反安全操作规程、有安全隐患的情况立即整改；</w:t>
      </w:r>
    </w:p>
    <w:p w14:paraId="7AFF981E">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2</w:t>
      </w:r>
      <w:r>
        <w:rPr>
          <w:rFonts w:hint="eastAsia" w:ascii="宋体" w:hAnsi="宋体"/>
          <w:color w:val="auto"/>
          <w:highlight w:val="none"/>
          <w:lang w:eastAsia="zh-CN"/>
        </w:rPr>
        <w:t>）</w:t>
      </w:r>
      <w:r>
        <w:rPr>
          <w:rFonts w:hint="eastAsia" w:ascii="宋体" w:hAnsi="宋体"/>
          <w:color w:val="auto"/>
          <w:highlight w:val="none"/>
        </w:rPr>
        <w:t>黄土裸露整改时限为1-7天；</w:t>
      </w:r>
    </w:p>
    <w:p w14:paraId="01DBFA11">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3</w:t>
      </w:r>
      <w:r>
        <w:rPr>
          <w:rFonts w:hint="eastAsia" w:ascii="宋体" w:hAnsi="宋体"/>
          <w:color w:val="auto"/>
          <w:highlight w:val="none"/>
          <w:lang w:eastAsia="zh-CN"/>
        </w:rPr>
        <w:t>）</w:t>
      </w:r>
      <w:r>
        <w:rPr>
          <w:rFonts w:hint="eastAsia" w:ascii="宋体" w:hAnsi="宋体"/>
          <w:color w:val="auto"/>
          <w:highlight w:val="none"/>
        </w:rPr>
        <w:t>倒伏树木的整改时限为1天，但重要节点位置的，须立即整改；</w:t>
      </w:r>
    </w:p>
    <w:p w14:paraId="1CA85142">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4</w:t>
      </w:r>
      <w:r>
        <w:rPr>
          <w:rFonts w:hint="eastAsia" w:ascii="宋体" w:hAnsi="宋体"/>
          <w:color w:val="auto"/>
          <w:highlight w:val="none"/>
          <w:lang w:eastAsia="zh-CN"/>
        </w:rPr>
        <w:t>）</w:t>
      </w:r>
      <w:r>
        <w:rPr>
          <w:rFonts w:hint="eastAsia" w:ascii="宋体" w:hAnsi="宋体"/>
          <w:color w:val="auto"/>
          <w:highlight w:val="none"/>
        </w:rPr>
        <w:t>非自然倾斜树木、死株的整改时限为1-5天；</w:t>
      </w:r>
    </w:p>
    <w:p w14:paraId="313C0A68">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5</w:t>
      </w:r>
      <w:r>
        <w:rPr>
          <w:rFonts w:hint="eastAsia" w:ascii="宋体" w:hAnsi="宋体"/>
          <w:color w:val="auto"/>
          <w:highlight w:val="none"/>
          <w:lang w:eastAsia="zh-CN"/>
        </w:rPr>
        <w:t>）</w:t>
      </w:r>
      <w:r>
        <w:rPr>
          <w:rFonts w:hint="eastAsia" w:ascii="宋体" w:hAnsi="宋体"/>
          <w:color w:val="auto"/>
          <w:highlight w:val="none"/>
        </w:rPr>
        <w:t>杂草整改时限为1-5天；</w:t>
      </w:r>
    </w:p>
    <w:p w14:paraId="37F9A19F">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6</w:t>
      </w:r>
      <w:r>
        <w:rPr>
          <w:rFonts w:hint="eastAsia" w:ascii="宋体" w:hAnsi="宋体"/>
          <w:color w:val="auto"/>
          <w:highlight w:val="none"/>
          <w:lang w:eastAsia="zh-CN"/>
        </w:rPr>
        <w:t>）</w:t>
      </w:r>
      <w:r>
        <w:rPr>
          <w:rFonts w:hint="eastAsia" w:ascii="宋体" w:hAnsi="宋体"/>
          <w:color w:val="auto"/>
          <w:highlight w:val="none"/>
        </w:rPr>
        <w:t>病虫害防治的整改时限为1-3天；</w:t>
      </w:r>
    </w:p>
    <w:p w14:paraId="7916A884">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7</w:t>
      </w:r>
      <w:r>
        <w:rPr>
          <w:rFonts w:hint="eastAsia" w:ascii="宋体" w:hAnsi="宋体"/>
          <w:color w:val="auto"/>
          <w:highlight w:val="none"/>
          <w:lang w:eastAsia="zh-CN"/>
        </w:rPr>
        <w:t>）</w:t>
      </w:r>
      <w:r>
        <w:rPr>
          <w:rFonts w:hint="eastAsia" w:ascii="宋体" w:hAnsi="宋体"/>
          <w:color w:val="auto"/>
          <w:highlight w:val="none"/>
        </w:rPr>
        <w:t>园林设施破损整改时限为1-5天；</w:t>
      </w:r>
    </w:p>
    <w:p w14:paraId="16C8A48C">
      <w:pPr>
        <w:ind w:firstLine="630" w:firstLineChars="300"/>
        <w:rPr>
          <w:rFonts w:hint="eastAsia"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8</w:t>
      </w:r>
      <w:r>
        <w:rPr>
          <w:rFonts w:hint="eastAsia" w:ascii="宋体" w:hAnsi="宋体"/>
          <w:color w:val="auto"/>
          <w:highlight w:val="none"/>
          <w:lang w:eastAsia="zh-CN"/>
        </w:rPr>
        <w:t>）</w:t>
      </w:r>
      <w:r>
        <w:rPr>
          <w:rFonts w:hint="eastAsia" w:ascii="宋体" w:hAnsi="宋体"/>
          <w:color w:val="auto"/>
          <w:highlight w:val="none"/>
        </w:rPr>
        <w:t>水电设施损坏整改时限为2个小时至1天；</w:t>
      </w:r>
    </w:p>
    <w:p w14:paraId="59D91794">
      <w:pPr>
        <w:ind w:firstLine="630" w:firstLineChars="300"/>
        <w:rPr>
          <w:rFonts w:ascii="宋体" w:hAnsi="宋体"/>
          <w:color w:val="auto"/>
          <w:highlight w:val="none"/>
        </w:rPr>
      </w:pPr>
      <w:r>
        <w:rPr>
          <w:rFonts w:hint="eastAsia" w:ascii="宋体" w:hAnsi="宋体"/>
          <w:color w:val="auto"/>
          <w:highlight w:val="none"/>
          <w:lang w:eastAsia="zh-CN"/>
        </w:rPr>
        <w:t>（</w:t>
      </w:r>
      <w:r>
        <w:rPr>
          <w:rFonts w:hint="eastAsia" w:ascii="宋体" w:hAnsi="宋体"/>
          <w:color w:val="auto"/>
          <w:highlight w:val="none"/>
          <w:lang w:val="en-US" w:eastAsia="zh-CN"/>
        </w:rPr>
        <w:t>9</w:t>
      </w:r>
      <w:r>
        <w:rPr>
          <w:rFonts w:hint="eastAsia" w:ascii="宋体" w:hAnsi="宋体"/>
          <w:color w:val="auto"/>
          <w:highlight w:val="none"/>
          <w:lang w:eastAsia="zh-CN"/>
        </w:rPr>
        <w:t>）</w:t>
      </w:r>
      <w:r>
        <w:rPr>
          <w:rFonts w:hint="eastAsia" w:ascii="宋体" w:hAnsi="宋体"/>
          <w:color w:val="auto"/>
          <w:highlight w:val="none"/>
        </w:rPr>
        <w:t>管理用房整改时限为15天。</w:t>
      </w:r>
    </w:p>
    <w:p w14:paraId="45D7FBD6">
      <w:pPr>
        <w:ind w:firstLine="630" w:firstLineChars="300"/>
        <w:rPr>
          <w:color w:val="auto"/>
          <w:highlight w:val="none"/>
        </w:rPr>
      </w:pPr>
      <w:r>
        <w:rPr>
          <w:rFonts w:hint="eastAsia" w:ascii="宋体" w:hAnsi="宋体"/>
          <w:color w:val="auto"/>
          <w:highlight w:val="none"/>
        </w:rPr>
        <w:t>如情况特殊无法在规定期限内完成存在问题整改工作的，中标单位应及时将实际情况上报公园园容管理室，由园容管理室相关领导确定是否延长整改期限。整改工作完成后应将整改结果及相关材料（如现场整改照片）及时反馈至园容管理室。</w:t>
      </w:r>
    </w:p>
    <w:p w14:paraId="3406A70D">
      <w:pPr>
        <w:rPr>
          <w:rFonts w:hint="default" w:ascii="宋体" w:hAnsi="宋体" w:eastAsia="宋体" w:cs="宋体"/>
          <w:b/>
          <w:color w:val="auto"/>
          <w:sz w:val="24"/>
          <w:highlight w:val="none"/>
          <w:lang w:val="en-US" w:eastAsia="zh-CN"/>
        </w:rPr>
      </w:pPr>
      <w:r>
        <w:rPr>
          <w:color w:val="auto"/>
          <w:highlight w:val="none"/>
        </w:rPr>
        <w:br w:type="page"/>
      </w:r>
      <w:r>
        <w:rPr>
          <w:rFonts w:hint="eastAsia" w:ascii="宋体" w:hAnsi="宋体" w:cs="宋体"/>
          <w:b/>
          <w:color w:val="auto"/>
          <w:sz w:val="24"/>
          <w:highlight w:val="none"/>
        </w:rPr>
        <w:t>附件</w:t>
      </w:r>
      <w:r>
        <w:rPr>
          <w:rFonts w:hint="eastAsia" w:ascii="宋体" w:hAnsi="宋体" w:cs="宋体"/>
          <w:b/>
          <w:color w:val="auto"/>
          <w:sz w:val="24"/>
          <w:highlight w:val="none"/>
          <w:lang w:val="en-US" w:eastAsia="zh-CN"/>
        </w:rPr>
        <w:t>5-2-5</w:t>
      </w:r>
    </w:p>
    <w:p w14:paraId="35909534">
      <w:pPr>
        <w:spacing w:line="44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南宁市花卉公园绿化作业安全管理办法</w:t>
      </w:r>
    </w:p>
    <w:p w14:paraId="5ED5BD1C">
      <w:pPr>
        <w:spacing w:line="440" w:lineRule="exact"/>
        <w:rPr>
          <w:rFonts w:ascii="宋体" w:hAnsi="宋体" w:cs="宋体"/>
          <w:b/>
          <w:bCs/>
          <w:color w:val="auto"/>
          <w:spacing w:val="-4"/>
          <w:sz w:val="23"/>
          <w:szCs w:val="23"/>
          <w:highlight w:val="none"/>
        </w:rPr>
      </w:pPr>
      <w:r>
        <w:rPr>
          <w:rFonts w:hint="eastAsia" w:ascii="宋体" w:hAnsi="宋体" w:cs="宋体"/>
          <w:b/>
          <w:bCs/>
          <w:color w:val="auto"/>
          <w:spacing w:val="-4"/>
          <w:sz w:val="23"/>
          <w:szCs w:val="23"/>
          <w:highlight w:val="none"/>
        </w:rPr>
        <w:t>一、总则</w:t>
      </w:r>
    </w:p>
    <w:p w14:paraId="0B3A1E12">
      <w:pPr>
        <w:spacing w:line="440" w:lineRule="exact"/>
        <w:ind w:firstLine="441" w:firstLineChars="199"/>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中标单位必须对生产作业一线人员进行生产作业的安全教育和培训，保证作业人员具备必要的安全生产作业知识，熟悉有关的安全生产作业规章制度和安全操作规程，掌握本岗位的安全操作技能，经安全教育和培训并考核合格后方可上岗。</w:t>
      </w:r>
    </w:p>
    <w:p w14:paraId="4D24D740">
      <w:pPr>
        <w:spacing w:line="440" w:lineRule="exact"/>
        <w:ind w:firstLine="301"/>
        <w:rPr>
          <w:rFonts w:ascii="宋体" w:hAnsi="宋体" w:cs="宋体"/>
          <w:b/>
          <w:bCs/>
          <w:color w:val="auto"/>
          <w:spacing w:val="-4"/>
          <w:sz w:val="23"/>
          <w:szCs w:val="23"/>
          <w:highlight w:val="none"/>
        </w:rPr>
      </w:pPr>
      <w:r>
        <w:rPr>
          <w:rFonts w:hint="eastAsia" w:ascii="宋体" w:hAnsi="宋体" w:cs="宋体"/>
          <w:b/>
          <w:bCs/>
          <w:color w:val="auto"/>
          <w:spacing w:val="-4"/>
          <w:sz w:val="23"/>
          <w:szCs w:val="23"/>
          <w:highlight w:val="none"/>
        </w:rPr>
        <w:t>二、绿化作业人员作业规范 （含植保、整形）</w:t>
      </w:r>
    </w:p>
    <w:p w14:paraId="77ED15D2">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（一）养护人员在进行养护工作时必须穿统一的工作服。</w:t>
      </w:r>
    </w:p>
    <w:p w14:paraId="1A9712FE">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（二）使用打草机及绿篱修剪机、油锯等机械时，首先必须检查好器械的性能，使用前对草地及色块进行检查，清理石块、铁线等杂物，戴好防护眼镜、安全帽等防护用具，并做好警示标志。</w:t>
      </w:r>
    </w:p>
    <w:p w14:paraId="21765235">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（三）植保工作，触及农药时，必须戴好胶手套、口罩、眼镜等防护品。</w:t>
      </w:r>
    </w:p>
    <w:p w14:paraId="78D7F788">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（四）高大乔木整形、修剪工作时，必须戴好安全帽，在高枝车上或上树后系好安全绳。</w:t>
      </w:r>
    </w:p>
    <w:p w14:paraId="75DA6BFD">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（五）水车淋水工、植保工在车上作业时必须穿安全防护服，戴安全帽。如工作需要登上水箱，必须系好安全绳。</w:t>
      </w:r>
    </w:p>
    <w:p w14:paraId="08A4EF43">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（六）使用锄、铲、斧等工具前要先检查其是否牢固，操作时要注意周围，避免对面和交叉作业。</w:t>
      </w:r>
    </w:p>
    <w:p w14:paraId="2C26FE8D">
      <w:pPr>
        <w:spacing w:line="440" w:lineRule="exact"/>
        <w:ind w:firstLine="301"/>
        <w:rPr>
          <w:color w:val="auto"/>
          <w:sz w:val="23"/>
          <w:szCs w:val="23"/>
          <w:highlight w:val="none"/>
        </w:rPr>
      </w:pPr>
      <w:r>
        <w:rPr>
          <w:rFonts w:hint="eastAsia" w:ascii="宋体" w:hAnsi="宋体" w:cs="宋体"/>
          <w:color w:val="auto"/>
          <w:spacing w:val="-4"/>
          <w:sz w:val="23"/>
          <w:szCs w:val="23"/>
          <w:highlight w:val="none"/>
        </w:rPr>
        <w:t>（七）正确使用消防栓、消防带、喷淋枪头进行洒水浇灌时，消防带的接头不能漏水，驾驶员和操作员配合得当，水花尽量避免溅及行人。</w:t>
      </w:r>
    </w:p>
    <w:p w14:paraId="26DB13B0">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（八）反光安全锥、警示牌的放置。</w:t>
      </w:r>
    </w:p>
    <w:p w14:paraId="215C5D1F">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1.工作范围应放置反光安全锥或警示带包围。警示牌应放置在安全锥前方20米处，并确保稳固。</w:t>
      </w:r>
    </w:p>
    <w:p w14:paraId="2A387BC7">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2.在园路上作业时，应在醒目处放置“绿化作业，小心绕行”的警示牌。</w:t>
      </w:r>
    </w:p>
    <w:p w14:paraId="6671DB8A">
      <w:pPr>
        <w:spacing w:line="440" w:lineRule="exact"/>
        <w:ind w:firstLine="301"/>
        <w:rPr>
          <w:rFonts w:ascii="宋体" w:hAnsi="宋体" w:cs="宋体"/>
          <w:b/>
          <w:bCs/>
          <w:color w:val="auto"/>
          <w:spacing w:val="-4"/>
          <w:sz w:val="23"/>
          <w:szCs w:val="23"/>
          <w:highlight w:val="none"/>
        </w:rPr>
      </w:pPr>
      <w:r>
        <w:rPr>
          <w:rFonts w:hint="eastAsia" w:ascii="宋体" w:hAnsi="宋体" w:cs="宋体"/>
          <w:b/>
          <w:bCs/>
          <w:color w:val="auto"/>
          <w:spacing w:val="-4"/>
          <w:sz w:val="23"/>
          <w:szCs w:val="23"/>
          <w:highlight w:val="none"/>
        </w:rPr>
        <w:t>三、农药的保存、出库、配比及使用作业规范</w:t>
      </w:r>
    </w:p>
    <w:p w14:paraId="459FDD86">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（一）农药保存过程中，要在仓库贴好明显的警示标志，使用或搬运过程中，要轻拿轻放，泄</w:t>
      </w:r>
      <w:r>
        <w:rPr>
          <w:rFonts w:hint="eastAsia" w:ascii="宋体" w:hAnsi="宋体" w:cs="宋体"/>
          <w:color w:val="auto"/>
          <w:spacing w:val="-4"/>
          <w:sz w:val="23"/>
          <w:szCs w:val="23"/>
          <w:highlight w:val="none"/>
          <w:lang w:val="en-US" w:eastAsia="zh-CN"/>
        </w:rPr>
        <w:t>漏</w:t>
      </w:r>
      <w:r>
        <w:rPr>
          <w:rFonts w:hint="eastAsia" w:ascii="宋体" w:hAnsi="宋体" w:cs="宋体"/>
          <w:color w:val="auto"/>
          <w:spacing w:val="-4"/>
          <w:sz w:val="23"/>
          <w:szCs w:val="23"/>
          <w:highlight w:val="none"/>
        </w:rPr>
        <w:t>的药物应及时清理。</w:t>
      </w:r>
    </w:p>
    <w:p w14:paraId="75EA5D46">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（二）完善出库登记制度，用完后的空药瓶应丢放在指定地点，剩余药品及时放回仓库。</w:t>
      </w:r>
    </w:p>
    <w:p w14:paraId="78C18720">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（三）配药时应严格按说明书进行配比，用药量准确，不发生药害。</w:t>
      </w:r>
    </w:p>
    <w:p w14:paraId="02BAE982">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（四）喷施农药过程中，要注意观察风向和周围环境，尽量避开行人、居民、车辆、各类物品，确定安全后方能进行。</w:t>
      </w:r>
    </w:p>
    <w:p w14:paraId="3D2B825A">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（五）喷药作业前需张贴告示牌，提醒游客喷药时间，在农药车作业时，应配备三个人，一人先就有可能喷到农药的范围内说服游客及时撤离，一人操控喷头，一人观察操控过程的安全问题及喷雾是否到位。</w:t>
      </w:r>
    </w:p>
    <w:p w14:paraId="573DE741">
      <w:pPr>
        <w:spacing w:line="440" w:lineRule="exact"/>
        <w:ind w:firstLine="301"/>
        <w:rPr>
          <w:rFonts w:ascii="宋体" w:hAnsi="宋体" w:cs="宋体"/>
          <w:b/>
          <w:bCs/>
          <w:color w:val="auto"/>
          <w:spacing w:val="-4"/>
          <w:sz w:val="23"/>
          <w:szCs w:val="23"/>
          <w:highlight w:val="none"/>
        </w:rPr>
      </w:pPr>
      <w:r>
        <w:rPr>
          <w:rFonts w:hint="eastAsia" w:ascii="宋体" w:hAnsi="宋体" w:cs="宋体"/>
          <w:b/>
          <w:bCs/>
          <w:color w:val="auto"/>
          <w:spacing w:val="-4"/>
          <w:sz w:val="23"/>
          <w:szCs w:val="23"/>
          <w:highlight w:val="none"/>
        </w:rPr>
        <w:t>四、车辆使用基本规定</w:t>
      </w:r>
    </w:p>
    <w:p w14:paraId="475569EA">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（一）司机驾驶车辆时应集中精力并慢行。</w:t>
      </w:r>
    </w:p>
    <w:p w14:paraId="1EA559A6">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（二）汽车发动前要绕车检查车辆一周，检查好车况。</w:t>
      </w:r>
    </w:p>
    <w:p w14:paraId="1DC42FE6">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（三）水车、喷药车等在作业时，应响警示音乐。</w:t>
      </w:r>
    </w:p>
    <w:p w14:paraId="4BA5E86F">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四）使用高空作业车、吊车时，必须在施工范围内设置警示标志，起吊重物要有必要的防护措施。吊车使用过程中，要确保吊车的正常负荷，提升吊物时，应确保提绳角度均匀。吊车起吊时绳缆要牢固；统一指挥，信号明确；吊臂下严禁站人。</w:t>
      </w:r>
    </w:p>
    <w:p w14:paraId="59B7B1A2">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（五）文明行车，遵守园内车辆规章制度，严禁酒后驾车，不准无证驾车，谨慎驾驶，注意安全，严格执行驾驶规章制度。</w:t>
      </w:r>
    </w:p>
    <w:p w14:paraId="460F1A6D">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（六）按规定停放车辆，保持车辆清洁，及时进行车辆保养，车辆使用完毕及时停放至指定停车位。</w:t>
      </w:r>
    </w:p>
    <w:p w14:paraId="7BBB5657">
      <w:pPr>
        <w:spacing w:line="440" w:lineRule="exact"/>
        <w:ind w:firstLine="301"/>
        <w:rPr>
          <w:rFonts w:ascii="宋体" w:hAnsi="宋体" w:cs="宋体"/>
          <w:b/>
          <w:bCs/>
          <w:color w:val="auto"/>
          <w:spacing w:val="-4"/>
          <w:sz w:val="23"/>
          <w:szCs w:val="23"/>
          <w:highlight w:val="none"/>
        </w:rPr>
      </w:pPr>
      <w:r>
        <w:rPr>
          <w:rFonts w:hint="eastAsia" w:ascii="宋体" w:hAnsi="宋体" w:cs="宋体"/>
          <w:b/>
          <w:bCs/>
          <w:color w:val="auto"/>
          <w:spacing w:val="-4"/>
          <w:sz w:val="23"/>
          <w:szCs w:val="23"/>
          <w:highlight w:val="none"/>
        </w:rPr>
        <w:t>五、高大乔木整形、修剪及在供电线路勾枝作业规范</w:t>
      </w:r>
    </w:p>
    <w:p w14:paraId="0691F9E0">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（一）操作时必须听从专人指挥。</w:t>
      </w:r>
    </w:p>
    <w:p w14:paraId="5BF427A1">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（二）下树、打枝前必须做好险情鉴定后方能进行操作。要有专人维护现场，设安全锥或警示带围合，阻止游客进入。</w:t>
      </w:r>
    </w:p>
    <w:p w14:paraId="18737F28">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三）操作时思想集中，不许打闹谈笑，上树前不许饮酒；上大树的梯子必须牢固、立稳，单面梯将上部横档与树身捆住，人字梯中腰拴绳，角度开张适当；五级以上大风不可上树；截除大枝要由有经验的专人指挥操作。有高血压及心脏病者，不准上树；修剪工具要坚固耐用，防止误伤或影响工作；不得从一棵树跳到另一棵树上，必须下树重上。</w:t>
      </w:r>
    </w:p>
    <w:p w14:paraId="5B83008F">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四）注意树木上空各种缆线如电力线、电话线等，尤其是电力线，影响操作时，必须先取得供电部门配合，先断电，后作业。作业前要检测电线是否有电，确已断电方可作业。作业中，剪断的枝条应避免压断电缆线或挂在线上。</w:t>
      </w:r>
    </w:p>
    <w:p w14:paraId="02EE1DB3">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五）修剪大枝条需在基部裁去的，或长主干截短时不能一次截断，要分段进行。对周围有危险的枝条，要预先用绳索吊好，锯断后慢慢放下。要特别注意自身安全和周围建筑物、人员的安全。特大树枝修剪或砍伐树木，应由专人负责统一指挥。</w:t>
      </w:r>
    </w:p>
    <w:p w14:paraId="3A7B2461">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（六）使用高空车作业者必须熟练掌握吊臂伸缩、升降、旋转的各种控制按钮及操作流程。枝条的重量要在吊绳的承受能力范围内，吊臂下严禁站人。</w:t>
      </w:r>
    </w:p>
    <w:p w14:paraId="77420918">
      <w:pPr>
        <w:spacing w:line="440" w:lineRule="exact"/>
        <w:ind w:firstLine="301"/>
        <w:rPr>
          <w:rFonts w:ascii="宋体" w:hAnsi="宋体" w:cs="宋体"/>
          <w:color w:val="auto"/>
          <w:spacing w:val="-4"/>
          <w:sz w:val="23"/>
          <w:szCs w:val="23"/>
          <w:highlight w:val="none"/>
        </w:rPr>
      </w:pPr>
      <w:r>
        <w:rPr>
          <w:rFonts w:hint="eastAsia" w:ascii="宋体" w:hAnsi="宋体" w:cs="宋体"/>
          <w:color w:val="auto"/>
          <w:spacing w:val="-4"/>
          <w:sz w:val="23"/>
          <w:szCs w:val="23"/>
          <w:highlight w:val="none"/>
        </w:rPr>
        <w:t>（七）使用油锯截枝必须仔细了解油锯的性能、功效、使用方法、注意事项，熟练操作方法，正确、安全操作，专人使用、机具定期保养。</w:t>
      </w:r>
    </w:p>
    <w:p w14:paraId="5D4FE81B">
      <w:pPr>
        <w:spacing w:line="440" w:lineRule="exact"/>
        <w:ind w:firstLine="301"/>
        <w:rPr>
          <w:rFonts w:ascii="宋体" w:hAnsi="宋体" w:cs="宋体"/>
          <w:b/>
          <w:bCs/>
          <w:color w:val="auto"/>
          <w:spacing w:val="-4"/>
          <w:sz w:val="23"/>
          <w:szCs w:val="23"/>
          <w:highlight w:val="none"/>
        </w:rPr>
      </w:pPr>
      <w:r>
        <w:rPr>
          <w:rFonts w:hint="eastAsia" w:ascii="宋体" w:hAnsi="宋体" w:cs="宋体"/>
          <w:b/>
          <w:bCs/>
          <w:color w:val="auto"/>
          <w:spacing w:val="-4"/>
          <w:sz w:val="23"/>
          <w:szCs w:val="23"/>
          <w:highlight w:val="none"/>
        </w:rPr>
        <w:t>六、突发事故应急处理</w:t>
      </w:r>
    </w:p>
    <w:p w14:paraId="54ADBFA0">
      <w:pPr>
        <w:spacing w:line="440" w:lineRule="exact"/>
        <w:ind w:firstLine="301"/>
        <w:rPr>
          <w:rFonts w:ascii="宋体" w:hAnsi="宋体" w:cs="宋体"/>
          <w:b/>
          <w:bCs/>
          <w:color w:val="auto"/>
          <w:spacing w:val="-4"/>
          <w:sz w:val="24"/>
          <w:highlight w:val="none"/>
        </w:rPr>
      </w:pPr>
      <w:r>
        <w:rPr>
          <w:rFonts w:hint="eastAsia" w:ascii="宋体" w:hAnsi="宋体" w:cs="宋体"/>
          <w:color w:val="auto"/>
          <w:spacing w:val="-4"/>
          <w:sz w:val="23"/>
          <w:szCs w:val="23"/>
          <w:highlight w:val="none"/>
        </w:rPr>
        <w:t xml:space="preserve">做好事故前期的应急处理，及时上报并快速反应，及时、果断、妥善处置。具体参照《南宁市花卉公园安全生产事故应急预案》进行实施。       </w:t>
      </w:r>
      <w:r>
        <w:rPr>
          <w:rFonts w:hint="eastAsia" w:ascii="宋体" w:hAnsi="宋体" w:cs="宋体"/>
          <w:color w:val="auto"/>
          <w:spacing w:val="-4"/>
          <w:sz w:val="24"/>
          <w:highlight w:val="none"/>
        </w:rPr>
        <w:t xml:space="preserve">                                          </w:t>
      </w:r>
    </w:p>
    <w:p w14:paraId="275882D5">
      <w:pPr>
        <w:spacing w:line="240" w:lineRule="auto"/>
        <w:jc w:val="left"/>
        <w:outlineLvl w:val="9"/>
        <w:rPr>
          <w:rFonts w:hint="eastAsia" w:ascii="宋体" w:hAnsi="宋体" w:eastAsia="宋体" w:cs="宋体"/>
          <w:b/>
          <w:bCs w:val="0"/>
          <w:color w:val="auto"/>
          <w:sz w:val="24"/>
          <w:szCs w:val="24"/>
          <w:highlight w:val="none"/>
          <w:lang w:val="en-US" w:eastAsia="zh-CN"/>
        </w:rPr>
      </w:pPr>
    </w:p>
    <w:p w14:paraId="2602D1BC">
      <w:pPr>
        <w:spacing w:line="240" w:lineRule="auto"/>
        <w:jc w:val="left"/>
        <w:outlineLvl w:val="9"/>
        <w:rPr>
          <w:rFonts w:hint="eastAsia" w:ascii="宋体" w:hAnsi="宋体" w:eastAsia="宋体" w:cs="宋体"/>
          <w:b/>
          <w:bCs w:val="0"/>
          <w:color w:val="auto"/>
          <w:sz w:val="24"/>
          <w:szCs w:val="24"/>
          <w:highlight w:val="none"/>
          <w:lang w:val="en-US" w:eastAsia="zh-CN"/>
        </w:rPr>
      </w:pPr>
    </w:p>
    <w:p w14:paraId="2677844B">
      <w:pPr>
        <w:spacing w:line="240" w:lineRule="auto"/>
        <w:jc w:val="left"/>
        <w:outlineLvl w:val="9"/>
        <w:rPr>
          <w:rFonts w:hint="eastAsia" w:ascii="宋体" w:hAnsi="宋体" w:eastAsia="宋体" w:cs="宋体"/>
          <w:b/>
          <w:bCs w:val="0"/>
          <w:color w:val="auto"/>
          <w:sz w:val="24"/>
          <w:szCs w:val="24"/>
          <w:highlight w:val="none"/>
          <w:lang w:val="en-US" w:eastAsia="zh-CN"/>
        </w:rPr>
      </w:pPr>
    </w:p>
    <w:p w14:paraId="44E4D943">
      <w:pPr>
        <w:spacing w:line="240" w:lineRule="auto"/>
        <w:jc w:val="left"/>
        <w:outlineLvl w:val="9"/>
        <w:rPr>
          <w:rFonts w:hint="default"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附件</w:t>
      </w:r>
      <w:r>
        <w:rPr>
          <w:rFonts w:hint="eastAsia" w:ascii="宋体" w:hAnsi="宋体" w:cs="宋体"/>
          <w:b/>
          <w:bCs w:val="0"/>
          <w:color w:val="auto"/>
          <w:sz w:val="24"/>
          <w:szCs w:val="24"/>
          <w:highlight w:val="none"/>
          <w:lang w:val="en-US" w:eastAsia="zh-CN"/>
        </w:rPr>
        <w:t>5-2-6</w:t>
      </w:r>
    </w:p>
    <w:p w14:paraId="034AAEF9">
      <w:pPr>
        <w:spacing w:line="240" w:lineRule="auto"/>
        <w:ind w:firstLine="0" w:firstLineChars="0"/>
        <w:jc w:val="center"/>
        <w:outlineLvl w:val="9"/>
        <w:rPr>
          <w:rFonts w:ascii="方正小标宋简体" w:hAnsi="方正小标宋简体" w:eastAsia="方正小标宋简体" w:cs="方正小标宋简体"/>
          <w:b/>
          <w:bCs/>
          <w:color w:val="auto"/>
          <w:sz w:val="36"/>
          <w:szCs w:val="36"/>
          <w:highlight w:val="none"/>
        </w:rPr>
      </w:pPr>
      <w:r>
        <w:rPr>
          <w:rFonts w:hint="eastAsia" w:ascii="宋体" w:hAnsi="宋体" w:eastAsia="宋体" w:cs="宋体"/>
          <w:b/>
          <w:bCs w:val="0"/>
          <w:color w:val="auto"/>
          <w:sz w:val="40"/>
          <w:szCs w:val="40"/>
          <w:highlight w:val="none"/>
        </w:rPr>
        <w:t>南宁市花卉公园车辆入园管理办法</w:t>
      </w:r>
    </w:p>
    <w:p w14:paraId="1DBC9E91">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为规范车辆入园管理，创造平安有序的游园环境，根据《南宁市公园条例》等相关规定，结合我园实际，特制定本办法。</w:t>
      </w:r>
    </w:p>
    <w:p w14:paraId="42D31C30">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 xml:space="preserve">1、因工作需要并经保卫室同意出入公园的车辆，须主动停车、出示通行证、接受安全检查、登记携带物品，配合安保人员对车辆号码、入园原因进行登记，方可进入公园。 </w:t>
      </w:r>
    </w:p>
    <w:p w14:paraId="7C9B2D8C">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2、自动售卖等商业网点以及买花需入园的固定车辆（含汽车、电动车）经服务经营室审核车辆所有人和车牌号码后，统一到保卫室进行登记，领取车辆通行证。</w:t>
      </w:r>
    </w:p>
    <w:p w14:paraId="596B4AD1">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3、老年人、残疾人的非机动轮椅车、婴儿手推车、正在执行公务的110巡逻车、120救护车等特种车辆允许进入园区，120救护车在进入园区时安保人员须主动询问救护地点并及时指明方向，在车辆入园登记本上做好记录。</w:t>
      </w:r>
    </w:p>
    <w:p w14:paraId="3E84E4F2">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4、各科室因施工等原因需要临时车辆入园的，须通知保卫室，由保卫室通知门口安保人员核实后登记放行。</w:t>
      </w:r>
    </w:p>
    <w:p w14:paraId="778A8D2D">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5、本园职工的电单车因工作原因需要入园的，车辆须佩挂车辆通行证。每天8点前和18点后职工电单车可以出入花卉园一号门，其他时间从花卉园二号门出入，车辆因维修等工作需要可允许出入花卉园一号门，但车辆须悬挂通行证。</w:t>
      </w:r>
    </w:p>
    <w:p w14:paraId="5FDFEC5D">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6、门口安保人员要对进入公园的外来车辆驾驶员耐心解释公园的管理规定，提醒文明驾驶，注意文明待人、礼貌用语。</w:t>
      </w:r>
    </w:p>
    <w:p w14:paraId="4A0AFFB4">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7、经允许进入公园的所有车辆应当按照保卫室规定路线行驶，在指定线内停放，未在线内停放的，应设置提示牌。公园内车辆行驶最高时速不得超过五公里，禁止在公园内鸣笛，但执行紧急任务的车辆除外。</w:t>
      </w:r>
    </w:p>
    <w:p w14:paraId="31FEED08">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8、依据《南宁市公园条例》规定，车辆未经准许进入公园或者经准许进入公园后不按指定路线行驶、不按指定地点停放的，责令改正；拒不改正的，对非机动车辆驾驶人处二十元以上五十元以下罚款，对机动车车辆驾驶员处五十元罚款。</w:t>
      </w:r>
    </w:p>
    <w:p w14:paraId="55D9A078">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 xml:space="preserve">9、本办法由公园保卫室负责解释。 </w:t>
      </w:r>
    </w:p>
    <w:p w14:paraId="71ECBA11">
      <w:pPr>
        <w:spacing w:line="440" w:lineRule="exact"/>
        <w:ind w:firstLine="301"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10、本办法自发布之日起实施。</w:t>
      </w:r>
    </w:p>
    <w:p w14:paraId="624F3999">
      <w:pPr>
        <w:pageBreakBefore w:val="0"/>
        <w:overflowPunct/>
        <w:topLinePunct w:val="0"/>
        <w:bidi w:val="0"/>
        <w:spacing w:line="360" w:lineRule="auto"/>
        <w:rPr>
          <w:color w:val="auto"/>
          <w:highlight w:val="none"/>
        </w:rPr>
      </w:pPr>
    </w:p>
    <w:p w14:paraId="7A3FF442">
      <w:pPr>
        <w:pageBreakBefore w:val="0"/>
        <w:numPr>
          <w:ilvl w:val="0"/>
          <w:numId w:val="0"/>
        </w:numPr>
        <w:kinsoku/>
        <w:wordWrap w:val="0"/>
        <w:overflowPunct/>
        <w:topLinePunct w:val="0"/>
        <w:bidi w:val="0"/>
        <w:ind w:firstLine="321" w:firstLineChars="100"/>
        <w:outlineLvl w:val="1"/>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28"/>
          <w:szCs w:val="28"/>
          <w:highlight w:val="none"/>
          <w:lang w:val="en-US" w:eastAsia="zh-CN"/>
        </w:rPr>
        <w:t>附件6：</w:t>
      </w:r>
      <w:r>
        <w:rPr>
          <w:rFonts w:hint="eastAsia" w:ascii="宋体" w:hAnsi="宋体" w:eastAsia="宋体" w:cs="宋体"/>
          <w:b/>
          <w:bCs/>
          <w:i w:val="0"/>
          <w:iCs w:val="0"/>
          <w:color w:val="auto"/>
          <w:kern w:val="0"/>
          <w:sz w:val="32"/>
          <w:szCs w:val="32"/>
          <w:highlight w:val="none"/>
          <w:u w:val="none"/>
          <w:lang w:val="en-US" w:eastAsia="zh-CN" w:bidi="ar"/>
        </w:rPr>
        <w:t>5个公园重点区域、重要景观节点及重点植物清单</w:t>
      </w:r>
    </w:p>
    <w:p w14:paraId="4A0788A1">
      <w:pPr>
        <w:pageBreakBefore w:val="0"/>
        <w:numPr>
          <w:ilvl w:val="0"/>
          <w:numId w:val="0"/>
        </w:numPr>
        <w:kinsoku/>
        <w:wordWrap w:val="0"/>
        <w:overflowPunct/>
        <w:topLinePunct w:val="0"/>
        <w:bidi w:val="0"/>
        <w:ind w:firstLine="321" w:firstLineChars="100"/>
        <w:outlineLvl w:val="9"/>
        <w:rPr>
          <w:rFonts w:hint="eastAsia" w:ascii="宋体" w:hAnsi="宋体" w:eastAsia="宋体" w:cs="宋体"/>
          <w:b/>
          <w:color w:val="auto"/>
          <w:sz w:val="32"/>
          <w:szCs w:val="32"/>
          <w:highlight w:val="none"/>
          <w:lang w:val="en-US" w:eastAsia="zh-CN"/>
        </w:rPr>
      </w:pPr>
    </w:p>
    <w:tbl>
      <w:tblPr>
        <w:tblStyle w:val="22"/>
        <w:tblW w:w="99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9"/>
        <w:gridCol w:w="2047"/>
        <w:gridCol w:w="2595"/>
        <w:gridCol w:w="2160"/>
        <w:gridCol w:w="2400"/>
      </w:tblGrid>
      <w:tr w14:paraId="0B385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blHeader/>
          <w:jc w:val="center"/>
        </w:trPr>
        <w:tc>
          <w:tcPr>
            <w:tcW w:w="9981" w:type="dxa"/>
            <w:gridSpan w:val="5"/>
            <w:tcBorders>
              <w:top w:val="nil"/>
              <w:left w:val="nil"/>
              <w:bottom w:val="single" w:color="000000" w:sz="4" w:space="0"/>
              <w:right w:val="single" w:color="000000" w:sz="4" w:space="0"/>
            </w:tcBorders>
            <w:noWrap/>
            <w:vAlign w:val="center"/>
          </w:tcPr>
          <w:p w14:paraId="2D10B261">
            <w:pPr>
              <w:keepNext w:val="0"/>
              <w:keepLines w:val="0"/>
              <w:widowControl/>
              <w:suppressLineNumbers w:val="0"/>
              <w:snapToGrid w:val="0"/>
              <w:ind w:left="0" w:leftChars="0" w:right="0" w:rightChars="0" w:firstLine="0" w:firstLineChars="0"/>
              <w:jc w:val="both"/>
              <w:textAlignment w:val="center"/>
              <w:rPr>
                <w:rFonts w:hint="eastAsia" w:ascii="宋体" w:hAnsi="宋体" w:eastAsia="宋体" w:cs="宋体"/>
                <w:b/>
                <w:bCs/>
                <w:i w:val="0"/>
                <w:iCs w:val="0"/>
                <w:color w:val="auto"/>
                <w:sz w:val="32"/>
                <w:szCs w:val="32"/>
                <w:highlight w:val="none"/>
                <w:u w:val="none"/>
              </w:rPr>
            </w:pPr>
          </w:p>
        </w:tc>
      </w:tr>
      <w:tr w14:paraId="2F5D6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blHeader/>
          <w:jc w:val="center"/>
        </w:trPr>
        <w:tc>
          <w:tcPr>
            <w:tcW w:w="779" w:type="dxa"/>
            <w:tcBorders>
              <w:top w:val="single" w:color="000000" w:sz="4" w:space="0"/>
              <w:left w:val="single" w:color="000000" w:sz="4" w:space="0"/>
              <w:bottom w:val="single" w:color="000000" w:sz="4" w:space="0"/>
              <w:right w:val="single" w:color="000000" w:sz="4" w:space="0"/>
            </w:tcBorders>
            <w:noWrap/>
            <w:vAlign w:val="center"/>
          </w:tcPr>
          <w:p w14:paraId="3A70194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序号</w:t>
            </w:r>
          </w:p>
        </w:tc>
        <w:tc>
          <w:tcPr>
            <w:tcW w:w="2047" w:type="dxa"/>
            <w:tcBorders>
              <w:top w:val="single" w:color="000000" w:sz="4" w:space="0"/>
              <w:left w:val="single" w:color="000000" w:sz="4" w:space="0"/>
              <w:bottom w:val="single" w:color="000000" w:sz="4" w:space="0"/>
              <w:right w:val="single" w:color="000000" w:sz="4" w:space="0"/>
            </w:tcBorders>
            <w:noWrap/>
            <w:vAlign w:val="center"/>
          </w:tcPr>
          <w:p w14:paraId="5DE101AB">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公园名称</w:t>
            </w:r>
          </w:p>
        </w:tc>
        <w:tc>
          <w:tcPr>
            <w:tcW w:w="2595" w:type="dxa"/>
            <w:tcBorders>
              <w:top w:val="single" w:color="000000" w:sz="4" w:space="0"/>
              <w:left w:val="single" w:color="000000" w:sz="4" w:space="0"/>
              <w:bottom w:val="single" w:color="000000" w:sz="4" w:space="0"/>
              <w:right w:val="nil"/>
            </w:tcBorders>
            <w:noWrap w:val="0"/>
            <w:vAlign w:val="center"/>
          </w:tcPr>
          <w:p w14:paraId="25B7528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重点区域</w:t>
            </w:r>
          </w:p>
        </w:tc>
        <w:tc>
          <w:tcPr>
            <w:tcW w:w="2160" w:type="dxa"/>
            <w:tcBorders>
              <w:top w:val="single" w:color="000000" w:sz="4" w:space="0"/>
              <w:left w:val="single" w:color="000000" w:sz="4" w:space="0"/>
              <w:bottom w:val="single" w:color="000000" w:sz="4" w:space="0"/>
              <w:right w:val="single" w:color="000000" w:sz="4" w:space="0"/>
            </w:tcBorders>
            <w:noWrap/>
            <w:vAlign w:val="center"/>
          </w:tcPr>
          <w:p w14:paraId="739694B5">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重要景观节点</w:t>
            </w:r>
          </w:p>
        </w:tc>
        <w:tc>
          <w:tcPr>
            <w:tcW w:w="2400" w:type="dxa"/>
            <w:tcBorders>
              <w:top w:val="single" w:color="000000" w:sz="4" w:space="0"/>
              <w:left w:val="single" w:color="000000" w:sz="4" w:space="0"/>
              <w:bottom w:val="single" w:color="000000" w:sz="4" w:space="0"/>
              <w:right w:val="single" w:color="000000" w:sz="4" w:space="0"/>
            </w:tcBorders>
            <w:noWrap/>
            <w:vAlign w:val="center"/>
          </w:tcPr>
          <w:p w14:paraId="77B3A128">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auto"/>
                <w:sz w:val="22"/>
                <w:szCs w:val="22"/>
                <w:highlight w:val="none"/>
                <w:u w:val="none"/>
              </w:rPr>
            </w:pPr>
            <w:r>
              <w:rPr>
                <w:rFonts w:hint="eastAsia" w:ascii="宋体" w:hAnsi="宋体" w:eastAsia="宋体" w:cs="宋体"/>
                <w:b/>
                <w:bCs/>
                <w:i w:val="0"/>
                <w:iCs w:val="0"/>
                <w:color w:val="auto"/>
                <w:kern w:val="0"/>
                <w:sz w:val="22"/>
                <w:szCs w:val="22"/>
                <w:highlight w:val="none"/>
                <w:u w:val="none"/>
                <w:lang w:val="en-US" w:eastAsia="zh-CN" w:bidi="ar"/>
              </w:rPr>
              <w:t>重点植物</w:t>
            </w:r>
          </w:p>
        </w:tc>
      </w:tr>
      <w:tr w14:paraId="22A1F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5" w:hRule="atLeast"/>
          <w:jc w:val="center"/>
        </w:trPr>
        <w:tc>
          <w:tcPr>
            <w:tcW w:w="779" w:type="dxa"/>
            <w:tcBorders>
              <w:top w:val="single" w:color="000000" w:sz="4" w:space="0"/>
              <w:left w:val="single" w:color="000000" w:sz="4" w:space="0"/>
              <w:bottom w:val="single" w:color="000000" w:sz="4" w:space="0"/>
              <w:right w:val="single" w:color="000000" w:sz="4" w:space="0"/>
            </w:tcBorders>
            <w:noWrap/>
            <w:vAlign w:val="center"/>
          </w:tcPr>
          <w:p w14:paraId="15F9B92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1</w:t>
            </w:r>
          </w:p>
        </w:tc>
        <w:tc>
          <w:tcPr>
            <w:tcW w:w="2047" w:type="dxa"/>
            <w:tcBorders>
              <w:top w:val="single" w:color="000000" w:sz="4" w:space="0"/>
              <w:left w:val="single" w:color="000000" w:sz="4" w:space="0"/>
              <w:bottom w:val="single" w:color="000000" w:sz="4" w:space="0"/>
              <w:right w:val="single" w:color="000000" w:sz="4" w:space="0"/>
            </w:tcBorders>
            <w:noWrap/>
            <w:vAlign w:val="center"/>
          </w:tcPr>
          <w:p w14:paraId="59EB9E4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南宁市南湖公园</w:t>
            </w:r>
          </w:p>
        </w:tc>
        <w:tc>
          <w:tcPr>
            <w:tcW w:w="2595" w:type="dxa"/>
            <w:tcBorders>
              <w:top w:val="single" w:color="000000" w:sz="4" w:space="0"/>
              <w:left w:val="single" w:color="000000" w:sz="4" w:space="0"/>
              <w:bottom w:val="single" w:color="000000" w:sz="4" w:space="0"/>
              <w:right w:val="nil"/>
            </w:tcBorders>
            <w:noWrap w:val="0"/>
            <w:vAlign w:val="center"/>
          </w:tcPr>
          <w:p w14:paraId="7521ABD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名树园入口广场、大树盆景园、陈列馆、九孔桥</w:t>
            </w:r>
          </w:p>
        </w:tc>
        <w:tc>
          <w:tcPr>
            <w:tcW w:w="2160" w:type="dxa"/>
            <w:tcBorders>
              <w:top w:val="single" w:color="000000" w:sz="4" w:space="0"/>
              <w:left w:val="single" w:color="000000" w:sz="4" w:space="0"/>
              <w:bottom w:val="single" w:color="000000" w:sz="4" w:space="0"/>
              <w:right w:val="single" w:color="000000" w:sz="4" w:space="0"/>
            </w:tcBorders>
            <w:noWrap/>
            <w:vAlign w:val="center"/>
          </w:tcPr>
          <w:p w14:paraId="755E566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主题花境、九龙碧</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4FC974D">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月季、紫薇、造型三角梅、蒜香藤</w:t>
            </w:r>
          </w:p>
        </w:tc>
      </w:tr>
      <w:tr w14:paraId="576DE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779" w:type="dxa"/>
            <w:tcBorders>
              <w:top w:val="single" w:color="000000" w:sz="4" w:space="0"/>
              <w:left w:val="single" w:color="000000" w:sz="4" w:space="0"/>
              <w:bottom w:val="single" w:color="000000" w:sz="4" w:space="0"/>
              <w:right w:val="single" w:color="000000" w:sz="4" w:space="0"/>
            </w:tcBorders>
            <w:noWrap/>
            <w:vAlign w:val="center"/>
          </w:tcPr>
          <w:p w14:paraId="3DD1392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2</w:t>
            </w:r>
          </w:p>
        </w:tc>
        <w:tc>
          <w:tcPr>
            <w:tcW w:w="2047" w:type="dxa"/>
            <w:tcBorders>
              <w:top w:val="single" w:color="000000" w:sz="4" w:space="0"/>
              <w:left w:val="single" w:color="000000" w:sz="4" w:space="0"/>
              <w:bottom w:val="single" w:color="000000" w:sz="4" w:space="0"/>
              <w:right w:val="single" w:color="000000" w:sz="4" w:space="0"/>
            </w:tcBorders>
            <w:noWrap/>
            <w:vAlign w:val="center"/>
          </w:tcPr>
          <w:p w14:paraId="64A01F1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南宁市人民公园</w:t>
            </w:r>
          </w:p>
        </w:tc>
        <w:tc>
          <w:tcPr>
            <w:tcW w:w="2595" w:type="dxa"/>
            <w:tcBorders>
              <w:top w:val="single" w:color="000000" w:sz="4" w:space="0"/>
              <w:left w:val="single" w:color="000000" w:sz="4" w:space="0"/>
              <w:bottom w:val="single" w:color="000000" w:sz="4" w:space="0"/>
              <w:right w:val="nil"/>
            </w:tcBorders>
            <w:noWrap w:val="0"/>
            <w:vAlign w:val="center"/>
          </w:tcPr>
          <w:p w14:paraId="39B270A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荫生园、白龙塘周边、烈士碑上下周边、毛主席纪念馆周边</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246D5E6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西大门、花田花谷、树木园、荫生园</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FA049E8">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烈士碑及毛泽东纪念馆周边的马尼拉草坪、杜鹃花、风雨兰、泰国樱花、古树名木以及树木园内大树</w:t>
            </w:r>
          </w:p>
        </w:tc>
      </w:tr>
      <w:tr w14:paraId="34088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5" w:hRule="atLeast"/>
          <w:jc w:val="center"/>
        </w:trPr>
        <w:tc>
          <w:tcPr>
            <w:tcW w:w="779" w:type="dxa"/>
            <w:tcBorders>
              <w:top w:val="single" w:color="000000" w:sz="4" w:space="0"/>
              <w:left w:val="single" w:color="000000" w:sz="4" w:space="0"/>
              <w:bottom w:val="single" w:color="000000" w:sz="4" w:space="0"/>
              <w:right w:val="single" w:color="000000" w:sz="4" w:space="0"/>
            </w:tcBorders>
            <w:noWrap/>
            <w:vAlign w:val="center"/>
          </w:tcPr>
          <w:p w14:paraId="7231B9E4">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3</w:t>
            </w:r>
          </w:p>
        </w:tc>
        <w:tc>
          <w:tcPr>
            <w:tcW w:w="2047" w:type="dxa"/>
            <w:tcBorders>
              <w:top w:val="single" w:color="000000" w:sz="4" w:space="0"/>
              <w:left w:val="single" w:color="000000" w:sz="4" w:space="0"/>
              <w:bottom w:val="single" w:color="000000" w:sz="4" w:space="0"/>
              <w:right w:val="single" w:color="000000" w:sz="4" w:space="0"/>
            </w:tcBorders>
            <w:noWrap/>
            <w:vAlign w:val="center"/>
          </w:tcPr>
          <w:p w14:paraId="7D398CC9">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南宁市金花茶公园</w:t>
            </w:r>
          </w:p>
        </w:tc>
        <w:tc>
          <w:tcPr>
            <w:tcW w:w="2595" w:type="dxa"/>
            <w:tcBorders>
              <w:top w:val="single" w:color="000000" w:sz="4" w:space="0"/>
              <w:left w:val="single" w:color="000000" w:sz="4" w:space="0"/>
              <w:bottom w:val="single" w:color="000000" w:sz="4" w:space="0"/>
              <w:right w:val="nil"/>
            </w:tcBorders>
            <w:noWrap w:val="0"/>
            <w:vAlign w:val="center"/>
          </w:tcPr>
          <w:p w14:paraId="1916240B">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东门广场、西门广场、研习馆</w:t>
            </w:r>
          </w:p>
        </w:tc>
        <w:tc>
          <w:tcPr>
            <w:tcW w:w="2160" w:type="dxa"/>
            <w:tcBorders>
              <w:top w:val="single" w:color="000000" w:sz="4" w:space="0"/>
              <w:left w:val="single" w:color="000000" w:sz="4" w:space="0"/>
              <w:bottom w:val="single" w:color="000000" w:sz="4" w:space="0"/>
              <w:right w:val="single" w:color="000000" w:sz="4" w:space="0"/>
            </w:tcBorders>
            <w:noWrap/>
            <w:vAlign w:val="center"/>
          </w:tcPr>
          <w:p w14:paraId="18D3E8B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中轴线、金花茶故乡</w:t>
            </w:r>
          </w:p>
        </w:tc>
        <w:tc>
          <w:tcPr>
            <w:tcW w:w="2400" w:type="dxa"/>
            <w:tcBorders>
              <w:top w:val="single" w:color="000000" w:sz="4" w:space="0"/>
              <w:left w:val="single" w:color="000000" w:sz="4" w:space="0"/>
              <w:bottom w:val="single" w:color="000000" w:sz="4" w:space="0"/>
              <w:right w:val="single" w:color="000000" w:sz="4" w:space="0"/>
            </w:tcBorders>
            <w:noWrap/>
            <w:vAlign w:val="center"/>
          </w:tcPr>
          <w:p w14:paraId="4C3B82A6">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山茶科植物</w:t>
            </w:r>
          </w:p>
        </w:tc>
      </w:tr>
      <w:tr w14:paraId="7D51D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5" w:hRule="atLeast"/>
          <w:jc w:val="center"/>
        </w:trPr>
        <w:tc>
          <w:tcPr>
            <w:tcW w:w="779" w:type="dxa"/>
            <w:tcBorders>
              <w:top w:val="single" w:color="000000" w:sz="4" w:space="0"/>
              <w:left w:val="single" w:color="000000" w:sz="4" w:space="0"/>
              <w:bottom w:val="single" w:color="000000" w:sz="4" w:space="0"/>
              <w:right w:val="single" w:color="000000" w:sz="4" w:space="0"/>
            </w:tcBorders>
            <w:noWrap/>
            <w:vAlign w:val="center"/>
          </w:tcPr>
          <w:p w14:paraId="7CD5FA5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4</w:t>
            </w:r>
          </w:p>
        </w:tc>
        <w:tc>
          <w:tcPr>
            <w:tcW w:w="2047" w:type="dxa"/>
            <w:tcBorders>
              <w:top w:val="single" w:color="000000" w:sz="4" w:space="0"/>
              <w:left w:val="single" w:color="000000" w:sz="4" w:space="0"/>
              <w:bottom w:val="single" w:color="000000" w:sz="4" w:space="0"/>
              <w:right w:val="single" w:color="000000" w:sz="4" w:space="0"/>
            </w:tcBorders>
            <w:noWrap/>
            <w:vAlign w:val="center"/>
          </w:tcPr>
          <w:p w14:paraId="604709EF">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南宁市石门公园</w:t>
            </w:r>
          </w:p>
        </w:tc>
        <w:tc>
          <w:tcPr>
            <w:tcW w:w="2595" w:type="dxa"/>
            <w:tcBorders>
              <w:top w:val="single" w:color="000000" w:sz="4" w:space="0"/>
              <w:left w:val="single" w:color="000000" w:sz="4" w:space="0"/>
              <w:bottom w:val="single" w:color="000000" w:sz="4" w:space="0"/>
              <w:right w:val="nil"/>
            </w:tcBorders>
            <w:noWrap w:val="0"/>
            <w:vAlign w:val="center"/>
          </w:tcPr>
          <w:p w14:paraId="0FA32A77">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公园环湖景观区、樱花谷、樱花岭</w:t>
            </w:r>
          </w:p>
        </w:tc>
        <w:tc>
          <w:tcPr>
            <w:tcW w:w="2160" w:type="dxa"/>
            <w:tcBorders>
              <w:top w:val="single" w:color="000000" w:sz="4" w:space="0"/>
              <w:left w:val="single" w:color="000000" w:sz="4" w:space="0"/>
              <w:bottom w:val="single" w:color="000000" w:sz="4" w:space="0"/>
              <w:right w:val="single" w:color="000000" w:sz="4" w:space="0"/>
            </w:tcBorders>
            <w:noWrap w:val="0"/>
            <w:vAlign w:val="center"/>
          </w:tcPr>
          <w:p w14:paraId="4254252A">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樱花谷、旱溪、东南雨水花园</w:t>
            </w:r>
          </w:p>
        </w:tc>
        <w:tc>
          <w:tcPr>
            <w:tcW w:w="2400" w:type="dxa"/>
            <w:tcBorders>
              <w:top w:val="single" w:color="000000" w:sz="4" w:space="0"/>
              <w:left w:val="single" w:color="000000" w:sz="4" w:space="0"/>
              <w:bottom w:val="single" w:color="000000" w:sz="4" w:space="0"/>
              <w:right w:val="single" w:color="000000" w:sz="4" w:space="0"/>
            </w:tcBorders>
            <w:noWrap/>
            <w:vAlign w:val="center"/>
          </w:tcPr>
          <w:p w14:paraId="6C0BA5A3">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樱花、造型榕树</w:t>
            </w:r>
          </w:p>
        </w:tc>
      </w:tr>
      <w:tr w14:paraId="795FB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95" w:hRule="atLeast"/>
          <w:jc w:val="center"/>
        </w:trPr>
        <w:tc>
          <w:tcPr>
            <w:tcW w:w="779" w:type="dxa"/>
            <w:tcBorders>
              <w:top w:val="single" w:color="000000" w:sz="4" w:space="0"/>
              <w:left w:val="single" w:color="000000" w:sz="4" w:space="0"/>
              <w:bottom w:val="single" w:color="000000" w:sz="4" w:space="0"/>
              <w:right w:val="single" w:color="000000" w:sz="4" w:space="0"/>
            </w:tcBorders>
            <w:noWrap/>
            <w:vAlign w:val="center"/>
          </w:tcPr>
          <w:p w14:paraId="2F5CA953">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5</w:t>
            </w:r>
          </w:p>
        </w:tc>
        <w:tc>
          <w:tcPr>
            <w:tcW w:w="2047" w:type="dxa"/>
            <w:tcBorders>
              <w:top w:val="single" w:color="000000" w:sz="4" w:space="0"/>
              <w:left w:val="single" w:color="000000" w:sz="4" w:space="0"/>
              <w:bottom w:val="single" w:color="000000" w:sz="4" w:space="0"/>
              <w:right w:val="single" w:color="000000" w:sz="4" w:space="0"/>
            </w:tcBorders>
            <w:noWrap/>
            <w:vAlign w:val="center"/>
          </w:tcPr>
          <w:p w14:paraId="3C6C6CA7">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南宁市花卉公园</w:t>
            </w:r>
          </w:p>
        </w:tc>
        <w:tc>
          <w:tcPr>
            <w:tcW w:w="2595" w:type="dxa"/>
            <w:tcBorders>
              <w:top w:val="single" w:color="000000" w:sz="4" w:space="0"/>
              <w:left w:val="single" w:color="000000" w:sz="4" w:space="0"/>
              <w:bottom w:val="single" w:color="000000" w:sz="4" w:space="0"/>
              <w:right w:val="nil"/>
            </w:tcBorders>
            <w:noWrap w:val="0"/>
            <w:vAlign w:val="center"/>
          </w:tcPr>
          <w:p w14:paraId="7E3C3462">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迎宾广场，缤纷广场，幽兰苑，月季园，阴生园</w:t>
            </w:r>
          </w:p>
        </w:tc>
        <w:tc>
          <w:tcPr>
            <w:tcW w:w="2160" w:type="dxa"/>
            <w:tcBorders>
              <w:top w:val="single" w:color="000000" w:sz="4" w:space="0"/>
              <w:left w:val="single" w:color="000000" w:sz="4" w:space="0"/>
              <w:bottom w:val="single" w:color="000000" w:sz="4" w:space="0"/>
              <w:right w:val="single" w:color="000000" w:sz="4" w:space="0"/>
            </w:tcBorders>
            <w:noWrap/>
            <w:vAlign w:val="center"/>
          </w:tcPr>
          <w:p w14:paraId="50D1BFF1">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主题花事</w:t>
            </w:r>
          </w:p>
        </w:tc>
        <w:tc>
          <w:tcPr>
            <w:tcW w:w="2400" w:type="dxa"/>
            <w:tcBorders>
              <w:top w:val="single" w:color="000000" w:sz="4" w:space="0"/>
              <w:left w:val="single" w:color="000000" w:sz="4" w:space="0"/>
              <w:bottom w:val="single" w:color="000000" w:sz="4" w:space="0"/>
              <w:right w:val="single" w:color="000000" w:sz="4" w:space="0"/>
            </w:tcBorders>
            <w:noWrap/>
            <w:vAlign w:val="center"/>
          </w:tcPr>
          <w:p w14:paraId="24165719">
            <w:pPr>
              <w:keepNext w:val="0"/>
              <w:keepLines w:val="0"/>
              <w:widowControl/>
              <w:suppressLineNumbers w:val="0"/>
              <w:snapToGrid w:val="0"/>
              <w:ind w:left="0" w:leftChars="0" w:right="0" w:rightChars="0" w:firstLine="0" w:firstLineChars="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月季、蒜香藤、非洲芙蓉，栾树，紫薇，黄钟花</w:t>
            </w:r>
          </w:p>
        </w:tc>
      </w:tr>
    </w:tbl>
    <w:p w14:paraId="5D1D0823">
      <w:pPr>
        <w:outlineLvl w:val="9"/>
        <w:rPr>
          <w:rFonts w:hint="eastAsia"/>
          <w:color w:val="auto"/>
          <w:highlight w:val="none"/>
        </w:rPr>
      </w:pPr>
    </w:p>
    <w:p w14:paraId="44CE9AD3">
      <w:pPr>
        <w:shd w:val="clea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br w:type="page"/>
      </w:r>
    </w:p>
    <w:p w14:paraId="3A615663">
      <w:pPr>
        <w:shd w:val="clear"/>
        <w:wordWrap w:val="0"/>
        <w:spacing w:line="360" w:lineRule="auto"/>
        <w:outlineLvl w:val="1"/>
        <w:rPr>
          <w:rFonts w:hint="eastAsia" w:ascii="宋体" w:hAnsi="宋体" w:eastAsia="宋体" w:cs="宋体"/>
          <w:color w:val="auto"/>
          <w:sz w:val="32"/>
          <w:szCs w:val="32"/>
          <w:highlight w:val="none"/>
        </w:rPr>
        <w:sectPr>
          <w:pgSz w:w="11906" w:h="16838"/>
          <w:pgMar w:top="1440" w:right="1080" w:bottom="1440" w:left="1080" w:header="720" w:footer="720" w:gutter="0"/>
          <w:pgNumType w:fmt="decimal"/>
          <w:cols w:space="720" w:num="1"/>
          <w:docGrid w:type="lines" w:linePitch="331" w:charSpace="0"/>
        </w:sectPr>
      </w:pPr>
    </w:p>
    <w:p w14:paraId="6466ACBC">
      <w:pPr>
        <w:shd w:val="clear"/>
        <w:wordWrap w:val="0"/>
        <w:spacing w:line="360" w:lineRule="auto"/>
        <w:outlineLvl w:val="1"/>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附件</w:t>
      </w:r>
      <w:r>
        <w:rPr>
          <w:rFonts w:hint="eastAsia" w:ascii="宋体" w:hAnsi="宋体" w:cs="宋体"/>
          <w:b/>
          <w:bCs/>
          <w:color w:val="auto"/>
          <w:sz w:val="28"/>
          <w:szCs w:val="28"/>
          <w:highlight w:val="none"/>
          <w:lang w:val="en-US" w:eastAsia="zh-CN"/>
        </w:rPr>
        <w:t>7</w:t>
      </w:r>
      <w:r>
        <w:rPr>
          <w:rFonts w:hint="eastAsia" w:ascii="宋体" w:hAnsi="宋体" w:eastAsia="宋体" w:cs="宋体"/>
          <w:b/>
          <w:bCs/>
          <w:color w:val="auto"/>
          <w:sz w:val="28"/>
          <w:szCs w:val="28"/>
          <w:highlight w:val="none"/>
        </w:rPr>
        <w:t>：</w:t>
      </w:r>
    </w:p>
    <w:p w14:paraId="5A294627">
      <w:pPr>
        <w:shd w:val="clear"/>
        <w:wordWrap w:val="0"/>
        <w:spacing w:line="360" w:lineRule="auto"/>
        <w:rPr>
          <w:rFonts w:hint="eastAsia" w:ascii="宋体" w:hAnsi="宋体" w:eastAsia="宋体" w:cs="宋体"/>
          <w:color w:val="auto"/>
          <w:sz w:val="17"/>
          <w:szCs w:val="17"/>
          <w:highlight w:val="none"/>
        </w:rPr>
      </w:pPr>
    </w:p>
    <w:p w14:paraId="34067CDA">
      <w:pPr>
        <w:shd w:val="clear"/>
        <w:wordWrap w:val="0"/>
        <w:spacing w:line="360" w:lineRule="auto"/>
        <w:ind w:left="1871"/>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节能产品政府采购品目清单</w:t>
      </w:r>
    </w:p>
    <w:tbl>
      <w:tblPr>
        <w:tblStyle w:val="22"/>
        <w:tblW w:w="92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80"/>
        <w:gridCol w:w="1320"/>
        <w:gridCol w:w="1620"/>
        <w:gridCol w:w="4540"/>
      </w:tblGrid>
      <w:tr w14:paraId="5EFA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60" w:type="dxa"/>
            <w:noWrap w:val="0"/>
            <w:vAlign w:val="top"/>
          </w:tcPr>
          <w:p w14:paraId="1D6F50F6">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品目序号</w:t>
            </w:r>
          </w:p>
        </w:tc>
        <w:tc>
          <w:tcPr>
            <w:tcW w:w="4020" w:type="dxa"/>
            <w:gridSpan w:val="3"/>
            <w:noWrap w:val="0"/>
            <w:vAlign w:val="center"/>
          </w:tcPr>
          <w:p w14:paraId="5536DC95">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名称</w:t>
            </w:r>
          </w:p>
        </w:tc>
        <w:tc>
          <w:tcPr>
            <w:tcW w:w="4540" w:type="dxa"/>
            <w:noWrap w:val="0"/>
            <w:vAlign w:val="center"/>
          </w:tcPr>
          <w:p w14:paraId="76771181">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依据的标准</w:t>
            </w:r>
          </w:p>
        </w:tc>
      </w:tr>
      <w:tr w14:paraId="6B0E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noWrap w:val="0"/>
            <w:vAlign w:val="center"/>
          </w:tcPr>
          <w:p w14:paraId="77BFC4E7">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080" w:type="dxa"/>
            <w:vMerge w:val="restart"/>
            <w:noWrap w:val="0"/>
            <w:vAlign w:val="center"/>
          </w:tcPr>
          <w:p w14:paraId="414E47FF">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A020101计算机设备</w:t>
            </w:r>
          </w:p>
        </w:tc>
        <w:tc>
          <w:tcPr>
            <w:tcW w:w="1320" w:type="dxa"/>
            <w:noWrap w:val="0"/>
            <w:vAlign w:val="center"/>
          </w:tcPr>
          <w:p w14:paraId="01E967E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★A02010104台式计算机</w:t>
            </w:r>
          </w:p>
        </w:tc>
        <w:tc>
          <w:tcPr>
            <w:tcW w:w="1620" w:type="dxa"/>
            <w:noWrap w:val="0"/>
            <w:vAlign w:val="center"/>
          </w:tcPr>
          <w:p w14:paraId="5BA284DF">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26C546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《微型计算机能效限定值及能效等级》（GB28380）</w:t>
            </w:r>
          </w:p>
        </w:tc>
      </w:tr>
      <w:tr w14:paraId="499E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743BEBED">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41B272B2">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3315FCE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★A02010105便携式计算机</w:t>
            </w:r>
          </w:p>
        </w:tc>
        <w:tc>
          <w:tcPr>
            <w:tcW w:w="1620" w:type="dxa"/>
            <w:noWrap w:val="0"/>
            <w:vAlign w:val="center"/>
          </w:tcPr>
          <w:p w14:paraId="2789A26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5411DB4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《微型计算机能效限定值及能效等级》（GB28380）</w:t>
            </w:r>
          </w:p>
        </w:tc>
      </w:tr>
      <w:tr w14:paraId="00AF7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059BE96D">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08F144D3">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6AAB98D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★A02010107平板式微型计算机</w:t>
            </w:r>
          </w:p>
        </w:tc>
        <w:tc>
          <w:tcPr>
            <w:tcW w:w="1620" w:type="dxa"/>
            <w:noWrap w:val="0"/>
            <w:vAlign w:val="center"/>
          </w:tcPr>
          <w:p w14:paraId="650E136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7E25B77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《微型计算机能效限定值及能效等级》（GB28380）</w:t>
            </w:r>
          </w:p>
        </w:tc>
      </w:tr>
      <w:tr w14:paraId="21412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noWrap w:val="0"/>
            <w:vAlign w:val="center"/>
          </w:tcPr>
          <w:p w14:paraId="62007B8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080" w:type="dxa"/>
            <w:vMerge w:val="restart"/>
            <w:noWrap w:val="0"/>
            <w:vAlign w:val="center"/>
          </w:tcPr>
          <w:p w14:paraId="0007A8E0">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A020106输入输出设备</w:t>
            </w:r>
          </w:p>
        </w:tc>
        <w:tc>
          <w:tcPr>
            <w:tcW w:w="1320" w:type="dxa"/>
            <w:vMerge w:val="restart"/>
            <w:noWrap w:val="0"/>
            <w:vAlign w:val="center"/>
          </w:tcPr>
          <w:p w14:paraId="4DF8665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A02010601打印设备</w:t>
            </w:r>
          </w:p>
        </w:tc>
        <w:tc>
          <w:tcPr>
            <w:tcW w:w="1620" w:type="dxa"/>
            <w:noWrap w:val="0"/>
            <w:vAlign w:val="center"/>
          </w:tcPr>
          <w:p w14:paraId="5BD3488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A0201060101喷墨打印机</w:t>
            </w:r>
          </w:p>
        </w:tc>
        <w:tc>
          <w:tcPr>
            <w:tcW w:w="4540" w:type="dxa"/>
            <w:noWrap w:val="0"/>
            <w:vAlign w:val="center"/>
          </w:tcPr>
          <w:p w14:paraId="6873F8A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《复印机、打印机和传真机能效限定值及能效等级》（GB21521）</w:t>
            </w:r>
          </w:p>
        </w:tc>
      </w:tr>
      <w:tr w14:paraId="0B12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106FAA12">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01FD672B">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1AEC7A9B">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4E88247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★A0201060102激光打印机</w:t>
            </w:r>
          </w:p>
        </w:tc>
        <w:tc>
          <w:tcPr>
            <w:tcW w:w="4540" w:type="dxa"/>
            <w:noWrap w:val="0"/>
            <w:vAlign w:val="center"/>
          </w:tcPr>
          <w:p w14:paraId="6254261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《复印机、打印机和传真机能效限定值及能效等级》（GB21521）</w:t>
            </w:r>
          </w:p>
        </w:tc>
      </w:tr>
      <w:tr w14:paraId="24E6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42176E02">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4DCF5BEA">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379C8AF8">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6FFDC96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★A0201060104针式打印机</w:t>
            </w:r>
          </w:p>
        </w:tc>
        <w:tc>
          <w:tcPr>
            <w:tcW w:w="4540" w:type="dxa"/>
            <w:noWrap w:val="0"/>
            <w:vAlign w:val="center"/>
          </w:tcPr>
          <w:p w14:paraId="2C2C44C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《复印机、打印机和传真机能效限定值及能效等级》（GB21521）</w:t>
            </w:r>
          </w:p>
        </w:tc>
      </w:tr>
      <w:tr w14:paraId="16B7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6ECA7218">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7B77DD55">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6BF4C2D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A02010604显示设备</w:t>
            </w:r>
          </w:p>
        </w:tc>
        <w:tc>
          <w:tcPr>
            <w:tcW w:w="1620" w:type="dxa"/>
            <w:noWrap w:val="0"/>
            <w:vAlign w:val="center"/>
          </w:tcPr>
          <w:p w14:paraId="2FE521EF">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★A0201060401液晶显示器</w:t>
            </w:r>
          </w:p>
        </w:tc>
        <w:tc>
          <w:tcPr>
            <w:tcW w:w="4540" w:type="dxa"/>
            <w:noWrap w:val="0"/>
            <w:vAlign w:val="center"/>
          </w:tcPr>
          <w:p w14:paraId="2987E4B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《计算机显示器能效限定值及能效等级》（GB21520）</w:t>
            </w:r>
          </w:p>
        </w:tc>
      </w:tr>
      <w:tr w14:paraId="04DA9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60" w:type="dxa"/>
            <w:vMerge w:val="continue"/>
            <w:noWrap w:val="0"/>
            <w:vAlign w:val="center"/>
          </w:tcPr>
          <w:p w14:paraId="540C423F">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5500FED9">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296F66B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A02010609图形图像输入设备</w:t>
            </w:r>
          </w:p>
        </w:tc>
        <w:tc>
          <w:tcPr>
            <w:tcW w:w="1620" w:type="dxa"/>
            <w:noWrap w:val="0"/>
            <w:vAlign w:val="center"/>
          </w:tcPr>
          <w:p w14:paraId="32E7607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A0201060901扫描仪</w:t>
            </w:r>
          </w:p>
        </w:tc>
        <w:tc>
          <w:tcPr>
            <w:tcW w:w="4540" w:type="dxa"/>
            <w:noWrap w:val="0"/>
            <w:vAlign w:val="center"/>
          </w:tcPr>
          <w:p w14:paraId="6E0E8A8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参照《复印机、打印机和传真机能效限定值及能效等级》（GB21521中打印速度为15页/分的针式打印机相关要求中打印速度为15页/分的针式打印机相关要求</w:t>
            </w:r>
          </w:p>
        </w:tc>
      </w:tr>
      <w:tr w14:paraId="1E44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0582DEFF">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080" w:type="dxa"/>
            <w:noWrap w:val="0"/>
            <w:vAlign w:val="center"/>
          </w:tcPr>
          <w:p w14:paraId="6CC75C9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A020202投影仪</w:t>
            </w:r>
          </w:p>
        </w:tc>
        <w:tc>
          <w:tcPr>
            <w:tcW w:w="1320" w:type="dxa"/>
            <w:noWrap w:val="0"/>
            <w:vAlign w:val="center"/>
          </w:tcPr>
          <w:p w14:paraId="5126575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620" w:type="dxa"/>
            <w:noWrap w:val="0"/>
            <w:vAlign w:val="center"/>
          </w:tcPr>
          <w:p w14:paraId="7985A6C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D479EB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《投影机能效限定值及能效等级》（GB32028）</w:t>
            </w:r>
          </w:p>
        </w:tc>
      </w:tr>
      <w:tr w14:paraId="04E5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161FABB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080" w:type="dxa"/>
            <w:noWrap w:val="0"/>
            <w:vAlign w:val="center"/>
          </w:tcPr>
          <w:p w14:paraId="7C834FDA">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A020204多功能一体机</w:t>
            </w:r>
          </w:p>
        </w:tc>
        <w:tc>
          <w:tcPr>
            <w:tcW w:w="1320" w:type="dxa"/>
            <w:noWrap w:val="0"/>
            <w:vAlign w:val="center"/>
          </w:tcPr>
          <w:p w14:paraId="17A84AA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620" w:type="dxa"/>
            <w:noWrap w:val="0"/>
            <w:vAlign w:val="center"/>
          </w:tcPr>
          <w:p w14:paraId="6DC8F4D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9C8D77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《复印机、打印机和传真机能效限定值及能效等级》（GB21521）</w:t>
            </w:r>
          </w:p>
        </w:tc>
      </w:tr>
      <w:tr w14:paraId="36DF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1B767F8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080" w:type="dxa"/>
            <w:noWrap w:val="0"/>
            <w:vAlign w:val="center"/>
          </w:tcPr>
          <w:p w14:paraId="5C659939">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A020519泵</w:t>
            </w:r>
          </w:p>
        </w:tc>
        <w:tc>
          <w:tcPr>
            <w:tcW w:w="1320" w:type="dxa"/>
            <w:noWrap w:val="0"/>
            <w:vAlign w:val="center"/>
          </w:tcPr>
          <w:p w14:paraId="768E1CE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A02051901离心泵</w:t>
            </w:r>
          </w:p>
        </w:tc>
        <w:tc>
          <w:tcPr>
            <w:tcW w:w="1620" w:type="dxa"/>
            <w:noWrap w:val="0"/>
            <w:vAlign w:val="center"/>
          </w:tcPr>
          <w:p w14:paraId="42D86C9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67AC89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《清水离心泵能效限定值及节能评价值》（GB19762）</w:t>
            </w:r>
          </w:p>
        </w:tc>
      </w:tr>
      <w:tr w14:paraId="4506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restart"/>
            <w:noWrap w:val="0"/>
            <w:vAlign w:val="center"/>
          </w:tcPr>
          <w:p w14:paraId="12E7EC12">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080" w:type="dxa"/>
            <w:vMerge w:val="restart"/>
            <w:noWrap w:val="0"/>
            <w:vAlign w:val="center"/>
          </w:tcPr>
          <w:p w14:paraId="272F002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A020523制冷空调设备</w:t>
            </w:r>
          </w:p>
        </w:tc>
        <w:tc>
          <w:tcPr>
            <w:tcW w:w="1320" w:type="dxa"/>
            <w:vMerge w:val="restart"/>
            <w:noWrap w:val="0"/>
            <w:vAlign w:val="center"/>
          </w:tcPr>
          <w:p w14:paraId="12537615">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★A02052301制冷压缩机</w:t>
            </w:r>
          </w:p>
        </w:tc>
        <w:tc>
          <w:tcPr>
            <w:tcW w:w="1620" w:type="dxa"/>
            <w:noWrap w:val="0"/>
            <w:vAlign w:val="center"/>
          </w:tcPr>
          <w:p w14:paraId="481442F5">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冷水机组</w:t>
            </w:r>
          </w:p>
        </w:tc>
        <w:tc>
          <w:tcPr>
            <w:tcW w:w="4540" w:type="dxa"/>
            <w:noWrap w:val="0"/>
            <w:vAlign w:val="center"/>
          </w:tcPr>
          <w:p w14:paraId="36C4064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《冷水机组能效限定值及能效等级》（GB19577），《低环境温度空气源热泵（冷水）机组能效限定值及能效等级》（GB37480）</w:t>
            </w:r>
          </w:p>
        </w:tc>
      </w:tr>
      <w:tr w14:paraId="2B23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2F09CB65">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1CF231FC">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236EE554">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55CD448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水源热泵机组</w:t>
            </w:r>
          </w:p>
        </w:tc>
        <w:tc>
          <w:tcPr>
            <w:tcW w:w="4540" w:type="dxa"/>
            <w:noWrap w:val="0"/>
            <w:vAlign w:val="center"/>
          </w:tcPr>
          <w:p w14:paraId="3A27888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《水（地）源热泵机组能效限定值及能效等级》（GB30721）</w:t>
            </w:r>
          </w:p>
        </w:tc>
      </w:tr>
      <w:tr w14:paraId="2DB9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5BE30432">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1514C877">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7E35639E">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25BDDDA0">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溴化锂吸收式冷水机组</w:t>
            </w:r>
          </w:p>
        </w:tc>
        <w:tc>
          <w:tcPr>
            <w:tcW w:w="4540" w:type="dxa"/>
            <w:noWrap w:val="0"/>
            <w:vAlign w:val="center"/>
          </w:tcPr>
          <w:p w14:paraId="645B268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《溴化锂吸收式冷水机组能效限定值及能效等级》（GB29540）</w:t>
            </w:r>
          </w:p>
        </w:tc>
      </w:tr>
      <w:tr w14:paraId="44D8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00596D7A">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21885530">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restart"/>
            <w:noWrap w:val="0"/>
            <w:vAlign w:val="center"/>
          </w:tcPr>
          <w:p w14:paraId="448931C2">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★A02052305空调机组</w:t>
            </w:r>
          </w:p>
        </w:tc>
        <w:tc>
          <w:tcPr>
            <w:tcW w:w="1620" w:type="dxa"/>
            <w:noWrap w:val="0"/>
            <w:vAlign w:val="center"/>
          </w:tcPr>
          <w:p w14:paraId="7CD6665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多联式空调（热泵）机组(制冷量&gt;14000W)</w:t>
            </w:r>
          </w:p>
        </w:tc>
        <w:tc>
          <w:tcPr>
            <w:tcW w:w="4540" w:type="dxa"/>
            <w:noWrap w:val="0"/>
            <w:vAlign w:val="center"/>
          </w:tcPr>
          <w:p w14:paraId="0389A87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《多联式空调（热泵）机组能效限定值及能源效率等级》（GB21454）</w:t>
            </w:r>
          </w:p>
        </w:tc>
      </w:tr>
      <w:tr w14:paraId="68F0E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7A764F7A">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32CD1359">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6B4C782D">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64AD07EB">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单元式空气调节机(制冷量&gt;14000W</w:t>
            </w:r>
          </w:p>
        </w:tc>
        <w:tc>
          <w:tcPr>
            <w:tcW w:w="4540" w:type="dxa"/>
            <w:noWrap w:val="0"/>
            <w:vAlign w:val="center"/>
          </w:tcPr>
          <w:p w14:paraId="76006F2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《单元式空气调节机能效限定值及能效等级》（GB19576）《风管送风式空调机组能效限定值及能效等级》（GB37479）</w:t>
            </w:r>
          </w:p>
        </w:tc>
      </w:tr>
      <w:tr w14:paraId="0C70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0AD22EEB">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44373F05">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68E45D9B">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★A02052309专用制冷、空调设备</w:t>
            </w:r>
          </w:p>
        </w:tc>
        <w:tc>
          <w:tcPr>
            <w:tcW w:w="1620" w:type="dxa"/>
            <w:noWrap w:val="0"/>
            <w:vAlign w:val="center"/>
          </w:tcPr>
          <w:p w14:paraId="347CFA1B">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机房空调</w:t>
            </w:r>
          </w:p>
        </w:tc>
        <w:tc>
          <w:tcPr>
            <w:tcW w:w="4540" w:type="dxa"/>
            <w:noWrap w:val="0"/>
            <w:vAlign w:val="center"/>
          </w:tcPr>
          <w:p w14:paraId="783B4AF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《单元式空气调节机能效限定值及能效等级》（GB19576）</w:t>
            </w:r>
          </w:p>
        </w:tc>
      </w:tr>
      <w:tr w14:paraId="570B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7655588E">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56D6DE35">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32B9155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A02052399其他制冷空调设备</w:t>
            </w:r>
          </w:p>
        </w:tc>
        <w:tc>
          <w:tcPr>
            <w:tcW w:w="1620" w:type="dxa"/>
            <w:noWrap w:val="0"/>
            <w:vAlign w:val="center"/>
          </w:tcPr>
          <w:p w14:paraId="325DDEEB">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冷却塔</w:t>
            </w:r>
          </w:p>
        </w:tc>
        <w:tc>
          <w:tcPr>
            <w:tcW w:w="4540" w:type="dxa"/>
            <w:noWrap w:val="0"/>
            <w:vAlign w:val="center"/>
          </w:tcPr>
          <w:p w14:paraId="66CAA57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《机械通风冷却塔第1部分：中小型开式冷却塔》（GB/T7190.1）；《机械通风冷却塔第2部分：大型开式冷却塔》（GB/T7190.2）</w:t>
            </w:r>
          </w:p>
        </w:tc>
      </w:tr>
      <w:tr w14:paraId="0946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3B1FA68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080" w:type="dxa"/>
            <w:noWrap w:val="0"/>
            <w:vAlign w:val="center"/>
          </w:tcPr>
          <w:p w14:paraId="23F81D2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A020601电机</w:t>
            </w:r>
          </w:p>
        </w:tc>
        <w:tc>
          <w:tcPr>
            <w:tcW w:w="1320" w:type="dxa"/>
            <w:noWrap w:val="0"/>
            <w:vAlign w:val="center"/>
          </w:tcPr>
          <w:p w14:paraId="4F7127A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620" w:type="dxa"/>
            <w:noWrap w:val="0"/>
            <w:vAlign w:val="center"/>
          </w:tcPr>
          <w:p w14:paraId="73F7A57B">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185F384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《中小型三相异步电动机能效限定值及能效等级》（GB18613）</w:t>
            </w:r>
          </w:p>
        </w:tc>
      </w:tr>
      <w:tr w14:paraId="503C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3F8B405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w:t>
            </w:r>
          </w:p>
        </w:tc>
        <w:tc>
          <w:tcPr>
            <w:tcW w:w="1080" w:type="dxa"/>
            <w:noWrap w:val="0"/>
            <w:vAlign w:val="center"/>
          </w:tcPr>
          <w:p w14:paraId="1251E5F5">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A020602变压器</w:t>
            </w:r>
          </w:p>
        </w:tc>
        <w:tc>
          <w:tcPr>
            <w:tcW w:w="1320" w:type="dxa"/>
            <w:noWrap w:val="0"/>
            <w:vAlign w:val="center"/>
          </w:tcPr>
          <w:p w14:paraId="39731B79">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配电变压器</w:t>
            </w:r>
          </w:p>
        </w:tc>
        <w:tc>
          <w:tcPr>
            <w:tcW w:w="1620" w:type="dxa"/>
            <w:noWrap w:val="0"/>
            <w:vAlign w:val="center"/>
          </w:tcPr>
          <w:p w14:paraId="09ECF00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1FE2434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《三相配电变压器能效限定值及能效等级》（GB20052）</w:t>
            </w:r>
          </w:p>
        </w:tc>
      </w:tr>
      <w:tr w14:paraId="02A0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1D14424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w:t>
            </w:r>
          </w:p>
        </w:tc>
        <w:tc>
          <w:tcPr>
            <w:tcW w:w="1080" w:type="dxa"/>
            <w:noWrap w:val="0"/>
            <w:vAlign w:val="center"/>
          </w:tcPr>
          <w:p w14:paraId="64FB6849">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★A020609镇流器</w:t>
            </w:r>
          </w:p>
        </w:tc>
        <w:tc>
          <w:tcPr>
            <w:tcW w:w="1320" w:type="dxa"/>
            <w:noWrap w:val="0"/>
            <w:vAlign w:val="center"/>
          </w:tcPr>
          <w:p w14:paraId="1411A1C9">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管型荧光灯镇流器</w:t>
            </w:r>
          </w:p>
        </w:tc>
        <w:tc>
          <w:tcPr>
            <w:tcW w:w="1620" w:type="dxa"/>
            <w:noWrap w:val="0"/>
            <w:vAlign w:val="center"/>
          </w:tcPr>
          <w:p w14:paraId="1E2FFC3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1F552CEB">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《管形荧光灯镇流器能效限定值及能效等级》（GB17896）</w:t>
            </w:r>
          </w:p>
        </w:tc>
      </w:tr>
      <w:tr w14:paraId="119B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noWrap w:val="0"/>
            <w:vAlign w:val="center"/>
          </w:tcPr>
          <w:p w14:paraId="77481A6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w:t>
            </w:r>
          </w:p>
        </w:tc>
        <w:tc>
          <w:tcPr>
            <w:tcW w:w="1080" w:type="dxa"/>
            <w:vMerge w:val="restart"/>
            <w:noWrap w:val="0"/>
            <w:vAlign w:val="center"/>
          </w:tcPr>
          <w:p w14:paraId="0337670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A020618生活用电器</w:t>
            </w:r>
          </w:p>
        </w:tc>
        <w:tc>
          <w:tcPr>
            <w:tcW w:w="1320" w:type="dxa"/>
            <w:noWrap w:val="0"/>
            <w:vAlign w:val="center"/>
          </w:tcPr>
          <w:p w14:paraId="32C5CE3A">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A0206180101电冰箱</w:t>
            </w:r>
          </w:p>
        </w:tc>
        <w:tc>
          <w:tcPr>
            <w:tcW w:w="1620" w:type="dxa"/>
            <w:noWrap w:val="0"/>
            <w:vAlign w:val="center"/>
          </w:tcPr>
          <w:p w14:paraId="4EDEF17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1128124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《家用电冰箱耗电量限定值及能效等级》（GB 12021.2）</w:t>
            </w:r>
          </w:p>
        </w:tc>
      </w:tr>
      <w:tr w14:paraId="0AB8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60" w:type="dxa"/>
            <w:vMerge w:val="continue"/>
            <w:noWrap w:val="0"/>
            <w:vAlign w:val="center"/>
          </w:tcPr>
          <w:p w14:paraId="4489113C">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46CC4D50">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restart"/>
            <w:noWrap w:val="0"/>
            <w:vAlign w:val="center"/>
          </w:tcPr>
          <w:p w14:paraId="3DC68937">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★A0206180203空调机</w:t>
            </w:r>
          </w:p>
        </w:tc>
        <w:tc>
          <w:tcPr>
            <w:tcW w:w="1620" w:type="dxa"/>
            <w:noWrap w:val="0"/>
            <w:vAlign w:val="center"/>
          </w:tcPr>
          <w:p w14:paraId="5F7C885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房间空气调节器</w:t>
            </w:r>
          </w:p>
        </w:tc>
        <w:tc>
          <w:tcPr>
            <w:tcW w:w="4540" w:type="dxa"/>
            <w:noWrap w:val="0"/>
            <w:vAlign w:val="center"/>
          </w:tcPr>
          <w:p w14:paraId="4D02BBA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《转速可控型房间空气调节器能效限定值及能效等级》（GB21455-2013），待2019年修订发布后，按《房间空气调节器能效限定值及能效等级》（GB21455-2019实施。</w:t>
            </w:r>
          </w:p>
        </w:tc>
      </w:tr>
      <w:tr w14:paraId="1A637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1A5E1BED">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0FB4C3CF">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533BC9FB">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69162DF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多联式空调（热泵）机组（制冷量≤ 14000W）</w:t>
            </w:r>
          </w:p>
        </w:tc>
        <w:tc>
          <w:tcPr>
            <w:tcW w:w="4540" w:type="dxa"/>
            <w:noWrap w:val="0"/>
            <w:vAlign w:val="center"/>
          </w:tcPr>
          <w:p w14:paraId="5D20AF4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《多联式空调（热泵）机组能效限定值及能源效率等级》（GB21454）</w:t>
            </w:r>
          </w:p>
        </w:tc>
      </w:tr>
      <w:tr w14:paraId="2C4E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6156E5A5">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7A696C73">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5ED1C7BE">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0D0B4AEB">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单元式空气调节机(制冷量≤14000W)</w:t>
            </w:r>
          </w:p>
        </w:tc>
        <w:tc>
          <w:tcPr>
            <w:tcW w:w="4540" w:type="dxa"/>
            <w:noWrap w:val="0"/>
            <w:vAlign w:val="center"/>
          </w:tcPr>
          <w:p w14:paraId="36267FD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《单元式空气调节机能效限定值及能源效率等级》（GB19576）《风管送风式空调机组能效限定值及能效等级》（GB37479）</w:t>
            </w:r>
          </w:p>
        </w:tc>
      </w:tr>
      <w:tr w14:paraId="74EE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70C10E9A">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2CF11247">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12BA17C2">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A0206180301洗衣机</w:t>
            </w:r>
          </w:p>
        </w:tc>
        <w:tc>
          <w:tcPr>
            <w:tcW w:w="1620" w:type="dxa"/>
            <w:noWrap w:val="0"/>
            <w:vAlign w:val="center"/>
          </w:tcPr>
          <w:p w14:paraId="0D6E245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4BAF76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《电动洗衣机能效水效限定值及等级》（GB12021.4）</w:t>
            </w:r>
          </w:p>
        </w:tc>
      </w:tr>
      <w:tr w14:paraId="3AA4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308057E5">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3001E7F9">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restart"/>
            <w:noWrap w:val="0"/>
            <w:vAlign w:val="center"/>
          </w:tcPr>
          <w:p w14:paraId="5741DF39">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A02061808热水器</w:t>
            </w:r>
          </w:p>
        </w:tc>
        <w:tc>
          <w:tcPr>
            <w:tcW w:w="1620" w:type="dxa"/>
            <w:noWrap w:val="0"/>
            <w:vAlign w:val="center"/>
          </w:tcPr>
          <w:p w14:paraId="2716BBB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★电热水器</w:t>
            </w:r>
          </w:p>
        </w:tc>
        <w:tc>
          <w:tcPr>
            <w:tcW w:w="4540" w:type="dxa"/>
            <w:noWrap w:val="0"/>
            <w:vAlign w:val="center"/>
          </w:tcPr>
          <w:p w14:paraId="45D4B57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《储水式电热水器能效限定值及能效等级》（GB21519）</w:t>
            </w:r>
          </w:p>
        </w:tc>
      </w:tr>
      <w:tr w14:paraId="3E228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309A1916">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1D49EA61">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63822728">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4F8FEED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燃气热水器</w:t>
            </w:r>
          </w:p>
        </w:tc>
        <w:tc>
          <w:tcPr>
            <w:tcW w:w="4540" w:type="dxa"/>
            <w:noWrap w:val="0"/>
            <w:vAlign w:val="center"/>
          </w:tcPr>
          <w:p w14:paraId="249A35A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《家用燃气快速热水器和燃气采暖热水炉能效限定值及能效等级》（GB20665）</w:t>
            </w:r>
          </w:p>
        </w:tc>
      </w:tr>
      <w:tr w14:paraId="420B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51148B1F">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1827590E">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6088F4DC">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0A486EB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热泵热水器</w:t>
            </w:r>
          </w:p>
        </w:tc>
        <w:tc>
          <w:tcPr>
            <w:tcW w:w="4540" w:type="dxa"/>
            <w:noWrap w:val="0"/>
            <w:vAlign w:val="center"/>
          </w:tcPr>
          <w:p w14:paraId="74AB266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《热泵热水机（器）能效限定值及能效等级》（GB29541）</w:t>
            </w:r>
          </w:p>
        </w:tc>
      </w:tr>
      <w:tr w14:paraId="74230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5A269A91">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779B16B0">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vMerge w:val="continue"/>
            <w:noWrap w:val="0"/>
            <w:vAlign w:val="center"/>
          </w:tcPr>
          <w:p w14:paraId="0C019277">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620" w:type="dxa"/>
            <w:noWrap w:val="0"/>
            <w:vAlign w:val="center"/>
          </w:tcPr>
          <w:p w14:paraId="1CEAC3B9">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太阳能热水系统</w:t>
            </w:r>
          </w:p>
        </w:tc>
        <w:tc>
          <w:tcPr>
            <w:tcW w:w="4540" w:type="dxa"/>
            <w:noWrap w:val="0"/>
            <w:vAlign w:val="center"/>
          </w:tcPr>
          <w:p w14:paraId="2B1DB41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《家用太阳能热水系统能效限定值及能效等级》（GB26969）</w:t>
            </w:r>
          </w:p>
        </w:tc>
      </w:tr>
      <w:tr w14:paraId="2124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restart"/>
            <w:noWrap w:val="0"/>
            <w:vAlign w:val="center"/>
          </w:tcPr>
          <w:p w14:paraId="15352C70">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1080" w:type="dxa"/>
            <w:vMerge w:val="restart"/>
            <w:noWrap w:val="0"/>
            <w:vAlign w:val="center"/>
          </w:tcPr>
          <w:p w14:paraId="205C140E">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A020619照明设备</w:t>
            </w:r>
          </w:p>
        </w:tc>
        <w:tc>
          <w:tcPr>
            <w:tcW w:w="1320" w:type="dxa"/>
            <w:noWrap w:val="0"/>
            <w:vAlign w:val="center"/>
          </w:tcPr>
          <w:p w14:paraId="49ED4A7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★普通照明用双端荧光灯</w:t>
            </w:r>
          </w:p>
        </w:tc>
        <w:tc>
          <w:tcPr>
            <w:tcW w:w="1620" w:type="dxa"/>
            <w:noWrap w:val="0"/>
            <w:vAlign w:val="center"/>
          </w:tcPr>
          <w:p w14:paraId="797447B2">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23701F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《普通照明用双端荧光灯能效限定值及能效等级》（GB19043）</w:t>
            </w:r>
          </w:p>
        </w:tc>
      </w:tr>
      <w:tr w14:paraId="7CE5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677611C6">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25CEDF48">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455E98CE">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LED道路/隧道照明产品</w:t>
            </w:r>
          </w:p>
        </w:tc>
        <w:tc>
          <w:tcPr>
            <w:tcW w:w="1620" w:type="dxa"/>
            <w:noWrap w:val="0"/>
            <w:vAlign w:val="center"/>
          </w:tcPr>
          <w:p w14:paraId="100BD7E2">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19D15C0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《道路和隧道照明用LED灯具能效限定值及能效等级》（GB37478）</w:t>
            </w:r>
          </w:p>
        </w:tc>
      </w:tr>
      <w:tr w14:paraId="699B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44DACA0F">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033ED666">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6152EB0A">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LED筒灯</w:t>
            </w:r>
          </w:p>
        </w:tc>
        <w:tc>
          <w:tcPr>
            <w:tcW w:w="1620" w:type="dxa"/>
            <w:noWrap w:val="0"/>
            <w:vAlign w:val="center"/>
          </w:tcPr>
          <w:p w14:paraId="1F59259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5B14F37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《室内照明用LED产品能效限定值及能效等级》（GB30255）</w:t>
            </w:r>
          </w:p>
        </w:tc>
      </w:tr>
      <w:tr w14:paraId="365DF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vMerge w:val="continue"/>
            <w:noWrap w:val="0"/>
            <w:vAlign w:val="center"/>
          </w:tcPr>
          <w:p w14:paraId="1D6D80A7">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00600924">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1A0D364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普通照明用非定向自镇流LED灯</w:t>
            </w:r>
          </w:p>
        </w:tc>
        <w:tc>
          <w:tcPr>
            <w:tcW w:w="1620" w:type="dxa"/>
            <w:noWrap w:val="0"/>
            <w:vAlign w:val="center"/>
          </w:tcPr>
          <w:p w14:paraId="3F589A8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083FEF5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《室内照明用LED产品能效限定值及能效等级》（GB30255）</w:t>
            </w:r>
          </w:p>
        </w:tc>
      </w:tr>
      <w:tr w14:paraId="05D2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660" w:type="dxa"/>
            <w:noWrap w:val="0"/>
            <w:vAlign w:val="center"/>
          </w:tcPr>
          <w:p w14:paraId="724280B1">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1080" w:type="dxa"/>
            <w:noWrap w:val="0"/>
            <w:vAlign w:val="center"/>
          </w:tcPr>
          <w:p w14:paraId="634C87C5">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★A020910电视设备</w:t>
            </w:r>
          </w:p>
        </w:tc>
        <w:tc>
          <w:tcPr>
            <w:tcW w:w="1320" w:type="dxa"/>
            <w:noWrap w:val="0"/>
            <w:vAlign w:val="center"/>
          </w:tcPr>
          <w:p w14:paraId="6C27381A">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A02091001普通电视设备（电视机）</w:t>
            </w:r>
          </w:p>
        </w:tc>
        <w:tc>
          <w:tcPr>
            <w:tcW w:w="1620" w:type="dxa"/>
            <w:noWrap w:val="0"/>
            <w:vAlign w:val="center"/>
          </w:tcPr>
          <w:p w14:paraId="1447A7B5">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3BBDC19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《平板电视能效限定值及能效等级》（GB24850）</w:t>
            </w:r>
          </w:p>
        </w:tc>
      </w:tr>
      <w:tr w14:paraId="66AA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660" w:type="dxa"/>
            <w:noWrap w:val="0"/>
            <w:vAlign w:val="center"/>
          </w:tcPr>
          <w:p w14:paraId="05BF60C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13</w:t>
            </w:r>
          </w:p>
        </w:tc>
        <w:tc>
          <w:tcPr>
            <w:tcW w:w="1080" w:type="dxa"/>
            <w:noWrap w:val="0"/>
            <w:vAlign w:val="center"/>
          </w:tcPr>
          <w:p w14:paraId="1A1C12B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★A020911视频设备</w:t>
            </w:r>
          </w:p>
        </w:tc>
        <w:tc>
          <w:tcPr>
            <w:tcW w:w="1320" w:type="dxa"/>
            <w:noWrap w:val="0"/>
            <w:vAlign w:val="center"/>
          </w:tcPr>
          <w:p w14:paraId="4EA1D05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A02091107视频监控设备</w:t>
            </w:r>
          </w:p>
        </w:tc>
        <w:tc>
          <w:tcPr>
            <w:tcW w:w="1620" w:type="dxa"/>
            <w:noWrap w:val="0"/>
            <w:vAlign w:val="center"/>
          </w:tcPr>
          <w:p w14:paraId="392F5BD4">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监视器</w:t>
            </w:r>
          </w:p>
        </w:tc>
        <w:tc>
          <w:tcPr>
            <w:tcW w:w="4540" w:type="dxa"/>
            <w:noWrap w:val="0"/>
            <w:vAlign w:val="center"/>
          </w:tcPr>
          <w:p w14:paraId="05F252C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以射频信号为主要信号输入的监视器应符合《平板电视能效限定值及能效等级》（GB24850），以数字信号为主要信号输入的监视器应符合《计算机显示器能效限定值及能效等级》（GB21520）</w:t>
            </w:r>
          </w:p>
        </w:tc>
      </w:tr>
      <w:tr w14:paraId="315E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178827A0">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14</w:t>
            </w:r>
          </w:p>
        </w:tc>
        <w:tc>
          <w:tcPr>
            <w:tcW w:w="1080" w:type="dxa"/>
            <w:noWrap w:val="0"/>
            <w:vAlign w:val="center"/>
          </w:tcPr>
          <w:p w14:paraId="01525A97">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A031210饮食炊事机械</w:t>
            </w:r>
          </w:p>
        </w:tc>
        <w:tc>
          <w:tcPr>
            <w:tcW w:w="1320" w:type="dxa"/>
            <w:noWrap w:val="0"/>
            <w:vAlign w:val="center"/>
          </w:tcPr>
          <w:p w14:paraId="4CAF684F">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商用燃气灶具</w:t>
            </w:r>
          </w:p>
        </w:tc>
        <w:tc>
          <w:tcPr>
            <w:tcW w:w="1620" w:type="dxa"/>
            <w:noWrap w:val="0"/>
            <w:vAlign w:val="center"/>
          </w:tcPr>
          <w:p w14:paraId="611D02C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005C1E2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《商用燃气灶具能效限定值及能效等级》（GB30531）</w:t>
            </w:r>
          </w:p>
        </w:tc>
      </w:tr>
      <w:tr w14:paraId="53AB2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0" w:type="dxa"/>
            <w:vMerge w:val="restart"/>
            <w:noWrap w:val="0"/>
            <w:vAlign w:val="center"/>
          </w:tcPr>
          <w:p w14:paraId="3FA461AF">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w:t>
            </w:r>
          </w:p>
        </w:tc>
        <w:tc>
          <w:tcPr>
            <w:tcW w:w="1080" w:type="dxa"/>
            <w:vMerge w:val="restart"/>
            <w:noWrap w:val="0"/>
            <w:vAlign w:val="center"/>
          </w:tcPr>
          <w:p w14:paraId="3637F03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★A060805便器</w:t>
            </w:r>
          </w:p>
        </w:tc>
        <w:tc>
          <w:tcPr>
            <w:tcW w:w="1320" w:type="dxa"/>
            <w:noWrap w:val="0"/>
            <w:vAlign w:val="center"/>
          </w:tcPr>
          <w:p w14:paraId="5A986EFA">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坐便器</w:t>
            </w:r>
          </w:p>
        </w:tc>
        <w:tc>
          <w:tcPr>
            <w:tcW w:w="1620" w:type="dxa"/>
            <w:noWrap w:val="0"/>
            <w:vAlign w:val="center"/>
          </w:tcPr>
          <w:p w14:paraId="729B6289">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1C5AAEE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《坐便器水效限定值及水效等级》（GB25502）</w:t>
            </w:r>
          </w:p>
        </w:tc>
      </w:tr>
      <w:tr w14:paraId="581B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2938CD28">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39E68797">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1AF6EAFC">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蹲便器</w:t>
            </w:r>
          </w:p>
        </w:tc>
        <w:tc>
          <w:tcPr>
            <w:tcW w:w="1620" w:type="dxa"/>
            <w:noWrap w:val="0"/>
            <w:vAlign w:val="center"/>
          </w:tcPr>
          <w:p w14:paraId="31882FCA">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0D24891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《蹲便器用水效率限定值及用水效率等级》（GB30717）</w:t>
            </w:r>
          </w:p>
        </w:tc>
      </w:tr>
      <w:tr w14:paraId="1176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vMerge w:val="continue"/>
            <w:noWrap w:val="0"/>
            <w:vAlign w:val="center"/>
          </w:tcPr>
          <w:p w14:paraId="333C23B5">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080" w:type="dxa"/>
            <w:vMerge w:val="continue"/>
            <w:noWrap w:val="0"/>
            <w:vAlign w:val="center"/>
          </w:tcPr>
          <w:p w14:paraId="68C794F9">
            <w:pPr>
              <w:widowControl/>
              <w:shd w:val="clear"/>
              <w:wordWrap w:val="0"/>
              <w:spacing w:line="360" w:lineRule="auto"/>
              <w:jc w:val="left"/>
              <w:rPr>
                <w:rFonts w:hint="eastAsia" w:ascii="宋体" w:hAnsi="宋体" w:eastAsia="宋体" w:cs="宋体"/>
                <w:color w:val="auto"/>
                <w:kern w:val="0"/>
                <w:sz w:val="21"/>
                <w:szCs w:val="21"/>
                <w:highlight w:val="none"/>
              </w:rPr>
            </w:pPr>
          </w:p>
        </w:tc>
        <w:tc>
          <w:tcPr>
            <w:tcW w:w="1320" w:type="dxa"/>
            <w:noWrap w:val="0"/>
            <w:vAlign w:val="center"/>
          </w:tcPr>
          <w:p w14:paraId="46BE54C2">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小便器</w:t>
            </w:r>
          </w:p>
        </w:tc>
        <w:tc>
          <w:tcPr>
            <w:tcW w:w="1620" w:type="dxa"/>
            <w:noWrap w:val="0"/>
            <w:vAlign w:val="center"/>
          </w:tcPr>
          <w:p w14:paraId="1D01502B">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5C4214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《小便器用水效率限定值及用水效率等级》（GB28377）</w:t>
            </w:r>
          </w:p>
        </w:tc>
      </w:tr>
      <w:tr w14:paraId="1C92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686B4FD3">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16</w:t>
            </w:r>
          </w:p>
        </w:tc>
        <w:tc>
          <w:tcPr>
            <w:tcW w:w="1080" w:type="dxa"/>
            <w:noWrap w:val="0"/>
            <w:vAlign w:val="center"/>
          </w:tcPr>
          <w:p w14:paraId="45925510">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★A060806水嘴</w:t>
            </w:r>
          </w:p>
        </w:tc>
        <w:tc>
          <w:tcPr>
            <w:tcW w:w="1320" w:type="dxa"/>
            <w:noWrap w:val="0"/>
            <w:vAlign w:val="center"/>
          </w:tcPr>
          <w:p w14:paraId="55644906">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620" w:type="dxa"/>
            <w:noWrap w:val="0"/>
            <w:vAlign w:val="center"/>
          </w:tcPr>
          <w:p w14:paraId="53395BD8">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5722FE6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《水嘴用水效率限定值及用水效率等级》（GB 25501）</w:t>
            </w:r>
          </w:p>
        </w:tc>
      </w:tr>
      <w:tr w14:paraId="7067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129E0B30">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17</w:t>
            </w:r>
          </w:p>
        </w:tc>
        <w:tc>
          <w:tcPr>
            <w:tcW w:w="1080" w:type="dxa"/>
            <w:noWrap w:val="0"/>
            <w:vAlign w:val="center"/>
          </w:tcPr>
          <w:p w14:paraId="7A041F0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A060807便器冲洗阀</w:t>
            </w:r>
          </w:p>
        </w:tc>
        <w:tc>
          <w:tcPr>
            <w:tcW w:w="1320" w:type="dxa"/>
            <w:noWrap w:val="0"/>
            <w:vAlign w:val="center"/>
          </w:tcPr>
          <w:p w14:paraId="669FC0DE">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620" w:type="dxa"/>
            <w:noWrap w:val="0"/>
            <w:vAlign w:val="center"/>
          </w:tcPr>
          <w:p w14:paraId="594F4530">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2B1647B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《便器冲洗阀用水效率限定值及用水效率等级》（GB28379）</w:t>
            </w:r>
          </w:p>
        </w:tc>
      </w:tr>
      <w:tr w14:paraId="7DF9D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60" w:type="dxa"/>
            <w:noWrap w:val="0"/>
            <w:vAlign w:val="center"/>
          </w:tcPr>
          <w:p w14:paraId="721DE75F">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18</w:t>
            </w:r>
          </w:p>
        </w:tc>
        <w:tc>
          <w:tcPr>
            <w:tcW w:w="1080" w:type="dxa"/>
            <w:noWrap w:val="0"/>
            <w:vAlign w:val="center"/>
          </w:tcPr>
          <w:p w14:paraId="4C7ECB82">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A060810淋浴器</w:t>
            </w:r>
          </w:p>
        </w:tc>
        <w:tc>
          <w:tcPr>
            <w:tcW w:w="1320" w:type="dxa"/>
            <w:noWrap w:val="0"/>
            <w:vAlign w:val="center"/>
          </w:tcPr>
          <w:p w14:paraId="29FFD725">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1620" w:type="dxa"/>
            <w:noWrap w:val="0"/>
            <w:vAlign w:val="center"/>
          </w:tcPr>
          <w:p w14:paraId="0CCC2A7D">
            <w:pPr>
              <w:widowControl/>
              <w:shd w:val="clear"/>
              <w:wordWrap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w:t>
            </w:r>
          </w:p>
        </w:tc>
        <w:tc>
          <w:tcPr>
            <w:tcW w:w="4540" w:type="dxa"/>
            <w:noWrap w:val="0"/>
            <w:vAlign w:val="center"/>
          </w:tcPr>
          <w:p w14:paraId="7B66AEAD">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《淋浴器用水效率限定值及用水效率等级》（GB28378）</w:t>
            </w:r>
          </w:p>
        </w:tc>
      </w:tr>
    </w:tbl>
    <w:p w14:paraId="5EEF67F2">
      <w:pPr>
        <w:pStyle w:val="10"/>
        <w:shd w:val="clear"/>
        <w:wordWrap w:val="0"/>
        <w:spacing w:after="0" w:line="360" w:lineRule="auto"/>
        <w:rPr>
          <w:rFonts w:hint="eastAsia" w:ascii="宋体" w:hAnsi="宋体" w:eastAsia="宋体" w:cs="宋体"/>
          <w:color w:val="auto"/>
          <w:spacing w:val="-3"/>
          <w:szCs w:val="21"/>
          <w:highlight w:val="none"/>
        </w:rPr>
      </w:pPr>
    </w:p>
    <w:p w14:paraId="4F502A5D">
      <w:pPr>
        <w:pStyle w:val="10"/>
        <w:shd w:val="clear"/>
        <w:wordWrap w:val="0"/>
        <w:spacing w:after="0"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4298853B">
      <w:pPr>
        <w:pStyle w:val="10"/>
        <w:shd w:val="clear"/>
        <w:wordWrap w:val="0"/>
        <w:spacing w:after="0"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 xml:space="preserve">    2</w:t>
      </w:r>
      <w:r>
        <w:rPr>
          <w:rFonts w:hint="eastAsia" w:ascii="宋体" w:hAnsi="宋体" w:eastAsia="宋体" w:cs="宋体"/>
          <w:b/>
          <w:bCs/>
          <w:color w:val="auto"/>
          <w:szCs w:val="21"/>
          <w:highlight w:val="none"/>
        </w:rPr>
        <w:t>.以“★”标注的为政府强制采购产品。</w:t>
      </w:r>
    </w:p>
    <w:p w14:paraId="38AB9A8D">
      <w:pPr>
        <w:pStyle w:val="13"/>
        <w:shd w:val="clear"/>
        <w:wordWrap w:val="0"/>
        <w:spacing w:line="360" w:lineRule="auto"/>
        <w:jc w:val="left"/>
        <w:outlineLvl w:val="1"/>
        <w:rPr>
          <w:rFonts w:hint="eastAsia" w:ascii="宋体" w:hAnsi="宋体" w:eastAsia="宋体" w:cs="宋体"/>
          <w:color w:val="auto"/>
          <w:sz w:val="32"/>
          <w:szCs w:val="32"/>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28"/>
          <w:szCs w:val="28"/>
          <w:highlight w:val="none"/>
        </w:rPr>
        <w:t>附件</w:t>
      </w:r>
      <w:r>
        <w:rPr>
          <w:rFonts w:hint="eastAsia" w:hAnsi="宋体" w:cs="宋体"/>
          <w:b/>
          <w:bCs/>
          <w:color w:val="auto"/>
          <w:sz w:val="28"/>
          <w:szCs w:val="28"/>
          <w:highlight w:val="none"/>
          <w:lang w:val="en-US" w:eastAsia="zh-CN"/>
        </w:rPr>
        <w:t>8</w:t>
      </w:r>
      <w:r>
        <w:rPr>
          <w:rFonts w:hint="eastAsia" w:ascii="宋体" w:hAnsi="宋体" w:eastAsia="宋体" w:cs="宋体"/>
          <w:b/>
          <w:bCs/>
          <w:color w:val="auto"/>
          <w:sz w:val="28"/>
          <w:szCs w:val="28"/>
          <w:highlight w:val="none"/>
        </w:rPr>
        <w:t>：</w:t>
      </w:r>
    </w:p>
    <w:p w14:paraId="00E6208E">
      <w:pPr>
        <w:shd w:val="clear"/>
        <w:wordWrap w:val="0"/>
        <w:spacing w:line="360" w:lineRule="auto"/>
        <w:ind w:left="1871"/>
        <w:rPr>
          <w:rFonts w:hint="eastAsia" w:ascii="宋体" w:hAnsi="宋体" w:eastAsia="宋体" w:cs="宋体"/>
          <w:color w:val="auto"/>
          <w:sz w:val="40"/>
          <w:szCs w:val="40"/>
          <w:highlight w:val="none"/>
        </w:rPr>
      </w:pPr>
      <w:r>
        <w:rPr>
          <w:rFonts w:hint="eastAsia" w:ascii="宋体" w:hAnsi="宋体" w:eastAsia="宋体" w:cs="宋体"/>
          <w:color w:val="auto"/>
          <w:sz w:val="40"/>
          <w:szCs w:val="40"/>
          <w:highlight w:val="none"/>
        </w:rPr>
        <w:t>中小微企业划型标准</w:t>
      </w:r>
    </w:p>
    <w:tbl>
      <w:tblPr>
        <w:tblStyle w:val="22"/>
        <w:tblW w:w="953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1653"/>
        <w:gridCol w:w="1091"/>
        <w:gridCol w:w="1935"/>
        <w:gridCol w:w="1720"/>
        <w:gridCol w:w="1105"/>
      </w:tblGrid>
      <w:tr w14:paraId="50D1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33" w:type="dxa"/>
            <w:noWrap w:val="0"/>
            <w:vAlign w:val="center"/>
          </w:tcPr>
          <w:p w14:paraId="1D17B0F1">
            <w:pPr>
              <w:widowControl/>
              <w:shd w:val="clear"/>
              <w:wordWrap w:val="0"/>
              <w:spacing w:line="360"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行业名称</w:t>
            </w:r>
          </w:p>
        </w:tc>
        <w:tc>
          <w:tcPr>
            <w:tcW w:w="1653" w:type="dxa"/>
            <w:noWrap w:val="0"/>
            <w:vAlign w:val="center"/>
          </w:tcPr>
          <w:p w14:paraId="057513E0">
            <w:pPr>
              <w:widowControl/>
              <w:shd w:val="clear"/>
              <w:wordWrap w:val="0"/>
              <w:spacing w:line="360"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指标名称</w:t>
            </w:r>
          </w:p>
        </w:tc>
        <w:tc>
          <w:tcPr>
            <w:tcW w:w="1091" w:type="dxa"/>
            <w:noWrap w:val="0"/>
            <w:vAlign w:val="center"/>
          </w:tcPr>
          <w:p w14:paraId="2061F553">
            <w:pPr>
              <w:widowControl/>
              <w:shd w:val="clear"/>
              <w:wordWrap w:val="0"/>
              <w:spacing w:line="360"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计量单位</w:t>
            </w:r>
          </w:p>
        </w:tc>
        <w:tc>
          <w:tcPr>
            <w:tcW w:w="1935" w:type="dxa"/>
            <w:noWrap w:val="0"/>
            <w:vAlign w:val="center"/>
          </w:tcPr>
          <w:p w14:paraId="199326A2">
            <w:pPr>
              <w:widowControl/>
              <w:shd w:val="clear"/>
              <w:wordWrap w:val="0"/>
              <w:spacing w:line="360"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中型</w:t>
            </w:r>
          </w:p>
        </w:tc>
        <w:tc>
          <w:tcPr>
            <w:tcW w:w="1720" w:type="dxa"/>
            <w:noWrap w:val="0"/>
            <w:vAlign w:val="center"/>
          </w:tcPr>
          <w:p w14:paraId="5E9FA8A3">
            <w:pPr>
              <w:widowControl/>
              <w:shd w:val="clear"/>
              <w:wordWrap w:val="0"/>
              <w:spacing w:line="360"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小型</w:t>
            </w:r>
          </w:p>
        </w:tc>
        <w:tc>
          <w:tcPr>
            <w:tcW w:w="1105" w:type="dxa"/>
            <w:noWrap w:val="0"/>
            <w:vAlign w:val="center"/>
          </w:tcPr>
          <w:p w14:paraId="4CA4D4A8">
            <w:pPr>
              <w:widowControl/>
              <w:shd w:val="clear"/>
              <w:wordWrap w:val="0"/>
              <w:spacing w:line="360" w:lineRule="auto"/>
              <w:jc w:val="left"/>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微型</w:t>
            </w:r>
          </w:p>
        </w:tc>
      </w:tr>
      <w:tr w14:paraId="5E07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noWrap w:val="0"/>
            <w:vAlign w:val="bottom"/>
          </w:tcPr>
          <w:p w14:paraId="277E9434">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农、林、牧、渔</w:t>
            </w:r>
          </w:p>
        </w:tc>
        <w:tc>
          <w:tcPr>
            <w:tcW w:w="1653" w:type="dxa"/>
            <w:noWrap w:val="0"/>
            <w:vAlign w:val="center"/>
          </w:tcPr>
          <w:p w14:paraId="354934A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53572BF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75DB93C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500≤Y＜20000</w:t>
            </w:r>
          </w:p>
        </w:tc>
        <w:tc>
          <w:tcPr>
            <w:tcW w:w="1720" w:type="dxa"/>
            <w:noWrap w:val="0"/>
            <w:vAlign w:val="center"/>
          </w:tcPr>
          <w:p w14:paraId="7E7D538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50≤Y＜500</w:t>
            </w:r>
          </w:p>
        </w:tc>
        <w:tc>
          <w:tcPr>
            <w:tcW w:w="1105" w:type="dxa"/>
            <w:noWrap w:val="0"/>
            <w:vAlign w:val="center"/>
          </w:tcPr>
          <w:p w14:paraId="22A8416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Y＜50</w:t>
            </w:r>
          </w:p>
        </w:tc>
      </w:tr>
      <w:tr w14:paraId="5449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2033" w:type="dxa"/>
            <w:vMerge w:val="restart"/>
            <w:noWrap w:val="0"/>
            <w:vAlign w:val="bottom"/>
          </w:tcPr>
          <w:p w14:paraId="44EA641D">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工业</w:t>
            </w:r>
          </w:p>
        </w:tc>
        <w:tc>
          <w:tcPr>
            <w:tcW w:w="1653" w:type="dxa"/>
            <w:noWrap w:val="0"/>
            <w:vAlign w:val="center"/>
          </w:tcPr>
          <w:p w14:paraId="70B6780D">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5EED6B8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114EA7D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20" w:type="dxa"/>
            <w:noWrap w:val="0"/>
            <w:vAlign w:val="center"/>
          </w:tcPr>
          <w:p w14:paraId="78AB56B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20≤X＜300</w:t>
            </w:r>
          </w:p>
        </w:tc>
        <w:tc>
          <w:tcPr>
            <w:tcW w:w="1105" w:type="dxa"/>
            <w:noWrap w:val="0"/>
            <w:vAlign w:val="center"/>
          </w:tcPr>
          <w:p w14:paraId="1897445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14:paraId="4081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26787B13">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7E28C01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5816ECF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4605303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2000≤Y＜40000</w:t>
            </w:r>
          </w:p>
        </w:tc>
        <w:tc>
          <w:tcPr>
            <w:tcW w:w="1720" w:type="dxa"/>
            <w:noWrap w:val="0"/>
            <w:vAlign w:val="center"/>
          </w:tcPr>
          <w:p w14:paraId="25936C1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300≤Y＜2000</w:t>
            </w:r>
          </w:p>
        </w:tc>
        <w:tc>
          <w:tcPr>
            <w:tcW w:w="1105" w:type="dxa"/>
            <w:noWrap w:val="0"/>
            <w:vAlign w:val="center"/>
          </w:tcPr>
          <w:p w14:paraId="15780E9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Y＜300</w:t>
            </w:r>
          </w:p>
        </w:tc>
      </w:tr>
      <w:tr w14:paraId="2567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59BD26B3">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建筑业</w:t>
            </w:r>
          </w:p>
        </w:tc>
        <w:tc>
          <w:tcPr>
            <w:tcW w:w="1653" w:type="dxa"/>
            <w:noWrap w:val="0"/>
            <w:vAlign w:val="center"/>
          </w:tcPr>
          <w:p w14:paraId="2790227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1FEB524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4F07086B">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6000≤Y＜80000</w:t>
            </w:r>
          </w:p>
        </w:tc>
        <w:tc>
          <w:tcPr>
            <w:tcW w:w="1720" w:type="dxa"/>
            <w:noWrap w:val="0"/>
            <w:vAlign w:val="center"/>
          </w:tcPr>
          <w:p w14:paraId="5651CA1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300≤Y＜6000</w:t>
            </w:r>
          </w:p>
        </w:tc>
        <w:tc>
          <w:tcPr>
            <w:tcW w:w="1105" w:type="dxa"/>
            <w:noWrap w:val="0"/>
            <w:vAlign w:val="center"/>
          </w:tcPr>
          <w:p w14:paraId="3164DA2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Y＜300</w:t>
            </w:r>
          </w:p>
        </w:tc>
      </w:tr>
      <w:tr w14:paraId="7EAA8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6609FBC7">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3D96A55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资产总额（Z）</w:t>
            </w:r>
          </w:p>
        </w:tc>
        <w:tc>
          <w:tcPr>
            <w:tcW w:w="1091" w:type="dxa"/>
            <w:noWrap w:val="0"/>
            <w:vAlign w:val="center"/>
          </w:tcPr>
          <w:p w14:paraId="307FC0C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701C2EA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5000≤Z＜80000</w:t>
            </w:r>
          </w:p>
        </w:tc>
        <w:tc>
          <w:tcPr>
            <w:tcW w:w="1720" w:type="dxa"/>
            <w:noWrap w:val="0"/>
            <w:vAlign w:val="center"/>
          </w:tcPr>
          <w:p w14:paraId="21F806A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300≤Z＜5000</w:t>
            </w:r>
          </w:p>
        </w:tc>
        <w:tc>
          <w:tcPr>
            <w:tcW w:w="1105" w:type="dxa"/>
            <w:noWrap w:val="0"/>
            <w:vAlign w:val="center"/>
          </w:tcPr>
          <w:p w14:paraId="564E707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Z＜300</w:t>
            </w:r>
          </w:p>
        </w:tc>
      </w:tr>
      <w:tr w14:paraId="0466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4BC884B1">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批发业</w:t>
            </w:r>
          </w:p>
        </w:tc>
        <w:tc>
          <w:tcPr>
            <w:tcW w:w="1653" w:type="dxa"/>
            <w:noWrap w:val="0"/>
            <w:vAlign w:val="center"/>
          </w:tcPr>
          <w:p w14:paraId="177F07F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5784A75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2945EBE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20≤X＜200</w:t>
            </w:r>
          </w:p>
        </w:tc>
        <w:tc>
          <w:tcPr>
            <w:tcW w:w="1720" w:type="dxa"/>
            <w:noWrap w:val="0"/>
            <w:vAlign w:val="center"/>
          </w:tcPr>
          <w:p w14:paraId="49FC2DB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5≤X＜20</w:t>
            </w:r>
          </w:p>
        </w:tc>
        <w:tc>
          <w:tcPr>
            <w:tcW w:w="1105" w:type="dxa"/>
            <w:noWrap w:val="0"/>
            <w:vAlign w:val="center"/>
          </w:tcPr>
          <w:p w14:paraId="408456B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X＜5</w:t>
            </w:r>
          </w:p>
        </w:tc>
      </w:tr>
      <w:tr w14:paraId="13A7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67EC4FB0">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400FCC2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7897434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498C0E7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5000≤Y＜40000</w:t>
            </w:r>
          </w:p>
        </w:tc>
        <w:tc>
          <w:tcPr>
            <w:tcW w:w="1720" w:type="dxa"/>
            <w:noWrap w:val="0"/>
            <w:vAlign w:val="center"/>
          </w:tcPr>
          <w:p w14:paraId="4243D9E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1000≤Y＜5000</w:t>
            </w:r>
          </w:p>
        </w:tc>
        <w:tc>
          <w:tcPr>
            <w:tcW w:w="1105" w:type="dxa"/>
            <w:noWrap w:val="0"/>
            <w:vAlign w:val="center"/>
          </w:tcPr>
          <w:p w14:paraId="53BE773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Y＜1000</w:t>
            </w:r>
          </w:p>
        </w:tc>
      </w:tr>
      <w:tr w14:paraId="121E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612B40B3">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零售业</w:t>
            </w:r>
          </w:p>
        </w:tc>
        <w:tc>
          <w:tcPr>
            <w:tcW w:w="1653" w:type="dxa"/>
            <w:noWrap w:val="0"/>
            <w:vAlign w:val="center"/>
          </w:tcPr>
          <w:p w14:paraId="4067E53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1CBA71F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5DBB259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50≤X＜300</w:t>
            </w:r>
          </w:p>
        </w:tc>
        <w:tc>
          <w:tcPr>
            <w:tcW w:w="1720" w:type="dxa"/>
            <w:noWrap w:val="0"/>
            <w:vAlign w:val="center"/>
          </w:tcPr>
          <w:p w14:paraId="49E9DBD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10≤X＜50</w:t>
            </w:r>
          </w:p>
        </w:tc>
        <w:tc>
          <w:tcPr>
            <w:tcW w:w="1105" w:type="dxa"/>
            <w:noWrap w:val="0"/>
            <w:vAlign w:val="center"/>
          </w:tcPr>
          <w:p w14:paraId="61ADEF2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14:paraId="1E45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57897239">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795D29E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62E9E32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38EEF2D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500≤Y＜20000</w:t>
            </w:r>
          </w:p>
        </w:tc>
        <w:tc>
          <w:tcPr>
            <w:tcW w:w="1720" w:type="dxa"/>
            <w:noWrap w:val="0"/>
            <w:vAlign w:val="center"/>
          </w:tcPr>
          <w:p w14:paraId="3177928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100≤Y＜500</w:t>
            </w:r>
          </w:p>
        </w:tc>
        <w:tc>
          <w:tcPr>
            <w:tcW w:w="1105" w:type="dxa"/>
            <w:noWrap w:val="0"/>
            <w:vAlign w:val="center"/>
          </w:tcPr>
          <w:p w14:paraId="53ADADF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14:paraId="68E1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244655D0">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交通运输业</w:t>
            </w:r>
          </w:p>
        </w:tc>
        <w:tc>
          <w:tcPr>
            <w:tcW w:w="1653" w:type="dxa"/>
            <w:noWrap w:val="0"/>
            <w:vAlign w:val="center"/>
          </w:tcPr>
          <w:p w14:paraId="5E8CDD8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5D6295AD">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1ADF211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20" w:type="dxa"/>
            <w:noWrap w:val="0"/>
            <w:vAlign w:val="center"/>
          </w:tcPr>
          <w:p w14:paraId="41B8C5E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20≤X＜300</w:t>
            </w:r>
          </w:p>
        </w:tc>
        <w:tc>
          <w:tcPr>
            <w:tcW w:w="1105" w:type="dxa"/>
            <w:noWrap w:val="0"/>
            <w:vAlign w:val="center"/>
          </w:tcPr>
          <w:p w14:paraId="355FD8C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14:paraId="4E32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15C471F0">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592ACBD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48F60C0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1B7113C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3000≤Y＜30000</w:t>
            </w:r>
          </w:p>
        </w:tc>
        <w:tc>
          <w:tcPr>
            <w:tcW w:w="1720" w:type="dxa"/>
            <w:noWrap w:val="0"/>
            <w:vAlign w:val="center"/>
          </w:tcPr>
          <w:p w14:paraId="770598A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200≤Y＜3000</w:t>
            </w:r>
          </w:p>
        </w:tc>
        <w:tc>
          <w:tcPr>
            <w:tcW w:w="1105" w:type="dxa"/>
            <w:noWrap w:val="0"/>
            <w:vAlign w:val="center"/>
          </w:tcPr>
          <w:p w14:paraId="4073F14D">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Y＜200</w:t>
            </w:r>
          </w:p>
        </w:tc>
      </w:tr>
      <w:tr w14:paraId="53AD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77FBCAF7">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仓储业</w:t>
            </w:r>
          </w:p>
        </w:tc>
        <w:tc>
          <w:tcPr>
            <w:tcW w:w="1653" w:type="dxa"/>
            <w:noWrap w:val="0"/>
            <w:vAlign w:val="center"/>
          </w:tcPr>
          <w:p w14:paraId="52CCE4EB">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0700C18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7149A4A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100≤X＜200</w:t>
            </w:r>
          </w:p>
        </w:tc>
        <w:tc>
          <w:tcPr>
            <w:tcW w:w="1720" w:type="dxa"/>
            <w:noWrap w:val="0"/>
            <w:vAlign w:val="center"/>
          </w:tcPr>
          <w:p w14:paraId="3781DC7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20≤X＜100</w:t>
            </w:r>
          </w:p>
        </w:tc>
        <w:tc>
          <w:tcPr>
            <w:tcW w:w="1105" w:type="dxa"/>
            <w:noWrap w:val="0"/>
            <w:vAlign w:val="center"/>
          </w:tcPr>
          <w:p w14:paraId="6F9C867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14:paraId="31F7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66971926">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29324BD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283E532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11454F8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1000≤Y＜30000</w:t>
            </w:r>
          </w:p>
        </w:tc>
        <w:tc>
          <w:tcPr>
            <w:tcW w:w="1720" w:type="dxa"/>
            <w:noWrap w:val="0"/>
            <w:vAlign w:val="center"/>
          </w:tcPr>
          <w:p w14:paraId="069605B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100≤Y＜1000</w:t>
            </w:r>
          </w:p>
        </w:tc>
        <w:tc>
          <w:tcPr>
            <w:tcW w:w="1105" w:type="dxa"/>
            <w:noWrap w:val="0"/>
            <w:vAlign w:val="center"/>
          </w:tcPr>
          <w:p w14:paraId="4B33C1F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14:paraId="6576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2625F3B0">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邮政业</w:t>
            </w:r>
          </w:p>
        </w:tc>
        <w:tc>
          <w:tcPr>
            <w:tcW w:w="1653" w:type="dxa"/>
            <w:noWrap w:val="0"/>
            <w:vAlign w:val="center"/>
          </w:tcPr>
          <w:p w14:paraId="2795355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1DCA2C5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0E72F56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20" w:type="dxa"/>
            <w:noWrap w:val="0"/>
            <w:vAlign w:val="center"/>
          </w:tcPr>
          <w:p w14:paraId="7736A7F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20≤X＜300</w:t>
            </w:r>
          </w:p>
        </w:tc>
        <w:tc>
          <w:tcPr>
            <w:tcW w:w="1105" w:type="dxa"/>
            <w:noWrap w:val="0"/>
            <w:vAlign w:val="center"/>
          </w:tcPr>
          <w:p w14:paraId="72FA9EA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X＜20</w:t>
            </w:r>
          </w:p>
        </w:tc>
      </w:tr>
      <w:tr w14:paraId="788E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014D6E38">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62415C2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085F6CB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12D094C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2000≤Y＜30000</w:t>
            </w:r>
          </w:p>
        </w:tc>
        <w:tc>
          <w:tcPr>
            <w:tcW w:w="1720" w:type="dxa"/>
            <w:noWrap w:val="0"/>
            <w:vAlign w:val="center"/>
          </w:tcPr>
          <w:p w14:paraId="4BB6141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100≤Y＜2000</w:t>
            </w:r>
          </w:p>
        </w:tc>
        <w:tc>
          <w:tcPr>
            <w:tcW w:w="1105" w:type="dxa"/>
            <w:noWrap w:val="0"/>
            <w:vAlign w:val="center"/>
          </w:tcPr>
          <w:p w14:paraId="577E64D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14:paraId="0A6E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2241D773">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住宿业</w:t>
            </w:r>
          </w:p>
        </w:tc>
        <w:tc>
          <w:tcPr>
            <w:tcW w:w="1653" w:type="dxa"/>
            <w:noWrap w:val="0"/>
            <w:vAlign w:val="center"/>
          </w:tcPr>
          <w:p w14:paraId="3FE15D9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3279BA5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6B19721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20" w:type="dxa"/>
            <w:noWrap w:val="0"/>
            <w:vAlign w:val="center"/>
          </w:tcPr>
          <w:p w14:paraId="46ECDA2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105" w:type="dxa"/>
            <w:noWrap w:val="0"/>
            <w:vAlign w:val="center"/>
          </w:tcPr>
          <w:p w14:paraId="4DE327C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14:paraId="5F77B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0759791D">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11FC9D4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66E9205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40E068F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2000≤Y＜10000</w:t>
            </w:r>
          </w:p>
        </w:tc>
        <w:tc>
          <w:tcPr>
            <w:tcW w:w="1720" w:type="dxa"/>
            <w:noWrap w:val="0"/>
            <w:vAlign w:val="center"/>
          </w:tcPr>
          <w:p w14:paraId="45E46E7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100≤Y＜2000</w:t>
            </w:r>
          </w:p>
        </w:tc>
        <w:tc>
          <w:tcPr>
            <w:tcW w:w="1105" w:type="dxa"/>
            <w:noWrap w:val="0"/>
            <w:vAlign w:val="center"/>
          </w:tcPr>
          <w:p w14:paraId="7D802CE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14:paraId="3CF7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1F96DDD9">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餐饮业</w:t>
            </w:r>
          </w:p>
        </w:tc>
        <w:tc>
          <w:tcPr>
            <w:tcW w:w="1653" w:type="dxa"/>
            <w:noWrap w:val="0"/>
            <w:vAlign w:val="center"/>
          </w:tcPr>
          <w:p w14:paraId="0354D1D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4DDEE03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3D6DC5E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20" w:type="dxa"/>
            <w:noWrap w:val="0"/>
            <w:vAlign w:val="center"/>
          </w:tcPr>
          <w:p w14:paraId="36070DF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105" w:type="dxa"/>
            <w:noWrap w:val="0"/>
            <w:vAlign w:val="center"/>
          </w:tcPr>
          <w:p w14:paraId="51853B6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14:paraId="635B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5DF834AF">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0429CB4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052ABC2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120F824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2000≤Y＜10000</w:t>
            </w:r>
          </w:p>
        </w:tc>
        <w:tc>
          <w:tcPr>
            <w:tcW w:w="1720" w:type="dxa"/>
            <w:noWrap w:val="0"/>
            <w:vAlign w:val="center"/>
          </w:tcPr>
          <w:p w14:paraId="26B996C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100≤Y＜2000</w:t>
            </w:r>
          </w:p>
        </w:tc>
        <w:tc>
          <w:tcPr>
            <w:tcW w:w="1105" w:type="dxa"/>
            <w:noWrap w:val="0"/>
            <w:vAlign w:val="center"/>
          </w:tcPr>
          <w:p w14:paraId="5F94F27B">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14:paraId="1369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48822379">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信息传输业</w:t>
            </w:r>
          </w:p>
        </w:tc>
        <w:tc>
          <w:tcPr>
            <w:tcW w:w="1653" w:type="dxa"/>
            <w:noWrap w:val="0"/>
            <w:vAlign w:val="center"/>
          </w:tcPr>
          <w:p w14:paraId="6704194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7CEBEC0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56D3045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100≤X＜2000</w:t>
            </w:r>
          </w:p>
        </w:tc>
        <w:tc>
          <w:tcPr>
            <w:tcW w:w="1720" w:type="dxa"/>
            <w:noWrap w:val="0"/>
            <w:vAlign w:val="center"/>
          </w:tcPr>
          <w:p w14:paraId="6743120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105" w:type="dxa"/>
            <w:noWrap w:val="0"/>
            <w:vAlign w:val="center"/>
          </w:tcPr>
          <w:p w14:paraId="1B12CC6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14:paraId="5B39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71B77455">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73AE7E3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514ADE4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2930974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1000≤Y＜100000</w:t>
            </w:r>
          </w:p>
        </w:tc>
        <w:tc>
          <w:tcPr>
            <w:tcW w:w="1720" w:type="dxa"/>
            <w:noWrap w:val="0"/>
            <w:vAlign w:val="center"/>
          </w:tcPr>
          <w:p w14:paraId="3995730D">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100≤Y＜1000</w:t>
            </w:r>
          </w:p>
        </w:tc>
        <w:tc>
          <w:tcPr>
            <w:tcW w:w="1105" w:type="dxa"/>
            <w:noWrap w:val="0"/>
            <w:vAlign w:val="center"/>
          </w:tcPr>
          <w:p w14:paraId="50F967F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14:paraId="55C6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41478382">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软件和信息技术服务业</w:t>
            </w:r>
          </w:p>
        </w:tc>
        <w:tc>
          <w:tcPr>
            <w:tcW w:w="1653" w:type="dxa"/>
            <w:noWrap w:val="0"/>
            <w:vAlign w:val="center"/>
          </w:tcPr>
          <w:p w14:paraId="15EB5C4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14B7942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453C72C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20" w:type="dxa"/>
            <w:noWrap w:val="0"/>
            <w:vAlign w:val="center"/>
          </w:tcPr>
          <w:p w14:paraId="452718F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105" w:type="dxa"/>
            <w:noWrap w:val="0"/>
            <w:vAlign w:val="center"/>
          </w:tcPr>
          <w:p w14:paraId="14EFA9C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14:paraId="6E6F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0725FFAD">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4399FF7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64AB49F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7D01578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1000≤Y＜10000</w:t>
            </w:r>
          </w:p>
        </w:tc>
        <w:tc>
          <w:tcPr>
            <w:tcW w:w="1720" w:type="dxa"/>
            <w:noWrap w:val="0"/>
            <w:vAlign w:val="center"/>
          </w:tcPr>
          <w:p w14:paraId="33603685">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50≤Y＜1000</w:t>
            </w:r>
          </w:p>
        </w:tc>
        <w:tc>
          <w:tcPr>
            <w:tcW w:w="1105" w:type="dxa"/>
            <w:noWrap w:val="0"/>
            <w:vAlign w:val="center"/>
          </w:tcPr>
          <w:p w14:paraId="060E86BB">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Y＜50</w:t>
            </w:r>
          </w:p>
        </w:tc>
      </w:tr>
      <w:tr w14:paraId="10DF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0A166EE0">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房地产开发经营</w:t>
            </w:r>
          </w:p>
        </w:tc>
        <w:tc>
          <w:tcPr>
            <w:tcW w:w="1653" w:type="dxa"/>
            <w:noWrap w:val="0"/>
            <w:vAlign w:val="center"/>
          </w:tcPr>
          <w:p w14:paraId="38E738A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79A60A6D">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1E724BC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1000≤Y＜200000</w:t>
            </w:r>
          </w:p>
        </w:tc>
        <w:tc>
          <w:tcPr>
            <w:tcW w:w="1720" w:type="dxa"/>
            <w:noWrap w:val="0"/>
            <w:vAlign w:val="center"/>
          </w:tcPr>
          <w:p w14:paraId="0357990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100≤X＜1000</w:t>
            </w:r>
          </w:p>
        </w:tc>
        <w:tc>
          <w:tcPr>
            <w:tcW w:w="1105" w:type="dxa"/>
            <w:noWrap w:val="0"/>
            <w:vAlign w:val="center"/>
          </w:tcPr>
          <w:p w14:paraId="333AF38E">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X＜100</w:t>
            </w:r>
          </w:p>
        </w:tc>
      </w:tr>
      <w:tr w14:paraId="47606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0DC91933">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38A6140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资产总额（Z）</w:t>
            </w:r>
          </w:p>
        </w:tc>
        <w:tc>
          <w:tcPr>
            <w:tcW w:w="1091" w:type="dxa"/>
            <w:noWrap w:val="0"/>
            <w:vAlign w:val="center"/>
          </w:tcPr>
          <w:p w14:paraId="5AD0A847">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39E3EF5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5000≤Z＜10000</w:t>
            </w:r>
          </w:p>
        </w:tc>
        <w:tc>
          <w:tcPr>
            <w:tcW w:w="1720" w:type="dxa"/>
            <w:noWrap w:val="0"/>
            <w:vAlign w:val="center"/>
          </w:tcPr>
          <w:p w14:paraId="04E26C0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2000≤Y＜5000</w:t>
            </w:r>
          </w:p>
        </w:tc>
        <w:tc>
          <w:tcPr>
            <w:tcW w:w="1105" w:type="dxa"/>
            <w:noWrap w:val="0"/>
            <w:vAlign w:val="center"/>
          </w:tcPr>
          <w:p w14:paraId="7D8A76F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Y＜2000</w:t>
            </w:r>
          </w:p>
        </w:tc>
      </w:tr>
      <w:tr w14:paraId="055A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26ADCA35">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物业管理</w:t>
            </w:r>
          </w:p>
        </w:tc>
        <w:tc>
          <w:tcPr>
            <w:tcW w:w="1653" w:type="dxa"/>
            <w:noWrap w:val="0"/>
            <w:vAlign w:val="center"/>
          </w:tcPr>
          <w:p w14:paraId="0302F803">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1F81A8F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75318C2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300≤X＜1000</w:t>
            </w:r>
          </w:p>
        </w:tc>
        <w:tc>
          <w:tcPr>
            <w:tcW w:w="1720" w:type="dxa"/>
            <w:noWrap w:val="0"/>
            <w:vAlign w:val="center"/>
          </w:tcPr>
          <w:p w14:paraId="1ED5CD84">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105" w:type="dxa"/>
            <w:noWrap w:val="0"/>
            <w:vAlign w:val="center"/>
          </w:tcPr>
          <w:p w14:paraId="0ECE7FE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X＜100</w:t>
            </w:r>
          </w:p>
        </w:tc>
      </w:tr>
      <w:tr w14:paraId="70794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1B45E28D">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7724EE0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营业收入（Y）</w:t>
            </w:r>
          </w:p>
        </w:tc>
        <w:tc>
          <w:tcPr>
            <w:tcW w:w="1091" w:type="dxa"/>
            <w:noWrap w:val="0"/>
            <w:vAlign w:val="center"/>
          </w:tcPr>
          <w:p w14:paraId="396AD93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1F80CBB9">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1000≤Y＜5000</w:t>
            </w:r>
          </w:p>
        </w:tc>
        <w:tc>
          <w:tcPr>
            <w:tcW w:w="1720" w:type="dxa"/>
            <w:noWrap w:val="0"/>
            <w:vAlign w:val="center"/>
          </w:tcPr>
          <w:p w14:paraId="656F5A8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500≤Y＜1000</w:t>
            </w:r>
          </w:p>
        </w:tc>
        <w:tc>
          <w:tcPr>
            <w:tcW w:w="1105" w:type="dxa"/>
            <w:noWrap w:val="0"/>
            <w:vAlign w:val="center"/>
          </w:tcPr>
          <w:p w14:paraId="1152360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Y＜500</w:t>
            </w:r>
          </w:p>
        </w:tc>
      </w:tr>
      <w:tr w14:paraId="174D2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restart"/>
            <w:noWrap w:val="0"/>
            <w:vAlign w:val="bottom"/>
          </w:tcPr>
          <w:p w14:paraId="2A65D7AC">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租赁和商务服务业</w:t>
            </w:r>
          </w:p>
        </w:tc>
        <w:tc>
          <w:tcPr>
            <w:tcW w:w="1653" w:type="dxa"/>
            <w:noWrap w:val="0"/>
            <w:vAlign w:val="center"/>
          </w:tcPr>
          <w:p w14:paraId="0C0EF286">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3368DB5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0290A1C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20" w:type="dxa"/>
            <w:noWrap w:val="0"/>
            <w:vAlign w:val="center"/>
          </w:tcPr>
          <w:p w14:paraId="03F048AA">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105" w:type="dxa"/>
            <w:noWrap w:val="0"/>
            <w:vAlign w:val="center"/>
          </w:tcPr>
          <w:p w14:paraId="1C6B5B6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r w14:paraId="485D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vMerge w:val="continue"/>
            <w:noWrap w:val="0"/>
            <w:vAlign w:val="center"/>
          </w:tcPr>
          <w:p w14:paraId="03AB763E">
            <w:pPr>
              <w:widowControl/>
              <w:shd w:val="clear"/>
              <w:wordWrap w:val="0"/>
              <w:spacing w:line="360" w:lineRule="auto"/>
              <w:jc w:val="left"/>
              <w:rPr>
                <w:rFonts w:hint="eastAsia" w:ascii="宋体" w:hAnsi="宋体" w:eastAsia="宋体" w:cs="宋体"/>
                <w:b/>
                <w:bCs/>
                <w:color w:val="auto"/>
                <w:kern w:val="0"/>
                <w:sz w:val="21"/>
                <w:szCs w:val="21"/>
                <w:highlight w:val="none"/>
              </w:rPr>
            </w:pPr>
          </w:p>
        </w:tc>
        <w:tc>
          <w:tcPr>
            <w:tcW w:w="1653" w:type="dxa"/>
            <w:noWrap w:val="0"/>
            <w:vAlign w:val="center"/>
          </w:tcPr>
          <w:p w14:paraId="7273A3C8">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资产总额（Z）</w:t>
            </w:r>
          </w:p>
        </w:tc>
        <w:tc>
          <w:tcPr>
            <w:tcW w:w="1091" w:type="dxa"/>
            <w:noWrap w:val="0"/>
            <w:vAlign w:val="center"/>
          </w:tcPr>
          <w:p w14:paraId="142A08A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万元</w:t>
            </w:r>
          </w:p>
        </w:tc>
        <w:tc>
          <w:tcPr>
            <w:tcW w:w="1935" w:type="dxa"/>
            <w:noWrap w:val="0"/>
            <w:vAlign w:val="center"/>
          </w:tcPr>
          <w:p w14:paraId="364892E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8000≤Z＜120000</w:t>
            </w:r>
          </w:p>
        </w:tc>
        <w:tc>
          <w:tcPr>
            <w:tcW w:w="1720" w:type="dxa"/>
            <w:noWrap w:val="0"/>
            <w:vAlign w:val="center"/>
          </w:tcPr>
          <w:p w14:paraId="1B6C825F">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100≤Z＜8000</w:t>
            </w:r>
          </w:p>
        </w:tc>
        <w:tc>
          <w:tcPr>
            <w:tcW w:w="1105" w:type="dxa"/>
            <w:noWrap w:val="0"/>
            <w:vAlign w:val="center"/>
          </w:tcPr>
          <w:p w14:paraId="574B9BC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Y＜100</w:t>
            </w:r>
          </w:p>
        </w:tc>
      </w:tr>
      <w:tr w14:paraId="143D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2033" w:type="dxa"/>
            <w:noWrap w:val="0"/>
            <w:vAlign w:val="bottom"/>
          </w:tcPr>
          <w:p w14:paraId="20A297E7">
            <w:pPr>
              <w:widowControl/>
              <w:shd w:val="clear"/>
              <w:wordWrap w:val="0"/>
              <w:spacing w:line="360" w:lineRule="auto"/>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其他未列明行业</w:t>
            </w:r>
          </w:p>
        </w:tc>
        <w:tc>
          <w:tcPr>
            <w:tcW w:w="1653" w:type="dxa"/>
            <w:noWrap w:val="0"/>
            <w:vAlign w:val="center"/>
          </w:tcPr>
          <w:p w14:paraId="7A72A8CC">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从业人员（X）</w:t>
            </w:r>
          </w:p>
        </w:tc>
        <w:tc>
          <w:tcPr>
            <w:tcW w:w="1091" w:type="dxa"/>
            <w:noWrap w:val="0"/>
            <w:vAlign w:val="center"/>
          </w:tcPr>
          <w:p w14:paraId="5C4E5121">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人</w:t>
            </w:r>
          </w:p>
        </w:tc>
        <w:tc>
          <w:tcPr>
            <w:tcW w:w="1935" w:type="dxa"/>
            <w:noWrap w:val="0"/>
            <w:vAlign w:val="center"/>
          </w:tcPr>
          <w:p w14:paraId="076485E0">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100≤X＜300</w:t>
            </w:r>
          </w:p>
        </w:tc>
        <w:tc>
          <w:tcPr>
            <w:tcW w:w="1720" w:type="dxa"/>
            <w:noWrap w:val="0"/>
            <w:vAlign w:val="center"/>
          </w:tcPr>
          <w:p w14:paraId="1A45C852">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10≤X＜100</w:t>
            </w:r>
          </w:p>
        </w:tc>
        <w:tc>
          <w:tcPr>
            <w:tcW w:w="1105" w:type="dxa"/>
            <w:noWrap w:val="0"/>
            <w:vAlign w:val="center"/>
          </w:tcPr>
          <w:p w14:paraId="7C30D92B">
            <w:pPr>
              <w:widowControl/>
              <w:shd w:val="clear"/>
              <w:wordWrap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X＜10</w:t>
            </w:r>
          </w:p>
        </w:tc>
      </w:tr>
    </w:tbl>
    <w:p w14:paraId="435956F2">
      <w:pPr>
        <w:shd w:val="clear"/>
        <w:wordWrap w:val="0"/>
        <w:spacing w:line="360"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145EE12">
      <w:pPr>
        <w:widowControl/>
        <w:shd w:val="clear"/>
        <w:wordWrap w:val="0"/>
        <w:spacing w:line="360" w:lineRule="auto"/>
        <w:jc w:val="left"/>
        <w:rPr>
          <w:rFonts w:hint="eastAsia" w:ascii="宋体" w:hAnsi="宋体" w:eastAsia="宋体" w:cs="宋体"/>
          <w:color w:val="auto"/>
          <w:szCs w:val="20"/>
          <w:highlight w:val="none"/>
        </w:rPr>
        <w:sectPr>
          <w:pgSz w:w="11906" w:h="16838"/>
          <w:pgMar w:top="1440" w:right="1080" w:bottom="1440" w:left="1080" w:header="720" w:footer="720" w:gutter="0"/>
          <w:pgNumType w:fmt="decimal"/>
          <w:cols w:space="720" w:num="1"/>
          <w:docGrid w:type="lines" w:linePitch="331" w:charSpace="0"/>
        </w:sectPr>
      </w:pPr>
    </w:p>
    <w:p w14:paraId="12E6125C">
      <w:pPr>
        <w:pStyle w:val="13"/>
        <w:shd w:val="clear"/>
        <w:wordWrap w:val="0"/>
        <w:spacing w:line="360" w:lineRule="auto"/>
        <w:jc w:val="center"/>
        <w:outlineLvl w:val="0"/>
        <w:rPr>
          <w:rFonts w:hint="eastAsia" w:ascii="宋体" w:hAnsi="宋体" w:eastAsia="宋体" w:cs="宋体"/>
          <w:b/>
          <w:color w:val="auto"/>
          <w:sz w:val="36"/>
          <w:szCs w:val="36"/>
          <w:highlight w:val="none"/>
        </w:rPr>
      </w:pPr>
      <w:bookmarkStart w:id="480" w:name="_Toc12104"/>
      <w:bookmarkStart w:id="481" w:name="_Toc532545044"/>
      <w:r>
        <w:rPr>
          <w:rFonts w:hint="eastAsia" w:ascii="宋体" w:hAnsi="宋体" w:eastAsia="宋体" w:cs="宋体"/>
          <w:b/>
          <w:color w:val="auto"/>
          <w:sz w:val="36"/>
          <w:highlight w:val="none"/>
        </w:rPr>
        <w:t>第三章  投标人须知</w:t>
      </w:r>
      <w:bookmarkEnd w:id="480"/>
      <w:bookmarkEnd w:id="481"/>
    </w:p>
    <w:p w14:paraId="500B6A3A">
      <w:pPr>
        <w:pStyle w:val="13"/>
        <w:shd w:val="clear"/>
        <w:wordWrap w:val="0"/>
        <w:spacing w:line="360" w:lineRule="auto"/>
        <w:jc w:val="center"/>
        <w:outlineLvl w:val="1"/>
        <w:rPr>
          <w:rFonts w:hint="eastAsia" w:ascii="宋体" w:hAnsi="宋体" w:eastAsia="宋体" w:cs="宋体"/>
          <w:b/>
          <w:color w:val="auto"/>
          <w:sz w:val="30"/>
          <w:szCs w:val="30"/>
          <w:highlight w:val="none"/>
        </w:rPr>
      </w:pPr>
      <w:bookmarkStart w:id="482" w:name="_Toc14498"/>
      <w:r>
        <w:rPr>
          <w:rFonts w:hint="eastAsia" w:ascii="宋体" w:hAnsi="宋体" w:eastAsia="宋体" w:cs="宋体"/>
          <w:b/>
          <w:color w:val="auto"/>
          <w:sz w:val="30"/>
          <w:szCs w:val="30"/>
          <w:highlight w:val="none"/>
        </w:rPr>
        <w:t>第一节 投标人须知前附表</w:t>
      </w:r>
      <w:bookmarkEnd w:id="482"/>
    </w:p>
    <w:tbl>
      <w:tblPr>
        <w:tblStyle w:val="22"/>
        <w:tblW w:w="1043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2268"/>
        <w:gridCol w:w="7297"/>
      </w:tblGrid>
      <w:tr w14:paraId="0F68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7" w:type="dxa"/>
            <w:noWrap w:val="0"/>
            <w:vAlign w:val="center"/>
          </w:tcPr>
          <w:p w14:paraId="212B035C">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268" w:type="dxa"/>
            <w:noWrap w:val="0"/>
            <w:vAlign w:val="center"/>
          </w:tcPr>
          <w:p w14:paraId="3E3992BA">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项目内容</w:t>
            </w:r>
          </w:p>
        </w:tc>
        <w:tc>
          <w:tcPr>
            <w:tcW w:w="7297" w:type="dxa"/>
            <w:noWrap w:val="0"/>
            <w:vAlign w:val="center"/>
          </w:tcPr>
          <w:p w14:paraId="56E0F6C4">
            <w:pPr>
              <w:keepNext w:val="0"/>
              <w:keepLines w:val="0"/>
              <w:pageBreakBefore w:val="0"/>
              <w:shd w:val="clear"/>
              <w:kinsoku/>
              <w:wordWrap w:val="0"/>
              <w:overflowPunct/>
              <w:topLinePunct w:val="0"/>
              <w:bidi w:val="0"/>
              <w:adjustRightInd/>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编列内容</w:t>
            </w:r>
          </w:p>
        </w:tc>
      </w:tr>
      <w:tr w14:paraId="52AD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6390EE18">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p>
        </w:tc>
        <w:tc>
          <w:tcPr>
            <w:tcW w:w="2268" w:type="dxa"/>
            <w:noWrap w:val="0"/>
            <w:vAlign w:val="center"/>
          </w:tcPr>
          <w:p w14:paraId="1399B27C">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83" w:name="_5"/>
            <w:bookmarkEnd w:id="483"/>
            <w:bookmarkStart w:id="484" w:name="_8.1"/>
            <w:bookmarkEnd w:id="484"/>
            <w:bookmarkStart w:id="485" w:name="_9.2"/>
            <w:bookmarkEnd w:id="485"/>
            <w:r>
              <w:rPr>
                <w:rFonts w:hint="eastAsia" w:ascii="宋体" w:hAnsi="宋体" w:eastAsia="宋体" w:cs="宋体"/>
                <w:color w:val="auto"/>
                <w:sz w:val="21"/>
                <w:szCs w:val="21"/>
                <w:highlight w:val="none"/>
              </w:rPr>
              <w:t>是否接受联合体投标</w:t>
            </w:r>
          </w:p>
        </w:tc>
        <w:tc>
          <w:tcPr>
            <w:tcW w:w="7297" w:type="dxa"/>
            <w:noWrap w:val="0"/>
            <w:vAlign w:val="center"/>
          </w:tcPr>
          <w:p w14:paraId="2E4C6304">
            <w:pPr>
              <w:pStyle w:val="9"/>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w:t>
            </w:r>
            <w:r>
              <w:rPr>
                <w:rFonts w:hint="eastAsia" w:ascii="宋体" w:hAnsi="宋体" w:cs="宋体"/>
                <w:color w:val="auto"/>
                <w:sz w:val="21"/>
                <w:szCs w:val="21"/>
                <w:highlight w:val="none"/>
                <w:lang w:val="en-US" w:eastAsia="zh-CN"/>
              </w:rPr>
              <w:t>接受</w:t>
            </w:r>
            <w:r>
              <w:rPr>
                <w:rFonts w:hint="eastAsia" w:ascii="宋体" w:hAnsi="宋体" w:eastAsia="宋体" w:cs="宋体"/>
                <w:color w:val="auto"/>
                <w:sz w:val="21"/>
                <w:szCs w:val="21"/>
                <w:highlight w:val="none"/>
              </w:rPr>
              <w:t>联合体投标</w:t>
            </w:r>
          </w:p>
        </w:tc>
      </w:tr>
      <w:tr w14:paraId="32AB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000637E2">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6.2</w:t>
            </w:r>
          </w:p>
        </w:tc>
        <w:tc>
          <w:tcPr>
            <w:tcW w:w="2268" w:type="dxa"/>
            <w:noWrap w:val="0"/>
            <w:vAlign w:val="center"/>
          </w:tcPr>
          <w:p w14:paraId="1F2D90A1">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联合体投标要求</w:t>
            </w:r>
          </w:p>
        </w:tc>
        <w:tc>
          <w:tcPr>
            <w:tcW w:w="7297" w:type="dxa"/>
            <w:noWrap w:val="0"/>
            <w:vAlign w:val="center"/>
          </w:tcPr>
          <w:p w14:paraId="3467F2CD">
            <w:pPr>
              <w:pStyle w:val="9"/>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r>
      <w:tr w14:paraId="28922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0717CF75">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p>
        </w:tc>
        <w:tc>
          <w:tcPr>
            <w:tcW w:w="2268" w:type="dxa"/>
            <w:noWrap w:val="0"/>
            <w:vAlign w:val="center"/>
          </w:tcPr>
          <w:p w14:paraId="57E07163">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是否允许转包/分包</w:t>
            </w:r>
          </w:p>
        </w:tc>
        <w:tc>
          <w:tcPr>
            <w:tcW w:w="7297" w:type="dxa"/>
            <w:noWrap w:val="0"/>
            <w:vAlign w:val="center"/>
          </w:tcPr>
          <w:p w14:paraId="01E84031">
            <w:pPr>
              <w:pStyle w:val="9"/>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86" w:name="PO_3000001866_PM044"/>
            <w:r>
              <w:rPr>
                <w:rFonts w:hint="eastAsia" w:ascii="宋体" w:hAnsi="宋体" w:eastAsia="宋体" w:cs="宋体"/>
                <w:color w:val="auto"/>
                <w:sz w:val="21"/>
                <w:szCs w:val="21"/>
                <w:highlight w:val="none"/>
              </w:rPr>
              <w:t>☑不允许分包</w:t>
            </w:r>
            <w:bookmarkEnd w:id="486"/>
          </w:p>
          <w:p w14:paraId="15722790">
            <w:pPr>
              <w:pStyle w:val="9"/>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□转包/分包内容：</w:t>
            </w:r>
            <w:r>
              <w:rPr>
                <w:rFonts w:hint="eastAsia" w:ascii="宋体" w:hAnsi="宋体" w:eastAsia="宋体" w:cs="宋体"/>
                <w:color w:val="auto"/>
                <w:sz w:val="21"/>
                <w:szCs w:val="21"/>
                <w:highlight w:val="none"/>
                <w:u w:val="single"/>
              </w:rPr>
              <w:t xml:space="preserve">                                     。</w:t>
            </w:r>
          </w:p>
          <w:p w14:paraId="2DEDF15E">
            <w:pPr>
              <w:pStyle w:val="9"/>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□转包/分包金额或者比例：</w:t>
            </w:r>
            <w:r>
              <w:rPr>
                <w:rFonts w:hint="eastAsia" w:ascii="宋体" w:hAnsi="宋体" w:eastAsia="宋体" w:cs="宋体"/>
                <w:color w:val="auto"/>
                <w:sz w:val="21"/>
                <w:szCs w:val="21"/>
                <w:highlight w:val="none"/>
                <w:u w:val="single"/>
              </w:rPr>
              <w:t xml:space="preserve">                                     。</w:t>
            </w:r>
          </w:p>
        </w:tc>
      </w:tr>
      <w:tr w14:paraId="6ACE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027D25D4">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11.4</w:t>
            </w:r>
          </w:p>
        </w:tc>
        <w:tc>
          <w:tcPr>
            <w:tcW w:w="2268" w:type="dxa"/>
            <w:noWrap w:val="0"/>
            <w:vAlign w:val="center"/>
          </w:tcPr>
          <w:p w14:paraId="3709DBDC">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媒体发布渠道</w:t>
            </w:r>
          </w:p>
        </w:tc>
        <w:tc>
          <w:tcPr>
            <w:tcW w:w="7297" w:type="dxa"/>
            <w:noWrap w:val="0"/>
            <w:vAlign w:val="center"/>
          </w:tcPr>
          <w:p w14:paraId="198E9ED1">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与本项目相关的政府采购业务澄清、更正及与之相关的事项将在采购公告中“六、其他补充事宜”中网上查询地址上发布</w:t>
            </w:r>
            <w:r>
              <w:rPr>
                <w:rFonts w:hint="eastAsia" w:ascii="宋体" w:hAnsi="宋体" w:eastAsia="宋体" w:cs="宋体"/>
                <w:color w:val="auto"/>
                <w:kern w:val="0"/>
                <w:sz w:val="21"/>
                <w:szCs w:val="21"/>
                <w:highlight w:val="none"/>
              </w:rPr>
              <w:t>。</w:t>
            </w:r>
          </w:p>
        </w:tc>
      </w:tr>
      <w:tr w14:paraId="3A17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6EADC8B1">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11.6</w:t>
            </w:r>
          </w:p>
        </w:tc>
        <w:tc>
          <w:tcPr>
            <w:tcW w:w="2268" w:type="dxa"/>
            <w:noWrap w:val="0"/>
            <w:vAlign w:val="center"/>
          </w:tcPr>
          <w:p w14:paraId="3001A1A8">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是否组织标前答疑会</w:t>
            </w:r>
          </w:p>
        </w:tc>
        <w:tc>
          <w:tcPr>
            <w:tcW w:w="7297" w:type="dxa"/>
            <w:noWrap w:val="0"/>
            <w:vAlign w:val="center"/>
          </w:tcPr>
          <w:p w14:paraId="24BFA9FB">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☑不组织召开开标前答疑会</w:t>
            </w:r>
          </w:p>
          <w:p w14:paraId="45C78E25">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□组织召开开标前答疑会</w:t>
            </w:r>
          </w:p>
          <w:p w14:paraId="50AEE161">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会议开始时间：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日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rPr>
              <w:t xml:space="preserve">  分</w:t>
            </w:r>
            <w:r>
              <w:rPr>
                <w:rFonts w:hint="eastAsia" w:ascii="宋体" w:hAnsi="宋体" w:eastAsia="宋体" w:cs="宋体"/>
                <w:color w:val="auto"/>
                <w:sz w:val="21"/>
                <w:szCs w:val="21"/>
                <w:highlight w:val="none"/>
              </w:rPr>
              <w:t>，逾期后果自负。会议地点：</w:t>
            </w:r>
            <w:r>
              <w:rPr>
                <w:rFonts w:hint="eastAsia" w:ascii="宋体" w:hAnsi="宋体" w:eastAsia="宋体" w:cs="宋体"/>
                <w:color w:val="auto"/>
                <w:sz w:val="21"/>
                <w:szCs w:val="21"/>
                <w:highlight w:val="none"/>
                <w:u w:val="single"/>
              </w:rPr>
              <w:t xml:space="preserve">      </w:t>
            </w:r>
          </w:p>
        </w:tc>
      </w:tr>
      <w:tr w14:paraId="2FD6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14CBA4B1">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w:t>
            </w:r>
          </w:p>
        </w:tc>
        <w:tc>
          <w:tcPr>
            <w:tcW w:w="2268" w:type="dxa"/>
            <w:noWrap w:val="0"/>
            <w:vAlign w:val="center"/>
          </w:tcPr>
          <w:p w14:paraId="17281BFE">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bookmarkStart w:id="487" w:name="_13.2"/>
            <w:bookmarkEnd w:id="487"/>
            <w:r>
              <w:rPr>
                <w:rFonts w:hint="eastAsia" w:ascii="宋体" w:hAnsi="宋体" w:eastAsia="宋体" w:cs="宋体"/>
                <w:color w:val="auto"/>
                <w:sz w:val="21"/>
                <w:szCs w:val="21"/>
                <w:highlight w:val="none"/>
              </w:rPr>
              <w:t>资格证明文件组成</w:t>
            </w:r>
          </w:p>
        </w:tc>
        <w:tc>
          <w:tcPr>
            <w:tcW w:w="7297" w:type="dxa"/>
            <w:noWrap w:val="0"/>
            <w:vAlign w:val="center"/>
          </w:tcPr>
          <w:p w14:paraId="0297C5EE">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投标人为法人或者其他组织的，提供营业执照等证明文件（如营业执照或者事业单位法人证书或者</w:t>
            </w:r>
            <w:r>
              <w:rPr>
                <w:rStyle w:val="31"/>
                <w:rFonts w:hint="eastAsia" w:ascii="宋体" w:hAnsi="宋体" w:eastAsia="宋体" w:cs="宋体"/>
                <w:color w:val="auto"/>
                <w:sz w:val="21"/>
                <w:szCs w:val="21"/>
                <w:highlight w:val="none"/>
              </w:rPr>
              <w:t>执业许可证</w:t>
            </w:r>
            <w:r>
              <w:rPr>
                <w:rFonts w:hint="eastAsia" w:ascii="宋体" w:hAnsi="宋体" w:eastAsia="宋体" w:cs="宋体"/>
                <w:color w:val="auto"/>
                <w:sz w:val="21"/>
                <w:szCs w:val="21"/>
                <w:highlight w:val="none"/>
              </w:rPr>
              <w:t>等），投标人为自然人的，提供身份证复印件。（</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7BE82D3A">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投标人依法缴纳税收的相关材料[</w:t>
            </w:r>
            <w:r>
              <w:rPr>
                <w:rFonts w:hint="eastAsia" w:ascii="宋体" w:hAnsi="宋体" w:eastAsia="宋体" w:cs="宋体"/>
                <w:color w:val="auto"/>
                <w:sz w:val="21"/>
                <w:szCs w:val="21"/>
                <w:highlight w:val="none"/>
                <w:u w:val="single"/>
              </w:rPr>
              <w:t xml:space="preserve"> 2025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11</w:t>
            </w:r>
            <w:r>
              <w:rPr>
                <w:rFonts w:hint="eastAsia" w:ascii="宋体" w:hAnsi="宋体" w:eastAsia="宋体" w:cs="宋体"/>
                <w:color w:val="auto"/>
                <w:sz w:val="21"/>
                <w:szCs w:val="21"/>
                <w:highlight w:val="none"/>
              </w:rPr>
              <w:t>月至</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任意</w:t>
            </w:r>
            <w:r>
              <w:rPr>
                <w:rFonts w:hint="eastAsia" w:ascii="宋体" w:hAnsi="宋体" w:eastAsia="宋体" w:cs="宋体"/>
                <w:color w:val="auto"/>
                <w:sz w:val="21"/>
                <w:szCs w:val="21"/>
                <w:highlight w:val="none"/>
              </w:rPr>
              <w:t>连续</w:t>
            </w:r>
            <w:r>
              <w:rPr>
                <w:rFonts w:hint="eastAsia" w:ascii="宋体" w:hAnsi="宋体" w:eastAsia="宋体" w:cs="宋体"/>
                <w:color w:val="auto"/>
                <w:sz w:val="21"/>
                <w:szCs w:val="21"/>
                <w:highlight w:val="none"/>
                <w:u w:val="single"/>
              </w:rPr>
              <w:t xml:space="preserve"> 三 </w:t>
            </w:r>
            <w:r>
              <w:rPr>
                <w:rFonts w:hint="eastAsia" w:ascii="宋体" w:hAnsi="宋体" w:eastAsia="宋体" w:cs="宋体"/>
                <w:color w:val="auto"/>
                <w:sz w:val="21"/>
                <w:szCs w:val="21"/>
                <w:highlight w:val="none"/>
              </w:rPr>
              <w:t>个月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2DF0632B">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投标人依法缴纳社会保障资金的相关材料[</w:t>
            </w:r>
            <w:r>
              <w:rPr>
                <w:rFonts w:hint="eastAsia" w:ascii="宋体" w:hAnsi="宋体" w:eastAsia="宋体" w:cs="宋体"/>
                <w:color w:val="auto"/>
                <w:sz w:val="21"/>
                <w:szCs w:val="21"/>
                <w:highlight w:val="none"/>
                <w:u w:val="single"/>
              </w:rPr>
              <w:t>2025</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11</w:t>
            </w:r>
            <w:r>
              <w:rPr>
                <w:rFonts w:hint="eastAsia" w:ascii="宋体" w:hAnsi="宋体" w:eastAsia="宋体" w:cs="宋体"/>
                <w:color w:val="auto"/>
                <w:sz w:val="21"/>
                <w:szCs w:val="21"/>
                <w:highlight w:val="none"/>
              </w:rPr>
              <w:t>月至</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6</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u w:val="single"/>
                <w:lang w:val="en-US" w:eastAsia="zh-CN"/>
              </w:rPr>
              <w:t>4</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任意</w:t>
            </w:r>
            <w:r>
              <w:rPr>
                <w:rFonts w:hint="eastAsia" w:ascii="宋体" w:hAnsi="宋体" w:eastAsia="宋体" w:cs="宋体"/>
                <w:color w:val="auto"/>
                <w:sz w:val="21"/>
                <w:szCs w:val="21"/>
                <w:highlight w:val="none"/>
              </w:rPr>
              <w:t>连续</w:t>
            </w:r>
            <w:r>
              <w:rPr>
                <w:rFonts w:hint="eastAsia" w:ascii="宋体" w:hAnsi="宋体" w:eastAsia="宋体" w:cs="宋体"/>
                <w:color w:val="auto"/>
                <w:sz w:val="21"/>
                <w:szCs w:val="21"/>
                <w:highlight w:val="none"/>
                <w:u w:val="single"/>
              </w:rPr>
              <w:t xml:space="preserve"> 三 </w:t>
            </w:r>
            <w:r>
              <w:rPr>
                <w:rFonts w:hint="eastAsia" w:ascii="宋体" w:hAnsi="宋体" w:eastAsia="宋体" w:cs="宋体"/>
                <w:color w:val="auto"/>
                <w:sz w:val="21"/>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2A4D8C30">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投标人财务状况报告：[</w:t>
            </w:r>
            <w:r>
              <w:rPr>
                <w:rFonts w:hint="eastAsia" w:ascii="宋体" w:hAnsi="宋体" w:eastAsia="宋体" w:cs="宋体"/>
                <w:color w:val="auto"/>
                <w:sz w:val="21"/>
                <w:szCs w:val="21"/>
                <w:highlight w:val="none"/>
                <w:u w:val="single"/>
              </w:rPr>
              <w:t>202</w:t>
            </w:r>
            <w:r>
              <w:rPr>
                <w:rFonts w:hint="eastAsia" w:ascii="宋体" w:hAnsi="宋体" w:eastAsia="宋体" w:cs="宋体"/>
                <w:color w:val="auto"/>
                <w:sz w:val="21"/>
                <w:szCs w:val="21"/>
                <w:highlight w:val="none"/>
                <w:u w:val="single"/>
                <w:lang w:val="en-US" w:eastAsia="zh-CN"/>
              </w:rPr>
              <w:t>4</w:t>
            </w:r>
            <w:r>
              <w:rPr>
                <w:rFonts w:hint="eastAsia" w:ascii="宋体" w:hAnsi="宋体" w:eastAsia="宋体" w:cs="宋体"/>
                <w:color w:val="auto"/>
                <w:sz w:val="21"/>
                <w:szCs w:val="21"/>
                <w:highlight w:val="none"/>
              </w:rPr>
              <w:t>年</w:t>
            </w:r>
            <w:r>
              <w:rPr>
                <w:rFonts w:hint="eastAsia" w:ascii="宋体" w:hAnsi="宋体" w:cs="宋体"/>
                <w:color w:val="auto"/>
                <w:sz w:val="21"/>
                <w:szCs w:val="21"/>
                <w:highlight w:val="none"/>
                <w:lang w:val="en-US" w:eastAsia="zh-CN"/>
              </w:rPr>
              <w:t>或</w:t>
            </w:r>
            <w:r>
              <w:rPr>
                <w:rFonts w:hint="eastAsia" w:ascii="宋体" w:hAnsi="宋体" w:cs="宋体"/>
                <w:color w:val="auto"/>
                <w:sz w:val="21"/>
                <w:szCs w:val="21"/>
                <w:highlight w:val="none"/>
                <w:u w:val="single"/>
                <w:lang w:val="en-US" w:eastAsia="zh-CN"/>
              </w:rPr>
              <w:t>2025年</w:t>
            </w: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任意一年</w:t>
            </w:r>
            <w:r>
              <w:rPr>
                <w:rFonts w:hint="eastAsia" w:ascii="宋体" w:hAnsi="宋体" w:eastAsia="宋体" w:cs="宋体"/>
                <w:color w:val="auto"/>
                <w:sz w:val="21"/>
                <w:szCs w:val="21"/>
                <w:highlight w:val="none"/>
              </w:rPr>
              <w:t>财务状况报告复印件；供应商成立不满一年的应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52B1FEEA">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投标人直接控股股东信息</w:t>
            </w:r>
            <w:r>
              <w:rPr>
                <w:rFonts w:hint="eastAsia" w:ascii="宋体" w:hAnsi="宋体" w:eastAsia="宋体" w:cs="宋体"/>
                <w:color w:val="auto"/>
                <w:sz w:val="21"/>
                <w:szCs w:val="21"/>
                <w:highlight w:val="none"/>
                <w:lang w:val="en-US" w:eastAsia="zh-CN"/>
              </w:rPr>
              <w:t>表</w:t>
            </w:r>
            <w:r>
              <w:rPr>
                <w:rFonts w:hint="eastAsia" w:ascii="宋体" w:hAnsi="宋体" w:eastAsia="宋体" w:cs="宋体"/>
                <w:color w:val="auto"/>
                <w:sz w:val="21"/>
                <w:szCs w:val="21"/>
                <w:highlight w:val="none"/>
              </w:rPr>
              <w:t>、管理关系信息表。（</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1408531C">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投标资格声明。（</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375FB695">
            <w:pPr>
              <w:keepNext w:val="0"/>
              <w:keepLines w:val="0"/>
              <w:pageBreakBefore w:val="0"/>
              <w:shd w:val="clear"/>
              <w:kinsoku/>
              <w:overflowPunct/>
              <w:topLinePunct w:val="0"/>
              <w:bidi w:val="0"/>
              <w:adjustRightInd/>
              <w:snapToGrid w:val="0"/>
              <w:spacing w:line="360" w:lineRule="auto"/>
              <w:jc w:val="left"/>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7</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联合体协议书。</w:t>
            </w:r>
            <w:r>
              <w:rPr>
                <w:rFonts w:hint="eastAsia" w:ascii="宋体" w:hAnsi="宋体" w:eastAsia="宋体" w:cs="宋体"/>
                <w:b/>
                <w:bCs/>
                <w:color w:val="auto"/>
                <w:sz w:val="21"/>
                <w:szCs w:val="21"/>
                <w:highlight w:val="none"/>
              </w:rPr>
              <w:t>（以联合体形式投标的，提供联合体协议；本项目不接受联合体投标或者投标人不以联合体形式投标的，则不需要提供）</w:t>
            </w:r>
          </w:p>
          <w:p w14:paraId="46BE2268">
            <w:pPr>
              <w:keepNext w:val="0"/>
              <w:keepLines w:val="0"/>
              <w:pageBreakBefore w:val="0"/>
              <w:shd w:val="clear"/>
              <w:kinsoku/>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除招标文件规定必须提供以外，投标人认为需要提供的其他证明材料。</w:t>
            </w:r>
          </w:p>
          <w:p w14:paraId="17E21E1E">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注：1.</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以上标明“必须提供”的材料</w:t>
            </w:r>
            <w:r>
              <w:rPr>
                <w:rFonts w:hint="eastAsia" w:ascii="宋体" w:hAnsi="宋体" w:eastAsia="宋体" w:cs="宋体"/>
                <w:b/>
                <w:color w:val="auto"/>
                <w:sz w:val="21"/>
                <w:szCs w:val="21"/>
                <w:highlight w:val="none"/>
              </w:rPr>
              <w:t>属于复印件的扫描件的</w:t>
            </w:r>
            <w:r>
              <w:rPr>
                <w:rFonts w:hint="eastAsia" w:ascii="宋体" w:hAnsi="宋体" w:eastAsia="宋体" w:cs="宋体"/>
                <w:b/>
                <w:bCs/>
                <w:color w:val="auto"/>
                <w:sz w:val="21"/>
                <w:szCs w:val="21"/>
                <w:highlight w:val="none"/>
              </w:rPr>
              <w:t>，必须加盖投标人电子公章，否则</w:t>
            </w:r>
            <w:r>
              <w:rPr>
                <w:rFonts w:hint="eastAsia" w:ascii="宋体" w:hAnsi="宋体" w:eastAsia="宋体" w:cs="宋体"/>
                <w:b/>
                <w:color w:val="auto"/>
                <w:sz w:val="21"/>
                <w:szCs w:val="21"/>
                <w:highlight w:val="none"/>
              </w:rPr>
              <w:t>作无效投标处理。</w:t>
            </w:r>
          </w:p>
          <w:p w14:paraId="78634C67">
            <w:pPr>
              <w:keepNext w:val="0"/>
              <w:keepLines w:val="0"/>
              <w:pageBreakBefore w:val="0"/>
              <w:shd w:val="clear"/>
              <w:kinsoku/>
              <w:wordWrap w:val="0"/>
              <w:overflowPunct/>
              <w:topLinePunct w:val="0"/>
              <w:bidi w:val="0"/>
              <w:adjustRightInd/>
              <w:snapToGrid w:val="0"/>
              <w:spacing w:line="360" w:lineRule="auto"/>
              <w:ind w:firstLine="422" w:firstLineChars="200"/>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bCs/>
                <w:color w:val="auto"/>
                <w:sz w:val="21"/>
                <w:szCs w:val="21"/>
                <w:highlight w:val="none"/>
              </w:rPr>
              <w:t>.联合体投标时，第1-5项资格证明文件联合体各方均必须分别提供，联合体各方分别盖章和签字，否则投标文件按无效投标处理。</w:t>
            </w:r>
          </w:p>
        </w:tc>
      </w:tr>
      <w:tr w14:paraId="5F16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73FC1794">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p>
        </w:tc>
        <w:tc>
          <w:tcPr>
            <w:tcW w:w="2268" w:type="dxa"/>
            <w:noWrap w:val="0"/>
            <w:vAlign w:val="center"/>
          </w:tcPr>
          <w:p w14:paraId="2E66FC62">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bookmarkStart w:id="488" w:name="_13.3"/>
            <w:bookmarkEnd w:id="488"/>
            <w:r>
              <w:rPr>
                <w:rFonts w:hint="eastAsia" w:ascii="宋体" w:hAnsi="宋体" w:eastAsia="宋体" w:cs="宋体"/>
                <w:color w:val="auto"/>
                <w:sz w:val="21"/>
                <w:szCs w:val="21"/>
                <w:highlight w:val="none"/>
              </w:rPr>
              <w:t>商务文件组成</w:t>
            </w:r>
          </w:p>
        </w:tc>
        <w:tc>
          <w:tcPr>
            <w:tcW w:w="7297" w:type="dxa"/>
            <w:noWrap w:val="0"/>
            <w:vAlign w:val="center"/>
          </w:tcPr>
          <w:p w14:paraId="3455B5DD">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无串通投标行为的承诺函；（</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074BE1D5">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法定代表人身份证明及法定代表人有效身份证正反面复印件；（</w:t>
            </w:r>
            <w:r>
              <w:rPr>
                <w:rFonts w:hint="eastAsia" w:ascii="宋体" w:hAnsi="宋体" w:eastAsia="宋体" w:cs="宋体"/>
                <w:b/>
                <w:bCs/>
                <w:color w:val="auto"/>
                <w:sz w:val="21"/>
                <w:szCs w:val="21"/>
                <w:highlight w:val="none"/>
              </w:rPr>
              <w:t>除自然人投标外</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3093B17D">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法定代表人授权委托书及委托代理人有效身份证正反面复印件；（</w:t>
            </w:r>
            <w:r>
              <w:rPr>
                <w:rFonts w:hint="eastAsia" w:ascii="宋体" w:hAnsi="宋体" w:eastAsia="宋体" w:cs="宋体"/>
                <w:b/>
                <w:color w:val="auto"/>
                <w:sz w:val="21"/>
                <w:szCs w:val="21"/>
                <w:highlight w:val="none"/>
              </w:rPr>
              <w:t>委托时必须提供，否则作无效投标处理</w:t>
            </w:r>
            <w:r>
              <w:rPr>
                <w:rFonts w:hint="eastAsia" w:ascii="宋体" w:hAnsi="宋体" w:eastAsia="宋体" w:cs="宋体"/>
                <w:color w:val="auto"/>
                <w:sz w:val="21"/>
                <w:szCs w:val="21"/>
                <w:highlight w:val="none"/>
              </w:rPr>
              <w:t>）</w:t>
            </w:r>
          </w:p>
          <w:p w14:paraId="7FF60F64">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商务条款偏离表；</w:t>
            </w:r>
            <w:r>
              <w:rPr>
                <w:rFonts w:hint="eastAsia" w:ascii="宋体" w:hAnsi="宋体" w:eastAsia="宋体" w:cs="宋体"/>
                <w:b/>
                <w:bCs/>
                <w:color w:val="auto"/>
                <w:sz w:val="21"/>
                <w:szCs w:val="21"/>
                <w:highlight w:val="none"/>
              </w:rPr>
              <w:t>（必须提供，否则作无效投标处理）</w:t>
            </w:r>
          </w:p>
          <w:p w14:paraId="1A61C564">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投标人情况介绍；</w:t>
            </w:r>
          </w:p>
          <w:p w14:paraId="47BD7E26">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投标人类似业绩的证明文件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（如有请提供）</w:t>
            </w:r>
          </w:p>
          <w:p w14:paraId="72AF9087">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除</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文件规定必须提供以外，投标人认为需要提供的其他证明材料。（投标人根据“第二章 采购需求”及“第四章 评标方法及评标标准”提供有关证明材料）。</w:t>
            </w:r>
          </w:p>
          <w:p w14:paraId="1104DE6B">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 1.法定代表人授权委托书必须由法定代表人签字</w:t>
            </w:r>
            <w:r>
              <w:rPr>
                <w:rFonts w:hint="eastAsia" w:ascii="宋体" w:hAnsi="宋体" w:eastAsia="宋体" w:cs="宋体"/>
                <w:b/>
                <w:bCs/>
                <w:color w:val="auto"/>
                <w:sz w:val="21"/>
                <w:szCs w:val="21"/>
                <w:highlight w:val="none"/>
                <w:lang w:val="en-US" w:eastAsia="zh-CN"/>
              </w:rPr>
              <w:t>或盖章</w:t>
            </w:r>
            <w:r>
              <w:rPr>
                <w:rFonts w:hint="eastAsia" w:ascii="宋体" w:hAnsi="宋体" w:eastAsia="宋体" w:cs="宋体"/>
                <w:b/>
                <w:bCs/>
                <w:color w:val="auto"/>
                <w:sz w:val="21"/>
                <w:szCs w:val="21"/>
                <w:highlight w:val="none"/>
              </w:rPr>
              <w:t>及委托代理人签字，并加盖投标人公章，否则作无效投标处理。</w:t>
            </w:r>
          </w:p>
          <w:p w14:paraId="3A4087B6">
            <w:pPr>
              <w:keepNext w:val="0"/>
              <w:keepLines w:val="0"/>
              <w:pageBreakBefore w:val="0"/>
              <w:shd w:val="clear"/>
              <w:kinsoku/>
              <w:wordWrap w:val="0"/>
              <w:overflowPunct/>
              <w:topLinePunct w:val="0"/>
              <w:bidi w:val="0"/>
              <w:adjustRightInd/>
              <w:snapToGrid w:val="0"/>
              <w:spacing w:line="360" w:lineRule="auto"/>
              <w:ind w:firstLine="422" w:firstLineChars="200"/>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color w:val="auto"/>
                <w:sz w:val="21"/>
                <w:szCs w:val="21"/>
                <w:highlight w:val="none"/>
              </w:rPr>
              <w:t xml:space="preserve"> </w:t>
            </w:r>
            <w:r>
              <w:rPr>
                <w:rFonts w:hint="eastAsia" w:ascii="宋体" w:hAnsi="宋体" w:eastAsia="宋体" w:cs="宋体"/>
                <w:b/>
                <w:bCs/>
                <w:color w:val="auto"/>
                <w:sz w:val="21"/>
                <w:szCs w:val="21"/>
                <w:highlight w:val="none"/>
              </w:rPr>
              <w:t>以上标明“必须提供”的材料</w:t>
            </w:r>
            <w:r>
              <w:rPr>
                <w:rFonts w:hint="eastAsia" w:ascii="宋体" w:hAnsi="宋体" w:eastAsia="宋体" w:cs="宋体"/>
                <w:b/>
                <w:color w:val="auto"/>
                <w:sz w:val="21"/>
                <w:szCs w:val="21"/>
                <w:highlight w:val="none"/>
              </w:rPr>
              <w:t>属于复印件的扫描件的</w:t>
            </w:r>
            <w:r>
              <w:rPr>
                <w:rFonts w:hint="eastAsia" w:ascii="宋体" w:hAnsi="宋体" w:eastAsia="宋体" w:cs="宋体"/>
                <w:b/>
                <w:bCs/>
                <w:color w:val="auto"/>
                <w:sz w:val="21"/>
                <w:szCs w:val="21"/>
                <w:highlight w:val="none"/>
              </w:rPr>
              <w:t>，必须加盖投标人电子公章，否则</w:t>
            </w:r>
            <w:r>
              <w:rPr>
                <w:rFonts w:hint="eastAsia" w:ascii="宋体" w:hAnsi="宋体" w:eastAsia="宋体" w:cs="宋体"/>
                <w:b/>
                <w:color w:val="auto"/>
                <w:sz w:val="21"/>
                <w:szCs w:val="21"/>
                <w:highlight w:val="none"/>
              </w:rPr>
              <w:t>作无效投标处理</w:t>
            </w:r>
            <w:r>
              <w:rPr>
                <w:rFonts w:hint="eastAsia" w:ascii="宋体" w:hAnsi="宋体" w:eastAsia="宋体" w:cs="宋体"/>
                <w:b/>
                <w:bCs/>
                <w:color w:val="auto"/>
                <w:sz w:val="21"/>
                <w:szCs w:val="21"/>
                <w:highlight w:val="none"/>
              </w:rPr>
              <w:t>。</w:t>
            </w:r>
          </w:p>
        </w:tc>
      </w:tr>
      <w:tr w14:paraId="00A1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restart"/>
            <w:noWrap w:val="0"/>
            <w:vAlign w:val="center"/>
          </w:tcPr>
          <w:p w14:paraId="13966D28">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p>
        </w:tc>
        <w:tc>
          <w:tcPr>
            <w:tcW w:w="2268" w:type="dxa"/>
            <w:noWrap w:val="0"/>
            <w:vAlign w:val="center"/>
          </w:tcPr>
          <w:p w14:paraId="5FAB43EF">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bookmarkStart w:id="489" w:name="_13.4"/>
            <w:bookmarkEnd w:id="489"/>
            <w:r>
              <w:rPr>
                <w:rFonts w:hint="eastAsia" w:ascii="宋体" w:hAnsi="宋体" w:eastAsia="宋体" w:cs="宋体"/>
                <w:color w:val="auto"/>
                <w:sz w:val="21"/>
                <w:szCs w:val="21"/>
                <w:highlight w:val="none"/>
              </w:rPr>
              <w:t>技术文件组成</w:t>
            </w:r>
          </w:p>
        </w:tc>
        <w:tc>
          <w:tcPr>
            <w:tcW w:w="7297" w:type="dxa"/>
            <w:noWrap w:val="0"/>
            <w:vAlign w:val="center"/>
          </w:tcPr>
          <w:p w14:paraId="0A6675FF">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服务需求、技术需求偏离表；（</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3661AA60">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组织服务方案</w:t>
            </w:r>
            <w:r>
              <w:rPr>
                <w:rFonts w:hint="eastAsia" w:ascii="宋体" w:hAnsi="宋体" w:eastAsia="宋体" w:cs="宋体"/>
                <w:color w:val="auto"/>
                <w:sz w:val="21"/>
                <w:szCs w:val="21"/>
                <w:highlight w:val="none"/>
                <w:lang w:val="en-US" w:eastAsia="zh-CN"/>
              </w:rPr>
              <w:t>[包括不限于</w:t>
            </w:r>
            <w:r>
              <w:rPr>
                <w:rFonts w:hint="eastAsia" w:ascii="宋体" w:hAnsi="宋体" w:eastAsia="宋体" w:cs="宋体"/>
                <w:bCs/>
                <w:color w:val="auto"/>
                <w:kern w:val="0"/>
                <w:sz w:val="22"/>
                <w:szCs w:val="22"/>
                <w:highlight w:val="none"/>
              </w:rPr>
              <w:t>人员配置</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养护方案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管理方案</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突发事件的应急服务预案保障措施和承诺、智慧化管理等</w:t>
            </w:r>
            <w:r>
              <w:rPr>
                <w:rFonts w:hint="eastAsia" w:ascii="宋体" w:hAnsi="宋体" w:cs="宋体"/>
                <w:color w:val="auto"/>
                <w:sz w:val="21"/>
                <w:szCs w:val="21"/>
                <w:highlight w:val="none"/>
                <w:lang w:val="en-US" w:eastAsia="zh-CN"/>
              </w:rPr>
              <w:t>方案</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0B81F298">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售后服务方案；（</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62669F4E">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项目实施人员一览表；（</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6D4F8BF1">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投标人对本项目的合理化建议和改进措施；（</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42D15DF5">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优惠条件及特殊承诺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669AD525">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备品备件及供选择的配套零部件清单</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08D0A730">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培训计划（如有）</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18F64257">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9.</w:t>
            </w:r>
            <w:r>
              <w:rPr>
                <w:rFonts w:hint="eastAsia" w:ascii="宋体" w:hAnsi="宋体" w:eastAsia="宋体" w:cs="宋体"/>
                <w:color w:val="auto"/>
                <w:sz w:val="21"/>
                <w:szCs w:val="21"/>
                <w:highlight w:val="none"/>
              </w:rPr>
              <w:t>认为需要的其他技术文件或说明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18ABA277">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注：以上标明“必须提供”的材料</w:t>
            </w:r>
            <w:r>
              <w:rPr>
                <w:rFonts w:hint="eastAsia" w:ascii="宋体" w:hAnsi="宋体" w:eastAsia="宋体" w:cs="宋体"/>
                <w:b/>
                <w:color w:val="auto"/>
                <w:sz w:val="21"/>
                <w:szCs w:val="21"/>
                <w:highlight w:val="none"/>
              </w:rPr>
              <w:t>属于复印件的扫描件的</w:t>
            </w:r>
            <w:r>
              <w:rPr>
                <w:rFonts w:hint="eastAsia" w:ascii="宋体" w:hAnsi="宋体" w:eastAsia="宋体" w:cs="宋体"/>
                <w:b/>
                <w:bCs/>
                <w:color w:val="auto"/>
                <w:sz w:val="21"/>
                <w:szCs w:val="21"/>
                <w:highlight w:val="none"/>
              </w:rPr>
              <w:t>，必须加盖投标人电子公章，否则</w:t>
            </w:r>
            <w:r>
              <w:rPr>
                <w:rFonts w:hint="eastAsia" w:ascii="宋体" w:hAnsi="宋体" w:eastAsia="宋体" w:cs="宋体"/>
                <w:b/>
                <w:color w:val="auto"/>
                <w:sz w:val="21"/>
                <w:szCs w:val="21"/>
                <w:highlight w:val="none"/>
              </w:rPr>
              <w:t>作无效投标处理</w:t>
            </w:r>
            <w:r>
              <w:rPr>
                <w:rFonts w:hint="eastAsia" w:ascii="宋体" w:hAnsi="宋体" w:eastAsia="宋体" w:cs="宋体"/>
                <w:b/>
                <w:bCs/>
                <w:color w:val="auto"/>
                <w:sz w:val="21"/>
                <w:szCs w:val="21"/>
                <w:highlight w:val="none"/>
              </w:rPr>
              <w:t>。</w:t>
            </w:r>
          </w:p>
        </w:tc>
      </w:tr>
      <w:tr w14:paraId="0FC4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vMerge w:val="continue"/>
            <w:noWrap w:val="0"/>
            <w:vAlign w:val="center"/>
          </w:tcPr>
          <w:p w14:paraId="1FB0766B">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09CB13C0">
            <w:pPr>
              <w:keepNext w:val="0"/>
              <w:keepLines w:val="0"/>
              <w:pageBreakBefore w:val="0"/>
              <w:shd w:val="clear"/>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报价文件组成</w:t>
            </w:r>
          </w:p>
        </w:tc>
        <w:tc>
          <w:tcPr>
            <w:tcW w:w="7297" w:type="dxa"/>
            <w:noWrap w:val="0"/>
            <w:vAlign w:val="center"/>
          </w:tcPr>
          <w:p w14:paraId="580369DB">
            <w:pPr>
              <w:keepNext w:val="0"/>
              <w:keepLines w:val="0"/>
              <w:pageBreakBefore w:val="0"/>
              <w:shd w:val="clear"/>
              <w:tabs>
                <w:tab w:val="left" w:pos="459"/>
              </w:tabs>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投标函；（</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3B9EA6ED">
            <w:pPr>
              <w:keepNext w:val="0"/>
              <w:keepLines w:val="0"/>
              <w:pageBreakBefore w:val="0"/>
              <w:shd w:val="clear"/>
              <w:tabs>
                <w:tab w:val="left" w:pos="459"/>
              </w:tabs>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开标一览表</w:t>
            </w:r>
            <w:r>
              <w:rPr>
                <w:rFonts w:hint="eastAsia" w:ascii="宋体" w:hAnsi="宋体" w:cs="宋体"/>
                <w:color w:val="auto"/>
                <w:sz w:val="21"/>
                <w:szCs w:val="21"/>
                <w:highlight w:val="none"/>
                <w:lang w:eastAsia="zh-CN"/>
              </w:rPr>
              <w:t>（含投标报价明细）</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必须提供，否则作无效投标处理</w:t>
            </w:r>
            <w:r>
              <w:rPr>
                <w:rFonts w:hint="eastAsia" w:ascii="宋体" w:hAnsi="宋体" w:eastAsia="宋体" w:cs="宋体"/>
                <w:color w:val="auto"/>
                <w:sz w:val="21"/>
                <w:szCs w:val="21"/>
                <w:highlight w:val="none"/>
              </w:rPr>
              <w:t>）</w:t>
            </w:r>
          </w:p>
          <w:p w14:paraId="006DAB48">
            <w:pPr>
              <w:keepNext w:val="0"/>
              <w:keepLines w:val="0"/>
              <w:pageBreakBefore w:val="0"/>
              <w:shd w:val="clear"/>
              <w:tabs>
                <w:tab w:val="left" w:pos="459"/>
              </w:tabs>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cs="宋体"/>
                <w:color w:val="auto"/>
                <w:sz w:val="21"/>
                <w:szCs w:val="21"/>
                <w:highlight w:val="none"/>
                <w:lang w:val="en-US" w:eastAsia="zh-CN"/>
              </w:rPr>
              <w:t>中小企业声明函；</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292DFBE0">
            <w:pPr>
              <w:keepNext w:val="0"/>
              <w:keepLines w:val="0"/>
              <w:pageBreakBefore w:val="0"/>
              <w:shd w:val="clear"/>
              <w:tabs>
                <w:tab w:val="left" w:pos="459"/>
              </w:tabs>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投标人针对报价需要说明的其他文件和说明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如有请提供</w:t>
            </w:r>
            <w:r>
              <w:rPr>
                <w:rFonts w:hint="eastAsia" w:ascii="宋体" w:hAnsi="宋体" w:eastAsia="宋体" w:cs="宋体"/>
                <w:color w:val="auto"/>
                <w:sz w:val="21"/>
                <w:szCs w:val="21"/>
                <w:highlight w:val="none"/>
              </w:rPr>
              <w:t>）</w:t>
            </w:r>
          </w:p>
          <w:p w14:paraId="6767FA66">
            <w:pPr>
              <w:keepNext w:val="0"/>
              <w:keepLines w:val="0"/>
              <w:pageBreakBefore w:val="0"/>
              <w:shd w:val="clear"/>
              <w:tabs>
                <w:tab w:val="left" w:pos="459"/>
              </w:tabs>
              <w:kinsoku/>
              <w:wordWrap w:val="0"/>
              <w:overflowPunct/>
              <w:topLinePunct w:val="0"/>
              <w:bidi w:val="0"/>
              <w:adjustRightInd/>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注：以上标明“必须提供”的材料</w:t>
            </w:r>
            <w:r>
              <w:rPr>
                <w:rFonts w:hint="eastAsia" w:ascii="宋体" w:hAnsi="宋体" w:eastAsia="宋体" w:cs="宋体"/>
                <w:b/>
                <w:color w:val="auto"/>
                <w:sz w:val="21"/>
                <w:szCs w:val="21"/>
                <w:highlight w:val="none"/>
              </w:rPr>
              <w:t>属于复印件的扫描件的</w:t>
            </w:r>
            <w:r>
              <w:rPr>
                <w:rFonts w:hint="eastAsia" w:ascii="宋体" w:hAnsi="宋体" w:eastAsia="宋体" w:cs="宋体"/>
                <w:b/>
                <w:bCs/>
                <w:color w:val="auto"/>
                <w:sz w:val="21"/>
                <w:szCs w:val="21"/>
                <w:highlight w:val="none"/>
              </w:rPr>
              <w:t>，必须加盖投标人电子公章，否则</w:t>
            </w:r>
            <w:r>
              <w:rPr>
                <w:rFonts w:hint="eastAsia" w:ascii="宋体" w:hAnsi="宋体" w:eastAsia="宋体" w:cs="宋体"/>
                <w:b/>
                <w:color w:val="auto"/>
                <w:sz w:val="21"/>
                <w:szCs w:val="21"/>
                <w:highlight w:val="none"/>
              </w:rPr>
              <w:t>作无效投标处理</w:t>
            </w:r>
            <w:r>
              <w:rPr>
                <w:rFonts w:hint="eastAsia" w:ascii="宋体" w:hAnsi="宋体" w:eastAsia="宋体" w:cs="宋体"/>
                <w:b/>
                <w:bCs/>
                <w:color w:val="auto"/>
                <w:sz w:val="21"/>
                <w:szCs w:val="21"/>
                <w:highlight w:val="none"/>
              </w:rPr>
              <w:t>。</w:t>
            </w:r>
          </w:p>
        </w:tc>
      </w:tr>
      <w:tr w14:paraId="663F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075204F9">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16.2</w:t>
            </w:r>
          </w:p>
        </w:tc>
        <w:tc>
          <w:tcPr>
            <w:tcW w:w="2268" w:type="dxa"/>
            <w:noWrap w:val="0"/>
            <w:vAlign w:val="center"/>
          </w:tcPr>
          <w:p w14:paraId="70EF8FE9">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0" w:name="_16.2"/>
            <w:bookmarkEnd w:id="490"/>
            <w:r>
              <w:rPr>
                <w:rFonts w:hint="eastAsia" w:ascii="宋体" w:hAnsi="宋体" w:eastAsia="宋体" w:cs="宋体"/>
                <w:color w:val="auto"/>
                <w:sz w:val="21"/>
                <w:szCs w:val="21"/>
                <w:highlight w:val="none"/>
              </w:rPr>
              <w:t>投标报价要求</w:t>
            </w:r>
          </w:p>
        </w:tc>
        <w:tc>
          <w:tcPr>
            <w:tcW w:w="7297" w:type="dxa"/>
            <w:noWrap w:val="0"/>
            <w:vAlign w:val="center"/>
          </w:tcPr>
          <w:p w14:paraId="159E7CAA">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投标报价是履行合同的最终价格，必须包含满足本次投标全部采购需求所应提供的服务，以及伴随的货物和工程的价格；</w:t>
            </w:r>
          </w:p>
        </w:tc>
      </w:tr>
      <w:tr w14:paraId="1473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7153725F">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17.2</w:t>
            </w:r>
          </w:p>
        </w:tc>
        <w:tc>
          <w:tcPr>
            <w:tcW w:w="2268" w:type="dxa"/>
            <w:noWrap w:val="0"/>
            <w:vAlign w:val="center"/>
          </w:tcPr>
          <w:p w14:paraId="67C80BC5">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1" w:name="_17.1"/>
            <w:bookmarkEnd w:id="491"/>
            <w:r>
              <w:rPr>
                <w:rFonts w:hint="eastAsia" w:ascii="宋体" w:hAnsi="宋体" w:eastAsia="宋体" w:cs="宋体"/>
                <w:color w:val="auto"/>
                <w:sz w:val="21"/>
                <w:szCs w:val="21"/>
                <w:highlight w:val="none"/>
              </w:rPr>
              <w:t>投标有效期</w:t>
            </w:r>
          </w:p>
        </w:tc>
        <w:tc>
          <w:tcPr>
            <w:tcW w:w="7297" w:type="dxa"/>
            <w:noWrap w:val="0"/>
            <w:vAlign w:val="center"/>
          </w:tcPr>
          <w:p w14:paraId="178EA816">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自投标截止之日起</w:t>
            </w:r>
            <w:r>
              <w:rPr>
                <w:rFonts w:hint="eastAsia" w:ascii="宋体" w:hAnsi="宋体" w:eastAsia="宋体" w:cs="宋体"/>
                <w:color w:val="auto"/>
                <w:sz w:val="21"/>
                <w:szCs w:val="21"/>
                <w:highlight w:val="none"/>
                <w:u w:val="single"/>
              </w:rPr>
              <w:t xml:space="preserve"> </w:t>
            </w:r>
            <w:bookmarkStart w:id="492" w:name="PO_3000001866_PM046"/>
            <w:r>
              <w:rPr>
                <w:rFonts w:hint="eastAsia" w:ascii="宋体" w:hAnsi="宋体" w:eastAsia="宋体" w:cs="宋体"/>
                <w:color w:val="auto"/>
                <w:sz w:val="21"/>
                <w:szCs w:val="21"/>
                <w:highlight w:val="none"/>
                <w:u w:val="single"/>
              </w:rPr>
              <w:t>60日历天</w:t>
            </w:r>
            <w:bookmarkEnd w:id="492"/>
            <w:r>
              <w:rPr>
                <w:rFonts w:hint="eastAsia" w:ascii="宋体" w:hAnsi="宋体" w:eastAsia="宋体" w:cs="宋体"/>
                <w:color w:val="auto"/>
                <w:sz w:val="21"/>
                <w:szCs w:val="21"/>
                <w:highlight w:val="none"/>
              </w:rPr>
              <w:t>。</w:t>
            </w:r>
          </w:p>
        </w:tc>
      </w:tr>
      <w:tr w14:paraId="0F42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20A67335">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2268" w:type="dxa"/>
            <w:noWrap w:val="0"/>
            <w:vAlign w:val="center"/>
          </w:tcPr>
          <w:p w14:paraId="58A15C18">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3" w:name="_18"/>
            <w:bookmarkEnd w:id="493"/>
            <w:r>
              <w:rPr>
                <w:rFonts w:hint="eastAsia" w:ascii="宋体" w:hAnsi="宋体" w:eastAsia="宋体" w:cs="宋体"/>
                <w:color w:val="auto"/>
                <w:sz w:val="21"/>
                <w:szCs w:val="21"/>
                <w:highlight w:val="none"/>
              </w:rPr>
              <w:t>投标保证金金额</w:t>
            </w:r>
          </w:p>
        </w:tc>
        <w:tc>
          <w:tcPr>
            <w:tcW w:w="7297" w:type="dxa"/>
            <w:noWrap w:val="0"/>
            <w:vAlign w:val="center"/>
          </w:tcPr>
          <w:p w14:paraId="58ABF4E2">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本项目不收取投标保证金。</w:t>
            </w:r>
          </w:p>
        </w:tc>
      </w:tr>
      <w:tr w14:paraId="0EED2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6D590E8F">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w:t>
            </w:r>
          </w:p>
        </w:tc>
        <w:tc>
          <w:tcPr>
            <w:tcW w:w="2268" w:type="dxa"/>
            <w:noWrap w:val="0"/>
            <w:vAlign w:val="center"/>
          </w:tcPr>
          <w:p w14:paraId="2F613E3B">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投标文件编制要求</w:t>
            </w:r>
          </w:p>
        </w:tc>
        <w:tc>
          <w:tcPr>
            <w:tcW w:w="7297" w:type="dxa"/>
            <w:noWrap w:val="0"/>
            <w:vAlign w:val="center"/>
          </w:tcPr>
          <w:p w14:paraId="1D8FC82B">
            <w:pPr>
              <w:keepNext w:val="0"/>
              <w:keepLines w:val="0"/>
              <w:pageBreakBefore w:val="0"/>
              <w:shd w:val="clear"/>
              <w:kinsoku/>
              <w:wordWrap w:val="0"/>
              <w:overflowPunct/>
              <w:topLinePunct w:val="0"/>
              <w:bidi w:val="0"/>
              <w:adjustRightInd/>
              <w:spacing w:line="360" w:lineRule="auto"/>
              <w:rPr>
                <w:rFonts w:hint="eastAsia" w:ascii="宋体" w:hAnsi="宋体" w:eastAsia="宋体" w:cs="宋体"/>
                <w:b/>
                <w:color w:val="auto"/>
                <w:sz w:val="21"/>
                <w:szCs w:val="21"/>
                <w:highlight w:val="none"/>
                <w:u w:val="single"/>
              </w:rPr>
            </w:pPr>
            <w:r>
              <w:rPr>
                <w:rFonts w:hint="eastAsia" w:ascii="宋体" w:hAnsi="宋体" w:eastAsia="宋体" w:cs="宋体"/>
                <w:color w:val="auto"/>
                <w:sz w:val="21"/>
                <w:szCs w:val="21"/>
                <w:highlight w:val="none"/>
              </w:rPr>
              <w:t>投标文件应按报价文件、资格证明文件、商务文件、技术文件分别编制，报价文件、资格证明文件分别生产电子文件，商务文件和技术文件按顺序合并生成电子文件。</w:t>
            </w:r>
            <w:r>
              <w:rPr>
                <w:rFonts w:hint="eastAsia" w:ascii="宋体" w:hAnsi="宋体" w:eastAsia="宋体" w:cs="宋体"/>
                <w:b/>
                <w:color w:val="auto"/>
                <w:sz w:val="21"/>
                <w:szCs w:val="21"/>
                <w:highlight w:val="none"/>
                <w:u w:val="single"/>
              </w:rPr>
              <w:t>电子版投标文件制作方式见招标公告附件。</w:t>
            </w:r>
          </w:p>
        </w:tc>
      </w:tr>
      <w:tr w14:paraId="254B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6889DF50">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20</w:t>
            </w:r>
          </w:p>
        </w:tc>
        <w:tc>
          <w:tcPr>
            <w:tcW w:w="2268" w:type="dxa"/>
            <w:noWrap w:val="0"/>
            <w:vAlign w:val="center"/>
          </w:tcPr>
          <w:p w14:paraId="0370FC79">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备份投标文件</w:t>
            </w:r>
          </w:p>
        </w:tc>
        <w:tc>
          <w:tcPr>
            <w:tcW w:w="7297" w:type="dxa"/>
            <w:noWrap w:val="0"/>
            <w:vAlign w:val="center"/>
          </w:tcPr>
          <w:p w14:paraId="44FFDABF">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本项目不接受备份投标文件。</w:t>
            </w:r>
          </w:p>
        </w:tc>
      </w:tr>
      <w:tr w14:paraId="5D39E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867" w:type="dxa"/>
            <w:vMerge w:val="restart"/>
            <w:noWrap w:val="0"/>
            <w:vAlign w:val="center"/>
          </w:tcPr>
          <w:p w14:paraId="3F637BFD">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2268" w:type="dxa"/>
            <w:noWrap w:val="0"/>
            <w:vAlign w:val="center"/>
          </w:tcPr>
          <w:p w14:paraId="56B9E205">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4" w:name="_21.1"/>
            <w:bookmarkEnd w:id="494"/>
            <w:r>
              <w:rPr>
                <w:rFonts w:hint="eastAsia" w:ascii="宋体" w:hAnsi="宋体" w:eastAsia="宋体" w:cs="宋体"/>
                <w:color w:val="auto"/>
                <w:sz w:val="21"/>
                <w:szCs w:val="21"/>
                <w:highlight w:val="none"/>
              </w:rPr>
              <w:t>投标截止时间</w:t>
            </w:r>
          </w:p>
        </w:tc>
        <w:tc>
          <w:tcPr>
            <w:tcW w:w="7297" w:type="dxa"/>
            <w:noWrap w:val="0"/>
            <w:vAlign w:val="center"/>
          </w:tcPr>
          <w:p w14:paraId="284E3742">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详见招标公告</w:t>
            </w:r>
          </w:p>
        </w:tc>
      </w:tr>
      <w:tr w14:paraId="1D45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7" w:type="dxa"/>
            <w:vMerge w:val="continue"/>
            <w:noWrap w:val="0"/>
            <w:vAlign w:val="center"/>
          </w:tcPr>
          <w:p w14:paraId="33E60CF5">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09BBF3B4">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投标文件提交起止时间</w:t>
            </w:r>
          </w:p>
        </w:tc>
        <w:tc>
          <w:tcPr>
            <w:tcW w:w="7297" w:type="dxa"/>
            <w:noWrap w:val="0"/>
            <w:vAlign w:val="center"/>
          </w:tcPr>
          <w:p w14:paraId="6F244AEE">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详见招标公告</w:t>
            </w:r>
          </w:p>
        </w:tc>
      </w:tr>
      <w:tr w14:paraId="337B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7" w:type="dxa"/>
            <w:vMerge w:val="continue"/>
            <w:noWrap w:val="0"/>
            <w:vAlign w:val="center"/>
          </w:tcPr>
          <w:p w14:paraId="0A7F0E1A">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1CB069C1">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投标地点</w:t>
            </w:r>
          </w:p>
        </w:tc>
        <w:tc>
          <w:tcPr>
            <w:tcW w:w="7297" w:type="dxa"/>
            <w:noWrap w:val="0"/>
            <w:vAlign w:val="center"/>
          </w:tcPr>
          <w:p w14:paraId="652DBF4D">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详见招标公告</w:t>
            </w:r>
          </w:p>
        </w:tc>
      </w:tr>
      <w:tr w14:paraId="11DF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67" w:type="dxa"/>
            <w:vMerge w:val="continue"/>
            <w:noWrap w:val="0"/>
            <w:vAlign w:val="center"/>
          </w:tcPr>
          <w:p w14:paraId="3015693F">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2F6036F9">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投标人递交投标样品截止时间及地点</w:t>
            </w:r>
          </w:p>
        </w:tc>
        <w:tc>
          <w:tcPr>
            <w:tcW w:w="7297" w:type="dxa"/>
            <w:noWrap w:val="0"/>
            <w:vAlign w:val="center"/>
          </w:tcPr>
          <w:p w14:paraId="3477513C">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时间：</w:t>
            </w:r>
            <w:r>
              <w:rPr>
                <w:rFonts w:hint="eastAsia" w:ascii="宋体" w:hAnsi="宋体" w:eastAsia="宋体" w:cs="宋体"/>
                <w:bCs/>
                <w:color w:val="auto"/>
                <w:sz w:val="21"/>
                <w:szCs w:val="21"/>
                <w:highlight w:val="none"/>
                <w:u w:val="single"/>
              </w:rPr>
              <w:t xml:space="preserve">    /年 /月 / 日 / 时  /分</w:t>
            </w:r>
            <w:r>
              <w:rPr>
                <w:rFonts w:hint="eastAsia" w:ascii="宋体" w:hAnsi="宋体" w:eastAsia="宋体" w:cs="宋体"/>
                <w:bCs/>
                <w:color w:val="auto"/>
                <w:sz w:val="21"/>
                <w:szCs w:val="21"/>
                <w:highlight w:val="none"/>
              </w:rPr>
              <w:t>（北京时间）</w:t>
            </w:r>
          </w:p>
          <w:p w14:paraId="1A19E5CD">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地点：</w:t>
            </w:r>
            <w:r>
              <w:rPr>
                <w:rFonts w:hint="eastAsia" w:ascii="宋体" w:hAnsi="宋体" w:eastAsia="宋体" w:cs="宋体"/>
                <w:bCs/>
                <w:color w:val="auto"/>
                <w:sz w:val="21"/>
                <w:szCs w:val="21"/>
                <w:highlight w:val="none"/>
                <w:u w:val="single"/>
              </w:rPr>
              <w:t xml:space="preserve">        /                        </w:t>
            </w:r>
          </w:p>
        </w:tc>
      </w:tr>
      <w:tr w14:paraId="430D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51A89F4C">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p>
        </w:tc>
        <w:tc>
          <w:tcPr>
            <w:tcW w:w="2268" w:type="dxa"/>
            <w:noWrap w:val="0"/>
            <w:vAlign w:val="center"/>
          </w:tcPr>
          <w:p w14:paraId="4E89E04B">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5" w:name="_23"/>
            <w:bookmarkEnd w:id="495"/>
            <w:r>
              <w:rPr>
                <w:rFonts w:hint="eastAsia" w:ascii="宋体" w:hAnsi="宋体" w:eastAsia="宋体" w:cs="宋体"/>
                <w:color w:val="auto"/>
                <w:sz w:val="21"/>
                <w:szCs w:val="21"/>
                <w:highlight w:val="none"/>
              </w:rPr>
              <w:t>开标时间、地点</w:t>
            </w:r>
          </w:p>
        </w:tc>
        <w:tc>
          <w:tcPr>
            <w:tcW w:w="7297" w:type="dxa"/>
            <w:noWrap w:val="0"/>
            <w:vAlign w:val="center"/>
          </w:tcPr>
          <w:p w14:paraId="04176971">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详见招标公告 </w:t>
            </w:r>
          </w:p>
        </w:tc>
      </w:tr>
      <w:tr w14:paraId="13B7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867" w:type="dxa"/>
            <w:vMerge w:val="restart"/>
            <w:noWrap w:val="0"/>
            <w:vAlign w:val="center"/>
          </w:tcPr>
          <w:p w14:paraId="435D4365">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25.3（2）</w:t>
            </w:r>
          </w:p>
        </w:tc>
        <w:tc>
          <w:tcPr>
            <w:tcW w:w="2268" w:type="dxa"/>
            <w:noWrap w:val="0"/>
            <w:vAlign w:val="center"/>
          </w:tcPr>
          <w:p w14:paraId="2CD7639D">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6" w:name="_25.3"/>
            <w:bookmarkEnd w:id="496"/>
            <w:r>
              <w:rPr>
                <w:rFonts w:hint="eastAsia" w:ascii="宋体" w:hAnsi="宋体" w:eastAsia="宋体" w:cs="宋体"/>
                <w:color w:val="auto"/>
                <w:sz w:val="21"/>
                <w:szCs w:val="21"/>
                <w:highlight w:val="none"/>
              </w:rPr>
              <w:t>投标人信用查询渠道</w:t>
            </w:r>
          </w:p>
        </w:tc>
        <w:tc>
          <w:tcPr>
            <w:tcW w:w="7297" w:type="dxa"/>
            <w:noWrap w:val="0"/>
            <w:vAlign w:val="center"/>
          </w:tcPr>
          <w:p w14:paraId="7020324B">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采购人或者采购代理机构在资格审查结束前，对投标人进行信用查询。</w:t>
            </w:r>
          </w:p>
          <w:p w14:paraId="57CACB9D">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查询渠道：“信用中国”网站(www.creditchina.gov.cn) 、中国政府采购网(www.ccgp.gov.cn)。</w:t>
            </w:r>
          </w:p>
        </w:tc>
      </w:tr>
      <w:tr w14:paraId="4279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67" w:type="dxa"/>
            <w:vMerge w:val="continue"/>
            <w:noWrap w:val="0"/>
            <w:vAlign w:val="center"/>
          </w:tcPr>
          <w:p w14:paraId="721A418D">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149E45BB">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信用查询截止时点</w:t>
            </w:r>
          </w:p>
        </w:tc>
        <w:tc>
          <w:tcPr>
            <w:tcW w:w="7297" w:type="dxa"/>
            <w:noWrap w:val="0"/>
            <w:vAlign w:val="center"/>
          </w:tcPr>
          <w:p w14:paraId="09C8EF50">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资格审查结束前</w:t>
            </w:r>
          </w:p>
        </w:tc>
      </w:tr>
      <w:tr w14:paraId="725F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67" w:type="dxa"/>
            <w:vMerge w:val="continue"/>
            <w:noWrap w:val="0"/>
            <w:vAlign w:val="center"/>
          </w:tcPr>
          <w:p w14:paraId="061DD2CF">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1298D5D3">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查询记录和证据留存方式</w:t>
            </w:r>
          </w:p>
        </w:tc>
        <w:tc>
          <w:tcPr>
            <w:tcW w:w="7297" w:type="dxa"/>
            <w:noWrap w:val="0"/>
            <w:vAlign w:val="center"/>
          </w:tcPr>
          <w:p w14:paraId="65220554">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在查询网站中直接截图查询记录，截图作为在“</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”平台作为附件上传保存。</w:t>
            </w:r>
          </w:p>
        </w:tc>
      </w:tr>
      <w:tr w14:paraId="320D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67" w:type="dxa"/>
            <w:vMerge w:val="continue"/>
            <w:noWrap w:val="0"/>
            <w:vAlign w:val="center"/>
          </w:tcPr>
          <w:p w14:paraId="2D73BE76">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3AF8F6B2">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信用信息使用规则</w:t>
            </w:r>
          </w:p>
        </w:tc>
        <w:tc>
          <w:tcPr>
            <w:tcW w:w="7297" w:type="dxa"/>
            <w:noWrap w:val="0"/>
            <w:vAlign w:val="center"/>
          </w:tcPr>
          <w:p w14:paraId="41A29175">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对在“信用中国”网站(www.creditchina.gov.cn) 、中国政府采购网(www.ccgp.gov.cn)被列入失信被执行人、</w:t>
            </w:r>
            <w:r>
              <w:rPr>
                <w:rFonts w:hint="eastAsia" w:ascii="宋体" w:hAnsi="宋体" w:eastAsia="宋体" w:cs="宋体"/>
                <w:color w:val="auto"/>
                <w:sz w:val="21"/>
                <w:szCs w:val="21"/>
                <w:highlight w:val="none"/>
                <w:lang w:eastAsia="zh-CN"/>
              </w:rPr>
              <w:t>重大税收违法失信主体</w:t>
            </w:r>
            <w:r>
              <w:rPr>
                <w:rFonts w:hint="eastAsia" w:ascii="宋体" w:hAnsi="宋体" w:eastAsia="宋体" w:cs="宋体"/>
                <w:color w:val="auto"/>
                <w:sz w:val="21"/>
                <w:szCs w:val="21"/>
                <w:highlight w:val="none"/>
              </w:rPr>
              <w:t>、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63C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7F38E19D">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2268" w:type="dxa"/>
            <w:noWrap w:val="0"/>
            <w:vAlign w:val="center"/>
          </w:tcPr>
          <w:p w14:paraId="0BFC4743">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7" w:name="_26"/>
            <w:bookmarkEnd w:id="497"/>
            <w:bookmarkStart w:id="498" w:name="_28.3"/>
            <w:bookmarkEnd w:id="498"/>
            <w:r>
              <w:rPr>
                <w:rFonts w:hint="eastAsia" w:ascii="宋体" w:hAnsi="宋体" w:eastAsia="宋体" w:cs="宋体"/>
                <w:color w:val="auto"/>
                <w:sz w:val="21"/>
                <w:szCs w:val="21"/>
                <w:highlight w:val="none"/>
              </w:rPr>
              <w:t>评标方法</w:t>
            </w:r>
          </w:p>
        </w:tc>
        <w:tc>
          <w:tcPr>
            <w:tcW w:w="7297" w:type="dxa"/>
            <w:noWrap w:val="0"/>
            <w:vAlign w:val="center"/>
          </w:tcPr>
          <w:p w14:paraId="6B69D947">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☑综合评分法</w:t>
            </w:r>
          </w:p>
          <w:p w14:paraId="2F346AAB">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□最低评标价法</w:t>
            </w:r>
          </w:p>
        </w:tc>
      </w:tr>
      <w:tr w14:paraId="4321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67" w:type="dxa"/>
            <w:noWrap w:val="0"/>
            <w:vAlign w:val="center"/>
          </w:tcPr>
          <w:p w14:paraId="62CBE55F">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29.2</w:t>
            </w:r>
          </w:p>
        </w:tc>
        <w:tc>
          <w:tcPr>
            <w:tcW w:w="2268" w:type="dxa"/>
            <w:noWrap w:val="0"/>
            <w:vAlign w:val="center"/>
          </w:tcPr>
          <w:p w14:paraId="1A086FCD">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499" w:name="_29.2.2（2）"/>
            <w:bookmarkEnd w:id="499"/>
            <w:r>
              <w:rPr>
                <w:rFonts w:hint="eastAsia" w:ascii="宋体" w:hAnsi="宋体" w:eastAsia="宋体" w:cs="宋体"/>
                <w:color w:val="auto"/>
                <w:sz w:val="21"/>
                <w:szCs w:val="21"/>
                <w:highlight w:val="none"/>
              </w:rPr>
              <w:t>允许负偏离项</w:t>
            </w:r>
          </w:p>
        </w:tc>
        <w:tc>
          <w:tcPr>
            <w:tcW w:w="7297" w:type="dxa"/>
            <w:noWrap w:val="0"/>
            <w:vAlign w:val="center"/>
          </w:tcPr>
          <w:p w14:paraId="11F441D1">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商务条款评审中允许负偏离的条款数为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w:t>
            </w:r>
          </w:p>
          <w:p w14:paraId="33AC2517">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技术需求评审中允许负偏离的条款数为</w:t>
            </w:r>
            <w:r>
              <w:rPr>
                <w:rFonts w:hint="eastAsia" w:ascii="宋体" w:hAnsi="宋体" w:eastAsia="宋体" w:cs="宋体"/>
                <w:color w:val="auto"/>
                <w:sz w:val="21"/>
                <w:szCs w:val="21"/>
                <w:highlight w:val="none"/>
                <w:u w:val="single"/>
              </w:rPr>
              <w:t xml:space="preserve"> </w:t>
            </w:r>
            <w:r>
              <w:rPr>
                <w:rFonts w:hint="eastAsia" w:ascii="宋体" w:hAnsi="宋体" w:cs="宋体"/>
                <w:color w:val="auto"/>
                <w:sz w:val="21"/>
                <w:szCs w:val="21"/>
                <w:highlight w:val="none"/>
                <w:u w:val="singl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项。</w:t>
            </w:r>
          </w:p>
        </w:tc>
      </w:tr>
      <w:tr w14:paraId="0EDC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02573C67">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30.1</w:t>
            </w:r>
          </w:p>
        </w:tc>
        <w:tc>
          <w:tcPr>
            <w:tcW w:w="2268" w:type="dxa"/>
            <w:noWrap w:val="0"/>
            <w:vAlign w:val="center"/>
          </w:tcPr>
          <w:p w14:paraId="3BECCFD4">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确定中标供应商时，出现中标候选人分数并列的情形，确定中标供应商方式 </w:t>
            </w:r>
          </w:p>
        </w:tc>
        <w:tc>
          <w:tcPr>
            <w:tcW w:w="7297" w:type="dxa"/>
            <w:noWrap w:val="0"/>
            <w:vAlign w:val="center"/>
          </w:tcPr>
          <w:p w14:paraId="3A133FA5">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□采用最低评标价法的，投标文件满足招标文件全部实质性要求且投标报价最低的投标人为排名第一的中标候选人； </w:t>
            </w:r>
          </w:p>
          <w:p w14:paraId="3F9698E0">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☑采用综合评分法的，</w:t>
            </w:r>
            <w:r>
              <w:rPr>
                <w:rFonts w:hint="eastAsia" w:ascii="宋体" w:hAnsi="宋体" w:eastAsia="宋体" w:cs="宋体"/>
                <w:color w:val="auto"/>
                <w:sz w:val="21"/>
                <w:szCs w:val="21"/>
                <w:highlight w:val="none"/>
                <w:lang w:val="en-US" w:eastAsia="zh-CN"/>
              </w:rPr>
              <w:t>根据</w:t>
            </w:r>
            <w:r>
              <w:rPr>
                <w:rFonts w:hint="eastAsia" w:ascii="宋体" w:hAnsi="宋体" w:eastAsia="宋体" w:cs="宋体"/>
                <w:color w:val="auto"/>
                <w:sz w:val="21"/>
                <w:szCs w:val="21"/>
                <w:highlight w:val="none"/>
              </w:rPr>
              <w:t>总得分由高到低排列次序并推荐中标候选供应商。总得分相同的，以投标报价由低到高顺序排列。得分相同且投标报价相同的并列，投标文件满足招标文件全部实质性要求，且按照评审因素的量化指标评审得分最高的投标人为排名第一的中标候选供应商。</w:t>
            </w:r>
          </w:p>
        </w:tc>
      </w:tr>
      <w:tr w14:paraId="0E94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7" w:type="dxa"/>
            <w:noWrap w:val="0"/>
            <w:vAlign w:val="center"/>
          </w:tcPr>
          <w:p w14:paraId="1E5CC763">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35</w:t>
            </w:r>
          </w:p>
        </w:tc>
        <w:tc>
          <w:tcPr>
            <w:tcW w:w="2268" w:type="dxa"/>
            <w:noWrap w:val="0"/>
            <w:vAlign w:val="center"/>
          </w:tcPr>
          <w:p w14:paraId="73385032">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500" w:name="_39.1"/>
            <w:bookmarkEnd w:id="500"/>
            <w:r>
              <w:rPr>
                <w:rFonts w:hint="eastAsia" w:ascii="宋体" w:hAnsi="宋体" w:eastAsia="宋体" w:cs="宋体"/>
                <w:color w:val="auto"/>
                <w:sz w:val="21"/>
                <w:szCs w:val="21"/>
                <w:highlight w:val="none"/>
              </w:rPr>
              <w:t>履约保证金金额</w:t>
            </w:r>
          </w:p>
        </w:tc>
        <w:tc>
          <w:tcPr>
            <w:tcW w:w="7297" w:type="dxa"/>
            <w:noWrap w:val="0"/>
            <w:vAlign w:val="bottom"/>
          </w:tcPr>
          <w:p w14:paraId="4C75B4F0">
            <w:pPr>
              <w:keepNext w:val="0"/>
              <w:keepLines w:val="0"/>
              <w:pageBreakBefore w:val="0"/>
              <w:shd w:val="clear"/>
              <w:kinsoku/>
              <w:wordWrap w:val="0"/>
              <w:overflowPunct/>
              <w:topLinePunct w:val="0"/>
              <w:autoSpaceDE w:val="0"/>
              <w:autoSpaceDN w:val="0"/>
              <w:bidi w:val="0"/>
              <w:adjustRightInd/>
              <w:snapToGrid w:val="0"/>
              <w:spacing w:line="360" w:lineRule="auto"/>
              <w:jc w:val="left"/>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本项目不收取履约保证金。</w:t>
            </w:r>
          </w:p>
        </w:tc>
      </w:tr>
      <w:tr w14:paraId="27AC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66C4E78B">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w:t>
            </w:r>
          </w:p>
        </w:tc>
        <w:tc>
          <w:tcPr>
            <w:tcW w:w="2268" w:type="dxa"/>
            <w:noWrap w:val="0"/>
            <w:vAlign w:val="center"/>
          </w:tcPr>
          <w:p w14:paraId="71A4EAA7">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501" w:name="_40.1"/>
            <w:bookmarkEnd w:id="501"/>
            <w:r>
              <w:rPr>
                <w:rFonts w:hint="eastAsia" w:ascii="宋体" w:hAnsi="宋体" w:eastAsia="宋体" w:cs="宋体"/>
                <w:color w:val="auto"/>
                <w:sz w:val="21"/>
                <w:szCs w:val="21"/>
                <w:highlight w:val="none"/>
              </w:rPr>
              <w:t>签订电子合同携带的材料</w:t>
            </w:r>
          </w:p>
        </w:tc>
        <w:tc>
          <w:tcPr>
            <w:tcW w:w="7297" w:type="dxa"/>
            <w:noWrap w:val="0"/>
            <w:vAlign w:val="center"/>
          </w:tcPr>
          <w:p w14:paraId="731610CF">
            <w:pPr>
              <w:keepNext w:val="0"/>
              <w:keepLines w:val="0"/>
              <w:pageBreakBefore w:val="0"/>
              <w:shd w:val="clear"/>
              <w:kinsoku/>
              <w:wordWrap w:val="0"/>
              <w:overflowPunct/>
              <w:topLinePunct w:val="0"/>
              <w:autoSpaceDE w:val="0"/>
              <w:autoSpaceDN w:val="0"/>
              <w:bidi w:val="0"/>
              <w:adjustRightInd/>
              <w:snapToGrid w:val="0"/>
              <w:spacing w:line="360" w:lineRule="auto"/>
              <w:textAlignment w:val="bottom"/>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电子采购合同需要供应商通过有效CA证书进行电子签署</w:t>
            </w:r>
          </w:p>
        </w:tc>
      </w:tr>
      <w:tr w14:paraId="7B65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67" w:type="dxa"/>
            <w:vMerge w:val="restart"/>
            <w:noWrap w:val="0"/>
            <w:vAlign w:val="center"/>
          </w:tcPr>
          <w:p w14:paraId="65558E1E">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38.2.1</w:t>
            </w:r>
          </w:p>
        </w:tc>
        <w:tc>
          <w:tcPr>
            <w:tcW w:w="2268" w:type="dxa"/>
            <w:noWrap w:val="0"/>
            <w:vAlign w:val="center"/>
          </w:tcPr>
          <w:p w14:paraId="3631247B">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接收质疑函方式</w:t>
            </w:r>
          </w:p>
        </w:tc>
        <w:tc>
          <w:tcPr>
            <w:tcW w:w="7297" w:type="dxa"/>
            <w:noWrap w:val="0"/>
            <w:vAlign w:val="center"/>
          </w:tcPr>
          <w:p w14:paraId="659D4FAF">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以书面形式</w:t>
            </w:r>
          </w:p>
        </w:tc>
      </w:tr>
      <w:tr w14:paraId="040C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67" w:type="dxa"/>
            <w:vMerge w:val="continue"/>
            <w:noWrap w:val="0"/>
            <w:vAlign w:val="center"/>
          </w:tcPr>
          <w:p w14:paraId="435A7A7E">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784C73F4">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质疑联系部门及联系方式</w:t>
            </w:r>
          </w:p>
        </w:tc>
        <w:tc>
          <w:tcPr>
            <w:tcW w:w="7297" w:type="dxa"/>
            <w:noWrap w:val="0"/>
            <w:vAlign w:val="center"/>
          </w:tcPr>
          <w:p w14:paraId="46B7205F">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（1）</w:t>
            </w:r>
            <w:bookmarkStart w:id="502" w:name="PO_3000001866_PM031_3"/>
            <w:r>
              <w:rPr>
                <w:rFonts w:hint="eastAsia" w:ascii="宋体" w:hAnsi="宋体" w:eastAsia="宋体" w:cs="宋体"/>
                <w:color w:val="auto"/>
                <w:sz w:val="21"/>
                <w:szCs w:val="21"/>
                <w:highlight w:val="none"/>
                <w:u w:val="single"/>
              </w:rPr>
              <w:t>广西邕政采购代理有限公司</w:t>
            </w:r>
            <w:bookmarkEnd w:id="502"/>
            <w:r>
              <w:rPr>
                <w:rFonts w:hint="eastAsia" w:ascii="宋体" w:hAnsi="宋体" w:eastAsia="宋体" w:cs="宋体"/>
                <w:color w:val="auto"/>
                <w:sz w:val="21"/>
                <w:szCs w:val="21"/>
                <w:highlight w:val="none"/>
                <w:u w:val="single"/>
              </w:rPr>
              <w:t xml:space="preserve"> 部门；</w:t>
            </w:r>
          </w:p>
          <w:p w14:paraId="2F8ACFA7">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联系电话：0771-2225338，</w:t>
            </w:r>
          </w:p>
          <w:p w14:paraId="1B0E6375">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通讯地址：南宁市青秀区民族大道180号（</w:t>
            </w:r>
            <w:r>
              <w:rPr>
                <w:rFonts w:hint="eastAsia" w:ascii="宋体" w:hAnsi="宋体" w:eastAsia="宋体" w:cs="宋体"/>
                <w:color w:val="auto"/>
                <w:sz w:val="21"/>
                <w:szCs w:val="21"/>
                <w:highlight w:val="none"/>
                <w:u w:val="single"/>
                <w:lang w:eastAsia="zh-CN"/>
              </w:rPr>
              <w:t>威壮</w:t>
            </w:r>
            <w:r>
              <w:rPr>
                <w:rFonts w:hint="eastAsia" w:ascii="宋体" w:hAnsi="宋体" w:eastAsia="宋体" w:cs="宋体"/>
                <w:color w:val="auto"/>
                <w:sz w:val="21"/>
                <w:szCs w:val="21"/>
                <w:highlight w:val="none"/>
                <w:u w:val="single"/>
              </w:rPr>
              <w:t xml:space="preserve">大厦）22层2210～2217室 </w:t>
            </w:r>
          </w:p>
          <w:p w14:paraId="463FEA50">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（2）</w:t>
            </w:r>
            <w:r>
              <w:rPr>
                <w:rFonts w:hint="eastAsia" w:ascii="宋体" w:hAnsi="宋体" w:cs="宋体"/>
                <w:color w:val="auto"/>
                <w:sz w:val="21"/>
                <w:szCs w:val="21"/>
                <w:highlight w:val="none"/>
                <w:u w:val="single"/>
                <w:lang w:eastAsia="zh-CN"/>
              </w:rPr>
              <w:t>南宁市南湖公园</w:t>
            </w:r>
            <w:r>
              <w:rPr>
                <w:rFonts w:hint="eastAsia" w:ascii="宋体" w:hAnsi="宋体" w:eastAsia="宋体" w:cs="宋体"/>
                <w:color w:val="auto"/>
                <w:sz w:val="21"/>
                <w:szCs w:val="21"/>
                <w:highlight w:val="none"/>
                <w:u w:val="single"/>
              </w:rPr>
              <w:t>部门；</w:t>
            </w:r>
          </w:p>
          <w:p w14:paraId="47C2D5C2">
            <w:pPr>
              <w:keepNext w:val="0"/>
              <w:keepLines w:val="0"/>
              <w:pageBreakBefore w:val="0"/>
              <w:shd w:val="clear"/>
              <w:kinsoku/>
              <w:wordWrap w:val="0"/>
              <w:overflowPunct/>
              <w:topLinePunct w:val="0"/>
              <w:bidi w:val="0"/>
              <w:adjustRightInd/>
              <w:snapToGrid w:val="0"/>
              <w:spacing w:line="360" w:lineRule="auto"/>
              <w:rPr>
                <w:rFonts w:hint="default" w:ascii="宋体" w:hAnsi="宋体" w:eastAsia="宋体" w:cs="宋体"/>
                <w:color w:val="auto"/>
                <w:sz w:val="21"/>
                <w:szCs w:val="21"/>
                <w:highlight w:val="none"/>
                <w:u w:val="single"/>
                <w:lang w:val="en-US"/>
              </w:rPr>
            </w:pPr>
            <w:r>
              <w:rPr>
                <w:rFonts w:hint="eastAsia" w:ascii="宋体" w:hAnsi="宋体" w:eastAsia="宋体" w:cs="宋体"/>
                <w:color w:val="auto"/>
                <w:sz w:val="21"/>
                <w:szCs w:val="21"/>
                <w:highlight w:val="none"/>
                <w:u w:val="single"/>
              </w:rPr>
              <w:t>联系电话</w:t>
            </w:r>
            <w:r>
              <w:rPr>
                <w:rFonts w:hint="eastAsia" w:ascii="宋体" w:hAnsi="宋体" w:eastAsia="宋体" w:cs="宋体"/>
                <w:color w:val="auto"/>
                <w:sz w:val="21"/>
                <w:szCs w:val="21"/>
                <w:highlight w:val="none"/>
                <w:u w:val="single"/>
                <w:lang w:eastAsia="zh-CN"/>
              </w:rPr>
              <w:t>：</w:t>
            </w:r>
            <w:r>
              <w:rPr>
                <w:rFonts w:hint="eastAsia" w:ascii="宋体" w:hAnsi="宋体" w:cs="宋体"/>
                <w:color w:val="auto"/>
                <w:sz w:val="21"/>
                <w:szCs w:val="21"/>
                <w:highlight w:val="none"/>
                <w:u w:val="single"/>
                <w:lang w:val="en-US" w:eastAsia="zh-CN"/>
              </w:rPr>
              <w:t>0771-5305344、0771-5306249</w:t>
            </w:r>
          </w:p>
          <w:p w14:paraId="03A065BD">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通讯地址：南宁市青秀区双拥路1号</w:t>
            </w:r>
          </w:p>
        </w:tc>
      </w:tr>
      <w:tr w14:paraId="73D3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67" w:type="dxa"/>
            <w:vMerge w:val="continue"/>
            <w:noWrap w:val="0"/>
            <w:vAlign w:val="center"/>
          </w:tcPr>
          <w:p w14:paraId="6B7B5245">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4651B59E">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现场提交质疑办理业务时间</w:t>
            </w:r>
          </w:p>
        </w:tc>
        <w:tc>
          <w:tcPr>
            <w:tcW w:w="7297" w:type="dxa"/>
            <w:noWrap w:val="0"/>
            <w:vAlign w:val="center"/>
          </w:tcPr>
          <w:p w14:paraId="0ED50E61">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质疑期内每个工作日</w:t>
            </w:r>
            <w:r>
              <w:rPr>
                <w:rFonts w:hint="eastAsia" w:ascii="宋体" w:hAnsi="宋体" w:eastAsia="宋体" w:cs="宋体"/>
                <w:color w:val="auto"/>
                <w:sz w:val="21"/>
                <w:szCs w:val="21"/>
                <w:highlight w:val="none"/>
                <w:u w:val="single"/>
              </w:rPr>
              <w:t xml:space="preserve"> 09 </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00</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分到</w:t>
            </w:r>
            <w:r>
              <w:rPr>
                <w:rFonts w:hint="eastAsia" w:ascii="宋体" w:hAnsi="宋体" w:eastAsia="宋体" w:cs="宋体"/>
                <w:color w:val="auto"/>
                <w:sz w:val="21"/>
                <w:szCs w:val="21"/>
                <w:highlight w:val="none"/>
                <w:u w:val="single"/>
              </w:rPr>
              <w:t xml:space="preserve"> 12  </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rPr>
              <w:t xml:space="preserve"> 00 </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u w:val="single"/>
              </w:rPr>
              <w:t xml:space="preserve"> 15</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rPr>
              <w:t xml:space="preserve"> 00 </w:t>
            </w:r>
            <w:r>
              <w:rPr>
                <w:rFonts w:hint="eastAsia" w:ascii="宋体" w:hAnsi="宋体" w:eastAsia="宋体" w:cs="宋体"/>
                <w:color w:val="auto"/>
                <w:sz w:val="21"/>
                <w:szCs w:val="21"/>
                <w:highlight w:val="none"/>
              </w:rPr>
              <w:t>分到</w:t>
            </w:r>
            <w:r>
              <w:rPr>
                <w:rFonts w:hint="eastAsia" w:ascii="宋体" w:hAnsi="宋体" w:eastAsia="宋体" w:cs="宋体"/>
                <w:color w:val="auto"/>
                <w:sz w:val="21"/>
                <w:szCs w:val="21"/>
                <w:highlight w:val="none"/>
                <w:u w:val="single"/>
              </w:rPr>
              <w:t xml:space="preserve"> 18 </w:t>
            </w:r>
            <w:r>
              <w:rPr>
                <w:rFonts w:hint="eastAsia" w:ascii="宋体" w:hAnsi="宋体" w:eastAsia="宋体" w:cs="宋体"/>
                <w:color w:val="auto"/>
                <w:sz w:val="21"/>
                <w:szCs w:val="21"/>
                <w:highlight w:val="none"/>
              </w:rPr>
              <w:t>时</w:t>
            </w:r>
            <w:r>
              <w:rPr>
                <w:rFonts w:hint="eastAsia" w:ascii="宋体" w:hAnsi="宋体" w:eastAsia="宋体" w:cs="宋体"/>
                <w:color w:val="auto"/>
                <w:sz w:val="21"/>
                <w:szCs w:val="21"/>
                <w:highlight w:val="none"/>
                <w:u w:val="single"/>
              </w:rPr>
              <w:t xml:space="preserve">00 </w:t>
            </w:r>
            <w:r>
              <w:rPr>
                <w:rFonts w:hint="eastAsia" w:ascii="宋体" w:hAnsi="宋体" w:eastAsia="宋体" w:cs="宋体"/>
                <w:color w:val="auto"/>
                <w:sz w:val="21"/>
                <w:szCs w:val="21"/>
                <w:highlight w:val="none"/>
              </w:rPr>
              <w:t>分</w:t>
            </w:r>
          </w:p>
        </w:tc>
      </w:tr>
      <w:tr w14:paraId="138C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867" w:type="dxa"/>
            <w:noWrap w:val="0"/>
            <w:vAlign w:val="center"/>
          </w:tcPr>
          <w:p w14:paraId="242F06B3">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38.3.1</w:t>
            </w:r>
          </w:p>
        </w:tc>
        <w:tc>
          <w:tcPr>
            <w:tcW w:w="2268" w:type="dxa"/>
            <w:noWrap w:val="0"/>
            <w:vAlign w:val="center"/>
          </w:tcPr>
          <w:p w14:paraId="40D2B81A">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投诉受理方式</w:t>
            </w:r>
          </w:p>
        </w:tc>
        <w:tc>
          <w:tcPr>
            <w:tcW w:w="7297" w:type="dxa"/>
            <w:noWrap w:val="0"/>
            <w:vAlign w:val="center"/>
          </w:tcPr>
          <w:p w14:paraId="1AE07F09">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受理方式：纸质方式受理，投诉书正、副本（经过质疑的事项才可投诉）。</w:t>
            </w:r>
          </w:p>
          <w:p w14:paraId="6C4C1107">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邮寄地址：</w:t>
            </w:r>
          </w:p>
          <w:p w14:paraId="273E7E31">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bookmarkStart w:id="503" w:name="PO_3000001866_PM036"/>
            <w:r>
              <w:rPr>
                <w:rFonts w:hint="eastAsia" w:ascii="宋体" w:hAnsi="宋体" w:eastAsia="宋体" w:cs="宋体"/>
                <w:color w:val="auto"/>
                <w:sz w:val="21"/>
                <w:szCs w:val="21"/>
                <w:highlight w:val="none"/>
              </w:rPr>
              <w:t>南宁市财政局政府采购监督管理科</w:t>
            </w:r>
            <w:bookmarkEnd w:id="503"/>
          </w:p>
          <w:p w14:paraId="4EE5D386">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bookmarkStart w:id="504" w:name="PO_3000001866_PM039"/>
            <w:r>
              <w:rPr>
                <w:rFonts w:hint="eastAsia" w:ascii="宋体" w:hAnsi="宋体" w:eastAsia="宋体" w:cs="宋体"/>
                <w:color w:val="auto"/>
                <w:sz w:val="21"/>
                <w:szCs w:val="21"/>
                <w:highlight w:val="none"/>
              </w:rPr>
              <w:t xml:space="preserve">南宁市东葛路129号   </w:t>
            </w:r>
            <w:bookmarkEnd w:id="504"/>
          </w:p>
          <w:p w14:paraId="760DD044">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bookmarkStart w:id="505" w:name="PO_3000001866_PM038_1"/>
            <w:r>
              <w:rPr>
                <w:rFonts w:hint="eastAsia" w:ascii="宋体" w:hAnsi="宋体" w:eastAsia="宋体" w:cs="宋体"/>
                <w:color w:val="auto"/>
                <w:sz w:val="21"/>
                <w:szCs w:val="21"/>
                <w:highlight w:val="none"/>
              </w:rPr>
              <w:t>0771-2189091</w:t>
            </w:r>
            <w:bookmarkEnd w:id="505"/>
          </w:p>
        </w:tc>
      </w:tr>
      <w:tr w14:paraId="5C00B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867" w:type="dxa"/>
            <w:vMerge w:val="restart"/>
            <w:noWrap w:val="0"/>
            <w:vAlign w:val="center"/>
          </w:tcPr>
          <w:p w14:paraId="4CAC1A6A">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w:t>
            </w:r>
          </w:p>
        </w:tc>
        <w:tc>
          <w:tcPr>
            <w:tcW w:w="2268" w:type="dxa"/>
            <w:noWrap w:val="0"/>
            <w:vAlign w:val="center"/>
          </w:tcPr>
          <w:p w14:paraId="7B77FF0E">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bookmarkStart w:id="506" w:name="_41"/>
            <w:bookmarkEnd w:id="506"/>
            <w:bookmarkStart w:id="507" w:name="_42"/>
            <w:bookmarkEnd w:id="507"/>
            <w:r>
              <w:rPr>
                <w:rFonts w:hint="eastAsia" w:ascii="宋体" w:hAnsi="宋体" w:eastAsia="宋体" w:cs="宋体"/>
                <w:color w:val="auto"/>
                <w:sz w:val="21"/>
                <w:szCs w:val="21"/>
                <w:highlight w:val="none"/>
              </w:rPr>
              <w:t>采购代理费支付方式</w:t>
            </w:r>
          </w:p>
        </w:tc>
        <w:tc>
          <w:tcPr>
            <w:tcW w:w="7297" w:type="dxa"/>
            <w:noWrap w:val="0"/>
            <w:vAlign w:val="center"/>
          </w:tcPr>
          <w:p w14:paraId="1BAE1319">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☑本项目代理服务费由</w:t>
            </w:r>
            <w:r>
              <w:rPr>
                <w:rFonts w:hint="eastAsia" w:ascii="宋体" w:hAnsi="宋体" w:eastAsia="宋体" w:cs="宋体"/>
                <w:color w:val="auto"/>
                <w:sz w:val="21"/>
                <w:szCs w:val="21"/>
                <w:highlight w:val="none"/>
                <w:u w:val="single"/>
              </w:rPr>
              <w:t>中标供应商</w:t>
            </w:r>
            <w:r>
              <w:rPr>
                <w:rFonts w:hint="eastAsia" w:ascii="宋体" w:hAnsi="宋体" w:eastAsia="宋体" w:cs="宋体"/>
                <w:color w:val="auto"/>
                <w:sz w:val="21"/>
                <w:szCs w:val="21"/>
                <w:highlight w:val="none"/>
              </w:rPr>
              <w:t>在领取中标通知书时，一次性向采购代理机构支付。</w:t>
            </w:r>
          </w:p>
          <w:p w14:paraId="41C2C667">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□采购人支付。</w:t>
            </w:r>
          </w:p>
          <w:p w14:paraId="14D5BFFB">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□本项目不收取代理服务费。</w:t>
            </w:r>
          </w:p>
        </w:tc>
      </w:tr>
      <w:tr w14:paraId="1120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trPr>
        <w:tc>
          <w:tcPr>
            <w:tcW w:w="867" w:type="dxa"/>
            <w:vMerge w:val="continue"/>
            <w:noWrap w:val="0"/>
            <w:vAlign w:val="center"/>
          </w:tcPr>
          <w:p w14:paraId="05297EDE">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680C1D7E">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采购代理费收取标准</w:t>
            </w:r>
          </w:p>
        </w:tc>
        <w:tc>
          <w:tcPr>
            <w:tcW w:w="7297" w:type="dxa"/>
            <w:noWrap w:val="0"/>
            <w:vAlign w:val="center"/>
          </w:tcPr>
          <w:p w14:paraId="7078C241">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代理服务费参照国家发展和改革委员会（原国家计委）文件“国家计委关于印发《招标代理服务收费管理暂行办法》的通知”（计价格〔2002〕1980号）及“国家发展改革委关于降低部分建设项目收费标准规范收费行为等有关问题的通知”（发改价格〔2011〕534号），以中标金额为计费额，按“服务类”标准下浮62%计取。</w:t>
            </w:r>
          </w:p>
        </w:tc>
      </w:tr>
      <w:tr w14:paraId="527A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867" w:type="dxa"/>
            <w:vMerge w:val="continue"/>
            <w:noWrap w:val="0"/>
            <w:vAlign w:val="center"/>
          </w:tcPr>
          <w:p w14:paraId="3DCB8C8B">
            <w:pPr>
              <w:keepNext w:val="0"/>
              <w:keepLines w:val="0"/>
              <w:pageBreakBefore w:val="0"/>
              <w:widowControl/>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p>
        </w:tc>
        <w:tc>
          <w:tcPr>
            <w:tcW w:w="2268" w:type="dxa"/>
            <w:noWrap w:val="0"/>
            <w:vAlign w:val="center"/>
          </w:tcPr>
          <w:p w14:paraId="6A078C28">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代理服务费收款账户信息</w:t>
            </w:r>
          </w:p>
        </w:tc>
        <w:tc>
          <w:tcPr>
            <w:tcW w:w="7297" w:type="dxa"/>
            <w:noWrap w:val="0"/>
            <w:vAlign w:val="center"/>
          </w:tcPr>
          <w:p w14:paraId="1400A53B">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账户名称：广西邕政采购代理有限公司</w:t>
            </w:r>
          </w:p>
          <w:p w14:paraId="05ADA760">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开户银行：交通银行南宁东葛西支行</w:t>
            </w:r>
          </w:p>
          <w:p w14:paraId="164F93C8">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银行账号：4510 6070 1018 1602 32818 </w:t>
            </w:r>
          </w:p>
          <w:p w14:paraId="46EFAAF7">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开户行行号：301611000718</w:t>
            </w:r>
          </w:p>
        </w:tc>
      </w:tr>
      <w:tr w14:paraId="3322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14600B08">
            <w:pPr>
              <w:keepNext w:val="0"/>
              <w:keepLines w:val="0"/>
              <w:pageBreakBefore w:val="0"/>
              <w:shd w:val="clear"/>
              <w:kinsoku/>
              <w:wordWrap w:val="0"/>
              <w:overflowPunct/>
              <w:topLinePunct w:val="0"/>
              <w:bidi w:val="0"/>
              <w:adjustRightInd/>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41.1</w:t>
            </w:r>
          </w:p>
        </w:tc>
        <w:tc>
          <w:tcPr>
            <w:tcW w:w="2268" w:type="dxa"/>
            <w:noWrap w:val="0"/>
            <w:vAlign w:val="center"/>
          </w:tcPr>
          <w:p w14:paraId="5A5F5D2E">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解释</w:t>
            </w:r>
          </w:p>
        </w:tc>
        <w:tc>
          <w:tcPr>
            <w:tcW w:w="7297" w:type="dxa"/>
            <w:noWrap w:val="0"/>
            <w:vAlign w:val="center"/>
          </w:tcPr>
          <w:p w14:paraId="39A1251A">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解释权：</w:t>
            </w:r>
            <w:r>
              <w:rPr>
                <w:rFonts w:hint="eastAsia" w:ascii="宋体" w:hAnsi="宋体" w:eastAsia="宋体" w:cs="宋体"/>
                <w:color w:val="auto"/>
                <w:sz w:val="21"/>
                <w:szCs w:val="21"/>
                <w:highlight w:val="none"/>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eastAsia="宋体" w:cs="宋体"/>
                <w:b/>
                <w:color w:val="auto"/>
                <w:sz w:val="21"/>
                <w:szCs w:val="21"/>
                <w:highlight w:val="none"/>
              </w:rPr>
              <w:t>，由采购人或者采购代理机构负责解释。</w:t>
            </w:r>
          </w:p>
          <w:p w14:paraId="232531DB">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法律责任：</w:t>
            </w:r>
          </w:p>
          <w:p w14:paraId="625A8073">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根据《中华人民共和国政府采购法》、《中华人民共和国民法典》；《中华人民共和国政府采购法实施条例》等有关法律、法规编制，参与本项目的各政府采购当事人依法享有上述法律法规所赋予的权利与义务。</w:t>
            </w:r>
          </w:p>
          <w:p w14:paraId="46DFD0B7">
            <w:pPr>
              <w:keepNext w:val="0"/>
              <w:keepLines w:val="0"/>
              <w:pageBreakBefore w:val="0"/>
              <w:shd w:val="clear"/>
              <w:kinsoku/>
              <w:wordWrap w:val="0"/>
              <w:overflowPunct/>
              <w:topLinePunct w:val="0"/>
              <w:bidi w:val="0"/>
              <w:adjustRightInd/>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2.本项目采购代理机构应严格按照“</w:t>
            </w:r>
            <w:r>
              <w:rPr>
                <w:rFonts w:hint="eastAsia" w:ascii="宋体" w:hAnsi="宋体" w:eastAsia="宋体" w:cs="宋体"/>
                <w:b/>
                <w:color w:val="auto"/>
                <w:sz w:val="21"/>
                <w:szCs w:val="21"/>
                <w:highlight w:val="none"/>
                <w:lang w:eastAsia="zh-CN"/>
              </w:rPr>
              <w:t>广西政府采购云</w:t>
            </w:r>
            <w:r>
              <w:rPr>
                <w:rFonts w:hint="eastAsia" w:ascii="宋体" w:hAnsi="宋体" w:eastAsia="宋体" w:cs="宋体"/>
                <w:b/>
                <w:color w:val="auto"/>
                <w:sz w:val="21"/>
                <w:szCs w:val="21"/>
                <w:highlight w:val="none"/>
              </w:rPr>
              <w:t>”平台项目采购全流程电子化电子开评标规程执行项目采购活动，代理机构在“</w:t>
            </w:r>
            <w:r>
              <w:rPr>
                <w:rFonts w:hint="eastAsia" w:ascii="宋体" w:hAnsi="宋体" w:eastAsia="宋体" w:cs="宋体"/>
                <w:b/>
                <w:color w:val="auto"/>
                <w:sz w:val="21"/>
                <w:szCs w:val="21"/>
                <w:highlight w:val="none"/>
                <w:lang w:eastAsia="zh-CN"/>
              </w:rPr>
              <w:t>广西政府采购云</w:t>
            </w:r>
            <w:r>
              <w:rPr>
                <w:rFonts w:hint="eastAsia" w:ascii="宋体" w:hAnsi="宋体" w:eastAsia="宋体" w:cs="宋体"/>
                <w:b/>
                <w:color w:val="auto"/>
                <w:sz w:val="21"/>
                <w:szCs w:val="21"/>
                <w:highlight w:val="none"/>
              </w:rPr>
              <w:t>”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6A01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 w:type="dxa"/>
            <w:noWrap w:val="0"/>
            <w:vAlign w:val="center"/>
          </w:tcPr>
          <w:p w14:paraId="5C0F3FDE">
            <w:pPr>
              <w:keepNext w:val="0"/>
              <w:keepLines w:val="0"/>
              <w:pageBreakBefore w:val="0"/>
              <w:shd w:val="clear"/>
              <w:kinsoku/>
              <w:wordWrap w:val="0"/>
              <w:overflowPunct/>
              <w:topLinePunct w:val="0"/>
              <w:bidi w:val="0"/>
              <w:adjustRightInd/>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41.2</w:t>
            </w:r>
          </w:p>
        </w:tc>
        <w:tc>
          <w:tcPr>
            <w:tcW w:w="2268" w:type="dxa"/>
            <w:noWrap w:val="0"/>
            <w:vAlign w:val="center"/>
          </w:tcPr>
          <w:p w14:paraId="5F2C729C">
            <w:pPr>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其他释义</w:t>
            </w:r>
          </w:p>
        </w:tc>
        <w:tc>
          <w:tcPr>
            <w:tcW w:w="7297" w:type="dxa"/>
            <w:noWrap w:val="0"/>
            <w:vAlign w:val="center"/>
          </w:tcPr>
          <w:p w14:paraId="5C61555F">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159A67ED">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3C1F1A7C">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3.本招标文件中描述投标人的“签字”是指投标人的法定代表人或者委托代理人亲自在文件规定签署处亲笔写上个人的名字的行为，私章、签字章、印鉴、影印等其他形式均不能代替亲笔签字。</w:t>
            </w:r>
          </w:p>
          <w:p w14:paraId="6D78CABE">
            <w:pPr>
              <w:pStyle w:val="13"/>
              <w:keepNext w:val="0"/>
              <w:keepLines w:val="0"/>
              <w:pageBreakBefore w:val="0"/>
              <w:shd w:val="clear"/>
              <w:kinsoku/>
              <w:wordWrap w:val="0"/>
              <w:overflowPunct/>
              <w:topLinePunct w:val="0"/>
              <w:bidi w:val="0"/>
              <w:adjustRightInd/>
              <w:snapToGrid w:val="0"/>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4.自然人投标的，招标文件规定盖公章处由自然人摁手指指印。</w:t>
            </w:r>
          </w:p>
          <w:p w14:paraId="2932B94A">
            <w:pPr>
              <w:keepNext w:val="0"/>
              <w:keepLines w:val="0"/>
              <w:pageBreakBefore w:val="0"/>
              <w:shd w:val="clear"/>
              <w:kinsoku/>
              <w:wordWrap w:val="0"/>
              <w:overflowPunct/>
              <w:topLinePunct w:val="0"/>
              <w:bidi w:val="0"/>
              <w:adjustRightInd/>
              <w:spacing w:line="360" w:lineRule="auto"/>
              <w:jc w:val="left"/>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5.本招标文件所称的“以上”“以下”“以内”“届满”，包括本数；所称的“不满”“超过”“以外”，不包括本数。</w:t>
            </w:r>
          </w:p>
        </w:tc>
      </w:tr>
    </w:tbl>
    <w:p w14:paraId="00EDB523">
      <w:pPr>
        <w:widowControl/>
        <w:shd w:val="clear"/>
        <w:wordWrap w:val="0"/>
        <w:spacing w:line="360" w:lineRule="auto"/>
        <w:jc w:val="left"/>
        <w:rPr>
          <w:rFonts w:hint="eastAsia" w:ascii="宋体" w:hAnsi="宋体" w:eastAsia="宋体" w:cs="宋体"/>
          <w:b/>
          <w:bCs/>
          <w:color w:val="auto"/>
          <w:sz w:val="32"/>
          <w:szCs w:val="32"/>
          <w:highlight w:val="none"/>
        </w:rPr>
        <w:sectPr>
          <w:footerReference r:id="rId10" w:type="default"/>
          <w:pgSz w:w="11906" w:h="16838"/>
          <w:pgMar w:top="1440" w:right="1080" w:bottom="1440" w:left="1080" w:header="720" w:footer="720" w:gutter="0"/>
          <w:pgNumType w:fmt="decimal"/>
          <w:cols w:space="720" w:num="1"/>
          <w:docGrid w:type="lines" w:linePitch="331" w:charSpace="0"/>
        </w:sectPr>
      </w:pPr>
    </w:p>
    <w:p w14:paraId="08C6653B">
      <w:pPr>
        <w:shd w:val="clear"/>
        <w:wordWrap w:val="0"/>
        <w:spacing w:line="360" w:lineRule="auto"/>
        <w:rPr>
          <w:rFonts w:hint="eastAsia" w:ascii="宋体" w:hAnsi="宋体" w:eastAsia="宋体" w:cs="宋体"/>
          <w:color w:val="auto"/>
          <w:highlight w:val="none"/>
        </w:rPr>
      </w:pPr>
    </w:p>
    <w:p w14:paraId="31DB0238">
      <w:pPr>
        <w:pStyle w:val="3"/>
        <w:shd w:val="clear"/>
        <w:wordWrap w:val="0"/>
        <w:spacing w:before="0" w:after="0" w:line="360" w:lineRule="auto"/>
        <w:jc w:val="center"/>
        <w:rPr>
          <w:rFonts w:hint="eastAsia" w:ascii="宋体" w:hAnsi="宋体" w:eastAsia="宋体" w:cs="宋体"/>
          <w:color w:val="auto"/>
          <w:highlight w:val="none"/>
        </w:rPr>
      </w:pPr>
      <w:bookmarkStart w:id="508" w:name="_Toc9747"/>
      <w:r>
        <w:rPr>
          <w:rFonts w:hint="eastAsia" w:ascii="宋体" w:hAnsi="宋体" w:eastAsia="宋体" w:cs="宋体"/>
          <w:color w:val="auto"/>
          <w:highlight w:val="none"/>
        </w:rPr>
        <w:t>第二节 投标人须知正文</w:t>
      </w:r>
      <w:bookmarkEnd w:id="508"/>
    </w:p>
    <w:p w14:paraId="471771D0">
      <w:pPr>
        <w:pStyle w:val="4"/>
        <w:keepNext w:val="0"/>
        <w:keepLines w:val="0"/>
        <w:shd w:val="clear"/>
        <w:wordWrap w:val="0"/>
        <w:spacing w:line="360" w:lineRule="auto"/>
        <w:jc w:val="center"/>
        <w:rPr>
          <w:rFonts w:hint="eastAsia" w:ascii="宋体" w:hAnsi="宋体" w:eastAsia="宋体" w:cs="宋体"/>
          <w:color w:val="auto"/>
          <w:highlight w:val="none"/>
        </w:rPr>
      </w:pPr>
      <w:bookmarkStart w:id="509" w:name="_Toc6643"/>
      <w:r>
        <w:rPr>
          <w:rFonts w:hint="eastAsia" w:ascii="宋体" w:hAnsi="宋体" w:eastAsia="宋体" w:cs="宋体"/>
          <w:color w:val="auto"/>
          <w:highlight w:val="none"/>
        </w:rPr>
        <w:t>一、总  则</w:t>
      </w:r>
      <w:bookmarkEnd w:id="509"/>
    </w:p>
    <w:p w14:paraId="770ABE7B">
      <w:pPr>
        <w:shd w:val="clear"/>
        <w:wordWrap w:val="0"/>
        <w:spacing w:line="360" w:lineRule="auto"/>
        <w:ind w:firstLine="480" w:firstLineChars="200"/>
        <w:rPr>
          <w:rFonts w:hint="eastAsia" w:ascii="宋体" w:hAnsi="宋体" w:eastAsia="宋体" w:cs="宋体"/>
          <w:color w:val="auto"/>
          <w:sz w:val="24"/>
          <w:highlight w:val="none"/>
        </w:rPr>
      </w:pPr>
      <w:bookmarkStart w:id="510" w:name="_Toc254970668"/>
      <w:bookmarkStart w:id="511" w:name="_Toc254970527"/>
      <w:r>
        <w:rPr>
          <w:rFonts w:hint="eastAsia" w:ascii="宋体" w:hAnsi="宋体" w:eastAsia="宋体" w:cs="宋体"/>
          <w:color w:val="auto"/>
          <w:sz w:val="24"/>
          <w:highlight w:val="none"/>
        </w:rPr>
        <w:t>1.适用范围</w:t>
      </w:r>
      <w:bookmarkEnd w:id="510"/>
      <w:bookmarkEnd w:id="511"/>
    </w:p>
    <w:p w14:paraId="06A0A48C">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0DC911CD">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1.2本招标文件</w:t>
      </w:r>
      <w:r>
        <w:rPr>
          <w:rFonts w:hint="eastAsia" w:ascii="宋体" w:hAnsi="宋体" w:eastAsia="宋体" w:cs="宋体"/>
          <w:color w:val="auto"/>
          <w:spacing w:val="-6"/>
          <w:szCs w:val="21"/>
          <w:highlight w:val="none"/>
        </w:rPr>
        <w:t>适用于本项目的所有采购程序和环节（法律、法规另有规定的，从其规定）。</w:t>
      </w:r>
    </w:p>
    <w:p w14:paraId="0B1E3C3C">
      <w:pPr>
        <w:shd w:val="clear"/>
        <w:wordWrap w:val="0"/>
        <w:spacing w:line="360" w:lineRule="auto"/>
        <w:ind w:firstLine="480" w:firstLineChars="200"/>
        <w:rPr>
          <w:rFonts w:hint="eastAsia" w:ascii="宋体" w:hAnsi="宋体" w:eastAsia="宋体" w:cs="宋体"/>
          <w:color w:val="auto"/>
          <w:sz w:val="24"/>
          <w:highlight w:val="none"/>
        </w:rPr>
      </w:pPr>
      <w:bookmarkStart w:id="512" w:name="_Toc254970528"/>
      <w:bookmarkStart w:id="513" w:name="_Toc254970669"/>
      <w:r>
        <w:rPr>
          <w:rFonts w:hint="eastAsia" w:ascii="宋体" w:hAnsi="宋体" w:eastAsia="宋体" w:cs="宋体"/>
          <w:color w:val="auto"/>
          <w:sz w:val="24"/>
          <w:highlight w:val="none"/>
        </w:rPr>
        <w:t>2.定义</w:t>
      </w:r>
      <w:bookmarkEnd w:id="512"/>
      <w:bookmarkEnd w:id="513"/>
    </w:p>
    <w:p w14:paraId="4AFBAAB7">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2.1“采购人”是指依法进行政府采购的国家机关、事业单位、团体组织。</w:t>
      </w:r>
    </w:p>
    <w:p w14:paraId="19AD3058">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2.2“采购代理机构” 指政府采购集中采购机构和集中采购机构以外的采购代理机构。</w:t>
      </w:r>
    </w:p>
    <w:p w14:paraId="168C5823">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2.3“供应商”是指向采购人提供货物、工程或者服务的法人、其他组织或者自然人。</w:t>
      </w:r>
    </w:p>
    <w:p w14:paraId="590BEF38">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2.4“投标人”是指响应招标、参加投标竞争的法人、非法人组织或者自然人。</w:t>
      </w:r>
    </w:p>
    <w:p w14:paraId="494333ED">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2.5“服务”是指除货物和工程以外的其他政府采购对象。</w:t>
      </w:r>
    </w:p>
    <w:p w14:paraId="287A0261">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2.6“书面形式”是指合同书、信件和数据电文（包括电报、电传、传真、短信、电子数据交换和电子邮件）等可以有形地表现所载内容的形式。</w:t>
      </w:r>
    </w:p>
    <w:p w14:paraId="0E6A6B43">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2.7“实质性要求”是指招标文件中已经指明不满足则投标无效的条款，或者不能负偏离的条款，或者采购需求中带“</w:t>
      </w:r>
      <w:r>
        <w:rPr>
          <w:rFonts w:hint="eastAsia" w:ascii="宋体" w:hAnsi="宋体" w:eastAsia="宋体" w:cs="宋体"/>
          <w:b/>
          <w:bCs/>
          <w:color w:val="auto"/>
          <w:szCs w:val="21"/>
          <w:highlight w:val="none"/>
        </w:rPr>
        <w:t>▲</w:t>
      </w:r>
      <w:r>
        <w:rPr>
          <w:rFonts w:hint="eastAsia" w:ascii="宋体" w:hAnsi="宋体" w:eastAsia="宋体" w:cs="宋体"/>
          <w:b/>
          <w:color w:val="auto"/>
          <w:szCs w:val="21"/>
          <w:highlight w:val="none"/>
        </w:rPr>
        <w:t>”的条款。</w:t>
      </w:r>
    </w:p>
    <w:p w14:paraId="4120FE08">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2.8“正偏离”，是指投标文件对招标文件“采购需求”中有关条款作出的响应优于条款要求并有利于采购人的情形。</w:t>
      </w:r>
    </w:p>
    <w:p w14:paraId="395614D2">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2.9“负偏离”，是指投标文件对招标文件“采购需求”中有关条款作出的响应不满足条款要求，导致采购人要求不能得到满足的情形。</w:t>
      </w:r>
    </w:p>
    <w:p w14:paraId="1FA8CC46">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bookmarkStart w:id="514" w:name="_Toc254970670"/>
      <w:bookmarkStart w:id="515" w:name="_Toc254970529"/>
    </w:p>
    <w:p w14:paraId="371D448D">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bookmarkEnd w:id="514"/>
      <w:bookmarkEnd w:id="515"/>
      <w:r>
        <w:rPr>
          <w:rFonts w:hint="eastAsia" w:ascii="宋体" w:hAnsi="宋体" w:eastAsia="宋体" w:cs="宋体"/>
          <w:color w:val="auto"/>
          <w:sz w:val="24"/>
          <w:highlight w:val="none"/>
        </w:rPr>
        <w:t>投标人的资格要求</w:t>
      </w:r>
    </w:p>
    <w:p w14:paraId="4F2BB00B">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投标人的资格要求详见“招标公告”。</w:t>
      </w:r>
    </w:p>
    <w:p w14:paraId="219F4155">
      <w:pPr>
        <w:shd w:val="clear"/>
        <w:wordWrap w:val="0"/>
        <w:spacing w:line="360" w:lineRule="auto"/>
        <w:ind w:firstLine="480" w:firstLineChars="200"/>
        <w:rPr>
          <w:rFonts w:hint="eastAsia" w:ascii="宋体" w:hAnsi="宋体" w:eastAsia="宋体" w:cs="宋体"/>
          <w:color w:val="auto"/>
          <w:sz w:val="24"/>
          <w:highlight w:val="none"/>
        </w:rPr>
      </w:pPr>
      <w:bookmarkStart w:id="516" w:name="_Toc254970671"/>
      <w:bookmarkStart w:id="517" w:name="_Toc254970530"/>
      <w:r>
        <w:rPr>
          <w:rFonts w:hint="eastAsia" w:ascii="宋体" w:hAnsi="宋体" w:eastAsia="宋体" w:cs="宋体"/>
          <w:color w:val="auto"/>
          <w:sz w:val="24"/>
          <w:highlight w:val="none"/>
        </w:rPr>
        <w:t>4.投标委托</w:t>
      </w:r>
      <w:bookmarkEnd w:id="516"/>
      <w:bookmarkEnd w:id="517"/>
    </w:p>
    <w:p w14:paraId="3C553521">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投标人代表参加投标活动过程中必须携带个人有效身份证件。如投标人代表不是法定代表人，须持有法定代表人授权委托书（正本用原件，副本用复印件，按第六章要求格式填写）。</w:t>
      </w:r>
    </w:p>
    <w:p w14:paraId="65D01FC3">
      <w:pPr>
        <w:shd w:val="clear"/>
        <w:wordWrap w:val="0"/>
        <w:spacing w:line="360" w:lineRule="auto"/>
        <w:ind w:firstLine="480" w:firstLineChars="200"/>
        <w:rPr>
          <w:rFonts w:hint="eastAsia" w:ascii="宋体" w:hAnsi="宋体" w:eastAsia="宋体" w:cs="宋体"/>
          <w:color w:val="auto"/>
          <w:sz w:val="24"/>
          <w:highlight w:val="none"/>
        </w:rPr>
      </w:pPr>
      <w:bookmarkStart w:id="518" w:name="_5.投标费用"/>
      <w:bookmarkEnd w:id="518"/>
      <w:bookmarkStart w:id="519" w:name="_Toc254970531"/>
      <w:bookmarkStart w:id="520" w:name="_Toc254970672"/>
      <w:r>
        <w:rPr>
          <w:rFonts w:hint="eastAsia" w:ascii="宋体" w:hAnsi="宋体" w:eastAsia="宋体" w:cs="宋体"/>
          <w:color w:val="auto"/>
          <w:sz w:val="24"/>
          <w:highlight w:val="none"/>
        </w:rPr>
        <w:t>5.投标费用</w:t>
      </w:r>
      <w:bookmarkEnd w:id="519"/>
      <w:bookmarkEnd w:id="520"/>
    </w:p>
    <w:p w14:paraId="4ABA0807">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投标费用：投标人应承担参与本次采购活动有关的所有费用，包括但不限于勘查现场、编制投标文件、参加澄清说明、签订合同等，不论投标结果如何，均应自行承担。</w:t>
      </w:r>
    </w:p>
    <w:p w14:paraId="719DC3FE">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6.联合体投标</w:t>
      </w:r>
    </w:p>
    <w:p w14:paraId="6689D9D6">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6.1本项目是否接受联合体投标，详见“投标人须知前附表”。</w:t>
      </w:r>
    </w:p>
    <w:p w14:paraId="1B74D095">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6.2如接受联合体投标，联合体投标要求详见“投标人须知前附表”。</w:t>
      </w:r>
    </w:p>
    <w:p w14:paraId="2230EBEE">
      <w:pPr>
        <w:shd w:val="clear"/>
        <w:wordWrap w:val="0"/>
        <w:spacing w:line="360" w:lineRule="auto"/>
        <w:ind w:firstLine="420" w:firstLineChars="200"/>
        <w:rPr>
          <w:rFonts w:hint="eastAsia" w:ascii="宋体" w:hAnsi="宋体" w:eastAsia="宋体" w:cs="宋体"/>
          <w:bCs/>
          <w:color w:val="auto"/>
          <w:sz w:val="24"/>
          <w:szCs w:val="21"/>
          <w:highlight w:val="none"/>
          <w:shd w:val="clear" w:color="auto" w:fill="FFFFFF"/>
        </w:rPr>
      </w:pPr>
      <w:r>
        <w:rPr>
          <w:rFonts w:hint="eastAsia" w:ascii="宋体" w:hAnsi="宋体" w:eastAsia="宋体" w:cs="宋体"/>
          <w:bCs/>
          <w:color w:val="auto"/>
          <w:szCs w:val="21"/>
          <w:highlight w:val="none"/>
        </w:rPr>
        <w:t>6.3根据《政府采购促进中小企业发展管理办法》（财库[2020]46号）第九条、《广西壮族自治区财政厅关于持续优化政府采购营商环境推动高质量发展的通知》（桂财采〔2024〕55号）、</w:t>
      </w:r>
      <w:r>
        <w:rPr>
          <w:rFonts w:hint="eastAsia" w:ascii="宋体" w:hAnsi="宋体" w:eastAsia="宋体" w:cs="宋体"/>
          <w:color w:val="auto"/>
          <w:highlight w:val="none"/>
        </w:rPr>
        <w:t>《广西壮族自治区财政厅关于贯彻落实政府采购支持中小企业发展政策的通知》（桂财采〔2022〕31号）</w:t>
      </w:r>
      <w:r>
        <w:rPr>
          <w:rFonts w:hint="eastAsia" w:ascii="宋体" w:hAnsi="宋体" w:eastAsia="宋体" w:cs="宋体"/>
          <w:bCs/>
          <w:color w:val="auto"/>
          <w:szCs w:val="21"/>
          <w:highlight w:val="none"/>
        </w:rPr>
        <w:t>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146498BC">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7.转包与分包             </w:t>
      </w:r>
    </w:p>
    <w:p w14:paraId="20E8E8EA">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7.1本项目是否允许分包详见“投标人须知前附表”，本项目不允许违法分包。投标人根据招标文件的规定和采购项目的实际情况，拟在中标后将中</w:t>
      </w:r>
      <w:permStart w:id="0" w:edGrp="everyone"/>
      <w:permEnd w:id="0"/>
      <w:r>
        <w:rPr>
          <w:rFonts w:hint="eastAsia" w:ascii="宋体" w:hAnsi="宋体" w:eastAsia="宋体" w:cs="宋体"/>
          <w:b/>
          <w:color w:val="auto"/>
          <w:szCs w:val="21"/>
          <w:highlight w:val="none"/>
        </w:rPr>
        <w:t>标项目的非主体、非关键性工作分包的，应当在投标文件中载明分包承担主体，分包承担主体应当具备相应资质条件且不得再次分包。</w:t>
      </w:r>
    </w:p>
    <w:p w14:paraId="5DC5984F">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7.2根据《政府采购促进中小企业发展管理办法》（财库[2020]46号）第九条及《广西壮族自治区财政厅关于持续优化政府采购营商环境推动高质量发展的通知》（桂财采〔2024〕55号）、</w:t>
      </w:r>
      <w:r>
        <w:rPr>
          <w:rFonts w:hint="eastAsia" w:ascii="宋体" w:hAnsi="宋体" w:eastAsia="宋体" w:cs="宋体"/>
          <w:color w:val="auto"/>
          <w:highlight w:val="none"/>
        </w:rPr>
        <w:t>《广西壮族自治区财政厅关于贯彻落实政府采购支持中小企业发展政策的通知》（桂财采〔2022〕31号）</w:t>
      </w:r>
      <w:r>
        <w:rPr>
          <w:rFonts w:hint="eastAsia" w:ascii="宋体" w:hAnsi="宋体" w:eastAsia="宋体" w:cs="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57F17713">
      <w:pPr>
        <w:shd w:val="clear"/>
        <w:wordWrap w:val="0"/>
        <w:spacing w:line="360" w:lineRule="auto"/>
        <w:ind w:firstLine="480" w:firstLineChars="200"/>
        <w:rPr>
          <w:rFonts w:hint="eastAsia" w:ascii="宋体" w:hAnsi="宋体" w:eastAsia="宋体" w:cs="宋体"/>
          <w:color w:val="auto"/>
          <w:sz w:val="24"/>
          <w:highlight w:val="none"/>
        </w:rPr>
      </w:pPr>
      <w:bookmarkStart w:id="521" w:name="_Toc254970673"/>
      <w:bookmarkStart w:id="522" w:name="_Toc254970532"/>
      <w:r>
        <w:rPr>
          <w:rFonts w:hint="eastAsia" w:ascii="宋体" w:hAnsi="宋体" w:eastAsia="宋体" w:cs="宋体"/>
          <w:color w:val="auto"/>
          <w:sz w:val="24"/>
          <w:highlight w:val="none"/>
        </w:rPr>
        <w:t>8.特别说明：</w:t>
      </w:r>
      <w:bookmarkEnd w:id="521"/>
      <w:bookmarkEnd w:id="522"/>
      <w:bookmarkStart w:id="523" w:name="_8.1提供相同品牌产品且通过资格审查、符合性审查的不同投标人参加同一合"/>
      <w:bookmarkEnd w:id="523"/>
    </w:p>
    <w:p w14:paraId="71D78DE0">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8.1如果本招标文件要求投标人提供资格、信誉、荣誉、业绩与企业认证等材料的，则投标人所提供的以上材料必须为投标人所拥有。</w:t>
      </w:r>
    </w:p>
    <w:p w14:paraId="5CBADFDC">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8.2投标人应仔细阅读招标文件的所有内容，按照招标文件的要求提交投标文件，并对所提供的全部资料的真实性承担法律责任。</w:t>
      </w:r>
    </w:p>
    <w:p w14:paraId="64650F6E">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8.3投标人在投标活动中提供任何虚假材料，将报监管部门查处；中标后发现的，中标供应商须依照《中华人民共和国消费者权益保护法》规定赔偿采购人，且民事赔偿并不免除违法投标人的行政与刑事责任。</w:t>
      </w:r>
    </w:p>
    <w:p w14:paraId="396B8477">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9.回避与串通投标</w:t>
      </w:r>
    </w:p>
    <w:p w14:paraId="18803506">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9.1在政府采购活动中，采购人员及相关人员与供应商有下列利害关系之一的，应当回避：</w:t>
      </w:r>
    </w:p>
    <w:p w14:paraId="2F46718C">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（1）参加采购活动前3年内与供应商存在劳动关系；</w:t>
      </w:r>
    </w:p>
    <w:p w14:paraId="7907C7D6">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（2）参加采购活动前3年内担任供应商的董事、监事；</w:t>
      </w:r>
    </w:p>
    <w:p w14:paraId="70E41619">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（3）参加采购活动前3年内是供应商的控股股东或者实际控制人；</w:t>
      </w:r>
    </w:p>
    <w:p w14:paraId="0DC549B7">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（4）与供应商的法定代表人或者负责人有夫妻、直系血亲、三代以内旁系血亲或者近姻亲关系；</w:t>
      </w:r>
    </w:p>
    <w:p w14:paraId="74825861">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（5）与供应商有其他可能影响政府采购活动公平、公正进行的关系。</w:t>
      </w:r>
    </w:p>
    <w:p w14:paraId="5750165E">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A9A1120">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9.2有下列情形之一的视为投标人相互串通投标，投标文件将被视为无效：</w:t>
      </w:r>
    </w:p>
    <w:p w14:paraId="6FB2A8E3">
      <w:pPr>
        <w:shd w:val="clea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（1）不同投标人的投标文件由同一单位或者个人编制；或者不同投标人报名的IP地址一致的；或者不同投标人报名的IP地址一致的；或者编制标书硬件设备CPU编号、硬盘编号、网卡地址一致的情况。</w:t>
      </w:r>
    </w:p>
    <w:p w14:paraId="3FC6A711">
      <w:pPr>
        <w:shd w:val="clea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（2）不同投标人委托同一单位或者个人办理投标事宜；</w:t>
      </w:r>
    </w:p>
    <w:p w14:paraId="53D492BB">
      <w:pPr>
        <w:shd w:val="clea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（3）不同的投标人的投标文件载明的项目管理员为同一个人；</w:t>
      </w:r>
    </w:p>
    <w:p w14:paraId="6E26D345">
      <w:pPr>
        <w:shd w:val="clea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（4）不同投标人的电子或纸质投标文件异常一致或者投标报价呈规律性差异；</w:t>
      </w:r>
    </w:p>
    <w:p w14:paraId="15324D16">
      <w:pPr>
        <w:shd w:val="clea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（5）不同投标人的纸质投标文件相互混装；</w:t>
      </w:r>
    </w:p>
    <w:p w14:paraId="16080F9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9.3供应商有下列情形之一的，属于恶意串通行为，将报同级监督管理部门：</w:t>
      </w:r>
    </w:p>
    <w:p w14:paraId="3A898B85">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（1）供应商直接或者间接从采购人或者采购代理机构处获得其他供应商的相关信息并修改其投标文件或者投标文件；</w:t>
      </w:r>
    </w:p>
    <w:p w14:paraId="1DB03E45">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（2）供应商按照采购人或者采购代理机构的授意撤换、修改投标文件或者投标文件；</w:t>
      </w:r>
    </w:p>
    <w:p w14:paraId="70CF38AB">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（3）供应商之间协商报价、技术方案等投标文件或者投标文件的实质性内容；</w:t>
      </w:r>
    </w:p>
    <w:p w14:paraId="56752075">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（4）属于同一集团、协会、商会等组织成员的供应商按照该组织要求协同参加政府采购活动；</w:t>
      </w:r>
    </w:p>
    <w:p w14:paraId="4E3B2C0E">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（5）供应商之间事先约定一致抬高或者压低投标报价，或者在招标项目中事先约定轮流以高价位或者低价位中标，或者事先约定由某一特定供应商中标，然后再参加投标；</w:t>
      </w:r>
    </w:p>
    <w:p w14:paraId="16F0875F">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（6）供应商之间商定部分供应商放弃参加政府采购活动或者放弃中标；</w:t>
      </w:r>
    </w:p>
    <w:p w14:paraId="408721E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（7）供应商与采购人或者采购代理机构之间、供应商相互之间，为谋求特定供应商中标或者排斥其他供应商的其他串通行为。</w:t>
      </w:r>
    </w:p>
    <w:p w14:paraId="058A6C32">
      <w:pPr>
        <w:pStyle w:val="13"/>
        <w:shd w:val="clear"/>
        <w:wordWrap w:val="0"/>
        <w:snapToGrid w:val="0"/>
        <w:spacing w:line="360" w:lineRule="auto"/>
        <w:ind w:left="2" w:leftChars="1" w:firstLine="422" w:firstLineChars="200"/>
        <w:rPr>
          <w:rFonts w:hint="eastAsia" w:ascii="宋体" w:hAnsi="宋体" w:eastAsia="宋体" w:cs="宋体"/>
          <w:b/>
          <w:color w:val="auto"/>
          <w:highlight w:val="none"/>
        </w:rPr>
      </w:pPr>
    </w:p>
    <w:p w14:paraId="6944CBCD">
      <w:pPr>
        <w:pStyle w:val="4"/>
        <w:keepNext w:val="0"/>
        <w:keepLines w:val="0"/>
        <w:shd w:val="clear"/>
        <w:wordWrap w:val="0"/>
        <w:spacing w:line="360" w:lineRule="auto"/>
        <w:jc w:val="center"/>
        <w:rPr>
          <w:rFonts w:hint="eastAsia" w:ascii="宋体" w:hAnsi="宋体" w:eastAsia="宋体" w:cs="宋体"/>
          <w:color w:val="auto"/>
          <w:highlight w:val="none"/>
        </w:rPr>
      </w:pPr>
      <w:bookmarkStart w:id="524" w:name="_Toc16294"/>
      <w:bookmarkStart w:id="525" w:name="_Toc254970534"/>
      <w:bookmarkStart w:id="526" w:name="_Toc254970675"/>
      <w:r>
        <w:rPr>
          <w:rFonts w:hint="eastAsia" w:ascii="宋体" w:hAnsi="宋体" w:eastAsia="宋体" w:cs="宋体"/>
          <w:color w:val="auto"/>
          <w:highlight w:val="none"/>
        </w:rPr>
        <w:t>二、招标文件</w:t>
      </w:r>
      <w:bookmarkEnd w:id="524"/>
      <w:bookmarkEnd w:id="525"/>
      <w:bookmarkEnd w:id="526"/>
    </w:p>
    <w:p w14:paraId="0B06E2EE">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10.招标文件的组成</w:t>
      </w:r>
    </w:p>
    <w:p w14:paraId="1B44C02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招标公告；</w:t>
      </w:r>
    </w:p>
    <w:p w14:paraId="1F889AC8">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第二章 采购需求； </w:t>
      </w:r>
    </w:p>
    <w:p w14:paraId="277C560F">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第三章 投标人须知；</w:t>
      </w:r>
    </w:p>
    <w:p w14:paraId="59CC3EBB">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评标方法及评标标准；</w:t>
      </w:r>
    </w:p>
    <w:p w14:paraId="40B878E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拟签订的合同文本；</w:t>
      </w:r>
    </w:p>
    <w:p w14:paraId="43052206">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投标文件格式；</w:t>
      </w:r>
    </w:p>
    <w:p w14:paraId="51882AB6">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第七章 质疑、投诉材料格式</w:t>
      </w:r>
    </w:p>
    <w:p w14:paraId="48B1CD41">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根据本章第11.1项的规定对公开招标文件所做的澄清、修改，构成招标文件的组成部分。当公开招标文件与招标文件的澄清和修改就同一内容的表述不一致时，以最后澄清或修改公告为准。</w:t>
      </w:r>
    </w:p>
    <w:p w14:paraId="7CE16DD3">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11.招标文件的澄清、修改 、现场考察和答疑会</w:t>
      </w:r>
    </w:p>
    <w:p w14:paraId="0C49CCE3">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511611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11.2 投标人应认真审阅本公开招标文件，如有疑问，或发现其中有误或有要求不合理的，应在投标人须知前附表规定的</w:t>
      </w:r>
      <w:r>
        <w:rPr>
          <w:rFonts w:hint="eastAsia" w:ascii="宋体" w:hAnsi="宋体" w:eastAsia="宋体" w:cs="宋体"/>
          <w:color w:val="auto"/>
          <w:kern w:val="0"/>
          <w:szCs w:val="21"/>
          <w:highlight w:val="none"/>
        </w:rPr>
        <w:t>投标截止时间</w:t>
      </w:r>
      <w:r>
        <w:rPr>
          <w:rFonts w:hint="eastAsia" w:ascii="宋体" w:hAnsi="宋体" w:eastAsia="宋体" w:cs="宋体"/>
          <w:color w:val="auto"/>
          <w:highlight w:val="none"/>
        </w:rPr>
        <w:t>前以书面形式要求采购人或采购代理机构对招标文件予以澄清；否则，由此产生的后果由投标人自行负责。</w:t>
      </w:r>
    </w:p>
    <w:p w14:paraId="475C0BF2">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eastAsia="宋体" w:cs="宋体"/>
          <w:color w:val="auto"/>
          <w:szCs w:val="21"/>
          <w:highlight w:val="none"/>
        </w:rPr>
        <w:t>投标人须知前附表”</w:t>
      </w:r>
      <w:r>
        <w:rPr>
          <w:rFonts w:hint="eastAsia" w:ascii="宋体" w:hAnsi="宋体" w:eastAsia="宋体" w:cs="宋体"/>
          <w:color w:val="auto"/>
          <w:highlight w:val="none"/>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14:paraId="55D35B4B">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11.4 采购人和采购代理机构可以视采购具体情况，变更投标截止时间和开标时间，将变更时间将在“</w:t>
      </w:r>
      <w:r>
        <w:rPr>
          <w:rFonts w:hint="eastAsia" w:ascii="宋体" w:hAnsi="宋体" w:eastAsia="宋体" w:cs="宋体"/>
          <w:color w:val="auto"/>
          <w:szCs w:val="21"/>
          <w:highlight w:val="none"/>
        </w:rPr>
        <w:t>投标人须知前附表”</w:t>
      </w:r>
      <w:r>
        <w:rPr>
          <w:rFonts w:hint="eastAsia" w:ascii="宋体" w:hAnsi="宋体" w:eastAsia="宋体" w:cs="宋体"/>
          <w:color w:val="auto"/>
          <w:kern w:val="0"/>
          <w:szCs w:val="21"/>
          <w:highlight w:val="none"/>
        </w:rPr>
        <w:t>规定的政府采购信息发布媒体上</w:t>
      </w:r>
      <w:r>
        <w:rPr>
          <w:rFonts w:hint="eastAsia" w:ascii="宋体" w:hAnsi="宋体" w:eastAsia="宋体" w:cs="宋体"/>
          <w:color w:val="auto"/>
          <w:highlight w:val="none"/>
        </w:rPr>
        <w:t>发布更正公告。</w:t>
      </w:r>
    </w:p>
    <w:p w14:paraId="3F1500EE">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11.</w:t>
      </w:r>
      <w:bookmarkStart w:id="527" w:name="_Hlk53134511"/>
      <w:r>
        <w:rPr>
          <w:rFonts w:hint="eastAsia" w:ascii="宋体" w:hAnsi="宋体" w:eastAsia="宋体" w:cs="宋体"/>
          <w:color w:val="auto"/>
          <w:highlight w:val="none"/>
        </w:rPr>
        <w:t>5采购人或者采购代理机构可以在招标文件提供期限截止后，组织已获取招标文件的潜在投标人现场考察或者召开开标前答疑会，具体详见“投标人须知前附表”。</w:t>
      </w:r>
    </w:p>
    <w:bookmarkEnd w:id="527"/>
    <w:p w14:paraId="530A84DD">
      <w:pPr>
        <w:pStyle w:val="4"/>
        <w:keepNext w:val="0"/>
        <w:keepLines w:val="0"/>
        <w:shd w:val="clear"/>
        <w:wordWrap w:val="0"/>
        <w:spacing w:line="360" w:lineRule="auto"/>
        <w:jc w:val="center"/>
        <w:rPr>
          <w:rFonts w:hint="eastAsia" w:ascii="宋体" w:hAnsi="宋体" w:eastAsia="宋体" w:cs="宋体"/>
          <w:color w:val="auto"/>
          <w:highlight w:val="none"/>
        </w:rPr>
      </w:pPr>
      <w:bookmarkStart w:id="528" w:name="_Toc26824"/>
      <w:bookmarkStart w:id="529" w:name="_Toc254970535"/>
      <w:bookmarkStart w:id="530" w:name="_Toc254970676"/>
      <w:r>
        <w:rPr>
          <w:rFonts w:hint="eastAsia" w:ascii="宋体" w:hAnsi="宋体" w:eastAsia="宋体" w:cs="宋体"/>
          <w:color w:val="auto"/>
          <w:highlight w:val="none"/>
        </w:rPr>
        <w:t>三、投标文件的编制</w:t>
      </w:r>
      <w:bookmarkEnd w:id="528"/>
      <w:bookmarkEnd w:id="529"/>
      <w:bookmarkEnd w:id="530"/>
    </w:p>
    <w:p w14:paraId="41C22406">
      <w:pPr>
        <w:shd w:val="clear"/>
        <w:wordWrap w:val="0"/>
        <w:spacing w:line="360" w:lineRule="auto"/>
        <w:ind w:firstLine="480" w:firstLineChars="200"/>
        <w:rPr>
          <w:rFonts w:hint="eastAsia" w:ascii="宋体" w:hAnsi="宋体" w:eastAsia="宋体" w:cs="宋体"/>
          <w:color w:val="auto"/>
          <w:sz w:val="24"/>
          <w:highlight w:val="none"/>
        </w:rPr>
      </w:pPr>
      <w:bookmarkStart w:id="531" w:name="_Toc254970536"/>
      <w:bookmarkStart w:id="532" w:name="_Toc254970677"/>
      <w:r>
        <w:rPr>
          <w:rFonts w:hint="eastAsia" w:ascii="宋体" w:hAnsi="宋体" w:eastAsia="宋体" w:cs="宋体"/>
          <w:color w:val="auto"/>
          <w:sz w:val="24"/>
          <w:highlight w:val="none"/>
        </w:rPr>
        <w:t>12.投标文件的编制原则</w:t>
      </w:r>
    </w:p>
    <w:p w14:paraId="50FD91AA">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12.1投标人必须按照招标文件的要求编制投标文件。投标文件必须对招标文件提出的要求和条件作出明确响应。</w:t>
      </w:r>
    </w:p>
    <w:p w14:paraId="1FDB8BCA">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1A786CAD">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13.投标文件的组成</w:t>
      </w:r>
      <w:bookmarkEnd w:id="531"/>
      <w:bookmarkEnd w:id="532"/>
    </w:p>
    <w:p w14:paraId="44062E3A">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13.1投标文件由报价文件、资格证明文件、商务文件、技术文件四部分组成。</w:t>
      </w:r>
    </w:p>
    <w:p w14:paraId="067AE6F7">
      <w:pPr>
        <w:shd w:val="clear"/>
        <w:wordWrap w:val="0"/>
        <w:spacing w:line="360" w:lineRule="auto"/>
        <w:ind w:firstLine="420" w:firstLineChars="200"/>
        <w:rPr>
          <w:rFonts w:hint="eastAsia" w:ascii="宋体" w:hAnsi="宋体" w:eastAsia="宋体" w:cs="宋体"/>
          <w:bCs/>
          <w:color w:val="auto"/>
          <w:szCs w:val="21"/>
          <w:highlight w:val="none"/>
        </w:rPr>
      </w:pPr>
      <w:bookmarkStart w:id="533" w:name="_13.2资格证明文件：具体材料见“投标人须知前附表”。"/>
      <w:bookmarkEnd w:id="533"/>
      <w:bookmarkStart w:id="534" w:name="_13.1报价文件:_具体材料见“投标人须知前附表”。"/>
      <w:bookmarkEnd w:id="534"/>
      <w:r>
        <w:rPr>
          <w:rFonts w:hint="eastAsia" w:ascii="宋体" w:hAnsi="宋体" w:eastAsia="宋体" w:cs="宋体"/>
          <w:bCs/>
          <w:color w:val="auto"/>
          <w:szCs w:val="21"/>
          <w:highlight w:val="none"/>
        </w:rPr>
        <w:t>（1）资格证明文件：具体材料见“投标人须知前附表”。</w:t>
      </w:r>
    </w:p>
    <w:p w14:paraId="50D79E70">
      <w:pPr>
        <w:shd w:val="clear"/>
        <w:wordWrap w:val="0"/>
        <w:spacing w:line="360" w:lineRule="auto"/>
        <w:ind w:firstLine="420" w:firstLineChars="200"/>
        <w:rPr>
          <w:rFonts w:hint="eastAsia" w:ascii="宋体" w:hAnsi="宋体" w:eastAsia="宋体" w:cs="宋体"/>
          <w:bCs/>
          <w:color w:val="auto"/>
          <w:szCs w:val="21"/>
          <w:highlight w:val="none"/>
        </w:rPr>
      </w:pPr>
      <w:bookmarkStart w:id="535" w:name="_13.3商务文件:_具体材料见“投标人须知前附表”。"/>
      <w:bookmarkEnd w:id="535"/>
      <w:r>
        <w:rPr>
          <w:rFonts w:hint="eastAsia" w:ascii="宋体" w:hAnsi="宋体" w:eastAsia="宋体" w:cs="宋体"/>
          <w:bCs/>
          <w:color w:val="auto"/>
          <w:szCs w:val="21"/>
          <w:highlight w:val="none"/>
        </w:rPr>
        <w:t>（2）商务文件：具体材料见“投标人须知前附表”。</w:t>
      </w:r>
    </w:p>
    <w:p w14:paraId="414471DB">
      <w:pPr>
        <w:shd w:val="clear"/>
        <w:wordWrap w:val="0"/>
        <w:spacing w:line="360" w:lineRule="auto"/>
        <w:ind w:firstLine="420" w:firstLineChars="200"/>
        <w:rPr>
          <w:rFonts w:hint="eastAsia" w:ascii="宋体" w:hAnsi="宋体" w:eastAsia="宋体" w:cs="宋体"/>
          <w:bCs/>
          <w:color w:val="auto"/>
          <w:szCs w:val="21"/>
          <w:highlight w:val="none"/>
        </w:rPr>
      </w:pPr>
      <w:bookmarkStart w:id="536" w:name="_13.4技术文件：具体材料见“投标人须知前附表”。"/>
      <w:bookmarkEnd w:id="536"/>
      <w:r>
        <w:rPr>
          <w:rFonts w:hint="eastAsia" w:ascii="宋体" w:hAnsi="宋体" w:eastAsia="宋体" w:cs="宋体"/>
          <w:bCs/>
          <w:color w:val="auto"/>
          <w:szCs w:val="21"/>
          <w:highlight w:val="none"/>
        </w:rPr>
        <w:t xml:space="preserve">（3）技术文件：具体材料见“投标人须知前附表”。 </w:t>
      </w:r>
    </w:p>
    <w:p w14:paraId="4D4B7EC4">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（4）报价文件： 具体材料见“投标人须知前附表”。</w:t>
      </w:r>
    </w:p>
    <w:p w14:paraId="4F4E105C">
      <w:pPr>
        <w:shd w:val="clear"/>
        <w:wordWrap w:val="0"/>
        <w:spacing w:line="360" w:lineRule="auto"/>
        <w:ind w:firstLine="420" w:firstLineChars="200"/>
        <w:rPr>
          <w:rFonts w:hint="eastAsia" w:ascii="宋体" w:hAnsi="宋体" w:eastAsia="宋体" w:cs="宋体"/>
          <w:bCs/>
          <w:color w:val="auto"/>
          <w:szCs w:val="21"/>
          <w:highlight w:val="none"/>
        </w:rPr>
      </w:pPr>
      <w:bookmarkStart w:id="537" w:name="_13.5投标文件电子版：具体材料见“投标人须知前附表”。"/>
      <w:bookmarkEnd w:id="537"/>
      <w:r>
        <w:rPr>
          <w:rFonts w:hint="eastAsia" w:ascii="宋体" w:hAnsi="宋体" w:eastAsia="宋体" w:cs="宋体"/>
          <w:bCs/>
          <w:color w:val="auto"/>
          <w:szCs w:val="21"/>
          <w:highlight w:val="none"/>
        </w:rPr>
        <w:t>13.2投标文件电子版：具体要求见本节19.投标文件编制。</w:t>
      </w:r>
    </w:p>
    <w:p w14:paraId="525EC32C">
      <w:pPr>
        <w:shd w:val="clear"/>
        <w:wordWrap w:val="0"/>
        <w:spacing w:line="360" w:lineRule="auto"/>
        <w:ind w:firstLine="480" w:firstLineChars="200"/>
        <w:rPr>
          <w:rFonts w:hint="eastAsia" w:ascii="宋体" w:hAnsi="宋体" w:eastAsia="宋体" w:cs="宋体"/>
          <w:color w:val="auto"/>
          <w:sz w:val="24"/>
          <w:highlight w:val="none"/>
        </w:rPr>
      </w:pPr>
      <w:bookmarkStart w:id="538" w:name="_Toc254970678"/>
      <w:bookmarkStart w:id="539" w:name="_Toc254970537"/>
      <w:r>
        <w:rPr>
          <w:rFonts w:hint="eastAsia" w:ascii="宋体" w:hAnsi="宋体" w:eastAsia="宋体" w:cs="宋体"/>
          <w:color w:val="auto"/>
          <w:sz w:val="24"/>
          <w:highlight w:val="none"/>
        </w:rPr>
        <w:t>14.投标文件的语言及计量</w:t>
      </w:r>
      <w:bookmarkEnd w:id="538"/>
      <w:bookmarkEnd w:id="539"/>
    </w:p>
    <w:p w14:paraId="1E6AED23">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14.1语言文字</w:t>
      </w:r>
    </w:p>
    <w:p w14:paraId="3F982751">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55A8970C">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14.2投标计量单位</w:t>
      </w:r>
    </w:p>
    <w:p w14:paraId="0014B205">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招标文件已有明确规定的，使用招标文件规定的计量单位；招标文件没有规定的，应采用中华人民共和国法定计量单位，货币种类为人民币，否则视同未响应。</w:t>
      </w:r>
    </w:p>
    <w:p w14:paraId="0D809DF0">
      <w:pPr>
        <w:shd w:val="clear"/>
        <w:wordWrap w:val="0"/>
        <w:spacing w:line="360" w:lineRule="auto"/>
        <w:ind w:firstLine="480" w:firstLineChars="200"/>
        <w:rPr>
          <w:rFonts w:hint="eastAsia" w:ascii="宋体" w:hAnsi="宋体" w:eastAsia="宋体" w:cs="宋体"/>
          <w:color w:val="auto"/>
          <w:sz w:val="24"/>
          <w:highlight w:val="none"/>
        </w:rPr>
      </w:pPr>
      <w:bookmarkStart w:id="540" w:name="_Toc254970538"/>
      <w:bookmarkStart w:id="541" w:name="_Toc254970679"/>
      <w:r>
        <w:rPr>
          <w:rFonts w:hint="eastAsia" w:ascii="宋体" w:hAnsi="宋体" w:eastAsia="宋体" w:cs="宋体"/>
          <w:color w:val="auto"/>
          <w:sz w:val="24"/>
          <w:highlight w:val="none"/>
        </w:rPr>
        <w:t>15.投标的风险</w:t>
      </w:r>
    </w:p>
    <w:p w14:paraId="539FA920">
      <w:pPr>
        <w:shd w:val="clear"/>
        <w:wordWrap w:val="0"/>
        <w:spacing w:line="360" w:lineRule="auto"/>
        <w:ind w:firstLine="420" w:firstLineChars="200"/>
        <w:rPr>
          <w:rFonts w:hint="eastAsia" w:ascii="宋体" w:hAnsi="宋体" w:eastAsia="宋体" w:cs="宋体"/>
          <w:b/>
          <w:bCs/>
          <w:color w:val="auto"/>
          <w:highlight w:val="none"/>
        </w:rPr>
      </w:pPr>
      <w:r>
        <w:rPr>
          <w:rFonts w:hint="eastAsia" w:ascii="宋体" w:hAnsi="宋体" w:eastAsia="宋体" w:cs="宋体"/>
          <w:color w:val="auto"/>
          <w:highlight w:val="none"/>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eastAsia="宋体" w:cs="宋体"/>
          <w:b/>
          <w:bCs/>
          <w:color w:val="auto"/>
          <w:highlight w:val="none"/>
        </w:rPr>
        <w:t>投标文件未按规定的格式编制的、没有按照招标文件要求提供全部资料、没有对招标文件作出实质性响应，投标无效；</w:t>
      </w:r>
    </w:p>
    <w:p w14:paraId="35D61923">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16.投标报价</w:t>
      </w:r>
      <w:bookmarkEnd w:id="540"/>
      <w:bookmarkEnd w:id="541"/>
    </w:p>
    <w:p w14:paraId="55CC37C6">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16.1投标报价应</w:t>
      </w:r>
      <w:r>
        <w:rPr>
          <w:rFonts w:hint="eastAsia" w:ascii="宋体" w:hAnsi="宋体" w:eastAsia="宋体" w:cs="宋体"/>
          <w:bCs/>
          <w:color w:val="auto"/>
          <w:szCs w:val="20"/>
          <w:highlight w:val="none"/>
        </w:rPr>
        <w:t>按“第六章　投标文件格式”中“开标一览表”格式填写。</w:t>
      </w:r>
    </w:p>
    <w:p w14:paraId="3E5BFD0E">
      <w:pPr>
        <w:shd w:val="clear"/>
        <w:wordWrap w:val="0"/>
        <w:spacing w:line="360" w:lineRule="auto"/>
        <w:ind w:firstLine="420" w:firstLineChars="200"/>
        <w:rPr>
          <w:rFonts w:hint="eastAsia" w:ascii="宋体" w:hAnsi="宋体" w:eastAsia="宋体" w:cs="宋体"/>
          <w:bCs/>
          <w:color w:val="auto"/>
          <w:szCs w:val="21"/>
          <w:highlight w:val="none"/>
        </w:rPr>
      </w:pPr>
      <w:bookmarkStart w:id="542" w:name="_16.2投标报价具体定义见投标人须知前附表。"/>
      <w:bookmarkEnd w:id="542"/>
      <w:r>
        <w:rPr>
          <w:rFonts w:hint="eastAsia" w:ascii="宋体" w:hAnsi="宋体" w:eastAsia="宋体" w:cs="宋体"/>
          <w:bCs/>
          <w:color w:val="auto"/>
          <w:szCs w:val="21"/>
          <w:highlight w:val="none"/>
        </w:rPr>
        <w:t>16.2投标报价具体包括内容详见“投标人须知前附表”。</w:t>
      </w:r>
    </w:p>
    <w:p w14:paraId="4DE04EE0">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16.3投标人必须就所投每个分标的全部内容分别作完整唯一总价报价，不得存在漏项报价；投标人必须就所投分标的单项内容作唯一报价。</w:t>
      </w:r>
    </w:p>
    <w:p w14:paraId="33127153">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17.投标有效期</w:t>
      </w:r>
    </w:p>
    <w:p w14:paraId="53C5EA95">
      <w:pPr>
        <w:shd w:val="clear"/>
        <w:wordWrap w:val="0"/>
        <w:spacing w:line="360" w:lineRule="auto"/>
        <w:ind w:firstLine="420" w:firstLineChars="200"/>
        <w:rPr>
          <w:rFonts w:hint="eastAsia" w:ascii="宋体" w:hAnsi="宋体" w:eastAsia="宋体" w:cs="宋体"/>
          <w:bCs/>
          <w:color w:val="auto"/>
          <w:szCs w:val="21"/>
          <w:highlight w:val="none"/>
        </w:rPr>
      </w:pPr>
      <w:bookmarkStart w:id="543" w:name="_17.1投标有效期应按“投标人须知中的前附表”规定的期限。"/>
      <w:bookmarkEnd w:id="543"/>
      <w:r>
        <w:rPr>
          <w:rFonts w:hint="eastAsia" w:ascii="宋体" w:hAnsi="宋体" w:eastAsia="宋体" w:cs="宋体"/>
          <w:bCs/>
          <w:color w:val="auto"/>
          <w:szCs w:val="21"/>
          <w:highlight w:val="none"/>
        </w:rPr>
        <w:t>17.1投标有效期是指为保证采购人有足够的时间在开标后完成评标、定标、合同签订等工作而要求投标人提交的投标文件在一定时间内保持有效的期限。</w:t>
      </w:r>
    </w:p>
    <w:p w14:paraId="70D4D338">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17.2</w:t>
      </w:r>
      <w:bookmarkStart w:id="544" w:name="_Toc254970681"/>
      <w:bookmarkStart w:id="545" w:name="_Toc254970540"/>
      <w:r>
        <w:rPr>
          <w:rFonts w:hint="eastAsia" w:ascii="宋体" w:hAnsi="宋体" w:eastAsia="宋体" w:cs="宋体"/>
          <w:bCs/>
          <w:color w:val="auto"/>
          <w:szCs w:val="21"/>
          <w:highlight w:val="none"/>
        </w:rPr>
        <w:t xml:space="preserve"> 投标有效期应按规定的期限作出承诺，具体详见“投标人须知前附表”。</w:t>
      </w:r>
    </w:p>
    <w:p w14:paraId="2D55566A">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17.3投标人的投标文件在投标有效期内均保持有效。</w:t>
      </w:r>
      <w:bookmarkEnd w:id="544"/>
      <w:bookmarkEnd w:id="545"/>
    </w:p>
    <w:p w14:paraId="54A6A2D0">
      <w:pPr>
        <w:shd w:val="clear"/>
        <w:wordWrap w:val="0"/>
        <w:spacing w:line="360" w:lineRule="auto"/>
        <w:ind w:firstLine="480" w:firstLineChars="200"/>
        <w:rPr>
          <w:rFonts w:hint="eastAsia" w:ascii="宋体" w:hAnsi="宋体" w:eastAsia="宋体" w:cs="宋体"/>
          <w:color w:val="auto"/>
          <w:sz w:val="24"/>
          <w:highlight w:val="none"/>
        </w:rPr>
      </w:pPr>
      <w:bookmarkStart w:id="546" w:name="_18.投标保证金"/>
      <w:bookmarkEnd w:id="546"/>
      <w:bookmarkStart w:id="547" w:name="_Toc254970682"/>
      <w:bookmarkStart w:id="548" w:name="_Toc254970541"/>
      <w:r>
        <w:rPr>
          <w:rFonts w:hint="eastAsia" w:ascii="宋体" w:hAnsi="宋体" w:eastAsia="宋体" w:cs="宋体"/>
          <w:color w:val="auto"/>
          <w:sz w:val="24"/>
          <w:highlight w:val="none"/>
        </w:rPr>
        <w:t>18.投标保证金</w:t>
      </w:r>
      <w:bookmarkEnd w:id="547"/>
      <w:bookmarkEnd w:id="548"/>
    </w:p>
    <w:p w14:paraId="06DA236C">
      <w:pPr>
        <w:shd w:val="clear"/>
        <w:wordWrap w:val="0"/>
        <w:spacing w:line="360" w:lineRule="auto"/>
        <w:ind w:firstLine="420" w:firstLineChars="200"/>
        <w:rPr>
          <w:rFonts w:hint="eastAsia" w:ascii="宋体" w:hAnsi="宋体" w:eastAsia="宋体" w:cs="宋体"/>
          <w:color w:val="auto"/>
          <w:szCs w:val="21"/>
          <w:highlight w:val="none"/>
        </w:rPr>
      </w:pPr>
      <w:bookmarkStart w:id="549" w:name="_Toc254970542"/>
      <w:bookmarkStart w:id="550" w:name="_Toc254970683"/>
      <w:r>
        <w:rPr>
          <w:rFonts w:hint="eastAsia" w:ascii="宋体" w:hAnsi="宋体" w:eastAsia="宋体" w:cs="宋体"/>
          <w:color w:val="auto"/>
          <w:szCs w:val="21"/>
          <w:highlight w:val="none"/>
        </w:rPr>
        <w:t>见“投标人须知前附表”。</w:t>
      </w:r>
    </w:p>
    <w:p w14:paraId="3716499A">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19.投标文件的</w:t>
      </w:r>
      <w:bookmarkEnd w:id="549"/>
      <w:bookmarkEnd w:id="550"/>
      <w:r>
        <w:rPr>
          <w:rFonts w:hint="eastAsia" w:ascii="宋体" w:hAnsi="宋体" w:eastAsia="宋体" w:cs="宋体"/>
          <w:color w:val="auto"/>
          <w:sz w:val="24"/>
          <w:highlight w:val="none"/>
        </w:rPr>
        <w:t>编制</w:t>
      </w:r>
    </w:p>
    <w:p w14:paraId="216A7833">
      <w:pPr>
        <w:shd w:val="clear"/>
        <w:wordWrap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 xml:space="preserve"> </w:t>
      </w:r>
      <w:r>
        <w:rPr>
          <w:rFonts w:hint="eastAsia" w:ascii="宋体" w:hAnsi="宋体" w:eastAsia="宋体" w:cs="宋体"/>
          <w:color w:val="auto"/>
          <w:szCs w:val="21"/>
          <w:highlight w:val="none"/>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551" w:name="_19.2投标文件应按报价文件、资格证明文件、商务文件、技术文件分别编制"/>
      <w:bookmarkEnd w:id="551"/>
      <w:r>
        <w:rPr>
          <w:rFonts w:hint="eastAsia" w:ascii="宋体" w:hAnsi="宋体" w:eastAsia="宋体" w:cs="宋体"/>
          <w:color w:val="auto"/>
          <w:szCs w:val="21"/>
          <w:highlight w:val="none"/>
        </w:rPr>
        <w:t xml:space="preserve"> </w:t>
      </w:r>
    </w:p>
    <w:p w14:paraId="1EC595CA">
      <w:pPr>
        <w:pStyle w:val="32"/>
        <w:shd w:val="clear"/>
        <w:wordWrap w:val="0"/>
        <w:snapToGrid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19.2投标文件按照招标文件第六章格式要求在规定位置进行签署、盖章。投标人的投标文件未按照招标文件要求签署、盖章的，</w:t>
      </w:r>
      <w:r>
        <w:rPr>
          <w:rFonts w:hint="eastAsia" w:ascii="宋体" w:hAnsi="宋体" w:eastAsia="宋体" w:cs="宋体"/>
          <w:b/>
          <w:color w:val="auto"/>
          <w:sz w:val="21"/>
          <w:szCs w:val="21"/>
          <w:highlight w:val="none"/>
        </w:rPr>
        <w:t>其投标无效。</w:t>
      </w:r>
      <w:r>
        <w:rPr>
          <w:rFonts w:hint="eastAsia" w:ascii="宋体" w:hAnsi="宋体" w:eastAsia="宋体" w:cs="宋体"/>
          <w:color w:val="auto"/>
          <w:sz w:val="21"/>
          <w:szCs w:val="21"/>
          <w:highlight w:val="none"/>
        </w:rPr>
        <w:t>骑缝盖公章不视为在规定位置盖章。</w:t>
      </w:r>
    </w:p>
    <w:p w14:paraId="11AC50ED">
      <w:pPr>
        <w:pStyle w:val="32"/>
        <w:shd w:val="clear"/>
        <w:wordWrap w:val="0"/>
        <w:snapToGrid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19.3为确保网上操作合法、有效和安全，投标人应当在投标截止时间前完成在“</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”平台的身份认证，确保在电子投标过程中能够对相关数据电文进行加密和使用电子签名。</w:t>
      </w:r>
    </w:p>
    <w:p w14:paraId="314330B9">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19.4投标文件中标注的投标人名称应与主体资格证明（如营业执照、事业单位法人证书、执业许可证、自然人身份证等）及公章一致，</w:t>
      </w:r>
      <w:r>
        <w:rPr>
          <w:rFonts w:hint="eastAsia" w:ascii="宋体" w:hAnsi="宋体" w:eastAsia="宋体" w:cs="宋体"/>
          <w:color w:val="auto"/>
          <w:szCs w:val="21"/>
          <w:highlight w:val="none"/>
        </w:rPr>
        <w:t>否则作无效投标处理</w:t>
      </w:r>
      <w:r>
        <w:rPr>
          <w:rFonts w:hint="eastAsia" w:ascii="宋体" w:hAnsi="宋体" w:eastAsia="宋体" w:cs="宋体"/>
          <w:b/>
          <w:color w:val="auto"/>
          <w:szCs w:val="21"/>
          <w:highlight w:val="none"/>
        </w:rPr>
        <w:t>。</w:t>
      </w:r>
    </w:p>
    <w:p w14:paraId="032149D2">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19.5投标文件应避免涂改、行间插字或者删除，</w:t>
      </w:r>
      <w:r>
        <w:rPr>
          <w:rFonts w:hint="eastAsia" w:ascii="宋体" w:hAnsi="宋体" w:eastAsia="宋体" w:cs="宋体"/>
          <w:b/>
          <w:color w:val="auto"/>
          <w:szCs w:val="21"/>
          <w:highlight w:val="none"/>
        </w:rPr>
        <w:t>否则其投标无效。</w:t>
      </w:r>
    </w:p>
    <w:p w14:paraId="57C2A79B">
      <w:pPr>
        <w:shd w:val="clear"/>
        <w:wordWrap w:val="0"/>
        <w:spacing w:line="360" w:lineRule="auto"/>
        <w:ind w:firstLine="525" w:firstLineChars="250"/>
        <w:rPr>
          <w:rFonts w:hint="eastAsia" w:ascii="宋体" w:hAnsi="宋体" w:eastAsia="宋体" w:cs="宋体"/>
          <w:color w:val="auto"/>
          <w:highlight w:val="none"/>
        </w:rPr>
      </w:pPr>
      <w:r>
        <w:rPr>
          <w:rFonts w:hint="eastAsia" w:ascii="宋体" w:hAnsi="宋体" w:eastAsia="宋体" w:cs="宋体"/>
          <w:color w:val="auto"/>
          <w:highlight w:val="none"/>
        </w:rPr>
        <w:t>19.6 对招标文件的实质性要求和条件作出响应是指投标人必须对招标文件中标注为实质性要求和条件的</w:t>
      </w:r>
      <w:r>
        <w:rPr>
          <w:rFonts w:hint="eastAsia" w:ascii="宋体" w:hAnsi="宋体" w:eastAsia="宋体" w:cs="宋体"/>
          <w:color w:val="auto"/>
          <w:szCs w:val="21"/>
          <w:highlight w:val="none"/>
        </w:rPr>
        <w:t>服务内容及要求</w:t>
      </w:r>
      <w:r>
        <w:rPr>
          <w:rFonts w:hint="eastAsia" w:ascii="宋体" w:hAnsi="宋体" w:eastAsia="宋体" w:cs="宋体"/>
          <w:color w:val="auto"/>
          <w:highlight w:val="none"/>
        </w:rPr>
        <w:t>、商务条款及其它内容</w:t>
      </w:r>
      <w:r>
        <w:rPr>
          <w:rFonts w:hint="eastAsia" w:ascii="宋体" w:hAnsi="宋体" w:eastAsia="宋体" w:cs="宋体"/>
          <w:b/>
          <w:color w:val="auto"/>
          <w:highlight w:val="none"/>
        </w:rPr>
        <w:t>作出满足或者优于原要求和条件的承诺</w:t>
      </w:r>
      <w:r>
        <w:rPr>
          <w:rFonts w:hint="eastAsia" w:ascii="宋体" w:hAnsi="宋体" w:eastAsia="宋体" w:cs="宋体"/>
          <w:color w:val="auto"/>
          <w:highlight w:val="none"/>
        </w:rPr>
        <w:t>。</w:t>
      </w:r>
    </w:p>
    <w:p w14:paraId="0F44652B">
      <w:pPr>
        <w:shd w:val="clear"/>
        <w:wordWrap w:val="0"/>
        <w:spacing w:line="360" w:lineRule="auto"/>
        <w:ind w:firstLine="422" w:firstLineChars="200"/>
        <w:rPr>
          <w:rFonts w:hint="eastAsia"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19.7本项目为南宁市全流程电子化项目，异常情况见“第二节 投标人须知正文”中“四、24.2开标程序。</w:t>
      </w:r>
    </w:p>
    <w:p w14:paraId="2406A98A">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20.备份投标文件</w:t>
      </w:r>
    </w:p>
    <w:p w14:paraId="1010A10F">
      <w:pPr>
        <w:shd w:val="clear"/>
        <w:wordWrap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详见在“投标人须知前附表”。</w:t>
      </w:r>
    </w:p>
    <w:p w14:paraId="12A5FEE2">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21.投标文件的提交</w:t>
      </w:r>
    </w:p>
    <w:p w14:paraId="5611CEE7">
      <w:pPr>
        <w:shd w:val="clear"/>
        <w:wordWrap w:val="0"/>
        <w:spacing w:line="360" w:lineRule="auto"/>
        <w:ind w:firstLine="420" w:firstLineChars="200"/>
        <w:rPr>
          <w:rFonts w:hint="eastAsia" w:ascii="宋体" w:hAnsi="宋体" w:eastAsia="宋体" w:cs="宋体"/>
          <w:b/>
          <w:color w:val="auto"/>
          <w:highlight w:val="none"/>
        </w:rPr>
      </w:pPr>
      <w:bookmarkStart w:id="552" w:name="_21.1投标人必须在“投标人须知中的前附表”规定的投标文件接收时间和投"/>
      <w:bookmarkEnd w:id="552"/>
      <w:r>
        <w:rPr>
          <w:rFonts w:hint="eastAsia" w:ascii="宋体" w:hAnsi="宋体" w:eastAsia="宋体" w:cs="宋体"/>
          <w:bCs/>
          <w:color w:val="auto"/>
          <w:szCs w:val="21"/>
          <w:highlight w:val="none"/>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广西政府采购云平台”。 </w:t>
      </w:r>
      <w:r>
        <w:rPr>
          <w:rFonts w:hint="eastAsia" w:ascii="宋体" w:hAnsi="宋体" w:eastAsia="宋体" w:cs="宋体"/>
          <w:b/>
          <w:color w:val="auto"/>
          <w:highlight w:val="none"/>
        </w:rPr>
        <w:t xml:space="preserve"> </w:t>
      </w:r>
    </w:p>
    <w:p w14:paraId="2E335311">
      <w:pPr>
        <w:shd w:val="clear"/>
        <w:wordWrap w:val="0"/>
        <w:spacing w:line="360" w:lineRule="auto"/>
        <w:ind w:firstLine="422" w:firstLineChars="200"/>
        <w:rPr>
          <w:rFonts w:hint="eastAsia" w:ascii="宋体" w:hAnsi="宋体" w:eastAsia="宋体" w:cs="宋体"/>
          <w:b/>
          <w:color w:val="auto"/>
          <w:szCs w:val="20"/>
          <w:highlight w:val="none"/>
        </w:rPr>
      </w:pPr>
      <w:r>
        <w:rPr>
          <w:rFonts w:hint="eastAsia" w:ascii="宋体" w:hAnsi="宋体" w:eastAsia="宋体" w:cs="宋体"/>
          <w:b/>
          <w:color w:val="auto"/>
          <w:szCs w:val="21"/>
          <w:highlight w:val="none"/>
        </w:rPr>
        <w:t>21.2未在规定时间内提交或者未按照招标文件要求密封或者标记的电子投标文件，“</w:t>
      </w:r>
      <w:r>
        <w:rPr>
          <w:rFonts w:hint="eastAsia" w:ascii="宋体" w:hAnsi="宋体" w:eastAsia="宋体" w:cs="宋体"/>
          <w:b/>
          <w:color w:val="auto"/>
          <w:szCs w:val="21"/>
          <w:highlight w:val="none"/>
          <w:lang w:eastAsia="zh-CN"/>
        </w:rPr>
        <w:t>广西政府采购云</w:t>
      </w:r>
      <w:r>
        <w:rPr>
          <w:rFonts w:hint="eastAsia" w:ascii="宋体" w:hAnsi="宋体" w:eastAsia="宋体" w:cs="宋体"/>
          <w:b/>
          <w:color w:val="auto"/>
          <w:szCs w:val="21"/>
          <w:highlight w:val="none"/>
        </w:rPr>
        <w:t>”平台将拒收。</w:t>
      </w:r>
    </w:p>
    <w:p w14:paraId="111002C5">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21.3电子版投标文件提交方式见“招标公告”中“四、提交投标文件截止时间、开标时间和地点”</w:t>
      </w:r>
      <w:r>
        <w:rPr>
          <w:rFonts w:hint="eastAsia" w:ascii="宋体" w:hAnsi="宋体" w:eastAsia="宋体" w:cs="宋体"/>
          <w:b/>
          <w:color w:val="auto"/>
          <w:szCs w:val="21"/>
          <w:highlight w:val="none"/>
        </w:rPr>
        <w:t xml:space="preserve"> 。</w:t>
      </w:r>
    </w:p>
    <w:p w14:paraId="4EDEB5F2">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22. 投标文件的补充、修改、撤回与退回</w:t>
      </w:r>
      <w:bookmarkStart w:id="553" w:name="_Toc254970543"/>
      <w:bookmarkStart w:id="554" w:name="_Toc254970684"/>
    </w:p>
    <w:p w14:paraId="37B5CD5A">
      <w:pPr>
        <w:shd w:val="clear"/>
        <w:wordWrap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”平台将拒收。（补充、修改或者撤回方式见公告附件“电子投标文件制作与投送教程”）</w:t>
      </w:r>
    </w:p>
    <w:p w14:paraId="388A6943">
      <w:pPr>
        <w:pStyle w:val="32"/>
        <w:shd w:val="clear"/>
        <w:wordWrap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22.2“</w:t>
      </w:r>
      <w:r>
        <w:rPr>
          <w:rFonts w:hint="eastAsia" w:ascii="宋体" w:hAnsi="宋体" w:eastAsia="宋体" w:cs="宋体"/>
          <w:color w:val="auto"/>
          <w:sz w:val="21"/>
          <w:szCs w:val="21"/>
          <w:highlight w:val="none"/>
          <w:lang w:eastAsia="zh-CN"/>
        </w:rPr>
        <w:t>广西政府采购云</w:t>
      </w:r>
      <w:r>
        <w:rPr>
          <w:rFonts w:hint="eastAsia" w:ascii="宋体" w:hAnsi="宋体" w:eastAsia="宋体" w:cs="宋体"/>
          <w:color w:val="auto"/>
          <w:sz w:val="21"/>
          <w:szCs w:val="21"/>
          <w:highlight w:val="none"/>
        </w:rPr>
        <w:t>”平台收到投标文件，将妥善保存并即时向供应商发出确认回执通知。在投标截止时间前，除供应商补充、修改或者撤回投标文件外，任何单位和个人不得解密或提取投标文件。</w:t>
      </w:r>
    </w:p>
    <w:bookmarkEnd w:id="553"/>
    <w:bookmarkEnd w:id="554"/>
    <w:p w14:paraId="17AD2511">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22.3在投标截止时间止提交电子版投标文件的投标人不足3家时，电子版投标文件由代理机构在“</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”平台操作退回，除此之外采购人和采购代理机构对已提交的投标文件概不退回。</w:t>
      </w:r>
    </w:p>
    <w:p w14:paraId="1B6D4580">
      <w:pPr>
        <w:pStyle w:val="11"/>
        <w:shd w:val="clear"/>
        <w:wordWrap w:val="0"/>
        <w:snapToGrid w:val="0"/>
        <w:spacing w:line="360" w:lineRule="auto"/>
        <w:ind w:firstLine="739"/>
        <w:rPr>
          <w:rFonts w:hint="eastAsia" w:ascii="宋体" w:hAnsi="宋体" w:eastAsia="宋体" w:cs="宋体"/>
          <w:snapToGrid w:val="0"/>
          <w:color w:val="auto"/>
          <w:sz w:val="21"/>
          <w:szCs w:val="21"/>
          <w:highlight w:val="none"/>
        </w:rPr>
      </w:pPr>
    </w:p>
    <w:p w14:paraId="7F9DBF89">
      <w:pPr>
        <w:pStyle w:val="4"/>
        <w:keepNext w:val="0"/>
        <w:keepLines w:val="0"/>
        <w:shd w:val="clear"/>
        <w:wordWrap w:val="0"/>
        <w:spacing w:line="360" w:lineRule="auto"/>
        <w:jc w:val="center"/>
        <w:rPr>
          <w:rFonts w:hint="eastAsia" w:ascii="宋体" w:hAnsi="宋体" w:eastAsia="宋体" w:cs="宋体"/>
          <w:color w:val="auto"/>
          <w:highlight w:val="none"/>
        </w:rPr>
      </w:pPr>
      <w:bookmarkStart w:id="555" w:name="_Toc254970685"/>
      <w:bookmarkStart w:id="556" w:name="_Toc254970544"/>
      <w:bookmarkStart w:id="557" w:name="_Toc1057"/>
      <w:r>
        <w:rPr>
          <w:rFonts w:hint="eastAsia" w:ascii="宋体" w:hAnsi="宋体" w:eastAsia="宋体" w:cs="宋体"/>
          <w:color w:val="auto"/>
          <w:highlight w:val="none"/>
        </w:rPr>
        <w:t>四、开    标</w:t>
      </w:r>
      <w:bookmarkEnd w:id="555"/>
      <w:bookmarkEnd w:id="556"/>
      <w:bookmarkEnd w:id="557"/>
    </w:p>
    <w:p w14:paraId="1B2EE9FA">
      <w:pPr>
        <w:shd w:val="clear"/>
        <w:wordWrap w:val="0"/>
        <w:spacing w:line="360" w:lineRule="auto"/>
        <w:ind w:firstLine="480" w:firstLineChars="200"/>
        <w:rPr>
          <w:rFonts w:hint="eastAsia" w:ascii="宋体" w:hAnsi="宋体" w:eastAsia="宋体" w:cs="宋体"/>
          <w:color w:val="auto"/>
          <w:sz w:val="24"/>
          <w:highlight w:val="none"/>
        </w:rPr>
      </w:pPr>
      <w:bookmarkStart w:id="558" w:name="_23.开标时间和地点"/>
      <w:bookmarkEnd w:id="558"/>
      <w:r>
        <w:rPr>
          <w:rFonts w:hint="eastAsia" w:ascii="宋体" w:hAnsi="宋体" w:eastAsia="宋体" w:cs="宋体"/>
          <w:color w:val="auto"/>
          <w:sz w:val="24"/>
          <w:highlight w:val="none"/>
        </w:rPr>
        <w:t>23.开标时间和地点</w:t>
      </w:r>
    </w:p>
    <w:p w14:paraId="12E0670B">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23.1开标时间及地点详见“投标人须知前附表”</w:t>
      </w:r>
    </w:p>
    <w:p w14:paraId="1F7C7907">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23.2如</w:t>
      </w:r>
      <w:r>
        <w:rPr>
          <w:rFonts w:hint="eastAsia" w:ascii="宋体" w:hAnsi="宋体" w:eastAsia="宋体" w:cs="宋体"/>
          <w:bCs/>
          <w:color w:val="auto"/>
          <w:highlight w:val="none"/>
        </w:rPr>
        <w:t>投标人成功解密投标文件，但未在“</w:t>
      </w:r>
      <w:r>
        <w:rPr>
          <w:rFonts w:hint="eastAsia" w:ascii="宋体" w:hAnsi="宋体" w:eastAsia="宋体" w:cs="宋体"/>
          <w:bCs/>
          <w:color w:val="auto"/>
          <w:highlight w:val="none"/>
          <w:lang w:eastAsia="zh-CN"/>
        </w:rPr>
        <w:t>广西政府采购云</w:t>
      </w:r>
      <w:r>
        <w:rPr>
          <w:rFonts w:hint="eastAsia" w:ascii="宋体" w:hAnsi="宋体" w:eastAsia="宋体" w:cs="宋体"/>
          <w:bCs/>
          <w:color w:val="auto"/>
          <w:highlight w:val="none"/>
        </w:rPr>
        <w:t>”电子开标大厅参加开标的，视同认可开标过程和结果，</w:t>
      </w:r>
      <w:r>
        <w:rPr>
          <w:rFonts w:hint="eastAsia" w:ascii="宋体" w:hAnsi="宋体" w:eastAsia="宋体" w:cs="宋体"/>
          <w:color w:val="auto"/>
          <w:highlight w:val="none"/>
        </w:rPr>
        <w:t>由此产生的后果由投标人自行负责。 投标人不足3家的，不得开标。</w:t>
      </w:r>
    </w:p>
    <w:p w14:paraId="334FAE38">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24.开标程序</w:t>
      </w:r>
    </w:p>
    <w:p w14:paraId="5938FCCE">
      <w:pPr>
        <w:shd w:val="clear"/>
        <w:wordWrap w:val="0"/>
        <w:autoSpaceDE w:val="0"/>
        <w:autoSpaceDN w:val="0"/>
        <w:adjustRightIn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bCs/>
          <w:color w:val="auto"/>
          <w:szCs w:val="21"/>
          <w:highlight w:val="none"/>
        </w:rPr>
        <w:t>24.1</w:t>
      </w:r>
      <w:r>
        <w:rPr>
          <w:rFonts w:hint="eastAsia" w:ascii="宋体" w:hAnsi="宋体" w:eastAsia="宋体" w:cs="宋体"/>
          <w:color w:val="auto"/>
          <w:kern w:val="0"/>
          <w:szCs w:val="21"/>
          <w:highlight w:val="none"/>
        </w:rPr>
        <w:t>开标形式：</w:t>
      </w:r>
    </w:p>
    <w:p w14:paraId="26B27493">
      <w:pPr>
        <w:shd w:val="clear"/>
        <w:wordWrap w:val="0"/>
        <w:autoSpaceDE w:val="0"/>
        <w:autoSpaceDN w:val="0"/>
        <w:adjustRightIn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bCs/>
          <w:color w:val="auto"/>
          <w:szCs w:val="21"/>
          <w:highlight w:val="none"/>
        </w:rPr>
        <w:t>开标的准备工作由采购代理机构负责落实，采购代理机构必须基于“</w:t>
      </w:r>
      <w:r>
        <w:rPr>
          <w:rFonts w:hint="eastAsia" w:ascii="宋体" w:hAnsi="宋体" w:eastAsia="宋体" w:cs="宋体"/>
          <w:bCs/>
          <w:color w:val="auto"/>
          <w:szCs w:val="21"/>
          <w:highlight w:val="none"/>
          <w:lang w:eastAsia="zh-CN"/>
        </w:rPr>
        <w:t>广西政府采购云</w:t>
      </w:r>
      <w:r>
        <w:rPr>
          <w:rFonts w:hint="eastAsia" w:ascii="宋体" w:hAnsi="宋体" w:eastAsia="宋体" w:cs="宋体"/>
          <w:bCs/>
          <w:color w:val="auto"/>
          <w:szCs w:val="21"/>
          <w:highlight w:val="none"/>
        </w:rPr>
        <w:t>”平台选取评审专家，如采购代理机构未按规定选取专家的，视为本次开评标无效，应当重新采购；</w:t>
      </w:r>
    </w:p>
    <w:p w14:paraId="2CF7334F">
      <w:pPr>
        <w:shd w:val="clear"/>
        <w:wordWrap w:val="0"/>
        <w:autoSpaceDE w:val="0"/>
        <w:autoSpaceDN w:val="0"/>
        <w:adjustRightIn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（2）采购代理机构将按照招标文件规定的时间通过“</w:t>
      </w:r>
      <w:r>
        <w:rPr>
          <w:rFonts w:hint="eastAsia" w:ascii="宋体" w:hAnsi="宋体" w:eastAsia="宋体" w:cs="宋体"/>
          <w:bCs/>
          <w:color w:val="auto"/>
          <w:szCs w:val="21"/>
          <w:highlight w:val="none"/>
          <w:lang w:eastAsia="zh-CN"/>
        </w:rPr>
        <w:t>广西政府采购云</w:t>
      </w:r>
      <w:r>
        <w:rPr>
          <w:rFonts w:hint="eastAsia" w:ascii="宋体" w:hAnsi="宋体" w:eastAsia="宋体" w:cs="宋体"/>
          <w:bCs/>
          <w:color w:val="auto"/>
          <w:szCs w:val="21"/>
          <w:highlight w:val="none"/>
        </w:rPr>
        <w:t>”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5FF1E51A">
      <w:pPr>
        <w:shd w:val="clear"/>
        <w:wordWrap w:val="0"/>
        <w:autoSpaceDE w:val="0"/>
        <w:autoSpaceDN w:val="0"/>
        <w:adjustRightInd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24.2开标程序：</w:t>
      </w:r>
    </w:p>
    <w:p w14:paraId="6E4B11F7">
      <w:pPr>
        <w:pStyle w:val="13"/>
        <w:shd w:val="clear"/>
        <w:wordWrap w:val="0"/>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（1）解密电子投标文件。“</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”平台按开标时间自动提取所有投标文件。采购代理机构依托“</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”平台向各投标人发出电子加密投标文件【开始解密】通知，由投标人按招标文件规定的时间内自行进行投标文件解密。投标人的法定代表人或其委托代理人</w:t>
      </w:r>
      <w:r>
        <w:rPr>
          <w:rFonts w:hint="eastAsia" w:ascii="宋体" w:hAnsi="宋体" w:eastAsia="宋体" w:cs="宋体"/>
          <w:b/>
          <w:color w:val="auto"/>
          <w:szCs w:val="21"/>
          <w:highlight w:val="none"/>
        </w:rPr>
        <w:t>须携带加密时所用的CA锁准时登录到“</w:t>
      </w:r>
      <w:r>
        <w:rPr>
          <w:rFonts w:hint="eastAsia" w:ascii="宋体" w:hAnsi="宋体" w:eastAsia="宋体" w:cs="宋体"/>
          <w:b/>
          <w:color w:val="auto"/>
          <w:szCs w:val="21"/>
          <w:highlight w:val="none"/>
          <w:lang w:eastAsia="zh-CN"/>
        </w:rPr>
        <w:t>广西政府采购云</w:t>
      </w:r>
      <w:r>
        <w:rPr>
          <w:rFonts w:hint="eastAsia" w:ascii="宋体" w:hAnsi="宋体" w:eastAsia="宋体" w:cs="宋体"/>
          <w:b/>
          <w:color w:val="auto"/>
          <w:szCs w:val="21"/>
          <w:highlight w:val="none"/>
        </w:rPr>
        <w:t>”平台电子开标大厅签到并对电子投标文件解密</w:t>
      </w:r>
      <w:r>
        <w:rPr>
          <w:rFonts w:hint="eastAsia" w:ascii="宋体" w:hAnsi="宋体" w:eastAsia="宋体" w:cs="宋体"/>
          <w:color w:val="auto"/>
          <w:szCs w:val="21"/>
          <w:highlight w:val="none"/>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ascii="宋体" w:hAnsi="宋体" w:eastAsia="宋体" w:cs="宋体"/>
          <w:b/>
          <w:color w:val="auto"/>
          <w:szCs w:val="21"/>
          <w:highlight w:val="none"/>
        </w:rPr>
        <w:t>均视为无效投标。</w:t>
      </w:r>
    </w:p>
    <w:p w14:paraId="7325568E">
      <w:pPr>
        <w:pStyle w:val="13"/>
        <w:shd w:val="clear"/>
        <w:wordWrap w:val="0"/>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（解密</w:t>
      </w:r>
      <w:r>
        <w:rPr>
          <w:rFonts w:hint="eastAsia" w:ascii="宋体" w:hAnsi="宋体" w:eastAsia="宋体" w:cs="宋体"/>
          <w:bCs/>
          <w:color w:val="auto"/>
          <w:szCs w:val="21"/>
          <w:highlight w:val="none"/>
        </w:rPr>
        <w:t>异常情况处理：详见本章</w:t>
      </w:r>
      <w:r>
        <w:rPr>
          <w:rFonts w:hint="eastAsia" w:ascii="宋体" w:hAnsi="宋体" w:eastAsia="宋体" w:cs="宋体"/>
          <w:color w:val="auto"/>
          <w:highlight w:val="none"/>
        </w:rPr>
        <w:t>29.3 电子交易活动的中止。</w:t>
      </w:r>
      <w:r>
        <w:rPr>
          <w:rFonts w:hint="eastAsia" w:ascii="宋体" w:hAnsi="宋体" w:eastAsia="宋体" w:cs="宋体"/>
          <w:color w:val="auto"/>
          <w:szCs w:val="21"/>
          <w:highlight w:val="none"/>
        </w:rPr>
        <w:t>）</w:t>
      </w:r>
    </w:p>
    <w:p w14:paraId="65C10725">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
          <w:color w:val="auto"/>
          <w:szCs w:val="21"/>
          <w:highlight w:val="none"/>
        </w:rPr>
        <w:t>电子唱标。</w:t>
      </w:r>
      <w:r>
        <w:rPr>
          <w:rFonts w:hint="eastAsia" w:ascii="宋体" w:hAnsi="宋体" w:eastAsia="宋体" w:cs="宋体"/>
          <w:color w:val="auto"/>
          <w:szCs w:val="21"/>
          <w:highlight w:val="none"/>
        </w:rPr>
        <w:t>投标文件解密结束，各投标人报价均在“</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”平台远程不见面开标大厅展示；</w:t>
      </w:r>
    </w:p>
    <w:p w14:paraId="2A333A6F">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b/>
          <w:color w:val="auto"/>
          <w:szCs w:val="21"/>
          <w:highlight w:val="none"/>
        </w:rPr>
        <w:t>签署电子《政府采购活动现场确认声明书》。</w:t>
      </w:r>
      <w:r>
        <w:rPr>
          <w:rFonts w:hint="eastAsia" w:ascii="宋体" w:hAnsi="宋体" w:eastAsia="宋体" w:cs="宋体"/>
          <w:color w:val="auto"/>
          <w:szCs w:val="21"/>
          <w:highlight w:val="none"/>
        </w:rPr>
        <w:t>通过邮件形式在远程不见面开标大厅发送各投标人签署电子《政府采购活动现场确认声明书》。</w:t>
      </w:r>
    </w:p>
    <w:p w14:paraId="3200EEEB">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52D34910">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053822E4">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（6）开标结束。</w:t>
      </w:r>
    </w:p>
    <w:p w14:paraId="60FFBC0A">
      <w:pPr>
        <w:pStyle w:val="13"/>
        <w:shd w:val="clear"/>
        <w:wordWrap w:val="0"/>
        <w:snapToGrid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特别说明：</w:t>
      </w:r>
      <w:r>
        <w:rPr>
          <w:rFonts w:hint="eastAsia" w:ascii="宋体" w:hAnsi="宋体" w:eastAsia="宋体" w:cs="宋体"/>
          <w:color w:val="auto"/>
          <w:szCs w:val="21"/>
          <w:highlight w:val="none"/>
        </w:rPr>
        <w:t>如遇“</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”平台电子化开标或评审程序调整的，按调整后执行。</w:t>
      </w:r>
    </w:p>
    <w:p w14:paraId="3FBE0465">
      <w:pPr>
        <w:pStyle w:val="13"/>
        <w:shd w:val="clear"/>
        <w:wordWrap w:val="0"/>
        <w:snapToGrid w:val="0"/>
        <w:spacing w:line="360" w:lineRule="auto"/>
        <w:ind w:left="689" w:leftChars="228" w:hanging="210" w:hangingChars="100"/>
        <w:rPr>
          <w:rFonts w:hint="eastAsia" w:ascii="宋体" w:hAnsi="宋体" w:eastAsia="宋体" w:cs="宋体"/>
          <w:color w:val="auto"/>
          <w:highlight w:val="none"/>
        </w:rPr>
      </w:pPr>
    </w:p>
    <w:p w14:paraId="0C811CD4">
      <w:pPr>
        <w:pStyle w:val="4"/>
        <w:keepNext w:val="0"/>
        <w:keepLines w:val="0"/>
        <w:shd w:val="clear"/>
        <w:wordWrap w:val="0"/>
        <w:spacing w:line="360" w:lineRule="auto"/>
        <w:jc w:val="center"/>
        <w:rPr>
          <w:rFonts w:hint="eastAsia" w:ascii="宋体" w:hAnsi="宋体" w:eastAsia="宋体" w:cs="宋体"/>
          <w:color w:val="auto"/>
          <w:highlight w:val="none"/>
        </w:rPr>
      </w:pPr>
      <w:bookmarkStart w:id="559" w:name="_Toc32134"/>
      <w:r>
        <w:rPr>
          <w:rFonts w:hint="eastAsia" w:ascii="宋体" w:hAnsi="宋体" w:eastAsia="宋体" w:cs="宋体"/>
          <w:color w:val="auto"/>
          <w:highlight w:val="none"/>
        </w:rPr>
        <w:t>五、资格审查</w:t>
      </w:r>
      <w:bookmarkEnd w:id="559"/>
    </w:p>
    <w:p w14:paraId="3619EBA2">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25.资格审查</w:t>
      </w:r>
    </w:p>
    <w:p w14:paraId="01535123">
      <w:pPr>
        <w:shd w:val="clear"/>
        <w:wordWrap w:val="0"/>
        <w:spacing w:line="360" w:lineRule="auto"/>
        <w:ind w:firstLine="422" w:firstLineChars="200"/>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 xml:space="preserve"> 25.1开标结束后，采购人或采购机构依法通过电子投标文件对投标人的资格进行线上审查。</w:t>
      </w:r>
    </w:p>
    <w:p w14:paraId="650C015D">
      <w:pPr>
        <w:shd w:val="clear"/>
        <w:wordWrap w:val="0"/>
        <w:spacing w:line="360" w:lineRule="auto"/>
        <w:ind w:firstLine="422" w:firstLineChars="200"/>
        <w:rPr>
          <w:rFonts w:hint="eastAsia" w:ascii="宋体" w:hAnsi="宋体" w:eastAsia="宋体" w:cs="宋体"/>
          <w:b/>
          <w:bCs/>
          <w:color w:val="auto"/>
          <w:szCs w:val="20"/>
          <w:highlight w:val="none"/>
        </w:rPr>
      </w:pPr>
      <w:r>
        <w:rPr>
          <w:rFonts w:hint="eastAsia" w:ascii="宋体" w:hAnsi="宋体" w:eastAsia="宋体" w:cs="宋体"/>
          <w:b/>
          <w:bCs/>
          <w:color w:val="auto"/>
          <w:szCs w:val="20"/>
          <w:highlight w:val="none"/>
        </w:rPr>
        <w:t xml:space="preserve"> 25.2采购人或采购机构依据法律法规和招标文件的规定，对投标人的基本资格条件、特定资格条件进行审查。</w:t>
      </w:r>
    </w:p>
    <w:p w14:paraId="19F32336">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25.3资格审查标准为本“招标文件”中“投标人须知前附表”13.1点载明对投标人资格要求的条件。本项目资格审查采用合格制，凡符合招标文件规定的投标人资格要求的投标人均通过资格审查。</w:t>
      </w:r>
    </w:p>
    <w:p w14:paraId="426CB922">
      <w:pPr>
        <w:shd w:val="clear"/>
        <w:wordWrap w:val="0"/>
        <w:spacing w:line="360" w:lineRule="auto"/>
        <w:ind w:firstLine="422" w:firstLineChars="200"/>
        <w:rPr>
          <w:rFonts w:hint="eastAsia" w:ascii="宋体" w:hAnsi="宋体" w:eastAsia="宋体" w:cs="宋体"/>
          <w:b/>
          <w:bCs/>
          <w:color w:val="auto"/>
          <w:szCs w:val="20"/>
          <w:highlight w:val="none"/>
        </w:rPr>
      </w:pPr>
      <w:bookmarkStart w:id="560" w:name="_25.3_投标人有下列情形之一的，资格审查不通过而导致其投标无效："/>
      <w:bookmarkEnd w:id="560"/>
      <w:r>
        <w:rPr>
          <w:rFonts w:hint="eastAsia" w:ascii="宋体" w:hAnsi="宋体" w:eastAsia="宋体" w:cs="宋体"/>
          <w:b/>
          <w:bCs/>
          <w:color w:val="auto"/>
          <w:szCs w:val="20"/>
          <w:highlight w:val="none"/>
        </w:rPr>
        <w:t>25.4投标人有下列情形之一的，资格审查不通过，作无效投标处理：</w:t>
      </w:r>
    </w:p>
    <w:p w14:paraId="3D0BEF30">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（1）不具备招标文件中规定的资格要求的；（注：其中信用查询规则见“投标人须知前附表”，“</w:t>
      </w:r>
      <w:r>
        <w:rPr>
          <w:rFonts w:hint="eastAsia" w:ascii="宋体" w:hAnsi="宋体" w:eastAsia="宋体" w:cs="宋体"/>
          <w:color w:val="auto"/>
          <w:highlight w:val="none"/>
          <w:lang w:eastAsia="zh-CN"/>
        </w:rPr>
        <w:t>广西政府采购云</w:t>
      </w:r>
      <w:r>
        <w:rPr>
          <w:rFonts w:hint="eastAsia" w:ascii="宋体" w:hAnsi="宋体" w:eastAsia="宋体" w:cs="宋体"/>
          <w:color w:val="auto"/>
          <w:highlight w:val="none"/>
        </w:rPr>
        <w:t>”平台已与“信用中国”平台做接口，审查专家可直接在线查询）</w:t>
      </w:r>
    </w:p>
    <w:p w14:paraId="79D95925">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（2）投标文件未提供任一项“投标人须知前附表”资格证明文件规定的“必须提供”的文件资料的；</w:t>
      </w:r>
    </w:p>
    <w:p w14:paraId="31CB102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（3）投标文件提供的资格证明文件出现任一项不符合“投标人须知前附表”资格证明文件规定的“必须提供”的文件资料要求或者无效的。</w:t>
      </w:r>
    </w:p>
    <w:p w14:paraId="68715056">
      <w:pPr>
        <w:shd w:val="clear"/>
        <w:wordWrap w:val="0"/>
        <w:spacing w:line="360" w:lineRule="auto"/>
        <w:ind w:firstLine="420" w:firstLineChars="200"/>
        <w:rPr>
          <w:rFonts w:hint="eastAsia" w:ascii="宋体" w:hAnsi="宋体" w:eastAsia="宋体" w:cs="宋体"/>
          <w:color w:val="auto"/>
          <w:szCs w:val="20"/>
          <w:highlight w:val="none"/>
        </w:rPr>
      </w:pPr>
      <w:r>
        <w:rPr>
          <w:rFonts w:hint="eastAsia" w:ascii="宋体" w:hAnsi="宋体" w:eastAsia="宋体" w:cs="宋体"/>
          <w:color w:val="auto"/>
          <w:szCs w:val="20"/>
          <w:highlight w:val="none"/>
        </w:rPr>
        <w:t>25.5资格审查的合格投标人不足3家的，不得评标。</w:t>
      </w:r>
    </w:p>
    <w:p w14:paraId="6E937D8A">
      <w:pPr>
        <w:pStyle w:val="4"/>
        <w:keepNext w:val="0"/>
        <w:keepLines w:val="0"/>
        <w:shd w:val="clear"/>
        <w:wordWrap w:val="0"/>
        <w:spacing w:line="360" w:lineRule="auto"/>
        <w:jc w:val="center"/>
        <w:rPr>
          <w:rFonts w:hint="eastAsia" w:ascii="宋体" w:hAnsi="宋体" w:eastAsia="宋体" w:cs="宋体"/>
          <w:color w:val="auto"/>
          <w:highlight w:val="none"/>
        </w:rPr>
      </w:pPr>
      <w:bookmarkStart w:id="561" w:name="_Toc16376"/>
      <w:r>
        <w:rPr>
          <w:rFonts w:hint="eastAsia" w:ascii="宋体" w:hAnsi="宋体" w:eastAsia="宋体" w:cs="宋体"/>
          <w:color w:val="auto"/>
          <w:highlight w:val="none"/>
        </w:rPr>
        <w:t>六、评   标</w:t>
      </w:r>
      <w:bookmarkEnd w:id="561"/>
    </w:p>
    <w:p w14:paraId="1BF5AEF0">
      <w:pPr>
        <w:shd w:val="clear"/>
        <w:wordWrap w:val="0"/>
        <w:spacing w:line="360" w:lineRule="auto"/>
        <w:ind w:firstLine="480" w:firstLineChars="200"/>
        <w:rPr>
          <w:rFonts w:hint="eastAsia" w:ascii="宋体" w:hAnsi="宋体" w:eastAsia="宋体" w:cs="宋体"/>
          <w:color w:val="auto"/>
          <w:sz w:val="24"/>
          <w:highlight w:val="none"/>
        </w:rPr>
      </w:pPr>
      <w:bookmarkStart w:id="562" w:name="_26.组建评标委员会"/>
      <w:bookmarkEnd w:id="562"/>
      <w:r>
        <w:rPr>
          <w:rFonts w:hint="eastAsia" w:ascii="宋体" w:hAnsi="宋体" w:eastAsia="宋体" w:cs="宋体"/>
          <w:color w:val="auto"/>
          <w:sz w:val="24"/>
          <w:highlight w:val="none"/>
        </w:rPr>
        <w:t>26.组建评标委员会</w:t>
      </w:r>
    </w:p>
    <w:p w14:paraId="7800A49E">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评标委员会由采购人代表和评审专家组成，人数为5人以上单数，其中评审专家不得少于成员总数的三分之二。</w:t>
      </w:r>
    </w:p>
    <w:p w14:paraId="3DB94C0D">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参加过采购项目前期咨询论证的专家，不得参加该采购项目的评审活动。</w:t>
      </w:r>
    </w:p>
    <w:p w14:paraId="198DCB54">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27.评标的依据</w:t>
      </w:r>
    </w:p>
    <w:p w14:paraId="08CEF900">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评标委员会以招标文件为依据对投标文件进行评审，“第四章 评标方法和评标标准”没有规定的方法、评审因素和标准，不作为评标依据。</w:t>
      </w:r>
    </w:p>
    <w:p w14:paraId="3FA083A2">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28.评标原则</w:t>
      </w:r>
    </w:p>
    <w:p w14:paraId="545AD0D8">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77205A4">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28.2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563" w:name="_28.3评标方法。本项目将按须知前附表规定的评标办法进行评标，具体评标"/>
      <w:bookmarkEnd w:id="563"/>
    </w:p>
    <w:p w14:paraId="77E1485B">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5F30104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28.4评标过程的监控。本项目电子评标过程实行网上留痕、全程录音、录像监控，投标人在评标过程中所进行的试图影响评标结果的不公正活动，可能导致其投标按无效处理。</w:t>
      </w:r>
    </w:p>
    <w:p w14:paraId="2E834504">
      <w:pPr>
        <w:widowControl/>
        <w:shd w:val="clear"/>
        <w:wordWrap w:val="0"/>
        <w:spacing w:line="360" w:lineRule="auto"/>
        <w:ind w:firstLine="420" w:firstLineChars="2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3F41901">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29.评标方法及评标标准</w:t>
      </w:r>
    </w:p>
    <w:p w14:paraId="460219CF">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29.1本项目的评标方法详见“投标人须知前附表”。</w:t>
      </w:r>
    </w:p>
    <w:p w14:paraId="25CBB20E">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29.2 评标委员会按照</w:t>
      </w:r>
      <w:r>
        <w:rPr>
          <w:rFonts w:hint="eastAsia" w:ascii="宋体" w:hAnsi="宋体" w:eastAsia="宋体" w:cs="宋体"/>
          <w:b/>
          <w:color w:val="auto"/>
          <w:highlight w:val="none"/>
        </w:rPr>
        <w:t>“第四章 评标方法和评标标准”</w:t>
      </w:r>
      <w:r>
        <w:rPr>
          <w:rFonts w:hint="eastAsia" w:ascii="宋体" w:hAnsi="宋体" w:eastAsia="宋体" w:cs="宋体"/>
          <w:color w:val="auto"/>
          <w:highlight w:val="none"/>
        </w:rPr>
        <w:t>规定的方法、评审因素、标准和程序对投标文件进行评审。</w:t>
      </w:r>
    </w:p>
    <w:p w14:paraId="1275DB44">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29.3 电子交易活动的中止。采购过程中出现以下情形，导致电子交易平台无法正常运行，或者无法保证电子交易的公平、公正和安全时，采购机构可中止电子交易活动：</w:t>
      </w:r>
    </w:p>
    <w:p w14:paraId="32437C31">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7AB2FF20">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72559E7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56D7564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1B05A695">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（4）其他无法保证电子交易的公平、公正和安全的情况。</w:t>
      </w:r>
    </w:p>
    <w:p w14:paraId="64CF5083">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3CA6EE9">
      <w:pPr>
        <w:pStyle w:val="13"/>
        <w:shd w:val="clear"/>
        <w:wordWrap w:val="0"/>
        <w:snapToGrid w:val="0"/>
        <w:spacing w:line="360" w:lineRule="auto"/>
        <w:ind w:firstLine="420" w:firstLineChars="200"/>
        <w:rPr>
          <w:rFonts w:hint="eastAsia" w:ascii="宋体" w:hAnsi="宋体" w:eastAsia="宋体" w:cs="宋体"/>
          <w:color w:val="auto"/>
          <w:highlight w:val="none"/>
        </w:rPr>
      </w:pPr>
    </w:p>
    <w:p w14:paraId="3892B4D1">
      <w:pPr>
        <w:pStyle w:val="4"/>
        <w:keepNext w:val="0"/>
        <w:keepLines w:val="0"/>
        <w:shd w:val="clear"/>
        <w:wordWrap w:val="0"/>
        <w:spacing w:line="360" w:lineRule="auto"/>
        <w:jc w:val="center"/>
        <w:rPr>
          <w:rFonts w:hint="eastAsia" w:ascii="宋体" w:hAnsi="宋体" w:eastAsia="宋体" w:cs="宋体"/>
          <w:color w:val="auto"/>
          <w:highlight w:val="none"/>
        </w:rPr>
      </w:pPr>
      <w:bookmarkStart w:id="564" w:name="_Toc254970687"/>
      <w:bookmarkStart w:id="565" w:name="_Toc254970546"/>
      <w:bookmarkStart w:id="566" w:name="_Toc31214"/>
      <w:r>
        <w:rPr>
          <w:rFonts w:hint="eastAsia" w:ascii="宋体" w:hAnsi="宋体" w:eastAsia="宋体" w:cs="宋体"/>
          <w:color w:val="auto"/>
          <w:highlight w:val="none"/>
        </w:rPr>
        <w:t>七、</w:t>
      </w:r>
      <w:bookmarkEnd w:id="564"/>
      <w:bookmarkEnd w:id="565"/>
      <w:r>
        <w:rPr>
          <w:rFonts w:hint="eastAsia" w:ascii="宋体" w:hAnsi="宋体" w:eastAsia="宋体" w:cs="宋体"/>
          <w:color w:val="auto"/>
          <w:highlight w:val="none"/>
        </w:rPr>
        <w:t>中标和合同</w:t>
      </w:r>
      <w:bookmarkEnd w:id="566"/>
    </w:p>
    <w:p w14:paraId="07A7CB2F">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30.确定中标供应商</w:t>
      </w:r>
    </w:p>
    <w:p w14:paraId="37543602">
      <w:pPr>
        <w:shd w:val="clear"/>
        <w:wordWrap w:val="0"/>
        <w:spacing w:line="360" w:lineRule="auto"/>
        <w:ind w:firstLine="422" w:firstLineChars="20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30.1本项目授权评标委员会直接按第四章“评标方法及标准”的规定排列中标候选人顺序，并依照次序确定中标供应商。</w:t>
      </w:r>
    </w:p>
    <w:p w14:paraId="25F11C0D">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30.2采购人、采购代理机构认为供应商对采购过程、中标结果提出的质疑成立且影响或者可能影响中标结果的，合格供应商符合法定数量时，可以从合格的中标候选人中另行确定中标供应商的，应当依法另行确定中标供应商；否则应当重新开展采购活动。</w:t>
      </w:r>
    </w:p>
    <w:p w14:paraId="6DD4E00E">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30.3中标供应商无正当理由拒签合同的，根据《中华人民共和国政府采购法》第七十七条第一款规定处理。</w:t>
      </w:r>
    </w:p>
    <w:p w14:paraId="71576478">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30.4根据《中华人民共和国民法典》</w:t>
      </w:r>
      <w:r>
        <w:rPr>
          <w:rFonts w:hint="eastAsia" w:ascii="宋体" w:hAnsi="宋体" w:eastAsia="宋体" w:cs="宋体"/>
          <w:color w:val="auto"/>
          <w:sz w:val="19"/>
          <w:szCs w:val="19"/>
          <w:highlight w:val="none"/>
        </w:rPr>
        <w:t>第五百六十三条</w:t>
      </w:r>
      <w:r>
        <w:rPr>
          <w:rFonts w:hint="eastAsia" w:ascii="宋体" w:hAnsi="宋体" w:eastAsia="宋体" w:cs="宋体"/>
          <w:color w:val="auto"/>
          <w:szCs w:val="21"/>
          <w:highlight w:val="none"/>
        </w:rPr>
        <w:t>，因不可抗力致使不能实现合同目的的，当事人可以解除合同。</w:t>
      </w:r>
    </w:p>
    <w:p w14:paraId="700D7F09">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31. 结果公告</w:t>
      </w:r>
    </w:p>
    <w:p w14:paraId="55941EF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31.1</w:t>
      </w:r>
      <w:r>
        <w:rPr>
          <w:rFonts w:hint="eastAsia" w:ascii="宋体" w:hAnsi="宋体" w:eastAsia="宋体" w:cs="宋体"/>
          <w:color w:val="auto"/>
          <w:highlight w:val="none"/>
        </w:rPr>
        <w:t>在中标供应商确定之日起2个工作日内，由采购代理机构</w:t>
      </w:r>
      <w:r>
        <w:rPr>
          <w:rFonts w:hint="eastAsia" w:ascii="宋体" w:hAnsi="宋体" w:eastAsia="宋体" w:cs="宋体"/>
          <w:b/>
          <w:color w:val="auto"/>
          <w:szCs w:val="21"/>
          <w:highlight w:val="none"/>
        </w:rPr>
        <w:t>在招标公告发布媒体上</w:t>
      </w:r>
      <w:r>
        <w:rPr>
          <w:rFonts w:hint="eastAsia" w:ascii="宋体" w:hAnsi="宋体" w:eastAsia="宋体" w:cs="宋体"/>
          <w:color w:val="auto"/>
          <w:highlight w:val="none"/>
        </w:rPr>
        <w:t>发布中标结果公告，中标结果公告期限为1个工作日，发布中标结果公告的同时向中标供应商发出中标通知书。</w:t>
      </w:r>
      <w:r>
        <w:rPr>
          <w:rFonts w:hint="eastAsia" w:ascii="宋体" w:hAnsi="宋体" w:eastAsia="宋体" w:cs="宋体"/>
          <w:b/>
          <w:color w:val="auto"/>
          <w:szCs w:val="21"/>
          <w:highlight w:val="none"/>
        </w:rPr>
        <w:t>采购代理机构发出中标通知书前，应当对中标供应商信用进行核实，对列入失信被执行人、</w:t>
      </w:r>
      <w:r>
        <w:rPr>
          <w:rFonts w:hint="eastAsia" w:ascii="宋体" w:hAnsi="宋体" w:eastAsia="宋体" w:cs="宋体"/>
          <w:b/>
          <w:color w:val="auto"/>
          <w:szCs w:val="21"/>
          <w:highlight w:val="none"/>
          <w:lang w:eastAsia="zh-CN"/>
        </w:rPr>
        <w:t>重大税收违法失信主体</w:t>
      </w:r>
      <w:r>
        <w:rPr>
          <w:rFonts w:hint="eastAsia" w:ascii="宋体" w:hAnsi="宋体" w:eastAsia="宋体" w:cs="宋体"/>
          <w:b/>
          <w:color w:val="auto"/>
          <w:szCs w:val="21"/>
          <w:highlight w:val="none"/>
        </w:rPr>
        <w:t>、政府采购严重违法失信行为记录名单及其他不符合《中华人民共和国政府采购法》第二十二条规定条件的投标人，取消其中标资格，并确定排名第二的中标候选人为中标供应商。</w:t>
      </w:r>
      <w:r>
        <w:rPr>
          <w:rFonts w:hint="eastAsia" w:ascii="宋体" w:hAnsi="宋体" w:eastAsia="宋体" w:cs="宋体"/>
          <w:color w:val="auto"/>
          <w:szCs w:val="21"/>
          <w:highlight w:val="none"/>
        </w:rPr>
        <w:t>排名第二的中标候选人因前款规定的同样原因被取消中标资格的，授权的评标委员会可以确定排名第三的中标候选人为中标供应商，以此类推。</w:t>
      </w:r>
    </w:p>
    <w:p w14:paraId="461580B5">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以上信息查询记录及相关证据与采购文件一并保存。</w:t>
      </w:r>
    </w:p>
    <w:p w14:paraId="76537EFD">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r>
        <w:rPr>
          <w:rFonts w:hint="eastAsia" w:ascii="宋体" w:hAnsi="宋体" w:cs="宋体"/>
          <w:color w:val="auto"/>
          <w:szCs w:val="21"/>
          <w:highlight w:val="none"/>
          <w:lang w:val="en-US" w:eastAsia="zh-CN"/>
        </w:rPr>
        <w:t>中小</w:t>
      </w:r>
      <w:r>
        <w:rPr>
          <w:rFonts w:hint="eastAsia" w:ascii="宋体" w:hAnsi="宋体" w:eastAsia="宋体" w:cs="宋体"/>
          <w:color w:val="auto"/>
          <w:szCs w:val="21"/>
          <w:highlight w:val="none"/>
        </w:rPr>
        <w:t>企业在政府采购活动过程中，请根据企业的真实情况出具《</w:t>
      </w:r>
      <w:r>
        <w:rPr>
          <w:rFonts w:hint="eastAsia" w:ascii="宋体" w:hAnsi="宋体" w:cs="宋体"/>
          <w:color w:val="auto"/>
          <w:szCs w:val="21"/>
          <w:highlight w:val="none"/>
          <w:lang w:eastAsia="zh-CN"/>
        </w:rPr>
        <w:t>中小</w:t>
      </w:r>
      <w:r>
        <w:rPr>
          <w:rFonts w:hint="eastAsia" w:ascii="宋体" w:hAnsi="宋体" w:eastAsia="宋体" w:cs="宋体"/>
          <w:color w:val="auto"/>
          <w:szCs w:val="21"/>
          <w:highlight w:val="none"/>
          <w:lang w:eastAsia="zh-CN"/>
        </w:rPr>
        <w:t>企业声明函</w:t>
      </w:r>
      <w:r>
        <w:rPr>
          <w:rFonts w:hint="eastAsia" w:ascii="宋体" w:hAnsi="宋体" w:eastAsia="宋体" w:cs="宋体"/>
          <w:color w:val="auto"/>
          <w:szCs w:val="21"/>
          <w:highlight w:val="none"/>
        </w:rPr>
        <w:t>》。依法享受</w:t>
      </w:r>
      <w:r>
        <w:rPr>
          <w:rFonts w:hint="eastAsia" w:ascii="宋体" w:hAnsi="宋体" w:cs="宋体"/>
          <w:color w:val="auto"/>
          <w:szCs w:val="21"/>
          <w:highlight w:val="none"/>
          <w:lang w:val="en-US" w:eastAsia="zh-CN"/>
        </w:rPr>
        <w:t>中小</w:t>
      </w:r>
      <w:r>
        <w:rPr>
          <w:rFonts w:hint="eastAsia" w:ascii="宋体" w:hAnsi="宋体" w:eastAsia="宋体" w:cs="宋体"/>
          <w:color w:val="auto"/>
          <w:szCs w:val="21"/>
          <w:highlight w:val="none"/>
        </w:rPr>
        <w:t>企业优惠政策的，采购人或者采购代理机构在公告中标结果时，同时公告其《</w:t>
      </w:r>
      <w:r>
        <w:rPr>
          <w:rFonts w:hint="eastAsia" w:ascii="宋体" w:hAnsi="宋体" w:cs="宋体"/>
          <w:color w:val="auto"/>
          <w:szCs w:val="21"/>
          <w:highlight w:val="none"/>
          <w:lang w:eastAsia="zh-CN"/>
        </w:rPr>
        <w:t>中小</w:t>
      </w:r>
      <w:r>
        <w:rPr>
          <w:rFonts w:hint="eastAsia" w:ascii="宋体" w:hAnsi="宋体" w:eastAsia="宋体" w:cs="宋体"/>
          <w:color w:val="auto"/>
          <w:szCs w:val="21"/>
          <w:highlight w:val="none"/>
        </w:rPr>
        <w:t>企业声明函》，接受社会监督。</w:t>
      </w:r>
    </w:p>
    <w:p w14:paraId="42EEB26F">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32.发出中标通知书</w:t>
      </w:r>
    </w:p>
    <w:p w14:paraId="6B44B431">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32.1在发布中标公告的同时，采购代理机构向中标供应商通过“</w:t>
      </w:r>
      <w:r>
        <w:rPr>
          <w:rFonts w:hint="eastAsia" w:ascii="宋体" w:hAnsi="宋体" w:eastAsia="宋体" w:cs="宋体"/>
          <w:b/>
          <w:color w:val="auto"/>
          <w:szCs w:val="21"/>
          <w:highlight w:val="none"/>
          <w:lang w:eastAsia="zh-CN"/>
        </w:rPr>
        <w:t>广西政府采购云</w:t>
      </w:r>
      <w:r>
        <w:rPr>
          <w:rFonts w:hint="eastAsia" w:ascii="宋体" w:hAnsi="宋体" w:eastAsia="宋体" w:cs="宋体"/>
          <w:b/>
          <w:color w:val="auto"/>
          <w:szCs w:val="21"/>
          <w:highlight w:val="none"/>
        </w:rPr>
        <w:t>”平台发出电子中标通知书。</w:t>
      </w:r>
    </w:p>
    <w:p w14:paraId="37C1F5BF">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32.2对未通过资格审查的投标人，采购人或采购机构应当告知其未通过的原因；采用综合评分办法评审的，采购人或采购机构还应当告知未中标供应商本人的评审得分与排序。</w:t>
      </w:r>
    </w:p>
    <w:p w14:paraId="7696F776">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 无义务解释未中标原因</w:t>
      </w:r>
    </w:p>
    <w:p w14:paraId="6DBFD0F3">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采购代理机构无义务向未中标的投标人解释未中标原因和退还投标文件。</w:t>
      </w:r>
    </w:p>
    <w:p w14:paraId="7AA6A1B3">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34.合同授予标准</w:t>
      </w:r>
    </w:p>
    <w:p w14:paraId="46822823">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合同将授予被确定实质上响应招标文件要求，具备履行合同能力的中标供应商（招标文件另有约定多名中标供应商的除外）。</w:t>
      </w:r>
    </w:p>
    <w:p w14:paraId="0A4DEB07">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35.履约保证金</w:t>
      </w:r>
    </w:p>
    <w:p w14:paraId="1AF2302A">
      <w:pPr>
        <w:shd w:val="clear"/>
        <w:wordWrap w:val="0"/>
        <w:spacing w:line="360" w:lineRule="auto"/>
        <w:ind w:firstLine="420" w:firstLineChars="200"/>
        <w:rPr>
          <w:rFonts w:hint="eastAsia" w:ascii="宋体" w:hAnsi="宋体" w:eastAsia="宋体" w:cs="宋体"/>
          <w:color w:val="auto"/>
          <w:szCs w:val="21"/>
          <w:highlight w:val="none"/>
        </w:rPr>
      </w:pPr>
      <w:bookmarkStart w:id="567" w:name="_39.1中标人须于签订合同前按本须知前附表规定的金额转账或电汇到指定账"/>
      <w:bookmarkEnd w:id="567"/>
      <w:r>
        <w:rPr>
          <w:rFonts w:hint="eastAsia" w:ascii="宋体" w:hAnsi="宋体" w:eastAsia="宋体" w:cs="宋体"/>
          <w:color w:val="auto"/>
          <w:szCs w:val="21"/>
          <w:highlight w:val="none"/>
        </w:rPr>
        <w:t>见“投标人须知前附表”。</w:t>
      </w:r>
    </w:p>
    <w:p w14:paraId="3BE427B8">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36.签订合同</w:t>
      </w:r>
    </w:p>
    <w:p w14:paraId="11D47D0E">
      <w:pPr>
        <w:pStyle w:val="32"/>
        <w:shd w:val="clear"/>
        <w:wordWrap w:val="0"/>
        <w:snapToGrid w:val="0"/>
        <w:spacing w:before="0"/>
        <w:ind w:firstLine="422"/>
        <w:rPr>
          <w:rFonts w:hint="eastAsia" w:ascii="宋体" w:hAnsi="宋体" w:eastAsia="宋体" w:cs="宋体"/>
          <w:color w:val="auto"/>
          <w:kern w:val="0"/>
          <w:sz w:val="21"/>
          <w:szCs w:val="21"/>
          <w:highlight w:val="none"/>
          <w:lang w:val="zh-CN"/>
        </w:rPr>
      </w:pPr>
      <w:bookmarkStart w:id="568" w:name="_40.1投标人接到中标通知书后，按须知前附表规定向采购人出示相关资格证"/>
      <w:bookmarkEnd w:id="568"/>
      <w:r>
        <w:rPr>
          <w:rFonts w:hint="eastAsia" w:ascii="宋体" w:hAnsi="宋体" w:eastAsia="宋体" w:cs="宋体"/>
          <w:b/>
          <w:color w:val="auto"/>
          <w:sz w:val="21"/>
          <w:szCs w:val="21"/>
          <w:highlight w:val="none"/>
        </w:rPr>
        <w:t xml:space="preserve"> 36.1中标供应商领取电子中标通知书后，</w:t>
      </w:r>
      <w:r>
        <w:rPr>
          <w:rFonts w:hint="eastAsia" w:ascii="宋体" w:hAnsi="宋体" w:eastAsia="宋体" w:cs="宋体"/>
          <w:color w:val="auto"/>
          <w:kern w:val="0"/>
          <w:sz w:val="21"/>
          <w:szCs w:val="21"/>
          <w:highlight w:val="none"/>
          <w:lang w:val="zh-CN"/>
        </w:rPr>
        <w:t>按规定的日期、时间、地点，由法定代表人或其授权代表与采购人代表签订电子采购合同。如中标供应商为联合体的，由联合体成员各方法定代表人或其授权代表与采购人代表签订合同，签订携带资料详见“投标人须知前附表”。</w:t>
      </w:r>
    </w:p>
    <w:p w14:paraId="6B279D06">
      <w:pPr>
        <w:pStyle w:val="32"/>
        <w:shd w:val="clear"/>
        <w:wordWrap w:val="0"/>
        <w:snapToGrid w:val="0"/>
        <w:spacing w:before="0"/>
        <w:ind w:firstLine="42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36.2</w:t>
      </w:r>
      <w:r>
        <w:rPr>
          <w:rFonts w:hint="eastAsia" w:ascii="宋体" w:hAnsi="宋体" w:eastAsia="宋体" w:cs="宋体"/>
          <w:color w:val="auto"/>
          <w:sz w:val="21"/>
          <w:szCs w:val="21"/>
          <w:highlight w:val="none"/>
        </w:rPr>
        <w:t>采购合同由采购人与中标供应商根据招标文件、投标文件等内容通过政府采购电子交易平台在线签订，自动备案。</w:t>
      </w:r>
    </w:p>
    <w:p w14:paraId="428C3C58">
      <w:pPr>
        <w:pStyle w:val="32"/>
        <w:shd w:val="clear"/>
        <w:wordWrap w:val="0"/>
        <w:snapToGrid w:val="0"/>
        <w:spacing w:before="0"/>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36.3签订合同时间：按中标通知书规定的时间与采购人签订合同（最长不能超过25日）。</w:t>
      </w:r>
    </w:p>
    <w:p w14:paraId="283D22A4">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36.4中标供应商拒绝与采购人签订合同的，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424FA468">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EA522AB">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36.6采购人或中标供应商不得单方面向合同另一方提出任何招标文件没有约定的条件或不合理的要求，作为签订合同的条件；也不得协商另行订立背离招标文件和合同实质性内容的协议。</w:t>
      </w:r>
    </w:p>
    <w:p w14:paraId="0D55BBEA">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36.7如签订合同并生效后，供应商无故拒绝或延期，除按照合同条款处理外，将承担相应的法律责任。</w:t>
      </w:r>
    </w:p>
    <w:p w14:paraId="3DD57714">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42B8858A">
      <w:pPr>
        <w:shd w:val="clear"/>
        <w:wordWrap w:val="0"/>
        <w:spacing w:line="360" w:lineRule="auto"/>
        <w:ind w:firstLine="480" w:firstLineChars="200"/>
        <w:rPr>
          <w:rFonts w:hint="eastAsia" w:ascii="宋体" w:hAnsi="宋体" w:eastAsia="宋体" w:cs="宋体"/>
          <w:color w:val="auto"/>
          <w:sz w:val="24"/>
          <w:highlight w:val="none"/>
        </w:rPr>
      </w:pPr>
      <w:bookmarkStart w:id="569" w:name="_41.政府采购合同公告"/>
      <w:bookmarkEnd w:id="569"/>
      <w:r>
        <w:rPr>
          <w:rFonts w:hint="eastAsia" w:ascii="宋体" w:hAnsi="宋体" w:eastAsia="宋体" w:cs="宋体"/>
          <w:color w:val="auto"/>
          <w:sz w:val="24"/>
          <w:highlight w:val="none"/>
        </w:rPr>
        <w:t>37.政府采购合同公告</w:t>
      </w:r>
    </w:p>
    <w:p w14:paraId="4C1EFE09">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502874A9">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38. 询问、质疑和投诉</w:t>
      </w:r>
    </w:p>
    <w:p w14:paraId="44EA7301">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38.1询问</w:t>
      </w:r>
    </w:p>
    <w:p w14:paraId="3E8BB71E">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38.1.1供应商在开标前对政府采购活动事项有疑问的，可以向采购人或采购代理机构项目负责人提出询问。</w:t>
      </w:r>
    </w:p>
    <w:p w14:paraId="2AF7A79F">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38.1.2采购人或采购人委托的采购代理机构自受理询问之日起3个工作日内对供应商依法提出的询问作出答复，</w:t>
      </w:r>
      <w:r>
        <w:rPr>
          <w:rFonts w:hint="eastAsia" w:ascii="宋体" w:hAnsi="宋体" w:eastAsia="宋体" w:cs="宋体"/>
          <w:color w:val="auto"/>
          <w:highlight w:val="none"/>
        </w:rPr>
        <w:t>但答复内容不得涉及商业秘密</w:t>
      </w:r>
      <w:r>
        <w:rPr>
          <w:rFonts w:hint="eastAsia" w:ascii="宋体" w:hAnsi="宋体" w:eastAsia="宋体" w:cs="宋体"/>
          <w:bCs/>
          <w:color w:val="auto"/>
          <w:szCs w:val="21"/>
          <w:highlight w:val="none"/>
        </w:rPr>
        <w:t>。</w:t>
      </w:r>
    </w:p>
    <w:p w14:paraId="349C1DB8">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38.1.3 询问事项可能影响中标、成交结果的，采购人应当暂停签订合同，已经签订合同的，应当中止履行合同。</w:t>
      </w:r>
    </w:p>
    <w:p w14:paraId="790FF76B">
      <w:pPr>
        <w:shd w:val="clear"/>
        <w:wordWrap w:val="0"/>
        <w:spacing w:line="360" w:lineRule="auto"/>
        <w:ind w:firstLine="422" w:firstLineChars="200"/>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 xml:space="preserve"> </w:t>
      </w:r>
      <w:r>
        <w:rPr>
          <w:rFonts w:hint="eastAsia" w:ascii="宋体" w:hAnsi="宋体" w:eastAsia="宋体" w:cs="宋体"/>
          <w:color w:val="auto"/>
          <w:szCs w:val="21"/>
          <w:highlight w:val="none"/>
        </w:rPr>
        <w:t>38.2质疑</w:t>
      </w:r>
    </w:p>
    <w:p w14:paraId="62AA7108">
      <w:pPr>
        <w:shd w:val="clear"/>
        <w:wordWrap w:val="0"/>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38.2.1</w:t>
      </w:r>
      <w:r>
        <w:rPr>
          <w:rFonts w:hint="eastAsia" w:ascii="宋体" w:hAnsi="宋体" w:eastAsia="宋体" w:cs="宋体"/>
          <w:b/>
          <w:color w:val="auto"/>
          <w:szCs w:val="21"/>
          <w:highlight w:val="none"/>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78C4F4C3">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（1）潜在供应商依法获取公开招标文件后，认为采购文件使自己的权益受到损害的，应当在公开招标文件公告期限届满之日起7个工作日内提出质疑。</w:t>
      </w:r>
      <w:r>
        <w:rPr>
          <w:rFonts w:hint="eastAsia" w:ascii="宋体" w:hAnsi="宋体" w:eastAsia="宋体" w:cs="宋体"/>
          <w:color w:val="auto"/>
          <w:highlight w:val="none"/>
        </w:rPr>
        <w:t>委托代理协议无特殊约定的，</w:t>
      </w:r>
      <w:r>
        <w:rPr>
          <w:rFonts w:hint="eastAsia" w:ascii="宋体" w:hAnsi="宋体" w:eastAsia="宋体" w:cs="宋体"/>
          <w:bCs/>
          <w:color w:val="auto"/>
          <w:highlight w:val="none"/>
        </w:rPr>
        <w:t>对公开招标文件中采购需求（含资格要求、采购预算和评分办法）的质疑由采购人受理并负责答复；对公开招标文件中的采购执行程序的质疑由采购代理机构受理并负责答复。</w:t>
      </w:r>
    </w:p>
    <w:p w14:paraId="7883827A">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6A23F47B">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（3）供应商认为中标或者成交结果使自己的权益受到损害的，应当在中标或者成交结果公告期限届满之日起7个工作日内提出质疑，由采购人受理并负责答复。</w:t>
      </w:r>
    </w:p>
    <w:p w14:paraId="15FCD500">
      <w:pPr>
        <w:shd w:val="clear"/>
        <w:wordWrap w:val="0"/>
        <w:spacing w:line="360" w:lineRule="auto"/>
        <w:ind w:firstLine="422" w:firstLineChars="200"/>
        <w:rPr>
          <w:rFonts w:hint="eastAsia" w:ascii="宋体" w:hAnsi="宋体" w:eastAsia="宋体" w:cs="宋体"/>
          <w:bCs/>
          <w:color w:val="auto"/>
          <w:szCs w:val="21"/>
          <w:highlight w:val="none"/>
        </w:rPr>
      </w:pPr>
      <w:r>
        <w:rPr>
          <w:rFonts w:hint="eastAsia" w:ascii="宋体" w:hAnsi="宋体" w:eastAsia="宋体" w:cs="宋体"/>
          <w:b/>
          <w:bCs/>
          <w:color w:val="auto"/>
          <w:szCs w:val="21"/>
          <w:highlight w:val="none"/>
        </w:rPr>
        <w:t>38.2.2</w:t>
      </w:r>
      <w:r>
        <w:rPr>
          <w:rFonts w:hint="eastAsia" w:ascii="宋体" w:hAnsi="宋体" w:eastAsia="宋体" w:cs="宋体"/>
          <w:bCs/>
          <w:color w:val="auto"/>
          <w:szCs w:val="21"/>
          <w:highlight w:val="none"/>
        </w:rPr>
        <w:t>供应商质疑实行实名制，其质疑应当有具体的质疑事项及事实根据，质疑应当坚持依法依规、诚实信用原则，不得进行虚假、恶意质疑。</w:t>
      </w:r>
    </w:p>
    <w:p w14:paraId="07646F2E">
      <w:pPr>
        <w:shd w:val="clea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bCs/>
          <w:color w:val="auto"/>
          <w:highlight w:val="none"/>
        </w:rPr>
        <w:t>38.2.3</w:t>
      </w:r>
      <w:r>
        <w:rPr>
          <w:rFonts w:hint="eastAsia" w:ascii="宋体" w:hAnsi="宋体" w:eastAsia="宋体" w:cs="宋体"/>
          <w:bCs/>
          <w:color w:val="auto"/>
          <w:highlight w:val="none"/>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eastAsia="宋体" w:cs="宋体"/>
          <w:color w:val="auto"/>
          <w:highlight w:val="none"/>
        </w:rPr>
        <w:t>。</w:t>
      </w:r>
    </w:p>
    <w:p w14:paraId="0C60FFA2">
      <w:pPr>
        <w:shd w:val="clear"/>
        <w:wordWrap w:val="0"/>
        <w:spacing w:line="360" w:lineRule="auto"/>
        <w:ind w:firstLine="42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38.2.4 质疑供应商提起质疑应当符合下列条件：</w:t>
      </w:r>
    </w:p>
    <w:p w14:paraId="4DD0090D">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（1）质疑供应商是参与所质疑</w:t>
      </w:r>
      <w:r>
        <w:rPr>
          <w:rFonts w:hint="eastAsia" w:ascii="宋体" w:hAnsi="宋体" w:eastAsia="宋体" w:cs="宋体"/>
          <w:bCs/>
          <w:color w:val="auto"/>
          <w:szCs w:val="21"/>
          <w:highlight w:val="none"/>
        </w:rPr>
        <w:t>项目</w:t>
      </w:r>
      <w:r>
        <w:rPr>
          <w:rFonts w:hint="eastAsia" w:ascii="宋体" w:hAnsi="宋体" w:eastAsia="宋体" w:cs="宋体"/>
          <w:bCs/>
          <w:color w:val="auto"/>
          <w:highlight w:val="none"/>
        </w:rPr>
        <w:t>采购活动的供应商（潜在供应商已依法获取可之一的采购文件的，可以对该采购文件质疑）；</w:t>
      </w:r>
    </w:p>
    <w:p w14:paraId="1CBA5226">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（2）质疑函内容符合本章第38.2.5项的规定；</w:t>
      </w:r>
    </w:p>
    <w:p w14:paraId="5A751839">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（3）在质疑有效期限内提起质疑；</w:t>
      </w:r>
    </w:p>
    <w:p w14:paraId="01A0F46E">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（4）属于所质疑的采购人或采购人委托的采购代理机构组织的采购活动；</w:t>
      </w:r>
    </w:p>
    <w:p w14:paraId="0E500DD5">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 xml:space="preserve">（5）同一质疑事项未经采购人或采购人委托的采购代理机构质疑处理； </w:t>
      </w:r>
    </w:p>
    <w:p w14:paraId="70874E49">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（6）供应商对同一采购程序环节的质疑应当在质疑有效期内一次性提出；</w:t>
      </w:r>
    </w:p>
    <w:p w14:paraId="587DC888">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（7）供应商提交质疑应当提交必要的证明材料，证明材料应以合法手段取得；</w:t>
      </w:r>
    </w:p>
    <w:p w14:paraId="4693D68D">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bCs/>
          <w:color w:val="auto"/>
          <w:highlight w:val="none"/>
        </w:rPr>
        <w:t>（8）财政部门规定的其他条件。</w:t>
      </w:r>
    </w:p>
    <w:p w14:paraId="15510A6F">
      <w:pPr>
        <w:shd w:val="clear"/>
        <w:wordWrap w:val="0"/>
        <w:spacing w:line="360" w:lineRule="auto"/>
        <w:ind w:firstLine="420" w:firstLineChars="200"/>
        <w:rPr>
          <w:rFonts w:hint="eastAsia" w:ascii="宋体" w:hAnsi="宋体" w:eastAsia="宋体" w:cs="宋体"/>
          <w:b/>
          <w:color w:val="auto"/>
          <w:szCs w:val="21"/>
          <w:highlight w:val="none"/>
        </w:rPr>
      </w:pPr>
      <w:bookmarkStart w:id="570" w:name="_9.2质疑、投诉应当采用书面形式，质疑函、投诉书均应明确阐述招标文件、"/>
      <w:bookmarkEnd w:id="570"/>
      <w:r>
        <w:rPr>
          <w:rFonts w:hint="eastAsia" w:ascii="宋体" w:hAnsi="宋体" w:eastAsia="宋体" w:cs="宋体"/>
          <w:color w:val="auto"/>
          <w:szCs w:val="21"/>
          <w:highlight w:val="none"/>
        </w:rPr>
        <w:t xml:space="preserve"> 38.2.5 </w:t>
      </w:r>
      <w:r>
        <w:rPr>
          <w:rFonts w:hint="eastAsia" w:ascii="宋体" w:hAnsi="宋体" w:eastAsia="宋体" w:cs="宋体"/>
          <w:bCs/>
          <w:color w:val="auto"/>
          <w:highlight w:val="none"/>
        </w:rPr>
        <w:t>供应商提出质疑应当提交质疑函和必要的证明材料，针对同一采购程序环节的质疑必须在法定质疑期内一次性提出。质疑函应当包括下列内容（质疑函格式后附）：</w:t>
      </w:r>
    </w:p>
    <w:p w14:paraId="54ED2B2F">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（1）供应商的姓名或者名称、地址、邮编、联系人及联系电话；</w:t>
      </w:r>
    </w:p>
    <w:p w14:paraId="557D7641">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（2）质疑项目的名称、编号；</w:t>
      </w:r>
    </w:p>
    <w:p w14:paraId="4BD6279D">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（3）具体、明确的质疑事项和与质疑事项相关的请求；</w:t>
      </w:r>
    </w:p>
    <w:p w14:paraId="2F728D88">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（4）事实依据（列明权益受到损害的事实和理由）；</w:t>
      </w:r>
    </w:p>
    <w:p w14:paraId="4A2AF3F4">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（5）必要的法律依据；</w:t>
      </w:r>
    </w:p>
    <w:p w14:paraId="2DDF93C0">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（6）提出质疑的日期。</w:t>
      </w:r>
    </w:p>
    <w:p w14:paraId="444E7835">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供应商为自然人的，应当由本人签字；供应商为法人或者其他组织的，应当由法定代表人、主要负责人，或者其委托代理人签字或者盖章，并加盖公章。</w:t>
      </w:r>
    </w:p>
    <w:p w14:paraId="54E6A62C">
      <w:pPr>
        <w:shd w:val="clear"/>
        <w:wordWrap w:val="0"/>
        <w:spacing w:line="360" w:lineRule="auto"/>
        <w:ind w:firstLine="422" w:firstLineChars="200"/>
        <w:rPr>
          <w:rFonts w:hint="eastAsia" w:ascii="宋体" w:hAnsi="宋体" w:eastAsia="宋体" w:cs="宋体"/>
          <w:b/>
          <w:color w:val="auto"/>
          <w:szCs w:val="20"/>
          <w:highlight w:val="none"/>
        </w:rPr>
      </w:pPr>
      <w:r>
        <w:rPr>
          <w:rFonts w:hint="eastAsia" w:ascii="宋体" w:hAnsi="宋体" w:eastAsia="宋体" w:cs="宋体"/>
          <w:b/>
          <w:color w:val="auto"/>
          <w:szCs w:val="20"/>
          <w:highlight w:val="none"/>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6D3570F5">
      <w:pPr>
        <w:shd w:val="clear"/>
        <w:wordWrap w:val="0"/>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bCs/>
          <w:color w:val="auto"/>
          <w:szCs w:val="21"/>
          <w:highlight w:val="none"/>
        </w:rPr>
        <w:t>8.2.7采购人、采购代理机构认为供应商质疑不成立，或者成立但未对中标结果构成影响的，继续开展采购活动；认为供应商质疑成立且影响或者可能影响中标结果的，按照下列情况处理：</w:t>
      </w:r>
    </w:p>
    <w:p w14:paraId="3DD3CD43">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　　（一）对招标文件提出的质疑，依法通过澄清或者修改可以继续开展采购活动的，澄清或者修改招标文件后继续开展采购活动；否则应当修改招标文件后重新开展采购活动。</w:t>
      </w:r>
    </w:p>
    <w:p w14:paraId="20A7422D">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　　（二）对采购过程、中标结果提出的质疑，合格供应商符合法定数量时，可以从合格的中标候选人中另行确定中标供应商的，应当依法另行确定中标供应商；否则应当重新开展采购活动。</w:t>
      </w:r>
    </w:p>
    <w:p w14:paraId="3223E3A2">
      <w:pPr>
        <w:shd w:val="clear"/>
        <w:wordWrap w:val="0"/>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质疑答复导致中标结果改变的，采购人或者采购代理机构应当将有关情况书面报告本级财政部门。</w:t>
      </w:r>
    </w:p>
    <w:p w14:paraId="2CAE5642">
      <w:pPr>
        <w:shd w:val="clea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38.3投诉</w:t>
      </w:r>
    </w:p>
    <w:p w14:paraId="7D40FC1D">
      <w:pPr>
        <w:shd w:val="clea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color w:val="auto"/>
          <w:highlight w:val="none"/>
        </w:rPr>
        <w:t>38.3</w:t>
      </w:r>
      <w:r>
        <w:rPr>
          <w:rFonts w:hint="eastAsia" w:ascii="宋体" w:hAnsi="宋体" w:eastAsia="宋体" w:cs="宋体"/>
          <w:bCs/>
          <w:color w:val="auto"/>
          <w:highlight w:val="none"/>
        </w:rPr>
        <w:t>.</w:t>
      </w:r>
      <w:r>
        <w:rPr>
          <w:rFonts w:hint="eastAsia" w:ascii="宋体" w:hAnsi="宋体" w:eastAsia="宋体" w:cs="宋体"/>
          <w:b/>
          <w:bCs/>
          <w:color w:val="auto"/>
          <w:highlight w:val="none"/>
        </w:rPr>
        <w:t xml:space="preserve">1 </w:t>
      </w:r>
      <w:r>
        <w:rPr>
          <w:rFonts w:hint="eastAsia" w:ascii="宋体" w:hAnsi="宋体" w:eastAsia="宋体" w:cs="宋体"/>
          <w:bCs/>
          <w:color w:val="auto"/>
          <w:highlight w:val="none"/>
        </w:rPr>
        <w:t xml:space="preserve"> 供应商认为采购文件、采购过程、中标和成交结果使自己的合法权益受到损害的，应当首先依法向采购人或采购人委托的</w:t>
      </w:r>
      <w:r>
        <w:rPr>
          <w:rFonts w:hint="eastAsia" w:ascii="宋体" w:hAnsi="宋体" w:eastAsia="宋体" w:cs="宋体"/>
          <w:color w:val="auto"/>
          <w:highlight w:val="none"/>
        </w:rPr>
        <w:t>采购代理机构</w:t>
      </w:r>
      <w:r>
        <w:rPr>
          <w:rFonts w:hint="eastAsia" w:ascii="宋体" w:hAnsi="宋体" w:eastAsia="宋体" w:cs="宋体"/>
          <w:bCs/>
          <w:color w:val="auto"/>
          <w:highlight w:val="none"/>
        </w:rPr>
        <w:t>提出质疑。对采购人、</w:t>
      </w:r>
      <w:r>
        <w:rPr>
          <w:rFonts w:hint="eastAsia" w:ascii="宋体" w:hAnsi="宋体" w:eastAsia="宋体" w:cs="宋体"/>
          <w:color w:val="auto"/>
          <w:highlight w:val="none"/>
        </w:rPr>
        <w:t>采购代理机构</w:t>
      </w:r>
      <w:r>
        <w:rPr>
          <w:rFonts w:hint="eastAsia" w:ascii="宋体" w:hAnsi="宋体" w:eastAsia="宋体" w:cs="宋体"/>
          <w:bCs/>
          <w:color w:val="auto"/>
          <w:highlight w:val="none"/>
        </w:rPr>
        <w:t>的答复不满意，或者采购人、</w:t>
      </w:r>
      <w:r>
        <w:rPr>
          <w:rFonts w:hint="eastAsia" w:ascii="宋体" w:hAnsi="宋体" w:eastAsia="宋体" w:cs="宋体"/>
          <w:color w:val="auto"/>
          <w:highlight w:val="none"/>
        </w:rPr>
        <w:t>采购代理机构</w:t>
      </w:r>
      <w:r>
        <w:rPr>
          <w:rFonts w:hint="eastAsia" w:ascii="宋体" w:hAnsi="宋体" w:eastAsia="宋体" w:cs="宋体"/>
          <w:bCs/>
          <w:color w:val="auto"/>
          <w:highlight w:val="none"/>
        </w:rPr>
        <w:t>未在规定期限内做出答复的，供应商可以在答复期满后15个工作日内向南宁市政府采购监督管理部门提起投诉，投诉方式见“投标人须知前附表”。</w:t>
      </w:r>
    </w:p>
    <w:p w14:paraId="07CA2B2A">
      <w:pPr>
        <w:shd w:val="clea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color w:val="auto"/>
          <w:highlight w:val="none"/>
        </w:rPr>
        <w:t xml:space="preserve">38.3.2 </w:t>
      </w:r>
      <w:r>
        <w:rPr>
          <w:rFonts w:hint="eastAsia" w:ascii="宋体" w:hAnsi="宋体" w:eastAsia="宋体" w:cs="宋体"/>
          <w:color w:val="auto"/>
          <w:highlight w:val="none"/>
        </w:rPr>
        <w:t xml:space="preserve"> 投诉人投诉时，应当提交投诉书，并按照被投诉采购人、采购代理机构和与投诉事项有关的供应商数量提供投诉书的副本。投诉书</w:t>
      </w:r>
      <w:r>
        <w:rPr>
          <w:rFonts w:hint="eastAsia" w:ascii="宋体" w:hAnsi="宋体" w:eastAsia="宋体" w:cs="宋体"/>
          <w:color w:val="auto"/>
          <w:szCs w:val="21"/>
          <w:highlight w:val="none"/>
        </w:rPr>
        <w:t>应当包括下列主要内容</w:t>
      </w:r>
      <w:r>
        <w:rPr>
          <w:rFonts w:hint="eastAsia" w:ascii="宋体" w:hAnsi="宋体" w:eastAsia="宋体" w:cs="宋体"/>
          <w:color w:val="auto"/>
          <w:highlight w:val="none"/>
        </w:rPr>
        <w:t>（如材料中有外文资料应同时附上对应的中文译本）</w:t>
      </w:r>
      <w:r>
        <w:rPr>
          <w:rFonts w:hint="eastAsia" w:ascii="宋体" w:hAnsi="宋体" w:eastAsia="宋体" w:cs="宋体"/>
          <w:bCs/>
          <w:color w:val="auto"/>
          <w:highlight w:val="none"/>
        </w:rPr>
        <w:t>（投诉书格式后附）</w:t>
      </w:r>
      <w:r>
        <w:rPr>
          <w:rFonts w:hint="eastAsia" w:ascii="宋体" w:hAnsi="宋体" w:eastAsia="宋体" w:cs="宋体"/>
          <w:color w:val="auto"/>
          <w:szCs w:val="21"/>
          <w:highlight w:val="none"/>
        </w:rPr>
        <w:t>：</w:t>
      </w:r>
    </w:p>
    <w:p w14:paraId="4F65387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（1）投诉人和被投诉人的名称、地址、邮编、联系人及联系电话等； </w:t>
      </w:r>
    </w:p>
    <w:p w14:paraId="30C9D7FE">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（2）质疑和质疑答复情况及相关证明材料； </w:t>
      </w:r>
    </w:p>
    <w:p w14:paraId="5A2E3BE2">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（3）具体、明确的投诉事项和与投诉事项相关的投诉请求；</w:t>
      </w:r>
    </w:p>
    <w:p w14:paraId="611D88E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62287AE1">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（5）法律依据；</w:t>
      </w:r>
    </w:p>
    <w:p w14:paraId="51FB5657">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（6）提起投诉的日期。</w:t>
      </w:r>
    </w:p>
    <w:p w14:paraId="4EFE99A2">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（7）附件材料：营业执照副本内页复印件（要求证件有效并清晰反映企业法人经营范围；近期连续三个月依法缴纳税收和在职职工社会保障资金证明材料（复印件）。</w:t>
      </w:r>
      <w:r>
        <w:rPr>
          <w:rFonts w:hint="eastAsia" w:ascii="宋体" w:hAnsi="宋体" w:eastAsia="宋体" w:cs="宋体"/>
          <w:color w:val="auto"/>
          <w:highlight w:val="none"/>
        </w:rPr>
        <w:tab/>
      </w:r>
    </w:p>
    <w:p w14:paraId="752086AA">
      <w:pPr>
        <w:shd w:val="clear"/>
        <w:wordWrap w:val="0"/>
        <w:spacing w:line="360" w:lineRule="auto"/>
        <w:ind w:firstLine="422" w:firstLineChars="200"/>
        <w:rPr>
          <w:rFonts w:hint="eastAsia" w:ascii="宋体" w:hAnsi="宋体" w:eastAsia="宋体" w:cs="宋体"/>
          <w:bCs/>
          <w:color w:val="auto"/>
          <w:highlight w:val="none"/>
        </w:rPr>
      </w:pPr>
      <w:r>
        <w:rPr>
          <w:rFonts w:hint="eastAsia" w:ascii="宋体" w:hAnsi="宋体" w:eastAsia="宋体" w:cs="宋体"/>
          <w:b/>
          <w:color w:val="auto"/>
          <w:highlight w:val="none"/>
        </w:rPr>
        <w:t xml:space="preserve">38.3.3  </w:t>
      </w:r>
      <w:r>
        <w:rPr>
          <w:rFonts w:hint="eastAsia" w:ascii="宋体" w:hAnsi="宋体" w:eastAsia="宋体" w:cs="宋体"/>
          <w:color w:val="auto"/>
          <w:highlight w:val="none"/>
        </w:rPr>
        <w:t>投诉人可以委托代理人办理投诉事务。</w:t>
      </w:r>
      <w:r>
        <w:rPr>
          <w:rFonts w:hint="eastAsia" w:ascii="宋体" w:hAnsi="宋体" w:eastAsia="宋体" w:cs="宋体"/>
          <w:bCs/>
          <w:color w:val="auto"/>
          <w:highlight w:val="none"/>
        </w:rPr>
        <w:t>委托代理人应熟悉相关业务情况。</w:t>
      </w:r>
      <w:r>
        <w:rPr>
          <w:rFonts w:hint="eastAsia" w:ascii="宋体" w:hAnsi="宋体" w:eastAsia="宋体" w:cs="宋体"/>
          <w:color w:val="auto"/>
          <w:highlight w:val="none"/>
        </w:rPr>
        <w:t>代理人办理投诉事务时，除提交投诉书外，还应当提交投诉人的授权委托书和委托代理人身份证明复印件。</w:t>
      </w:r>
    </w:p>
    <w:p w14:paraId="45BD50B4">
      <w:pPr>
        <w:shd w:val="clear"/>
        <w:wordWrap w:val="0"/>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rPr>
        <w:t>38.3.4</w:t>
      </w:r>
      <w:r>
        <w:rPr>
          <w:rFonts w:hint="eastAsia" w:ascii="宋体" w:hAnsi="宋体" w:eastAsia="宋体" w:cs="宋体"/>
          <w:color w:val="auto"/>
          <w:highlight w:val="none"/>
        </w:rPr>
        <w:t xml:space="preserve">  投诉人提起投诉应当符合下列条件：</w:t>
      </w:r>
    </w:p>
    <w:p w14:paraId="1AD60592">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（1）投诉人是参与所投诉政府采购活动的供应商；</w:t>
      </w:r>
    </w:p>
    <w:p w14:paraId="2DC34013">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（2）提起投诉前已依法进行质疑；</w:t>
      </w:r>
    </w:p>
    <w:p w14:paraId="0F0CDB30">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（3）投诉书内容符合本章第38.3.2项的规定；</w:t>
      </w:r>
    </w:p>
    <w:p w14:paraId="3A5B1B88">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（4）在投诉有效期限内提起投诉；</w:t>
      </w:r>
    </w:p>
    <w:p w14:paraId="18001759">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（5）属于南宁市政府采购监督管理部门管辖；</w:t>
      </w:r>
    </w:p>
    <w:p w14:paraId="0D7586A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（6）同一投诉事项未经</w:t>
      </w:r>
      <w:r>
        <w:rPr>
          <w:rFonts w:hint="eastAsia" w:ascii="宋体" w:hAnsi="宋体" w:eastAsia="宋体" w:cs="宋体"/>
          <w:bCs/>
          <w:color w:val="auto"/>
          <w:highlight w:val="none"/>
        </w:rPr>
        <w:t>南宁市政府采购监督管理部门</w:t>
      </w:r>
      <w:r>
        <w:rPr>
          <w:rFonts w:hint="eastAsia" w:ascii="宋体" w:hAnsi="宋体" w:eastAsia="宋体" w:cs="宋体"/>
          <w:color w:val="auto"/>
          <w:highlight w:val="none"/>
        </w:rPr>
        <w:t>投诉处理；</w:t>
      </w:r>
    </w:p>
    <w:p w14:paraId="6C6EC24C">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（7）国务院财政部门规定的其他条件。</w:t>
      </w:r>
    </w:p>
    <w:p w14:paraId="5D7CCCD3">
      <w:pPr>
        <w:shd w:val="clear"/>
        <w:wordWrap w:val="0"/>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rPr>
        <w:t>38.3.5</w:t>
      </w:r>
      <w:r>
        <w:rPr>
          <w:rFonts w:hint="eastAsia" w:ascii="宋体" w:hAnsi="宋体" w:eastAsia="宋体" w:cs="宋体"/>
          <w:color w:val="auto"/>
          <w:highlight w:val="none"/>
        </w:rPr>
        <w:t xml:space="preserve">  南宁市政府采购监督管理部门自受理投诉之日起30个工作日内，对投诉事项作出处理决定，并以书面形式通知投诉人、被投诉人及其他与投诉处理结果有利害关系的政府采购当事人。并将投诉结果在</w:t>
      </w:r>
      <w:r>
        <w:rPr>
          <w:rFonts w:hint="eastAsia" w:ascii="宋体" w:hAnsi="宋体" w:eastAsia="宋体" w:cs="宋体"/>
          <w:color w:val="auto"/>
          <w:kern w:val="0"/>
          <w:szCs w:val="21"/>
          <w:highlight w:val="none"/>
        </w:rPr>
        <w:t>“广西政府采购网”（http://zfcg.gxzf.gov.cn）</w:t>
      </w:r>
      <w:r>
        <w:rPr>
          <w:rFonts w:hint="eastAsia" w:ascii="宋体" w:hAnsi="宋体" w:eastAsia="宋体" w:cs="宋体"/>
          <w:color w:val="auto"/>
          <w:highlight w:val="none"/>
        </w:rPr>
        <w:t>发布。</w:t>
      </w:r>
    </w:p>
    <w:p w14:paraId="4D695E6C">
      <w:pPr>
        <w:shd w:val="clear"/>
        <w:wordWrap w:val="0"/>
        <w:spacing w:line="360" w:lineRule="auto"/>
        <w:ind w:firstLine="422" w:firstLineChars="200"/>
        <w:rPr>
          <w:rFonts w:hint="eastAsia" w:ascii="宋体" w:hAnsi="宋体" w:eastAsia="宋体" w:cs="宋体"/>
          <w:color w:val="auto"/>
          <w:highlight w:val="none"/>
        </w:rPr>
      </w:pPr>
      <w:r>
        <w:rPr>
          <w:rFonts w:hint="eastAsia" w:ascii="宋体" w:hAnsi="宋体" w:eastAsia="宋体" w:cs="宋体"/>
          <w:b/>
          <w:color w:val="auto"/>
          <w:highlight w:val="none"/>
        </w:rPr>
        <w:t>38.3.6</w:t>
      </w:r>
      <w:r>
        <w:rPr>
          <w:rFonts w:hint="eastAsia" w:ascii="宋体" w:hAnsi="宋体" w:eastAsia="宋体" w:cs="宋体"/>
          <w:color w:val="auto"/>
          <w:highlight w:val="none"/>
        </w:rPr>
        <w:t xml:space="preserve">  南宁市政府采购监督管理部门在处理投诉事项期间，可以视具体情况暂停采购活动。</w:t>
      </w:r>
    </w:p>
    <w:p w14:paraId="0E917246">
      <w:pPr>
        <w:shd w:val="clear"/>
        <w:wordWrap w:val="0"/>
        <w:snapToGrid w:val="0"/>
        <w:spacing w:line="360" w:lineRule="auto"/>
        <w:ind w:left="120" w:leftChars="57" w:firstLine="482" w:firstLineChars="150"/>
        <w:jc w:val="center"/>
        <w:outlineLvl w:val="2"/>
        <w:rPr>
          <w:rFonts w:hint="eastAsia" w:ascii="宋体" w:hAnsi="宋体" w:eastAsia="宋体" w:cs="宋体"/>
          <w:b/>
          <w:bCs/>
          <w:color w:val="auto"/>
          <w:sz w:val="32"/>
          <w:szCs w:val="32"/>
          <w:highlight w:val="none"/>
        </w:rPr>
      </w:pPr>
      <w:bookmarkStart w:id="571" w:name="_Toc24730"/>
      <w:r>
        <w:rPr>
          <w:rFonts w:hint="eastAsia" w:ascii="宋体" w:hAnsi="宋体" w:eastAsia="宋体" w:cs="宋体"/>
          <w:b/>
          <w:bCs/>
          <w:color w:val="auto"/>
          <w:sz w:val="32"/>
          <w:szCs w:val="32"/>
          <w:highlight w:val="none"/>
        </w:rPr>
        <w:t>八、验收</w:t>
      </w:r>
      <w:bookmarkEnd w:id="571"/>
    </w:p>
    <w:p w14:paraId="37936D12">
      <w:pPr>
        <w:shd w:val="clear"/>
        <w:wordWrap w:val="0"/>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39.验收</w:t>
      </w:r>
    </w:p>
    <w:p w14:paraId="20A38669">
      <w:pPr>
        <w:shd w:val="clea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A832D71">
      <w:pPr>
        <w:shd w:val="clea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39.2采购人可以邀请参加本项目的其他投标人或者第三方机构参与验收。参与验收的投标人或者第三方机构的意见作为验收书的参考资料一并存档。</w:t>
      </w:r>
    </w:p>
    <w:p w14:paraId="77D8B578">
      <w:pPr>
        <w:shd w:val="clea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DB7DC25">
      <w:pPr>
        <w:shd w:val="clear"/>
        <w:tabs>
          <w:tab w:val="left" w:pos="0"/>
        </w:tabs>
        <w:wordWrap w:val="0"/>
        <w:spacing w:line="360" w:lineRule="auto"/>
        <w:ind w:firstLine="480"/>
        <w:rPr>
          <w:rFonts w:hint="eastAsia" w:ascii="宋体" w:hAnsi="宋体" w:eastAsia="宋体" w:cs="宋体"/>
          <w:color w:val="auto"/>
          <w:highlight w:val="none"/>
        </w:rPr>
      </w:pPr>
      <w:r>
        <w:rPr>
          <w:rFonts w:hint="eastAsia" w:ascii="宋体" w:hAnsi="宋体" w:eastAsia="宋体" w:cs="宋体"/>
          <w:color w:val="auto"/>
          <w:highlight w:val="none"/>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B4AAE67">
      <w:pPr>
        <w:pStyle w:val="13"/>
        <w:shd w:val="clear"/>
        <w:wordWrap w:val="0"/>
        <w:snapToGrid w:val="0"/>
        <w:spacing w:line="360" w:lineRule="auto"/>
        <w:rPr>
          <w:rFonts w:hint="eastAsia" w:ascii="宋体" w:hAnsi="宋体" w:eastAsia="宋体" w:cs="宋体"/>
          <w:color w:val="auto"/>
          <w:highlight w:val="none"/>
        </w:rPr>
      </w:pPr>
    </w:p>
    <w:p w14:paraId="561F30DA">
      <w:pPr>
        <w:pStyle w:val="4"/>
        <w:keepNext w:val="0"/>
        <w:keepLines w:val="0"/>
        <w:shd w:val="clear"/>
        <w:wordWrap w:val="0"/>
        <w:spacing w:line="360" w:lineRule="auto"/>
        <w:jc w:val="center"/>
        <w:rPr>
          <w:rFonts w:hint="eastAsia" w:ascii="宋体" w:hAnsi="宋体" w:eastAsia="宋体" w:cs="宋体"/>
          <w:color w:val="auto"/>
          <w:highlight w:val="none"/>
        </w:rPr>
      </w:pPr>
      <w:bookmarkStart w:id="572" w:name="_八、其他事项"/>
      <w:bookmarkEnd w:id="572"/>
      <w:bookmarkStart w:id="573" w:name="_Toc26013"/>
      <w:r>
        <w:rPr>
          <w:rFonts w:hint="eastAsia" w:ascii="宋体" w:hAnsi="宋体" w:eastAsia="宋体" w:cs="宋体"/>
          <w:color w:val="auto"/>
          <w:highlight w:val="none"/>
        </w:rPr>
        <w:t>九、其他事项</w:t>
      </w:r>
      <w:bookmarkEnd w:id="573"/>
    </w:p>
    <w:p w14:paraId="36054101">
      <w:pPr>
        <w:shd w:val="clear"/>
        <w:wordWrap w:val="0"/>
        <w:spacing w:line="360" w:lineRule="auto"/>
        <w:ind w:firstLine="480" w:firstLineChars="200"/>
        <w:rPr>
          <w:rFonts w:hint="eastAsia" w:ascii="宋体" w:hAnsi="宋体" w:eastAsia="宋体" w:cs="宋体"/>
          <w:color w:val="auto"/>
          <w:sz w:val="24"/>
          <w:highlight w:val="none"/>
        </w:rPr>
      </w:pPr>
      <w:bookmarkStart w:id="574" w:name="_42.代理服务费"/>
      <w:bookmarkEnd w:id="574"/>
      <w:r>
        <w:rPr>
          <w:rFonts w:hint="eastAsia" w:ascii="宋体" w:hAnsi="宋体" w:eastAsia="宋体" w:cs="宋体"/>
          <w:color w:val="auto"/>
          <w:sz w:val="24"/>
          <w:highlight w:val="none"/>
        </w:rPr>
        <w:t>40.代理服务费</w:t>
      </w:r>
    </w:p>
    <w:p w14:paraId="70A00691">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代理服务收费标准及缴费账户详见“投标人须知前附表”，投标人为联合体的，可以由联合体中的一方或者多方共同交纳代理服务费。</w:t>
      </w:r>
    </w:p>
    <w:p w14:paraId="65FCB90E">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41. 需要补充的其他内容</w:t>
      </w:r>
    </w:p>
    <w:p w14:paraId="2C9F6D71">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41.1本招标文件解释规则详见“投标人须知前附表”。</w:t>
      </w:r>
    </w:p>
    <w:p w14:paraId="434FCA6C">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41.2 其他事项详见“投标人须知前附表”。</w:t>
      </w:r>
    </w:p>
    <w:p w14:paraId="3F5AA27E">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41.3本文件所称</w:t>
      </w:r>
      <w:r>
        <w:rPr>
          <w:rFonts w:hint="eastAsia" w:ascii="宋体" w:hAnsi="宋体" w:cs="宋体"/>
          <w:color w:val="auto"/>
          <w:highlight w:val="none"/>
          <w:lang w:val="en-US" w:eastAsia="zh-CN"/>
        </w:rPr>
        <w:t>中小</w:t>
      </w:r>
      <w:r>
        <w:rPr>
          <w:rFonts w:hint="eastAsia" w:ascii="宋体" w:hAnsi="宋体" w:eastAsia="宋体" w:cs="宋体"/>
          <w:color w:val="auto"/>
          <w:highlight w:val="none"/>
        </w:rPr>
        <w:t>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不对其中涉及的货物的制造商和工程承建商作出要求的，享受本文件规定的中小企业扶持政策。</w:t>
      </w:r>
    </w:p>
    <w:p w14:paraId="2CADC4E4">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以联合体形式参加政府采购活动，联合体各方均为中小企业的，联合体视同中小企业。其中，联合体各方均为小微企业的，联合体视同小微企业。</w:t>
      </w:r>
    </w:p>
    <w:p w14:paraId="489FAEC2">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依据本文件规定享受扶持政策获得政府采购合同的，小微企业不得将合同分包给大中型企业，中型企业不得将合同分包给大型企业。</w:t>
      </w:r>
    </w:p>
    <w:p w14:paraId="61BE2BBD">
      <w:pPr>
        <w:shd w:val="clear"/>
        <w:wordWrap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42. 政采贷相关说明</w:t>
      </w:r>
    </w:p>
    <w:p w14:paraId="10498B2F">
      <w:pPr>
        <w:shd w:val="clea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为优化政府采购营商环境，缓解供应商资金难题，南宁市政府采购试行政府采购信用融资制度，中标供应商如有融资需求，可凭政府采购合同通过以下方式申请政府采购信用融资贷款：</w:t>
      </w:r>
    </w:p>
    <w:p w14:paraId="1B5871AA">
      <w:pPr>
        <w:numPr>
          <w:ilvl w:val="0"/>
          <w:numId w:val="13"/>
        </w:numPr>
        <w:shd w:val="clea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线下渠道：在“南宁市公共资源交易中心”官网（网址：</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"http://www.nnggzy.org.cn）" </w:instrText>
      </w:r>
      <w:r>
        <w:rPr>
          <w:rFonts w:hint="eastAsia" w:ascii="宋体" w:hAnsi="宋体" w:eastAsia="宋体" w:cs="宋体"/>
          <w:color w:val="auto"/>
          <w:highlight w:val="none"/>
        </w:rPr>
        <w:fldChar w:fldCharType="separate"/>
      </w:r>
      <w:r>
        <w:rPr>
          <w:rStyle w:val="26"/>
          <w:rFonts w:hint="eastAsia" w:ascii="宋体" w:hAnsi="宋体" w:eastAsia="宋体" w:cs="宋体"/>
          <w:color w:val="auto"/>
          <w:highlight w:val="none"/>
        </w:rPr>
        <w:t>http://www.nnggzy.org.cn）“交易信息-政府采购-政府采购信用融资”中融资银行和南宁市企业融资服务中心专栏信息申请政府采购信用融资。</w:t>
      </w:r>
      <w:r>
        <w:rPr>
          <w:rStyle w:val="26"/>
          <w:rFonts w:hint="eastAsia" w:ascii="宋体" w:hAnsi="宋体" w:eastAsia="宋体" w:cs="宋体"/>
          <w:color w:val="auto"/>
          <w:highlight w:val="none"/>
        </w:rPr>
        <w:fldChar w:fldCharType="end"/>
      </w:r>
    </w:p>
    <w:p w14:paraId="6C3B2060">
      <w:pPr>
        <w:numPr>
          <w:ilvl w:val="0"/>
          <w:numId w:val="13"/>
        </w:numPr>
        <w:shd w:val="clea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宋体"/>
          <w:color w:val="auto"/>
          <w:highlight w:val="none"/>
        </w:rPr>
        <w:br w:type="page"/>
      </w:r>
      <w:bookmarkStart w:id="575" w:name="_Toc532545043"/>
    </w:p>
    <w:p w14:paraId="4A39ED99">
      <w:pPr>
        <w:pStyle w:val="13"/>
        <w:shd w:val="clear"/>
        <w:wordWrap w:val="0"/>
        <w:spacing w:line="360" w:lineRule="auto"/>
        <w:jc w:val="center"/>
        <w:outlineLvl w:val="0"/>
        <w:rPr>
          <w:rFonts w:hint="eastAsia" w:ascii="宋体" w:hAnsi="宋体" w:eastAsia="宋体" w:cs="宋体"/>
          <w:b/>
          <w:color w:val="auto"/>
          <w:sz w:val="36"/>
          <w:highlight w:val="none"/>
        </w:rPr>
      </w:pPr>
      <w:bookmarkStart w:id="576" w:name="_Toc1905"/>
      <w:r>
        <w:rPr>
          <w:rFonts w:hint="eastAsia" w:ascii="宋体" w:hAnsi="宋体" w:eastAsia="宋体" w:cs="宋体"/>
          <w:b/>
          <w:color w:val="auto"/>
          <w:sz w:val="36"/>
          <w:highlight w:val="none"/>
        </w:rPr>
        <w:t>第四章  评标方法</w:t>
      </w:r>
      <w:bookmarkEnd w:id="575"/>
      <w:r>
        <w:rPr>
          <w:rFonts w:hint="eastAsia" w:ascii="宋体" w:hAnsi="宋体" w:eastAsia="宋体" w:cs="宋体"/>
          <w:b/>
          <w:color w:val="auto"/>
          <w:sz w:val="36"/>
          <w:highlight w:val="none"/>
        </w:rPr>
        <w:t>及评分标准</w:t>
      </w:r>
      <w:bookmarkEnd w:id="576"/>
    </w:p>
    <w:p w14:paraId="5D28C889">
      <w:pPr>
        <w:pStyle w:val="13"/>
        <w:shd w:val="clear"/>
        <w:wordWrap w:val="0"/>
        <w:spacing w:line="360" w:lineRule="auto"/>
        <w:jc w:val="center"/>
        <w:outlineLvl w:val="1"/>
        <w:rPr>
          <w:rFonts w:hint="eastAsia" w:ascii="宋体" w:hAnsi="宋体" w:eastAsia="宋体" w:cs="宋体"/>
          <w:b/>
          <w:bCs/>
          <w:color w:val="auto"/>
          <w:sz w:val="32"/>
          <w:szCs w:val="32"/>
          <w:highlight w:val="none"/>
        </w:rPr>
      </w:pPr>
      <w:bookmarkStart w:id="577" w:name="_Toc15245"/>
      <w:r>
        <w:rPr>
          <w:rFonts w:hint="eastAsia" w:ascii="宋体" w:hAnsi="宋体" w:eastAsia="宋体" w:cs="宋体"/>
          <w:b/>
          <w:bCs/>
          <w:color w:val="auto"/>
          <w:sz w:val="32"/>
          <w:szCs w:val="32"/>
          <w:highlight w:val="none"/>
        </w:rPr>
        <w:t>第一节 评标方法</w:t>
      </w:r>
      <w:bookmarkEnd w:id="577"/>
    </w:p>
    <w:p w14:paraId="16C9F443">
      <w:pPr>
        <w:pStyle w:val="13"/>
        <w:shd w:val="clear"/>
        <w:tabs>
          <w:tab w:val="left" w:pos="2472"/>
        </w:tabs>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本项目采用</w:t>
      </w:r>
      <w:r>
        <w:rPr>
          <w:rFonts w:hint="eastAsia" w:ascii="宋体" w:hAnsi="宋体" w:eastAsia="宋体" w:cs="宋体"/>
          <w:color w:val="auto"/>
          <w:szCs w:val="21"/>
          <w:highlight w:val="none"/>
          <w:u w:val="single"/>
        </w:rPr>
        <w:t xml:space="preserve"> 以下勾选的方式</w:t>
      </w:r>
      <w:r>
        <w:rPr>
          <w:rFonts w:hint="eastAsia" w:ascii="宋体" w:hAnsi="宋体" w:eastAsia="宋体" w:cs="宋体"/>
          <w:color w:val="auto"/>
          <w:szCs w:val="21"/>
          <w:highlight w:val="none"/>
        </w:rPr>
        <w:t>进行评审。</w:t>
      </w:r>
    </w:p>
    <w:p w14:paraId="7FF98413">
      <w:pPr>
        <w:pStyle w:val="13"/>
        <w:shd w:val="clear"/>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szCs w:val="21"/>
          <w:highlight w:val="none"/>
        </w:rPr>
        <w:t>□最低评标价法，是指投标文件满足招标文件</w:t>
      </w:r>
      <w:r>
        <w:rPr>
          <w:rFonts w:hint="eastAsia" w:ascii="宋体" w:hAnsi="宋体" w:eastAsia="宋体" w:cs="宋体"/>
          <w:color w:val="auto"/>
          <w:highlight w:val="none"/>
        </w:rPr>
        <w:t>全部实质性要求，且投标报价最低的投标人为中标候选人的评标方法。</w:t>
      </w:r>
    </w:p>
    <w:p w14:paraId="5BF82DC5">
      <w:pPr>
        <w:shd w:val="clear"/>
        <w:wordWrap w:val="0"/>
        <w:autoSpaceDE w:val="0"/>
        <w:autoSpaceDN w:val="0"/>
        <w:adjustRightInd w:val="0"/>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w:t>
      </w:r>
      <w:r>
        <w:rPr>
          <w:rFonts w:hint="eastAsia" w:ascii="宋体" w:hAnsi="宋体" w:eastAsia="宋体" w:cs="宋体"/>
          <w:color w:val="auto"/>
          <w:highlight w:val="none"/>
        </w:rPr>
        <w:t>综合评分法，</w:t>
      </w:r>
      <w:r>
        <w:rPr>
          <w:rFonts w:hint="eastAsia" w:ascii="宋体" w:hAnsi="宋体" w:eastAsia="宋体" w:cs="宋体"/>
          <w:color w:val="auto"/>
          <w:szCs w:val="20"/>
          <w:highlight w:val="none"/>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63C98AD9">
      <w:pPr>
        <w:pStyle w:val="13"/>
        <w:shd w:val="clear"/>
        <w:wordWrap w:val="0"/>
        <w:spacing w:line="360" w:lineRule="auto"/>
        <w:ind w:firstLine="420"/>
        <w:rPr>
          <w:rFonts w:hint="eastAsia" w:ascii="宋体" w:hAnsi="宋体" w:eastAsia="宋体" w:cs="宋体"/>
          <w:color w:val="auto"/>
          <w:highlight w:val="none"/>
        </w:rPr>
      </w:pPr>
    </w:p>
    <w:p w14:paraId="1583D764">
      <w:pPr>
        <w:pStyle w:val="13"/>
        <w:shd w:val="clear"/>
        <w:tabs>
          <w:tab w:val="left" w:pos="2472"/>
        </w:tabs>
        <w:wordWrap w:val="0"/>
        <w:spacing w:line="360" w:lineRule="auto"/>
        <w:jc w:val="center"/>
        <w:outlineLvl w:val="1"/>
        <w:rPr>
          <w:rFonts w:hint="eastAsia" w:ascii="宋体" w:hAnsi="宋体" w:eastAsia="宋体" w:cs="宋体"/>
          <w:b/>
          <w:bCs/>
          <w:color w:val="auto"/>
          <w:sz w:val="32"/>
          <w:szCs w:val="32"/>
          <w:highlight w:val="none"/>
        </w:rPr>
      </w:pPr>
      <w:bookmarkStart w:id="578" w:name="_Toc3552"/>
      <w:r>
        <w:rPr>
          <w:rFonts w:hint="eastAsia" w:ascii="宋体" w:hAnsi="宋体" w:eastAsia="宋体" w:cs="宋体"/>
          <w:b/>
          <w:bCs/>
          <w:color w:val="auto"/>
          <w:sz w:val="32"/>
          <w:szCs w:val="32"/>
          <w:highlight w:val="none"/>
        </w:rPr>
        <w:t>第二节 评标程序</w:t>
      </w:r>
      <w:bookmarkEnd w:id="578"/>
    </w:p>
    <w:p w14:paraId="235E708D">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1.符合性审查</w:t>
      </w:r>
    </w:p>
    <w:p w14:paraId="21E29C37">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评标委员会应当对符合资格的投标人的投标文件进行投标报价、商务、技术等实质性内容符合性审查，以确定其是否满足招标文件的实质性要求。</w:t>
      </w:r>
    </w:p>
    <w:p w14:paraId="157F7070">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2.符合性审查不通过而导致投标无效的情形</w:t>
      </w:r>
    </w:p>
    <w:p w14:paraId="5F0D0063">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投标人的投标文件中存在对招标文件的任何实质性要求和条件的负偏离，将被视为投标无效。</w:t>
      </w:r>
    </w:p>
    <w:p w14:paraId="50F5DE2B">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2.1在报价评审时，如发现下列情形之一的，将被视为投标无效：</w:t>
      </w:r>
    </w:p>
    <w:p w14:paraId="48407E98">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（1）投标文件未提供“投标人须知前附表”第13.1条规定中“必须提供”的文件资料的;</w:t>
      </w:r>
    </w:p>
    <w:p w14:paraId="05B2DD9C">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（2）未采用人民币报价或者未按照招标文件标明的币种报价的；</w:t>
      </w:r>
    </w:p>
    <w:p w14:paraId="1F97E28E">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（3）报价超出招标文件规定最高限价，或者超出采购预算金额（包括分项预算）的；</w:t>
      </w:r>
    </w:p>
    <w:p w14:paraId="25C3CD33">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128BF1F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（5）修正后的报价，投标人不确认的；</w:t>
      </w:r>
    </w:p>
    <w:p w14:paraId="556DF065">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（6）投标人属于本章第5条第（2）项情形的。</w:t>
      </w:r>
    </w:p>
    <w:p w14:paraId="33CE86C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2.2在商务评审时，如发现下列情形之一的，将被视为投标无效：</w:t>
      </w:r>
    </w:p>
    <w:p w14:paraId="2EF224FD">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（1）投标文件未按招标文件要求签署、盖章的；</w:t>
      </w:r>
    </w:p>
    <w:p w14:paraId="700D5A4A">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（2）委托代理人未能出具有效身份证明或者出具的身份证明与授权委托书中的信息不符的； </w:t>
      </w:r>
    </w:p>
    <w:p w14:paraId="70D8E0D4">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（3）投标文件未提供“投标人须知前附表”第13.1条规定中“必须提供”或者“委托时必须提供”的文件资料的;</w:t>
      </w:r>
    </w:p>
    <w:p w14:paraId="74F60795">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（4）投标有效期、项目完成时间（交货时间、服务完成时间或者服务期等）、质保期、售后服务等招标文件中标“▲”的商务条款发生负偏离的；</w:t>
      </w:r>
    </w:p>
    <w:p w14:paraId="1FE7FC8A">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（5）商务条款评审允许负偏离的条款数超过“投标人须知前附表”规定项数的。</w:t>
      </w:r>
    </w:p>
    <w:p w14:paraId="56757C73">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（6）投标文件的实质性内容未使用中文表述、使用计量单位不符合招标文件要求的；</w:t>
      </w:r>
    </w:p>
    <w:p w14:paraId="5AB76BF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（7）投标文件中的文件资料因填写不齐全或者内容虚假或者出现其他情形而导致被评标委员会认定无效的；</w:t>
      </w:r>
    </w:p>
    <w:p w14:paraId="6DF92655">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（8）投标文件含有采购人不能接受的附加条件的；</w:t>
      </w:r>
    </w:p>
    <w:p w14:paraId="55EEB892">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（9）未响应招标文件实质性要求的；</w:t>
      </w:r>
    </w:p>
    <w:p w14:paraId="0841CF2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（10）属于投标人须知正文第9.2条情形的；</w:t>
      </w:r>
    </w:p>
    <w:p w14:paraId="1568D784">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（11）法律、法规和招标文件规定的其他无效情形。</w:t>
      </w:r>
    </w:p>
    <w:p w14:paraId="1B64BC02">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2.3在技术评审时，如发现下列情形之一的，将被视为投标无效：</w:t>
      </w:r>
    </w:p>
    <w:p w14:paraId="0A4374BD">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（1）不满足招标文件要求的服务内容、技术要求、安全、质量标准，或者与招标文件中标“▲”的技术需求发生负偏离的；</w:t>
      </w:r>
    </w:p>
    <w:p w14:paraId="2274D7E3">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（2）技术需求评审允许负偏离的条款数超过“投标人须知前附表”规定项数的；</w:t>
      </w:r>
    </w:p>
    <w:p w14:paraId="0A54AEC5">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（3）投标文件未提供“投标人须知前附表”第13.1条规定中“必须提供”的文件资料的;</w:t>
      </w:r>
    </w:p>
    <w:p w14:paraId="40DB0D99">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（4）虚假投标，或者出现其他情形而导致被评标委员会认定无效的；</w:t>
      </w:r>
    </w:p>
    <w:p w14:paraId="747B4604">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（5）如招标文件需要提供技术方案的，投标技术方案不明确，招标文件未允许但存在一个或者一个以上备选（替代）投标方案的。</w:t>
      </w:r>
    </w:p>
    <w:p w14:paraId="17267163">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3.澄清补正、说明或者补正</w:t>
      </w:r>
    </w:p>
    <w:p w14:paraId="14F5C7E1">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对投标文件中含义不明确、同类问题表述不一致或者有明显文字和计算错误的内容，评标委员会应在“</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”平台发布电子澄清函，要求投标人在规定时间内作出必要的澄清、说明或者补正。投标人在“</w:t>
      </w:r>
      <w:r>
        <w:rPr>
          <w:rFonts w:hint="eastAsia" w:ascii="宋体" w:hAnsi="宋体" w:eastAsia="宋体" w:cs="宋体"/>
          <w:color w:val="auto"/>
          <w:szCs w:val="21"/>
          <w:highlight w:val="none"/>
          <w:lang w:eastAsia="zh-CN"/>
        </w:rPr>
        <w:t>广西政府采购云</w:t>
      </w:r>
      <w:r>
        <w:rPr>
          <w:rFonts w:hint="eastAsia" w:ascii="宋体" w:hAnsi="宋体" w:eastAsia="宋体" w:cs="宋体"/>
          <w:color w:val="auto"/>
          <w:szCs w:val="21"/>
          <w:highlight w:val="none"/>
        </w:rPr>
        <w:t>”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94F7F26">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3D112053">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4.投标文件修正</w:t>
      </w:r>
    </w:p>
    <w:p w14:paraId="5EE509AA">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4.1投标文件报价出现前后不一致的，按照下列规定修正： </w:t>
      </w:r>
    </w:p>
    <w:p w14:paraId="16FB3CA9">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（1）报价文件中“开标一览表”内容与投标文件中相应内容不一致的，以“开标一览表”为准；</w:t>
      </w:r>
    </w:p>
    <w:p w14:paraId="6407F060">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（2）大写金额和小写金额不一致的，以大写金额为准；</w:t>
      </w:r>
    </w:p>
    <w:p w14:paraId="10D3C5E1">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（3）单价金额小数点或者百分比有明显错位的，以开标一览表的总价为准，并修改单价；</w:t>
      </w:r>
    </w:p>
    <w:p w14:paraId="06E6290D">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（4）总价金额与按单价汇总金额不一致的，以单价金额计算结果为准。</w:t>
      </w:r>
    </w:p>
    <w:p w14:paraId="421C79C2">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同时出现两种以上不一致的，按照以上（1）-（4）规定的顺序修正。修正后的报价经投标人确认后产生约束力，投标人不确认的，其投标无效。</w:t>
      </w:r>
    </w:p>
    <w:p w14:paraId="688FBAA2">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4.2经投标人确认修正后的报价若超过采购预算金额或者最高限价，投标人的投标文件作无效投标处理。</w:t>
      </w:r>
    </w:p>
    <w:p w14:paraId="3BA0C7FF">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4.3经投标人确认修正后的报价作为签订合同的依据，并以此报价计算价格分。</w:t>
      </w:r>
    </w:p>
    <w:p w14:paraId="5D17BAFB">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5.比较与评价</w:t>
      </w:r>
    </w:p>
    <w:p w14:paraId="18C8FCCB">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5.1评标委员会按照招标文件中规定的评标方法和评标标准，对符合性审查合格的投标文件进行商务和技术评估，综合比较与评价。</w:t>
      </w:r>
    </w:p>
    <w:p w14:paraId="6356A988">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5.2评标委员会独立对每个投标人的投标文件进行评价，并汇总每个投标人的得分。</w:t>
      </w:r>
    </w:p>
    <w:p w14:paraId="0C3725AE">
      <w:pPr>
        <w:widowControl/>
        <w:numPr>
          <w:ilvl w:val="0"/>
          <w:numId w:val="14"/>
        </w:numPr>
        <w:shd w:val="clea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429BFCA">
      <w:pPr>
        <w:widowControl/>
        <w:numPr>
          <w:ilvl w:val="0"/>
          <w:numId w:val="14"/>
        </w:numPr>
        <w:shd w:val="clear"/>
        <w:wordWrap w:val="0"/>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57A9E5A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5.3评标委员会按照招标文件中规定的评标方法和标准计算各投标人的报价得分。在计算过程中，不得去掉最高报价或者最低报价。</w:t>
      </w:r>
    </w:p>
    <w:p w14:paraId="6712E255">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5.4各投标人的得分为所有评委的有效评分的算术平均数。</w:t>
      </w:r>
    </w:p>
    <w:p w14:paraId="603C9D3A">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5.5评标委员会按照招标文件中的规定推荐中标候选人。</w:t>
      </w:r>
    </w:p>
    <w:p w14:paraId="33765DD4">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5D32F1BF">
      <w:pPr>
        <w:shd w:val="clear"/>
        <w:wordWrap w:val="0"/>
        <w:spacing w:line="360" w:lineRule="auto"/>
        <w:ind w:firstLine="422" w:firstLineChars="200"/>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6.</w:t>
      </w:r>
      <w:r>
        <w:rPr>
          <w:rFonts w:hint="eastAsia" w:ascii="宋体" w:hAnsi="宋体" w:eastAsia="宋体" w:cs="宋体"/>
          <w:b/>
          <w:bCs/>
          <w:color w:val="auto"/>
          <w:kern w:val="2"/>
          <w:sz w:val="21"/>
          <w:szCs w:val="21"/>
          <w:highlight w:val="none"/>
          <w:lang w:val="en-US" w:eastAsia="zh-CN" w:bidi="ar"/>
        </w:rPr>
        <w:t>异常低价审查</w:t>
      </w:r>
    </w:p>
    <w:p w14:paraId="25100CA8">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6.1根据《关于推动解决政府采购异常低价问题的通知》(财库〔2026〕2号)规定，政府采购评审中出现异常低价下列情形之一的，评审委员会应当启动异常低价投标审查程序：</w:t>
      </w:r>
    </w:p>
    <w:p w14:paraId="375A392A">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（1）投标（响应）报价低于全部通过符合性审查供应商投标（响应）报价平均值50%的，即投标（响应）报价&lt;全部通过符合性审查供应商投标（响应）报价平均值×50%；</w:t>
      </w:r>
    </w:p>
    <w:p w14:paraId="0D90AD98">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（2）投标（响应）报价低于通过符合性审查的次低报价供应商投标（响应）报价50%的，即投标（响应）报价&lt;通过符合性审查的次低报价供应商投标（响应）报价×50%；</w:t>
      </w:r>
    </w:p>
    <w:p w14:paraId="3D450922">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（3）投标（响应）报价低于采购项目最高限价45%的，即投标（响应）报价&lt;采购项目最高限价×45%；</w:t>
      </w:r>
    </w:p>
    <w:p w14:paraId="1A047633">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（4）评审委员会基于专业判断，认为供应商报价过低，有可能影响产品质量或者不能诚信履约的其他情形。</w:t>
      </w:r>
    </w:p>
    <w:p w14:paraId="444E6E30">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（5）相关法律法规对供应商报价有规定的，从其规定。</w:t>
      </w:r>
    </w:p>
    <w:p w14:paraId="54FFEDED">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6.2资料要求: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71D7833">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6.3审查要求：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F6AC7FD">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6.4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66B71CD0">
      <w:pPr>
        <w:keepNext w:val="0"/>
        <w:keepLines w:val="0"/>
        <w:widowControl/>
        <w:suppressLineNumbers w:val="0"/>
        <w:pBdr>
          <w:top w:val="none" w:color="auto" w:sz="0" w:space="0"/>
          <w:left w:val="none" w:color="auto" w:sz="0" w:space="0"/>
          <w:bottom w:val="none" w:color="auto" w:sz="0" w:space="0"/>
          <w:right w:val="none" w:color="auto" w:sz="0" w:space="0"/>
        </w:pBdr>
        <w:shd w:val="clear" w:color="auto"/>
        <w:snapToGrid w:val="0"/>
        <w:spacing w:before="0" w:beforeAutospacing="0" w:after="0" w:afterAutospacing="0" w:line="400" w:lineRule="exact"/>
        <w:ind w:left="0" w:right="0" w:firstLine="420" w:firstLineChars="200"/>
        <w:jc w:val="left"/>
        <w:textAlignment w:val="auto"/>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kern w:val="2"/>
          <w:sz w:val="21"/>
          <w:szCs w:val="21"/>
          <w:highlight w:val="none"/>
          <w:shd w:val="clear" w:color="auto" w:fill="auto"/>
          <w:vertAlign w:val="baseline"/>
          <w:lang w:val="en-US" w:eastAsia="zh-CN" w:bidi="ar"/>
        </w:rPr>
        <w:t>6.5记录及归档：异常低价投标（响应）审查的启动原因、审查意见和审查结果应当在评审报告中记录，并随供应商提供的相关书面说明及证明材料，以及评审委员会有关互联网浏览、查询历史一并归档。</w:t>
      </w:r>
    </w:p>
    <w:p w14:paraId="71D52465">
      <w:pPr>
        <w:shd w:val="clear"/>
        <w:wordWrap w:val="0"/>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val="en-US" w:eastAsia="zh-CN"/>
        </w:rPr>
        <w:t>7</w:t>
      </w:r>
      <w:r>
        <w:rPr>
          <w:rFonts w:hint="eastAsia" w:ascii="宋体" w:hAnsi="宋体" w:eastAsia="宋体" w:cs="宋体"/>
          <w:b/>
          <w:color w:val="auto"/>
          <w:szCs w:val="21"/>
          <w:highlight w:val="none"/>
        </w:rPr>
        <w:t>.评审复核</w:t>
      </w:r>
    </w:p>
    <w:p w14:paraId="23DD84A0">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.1评标报告签署前，评标委员会要对评审结果进行复核，复核意见要体现在评标报告中。</w:t>
      </w:r>
    </w:p>
    <w:p w14:paraId="01DC2822">
      <w:pPr>
        <w:widowControl/>
        <w:shd w:val="clear"/>
        <w:wordWrap w:val="0"/>
        <w:spacing w:line="360" w:lineRule="auto"/>
        <w:ind w:firstLine="420" w:firstLineChars="200"/>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rPr>
        <w:t>.2评标结果汇总完成后，除下列情形外，任何人不得修改评标结果：</w:t>
      </w:r>
    </w:p>
    <w:p w14:paraId="0D237119">
      <w:pPr>
        <w:widowControl/>
        <w:shd w:val="clear"/>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（一）分值汇总计算错误的；</w:t>
      </w:r>
    </w:p>
    <w:p w14:paraId="3328130E">
      <w:pPr>
        <w:widowControl/>
        <w:shd w:val="clear"/>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（二）分项评分超出评分标准范围的；</w:t>
      </w:r>
    </w:p>
    <w:p w14:paraId="1B5618D2">
      <w:pPr>
        <w:widowControl/>
        <w:shd w:val="clear"/>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（三）评标委员会成员对客观评审因素评分不一致的；</w:t>
      </w:r>
    </w:p>
    <w:p w14:paraId="0A6F0FBB">
      <w:pPr>
        <w:widowControl/>
        <w:shd w:val="clear"/>
        <w:wordWrap w:val="0"/>
        <w:spacing w:line="360" w:lineRule="auto"/>
        <w:jc w:val="left"/>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（四）经评标委员会认定评分畸高、畸低的。</w:t>
      </w:r>
    </w:p>
    <w:p w14:paraId="13954875">
      <w:pPr>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C7237FD">
      <w:pPr>
        <w:pStyle w:val="3"/>
        <w:shd w:val="clear"/>
        <w:wordWrap w:val="0"/>
        <w:spacing w:before="0" w:after="0" w:line="360" w:lineRule="auto"/>
        <w:jc w:val="center"/>
        <w:rPr>
          <w:rFonts w:hint="eastAsia" w:ascii="宋体" w:hAnsi="宋体" w:eastAsia="宋体" w:cs="宋体"/>
          <w:b w:val="0"/>
          <w:color w:val="auto"/>
          <w:sz w:val="30"/>
          <w:szCs w:val="30"/>
          <w:highlight w:val="none"/>
        </w:rPr>
      </w:pPr>
      <w:bookmarkStart w:id="579" w:name="_Toc22689"/>
      <w:r>
        <w:rPr>
          <w:rFonts w:hint="eastAsia" w:ascii="宋体" w:hAnsi="宋体" w:eastAsia="宋体" w:cs="宋体"/>
          <w:b w:val="0"/>
          <w:color w:val="auto"/>
          <w:sz w:val="30"/>
          <w:szCs w:val="30"/>
          <w:highlight w:val="none"/>
        </w:rPr>
        <w:t>第三节 评分标准</w:t>
      </w:r>
      <w:bookmarkEnd w:id="579"/>
    </w:p>
    <w:p w14:paraId="4DF70AFD">
      <w:pPr>
        <w:pStyle w:val="13"/>
        <w:widowControl/>
        <w:shd w:val="clear"/>
        <w:wordWrap w:val="0"/>
        <w:spacing w:line="360" w:lineRule="auto"/>
        <w:ind w:firstLine="602" w:firstLineChars="20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二、综合评分法</w:t>
      </w:r>
    </w:p>
    <w:p w14:paraId="6435A490">
      <w:pPr>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 xml:space="preserve"> </w:t>
      </w:r>
      <w:r>
        <w:rPr>
          <w:rFonts w:hint="eastAsia" w:ascii="宋体" w:hAnsi="宋体" w:eastAsia="宋体" w:cs="宋体"/>
          <w:color w:val="auto"/>
          <w:szCs w:val="21"/>
          <w:highlight w:val="none"/>
        </w:rPr>
        <w:t>注：1.计分方法按四舍五入取至百分位。</w:t>
      </w:r>
    </w:p>
    <w:p w14:paraId="0F346AF0">
      <w:pPr>
        <w:shd w:val="clear"/>
        <w:wordWrap w:val="0"/>
        <w:spacing w:line="360" w:lineRule="auto"/>
        <w:ind w:firstLine="1050" w:firstLineChars="5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总得分=报价分+技术分+商务分</w:t>
      </w:r>
    </w:p>
    <w:p w14:paraId="7FCF633F">
      <w:pPr>
        <w:shd w:val="clear"/>
        <w:wordWrap w:val="0"/>
        <w:spacing w:line="440" w:lineRule="exact"/>
        <w:ind w:firstLine="840" w:firstLineChars="400"/>
        <w:rPr>
          <w:rFonts w:hint="eastAsia" w:ascii="宋体" w:hAnsi="宋体" w:eastAsia="宋体" w:cs="宋体"/>
          <w:bCs/>
          <w:color w:val="auto"/>
          <w:highlight w:val="none"/>
        </w:rPr>
      </w:pPr>
      <w:r>
        <w:rPr>
          <w:rFonts w:hint="eastAsia" w:ascii="宋体" w:hAnsi="宋体" w:eastAsia="宋体" w:cs="宋体"/>
          <w:color w:val="auto"/>
          <w:szCs w:val="21"/>
          <w:highlight w:val="none"/>
        </w:rPr>
        <w:t>2.商务技术评审因素为客观评分项的，应在评分项目或评分标准中予以标注为‘客观分’。对投标人的客观评分项目，各评标专家评分应当一致。</w:t>
      </w:r>
      <w:bookmarkStart w:id="580" w:name="PO_TDCUS_ITEM_SM_TITLE_1"/>
    </w:p>
    <w:bookmarkEnd w:id="580"/>
    <w:tbl>
      <w:tblPr>
        <w:tblStyle w:val="22"/>
        <w:tblW w:w="10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649"/>
        <w:gridCol w:w="6672"/>
        <w:gridCol w:w="1124"/>
      </w:tblGrid>
      <w:tr w14:paraId="7A84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4" w:space="0"/>
              <w:left w:val="single" w:color="auto" w:sz="4" w:space="0"/>
              <w:bottom w:val="single" w:color="auto" w:sz="4" w:space="0"/>
              <w:right w:val="single" w:color="auto" w:sz="4" w:space="0"/>
            </w:tcBorders>
            <w:noWrap w:val="0"/>
            <w:vAlign w:val="top"/>
          </w:tcPr>
          <w:p w14:paraId="13F550C8">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
                <w:bCs w:val="0"/>
                <w:color w:val="auto"/>
                <w:sz w:val="21"/>
                <w:szCs w:val="21"/>
                <w:highlight w:val="none"/>
              </w:rPr>
            </w:pPr>
            <w:bookmarkStart w:id="581" w:name="PO_TDCUS_ITEM_SM_TABLE_1"/>
            <w:r>
              <w:rPr>
                <w:rFonts w:hint="eastAsia" w:ascii="宋体" w:hAnsi="宋体" w:eastAsia="宋体" w:cs="宋体"/>
                <w:b/>
                <w:bCs w:val="0"/>
                <w:color w:val="auto"/>
                <w:sz w:val="21"/>
                <w:szCs w:val="21"/>
                <w:highlight w:val="none"/>
              </w:rPr>
              <w:t>序号</w:t>
            </w:r>
          </w:p>
        </w:tc>
        <w:tc>
          <w:tcPr>
            <w:tcW w:w="1649" w:type="dxa"/>
            <w:tcBorders>
              <w:top w:val="single" w:color="auto" w:sz="4" w:space="0"/>
              <w:left w:val="single" w:color="auto" w:sz="4" w:space="0"/>
              <w:bottom w:val="single" w:color="auto" w:sz="4" w:space="0"/>
              <w:right w:val="single" w:color="auto" w:sz="4" w:space="0"/>
            </w:tcBorders>
            <w:noWrap w:val="0"/>
            <w:vAlign w:val="top"/>
          </w:tcPr>
          <w:p w14:paraId="36670BD3">
            <w:pPr>
              <w:pStyle w:val="13"/>
              <w:keepNext w:val="0"/>
              <w:keepLines w:val="0"/>
              <w:pageBreakBefore w:val="0"/>
              <w:widowControl/>
              <w:shd w:val="clear"/>
              <w:kinsoku/>
              <w:wordWrap w:val="0"/>
              <w:overflowPunct/>
              <w:topLinePunct w:val="0"/>
              <w:bidi w:val="0"/>
              <w:spacing w:line="360" w:lineRule="auto"/>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评分类型</w:t>
            </w:r>
          </w:p>
        </w:tc>
        <w:tc>
          <w:tcPr>
            <w:tcW w:w="6672" w:type="dxa"/>
            <w:tcBorders>
              <w:top w:val="single" w:color="auto" w:sz="4" w:space="0"/>
              <w:left w:val="single" w:color="auto" w:sz="4" w:space="0"/>
              <w:bottom w:val="single" w:color="auto" w:sz="4" w:space="0"/>
              <w:right w:val="single" w:color="auto" w:sz="4" w:space="0"/>
            </w:tcBorders>
            <w:noWrap w:val="0"/>
            <w:vAlign w:val="top"/>
          </w:tcPr>
          <w:p w14:paraId="218FC12D">
            <w:pPr>
              <w:pStyle w:val="13"/>
              <w:keepNext w:val="0"/>
              <w:keepLines w:val="0"/>
              <w:pageBreakBefore w:val="0"/>
              <w:widowControl/>
              <w:shd w:val="clear"/>
              <w:kinsoku/>
              <w:wordWrap w:val="0"/>
              <w:overflowPunct/>
              <w:topLinePunct w:val="0"/>
              <w:bidi w:val="0"/>
              <w:spacing w:line="360" w:lineRule="auto"/>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评分标准</w:t>
            </w:r>
          </w:p>
        </w:tc>
        <w:tc>
          <w:tcPr>
            <w:tcW w:w="1124" w:type="dxa"/>
            <w:tcBorders>
              <w:top w:val="single" w:color="auto" w:sz="4" w:space="0"/>
              <w:left w:val="single" w:color="auto" w:sz="4" w:space="0"/>
              <w:bottom w:val="single" w:color="auto" w:sz="4" w:space="0"/>
              <w:right w:val="single" w:color="auto" w:sz="4" w:space="0"/>
            </w:tcBorders>
            <w:noWrap w:val="0"/>
            <w:vAlign w:val="top"/>
          </w:tcPr>
          <w:p w14:paraId="30DB599D">
            <w:pPr>
              <w:pStyle w:val="13"/>
              <w:keepNext w:val="0"/>
              <w:keepLines w:val="0"/>
              <w:pageBreakBefore w:val="0"/>
              <w:widowControl/>
              <w:shd w:val="clear"/>
              <w:kinsoku/>
              <w:wordWrap w:val="0"/>
              <w:overflowPunct/>
              <w:topLinePunct w:val="0"/>
              <w:bidi w:val="0"/>
              <w:spacing w:line="360" w:lineRule="auto"/>
              <w:jc w:val="center"/>
              <w:textAlignment w:val="auto"/>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分值</w:t>
            </w:r>
          </w:p>
        </w:tc>
      </w:tr>
      <w:tr w14:paraId="3F83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tcBorders>
              <w:top w:val="single" w:color="auto" w:sz="4" w:space="0"/>
              <w:left w:val="single" w:color="auto" w:sz="4" w:space="0"/>
              <w:bottom w:val="single" w:color="auto" w:sz="4" w:space="0"/>
              <w:right w:val="single" w:color="auto" w:sz="4" w:space="0"/>
            </w:tcBorders>
            <w:noWrap w:val="0"/>
            <w:vAlign w:val="center"/>
          </w:tcPr>
          <w:p w14:paraId="75F3826D">
            <w:pPr>
              <w:pStyle w:val="13"/>
              <w:keepNext w:val="0"/>
              <w:keepLines w:val="0"/>
              <w:pageBreakBefore w:val="0"/>
              <w:widowControl/>
              <w:shd w:val="clear"/>
              <w:kinsoku/>
              <w:wordWrap w:val="0"/>
              <w:overflowPunct/>
              <w:topLinePunct w:val="0"/>
              <w:bidi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p>
        </w:tc>
        <w:tc>
          <w:tcPr>
            <w:tcW w:w="1649" w:type="dxa"/>
            <w:tcBorders>
              <w:top w:val="single" w:color="auto" w:sz="4" w:space="0"/>
              <w:left w:val="single" w:color="auto" w:sz="4" w:space="0"/>
              <w:bottom w:val="single" w:color="auto" w:sz="4" w:space="0"/>
              <w:right w:val="single" w:color="auto" w:sz="4" w:space="0"/>
            </w:tcBorders>
            <w:noWrap w:val="0"/>
            <w:vAlign w:val="center"/>
          </w:tcPr>
          <w:p w14:paraId="09DBC583">
            <w:pPr>
              <w:pStyle w:val="13"/>
              <w:keepNext w:val="0"/>
              <w:keepLines w:val="0"/>
              <w:pageBreakBefore w:val="0"/>
              <w:widowControl/>
              <w:shd w:val="clear"/>
              <w:kinsoku/>
              <w:wordWrap w:val="0"/>
              <w:overflowPunct/>
              <w:topLinePunct w:val="0"/>
              <w:bidi w:val="0"/>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价格</w:t>
            </w:r>
            <w:r>
              <w:rPr>
                <w:rFonts w:hint="eastAsia" w:ascii="宋体" w:hAnsi="宋体" w:eastAsia="宋体" w:cs="宋体"/>
                <w:b/>
                <w:color w:val="auto"/>
                <w:sz w:val="21"/>
                <w:szCs w:val="21"/>
                <w:highlight w:val="none"/>
              </w:rPr>
              <w:t>分</w:t>
            </w:r>
          </w:p>
          <w:p w14:paraId="25EFAEA7">
            <w:pPr>
              <w:keepNext w:val="0"/>
              <w:keepLines w:val="0"/>
              <w:pageBreakBefore w:val="0"/>
              <w:shd w:val="clear"/>
              <w:kinsoku/>
              <w:overflowPunct/>
              <w:topLinePunct w:val="0"/>
              <w:bidi w:val="0"/>
              <w:spacing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（满分</w:t>
            </w:r>
            <w:r>
              <w:rPr>
                <w:rFonts w:hint="eastAsia" w:ascii="宋体" w:hAnsi="宋体" w:cs="宋体"/>
                <w:b/>
                <w:color w:val="auto"/>
                <w:sz w:val="21"/>
                <w:szCs w:val="21"/>
                <w:highlight w:val="none"/>
                <w:lang w:val="en-US" w:eastAsia="zh-CN"/>
              </w:rPr>
              <w:t>20</w:t>
            </w:r>
            <w:r>
              <w:rPr>
                <w:rFonts w:hint="eastAsia" w:ascii="宋体" w:hAnsi="宋体" w:eastAsia="宋体" w:cs="宋体"/>
                <w:b/>
                <w:color w:val="auto"/>
                <w:sz w:val="21"/>
                <w:szCs w:val="21"/>
                <w:highlight w:val="none"/>
              </w:rPr>
              <w:t>分）</w:t>
            </w:r>
          </w:p>
        </w:tc>
        <w:tc>
          <w:tcPr>
            <w:tcW w:w="6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00E382">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（1）评标报价为投标人的投标报价进行政策性扣除后的价格，评标报价只是作为评标时使用。最终中标人的中标金额等于投标报价。</w:t>
            </w:r>
          </w:p>
          <w:p w14:paraId="58B5FEBB">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（2）按照《政府采购促进中小企业发展管理办法》（财库〔2020〕46号）的规定，投标人在其投标文件中提供《中小企业声明函》，且其服务为小型和微型企业承接的，对其最后报价给予20%的扣除。</w:t>
            </w:r>
          </w:p>
          <w:p w14:paraId="1ECF96C4">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w:t>
            </w:r>
            <w:r>
              <w:rPr>
                <w:rFonts w:hint="eastAsia" w:ascii="宋体" w:hAnsi="宋体" w:eastAsia="宋体" w:cs="宋体"/>
                <w:color w:val="auto"/>
                <w:sz w:val="22"/>
                <w:szCs w:val="22"/>
                <w:highlight w:val="none"/>
              </w:rPr>
              <w:t>管理局</w:t>
            </w:r>
            <w:r>
              <w:rPr>
                <w:rFonts w:hint="eastAsia" w:ascii="宋体" w:hAnsi="宋体" w:eastAsia="宋体" w:cs="宋体"/>
                <w:bCs/>
                <w:color w:val="auto"/>
                <w:sz w:val="22"/>
                <w:szCs w:val="22"/>
                <w:highlight w:val="none"/>
                <w:lang w:bidi="ar"/>
              </w:rPr>
              <w:t>(</w:t>
            </w:r>
            <w:r>
              <w:rPr>
                <w:rFonts w:hint="eastAsia" w:ascii="宋体" w:hAnsi="宋体" w:eastAsia="宋体" w:cs="宋体"/>
                <w:color w:val="auto"/>
                <w:sz w:val="22"/>
                <w:szCs w:val="22"/>
                <w:highlight w:val="none"/>
              </w:rPr>
              <w:t>含</w:t>
            </w:r>
            <w:r>
              <w:rPr>
                <w:rFonts w:hint="eastAsia" w:ascii="宋体" w:hAnsi="宋体" w:eastAsia="宋体" w:cs="宋体"/>
                <w:bCs/>
                <w:color w:val="auto"/>
                <w:sz w:val="22"/>
                <w:szCs w:val="22"/>
                <w:highlight w:val="none"/>
                <w:lang w:bidi="ar"/>
              </w:rPr>
              <w:t>新疆生产建设兵团)出具的属于监狱企业的证明文件。不重复享受政策。</w:t>
            </w:r>
          </w:p>
          <w:p w14:paraId="564A7DBE">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429CF48">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（5）政策性扣除计算方法。</w:t>
            </w:r>
          </w:p>
          <w:p w14:paraId="2288FA55">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在服务采购项目中，服务由小微企业承接；对符合上述要求的投标人的投标报价给予</w:t>
            </w:r>
            <w:r>
              <w:rPr>
                <w:rFonts w:hint="eastAsia" w:ascii="宋体" w:hAnsi="宋体" w:eastAsia="宋体" w:cs="宋体"/>
                <w:bCs/>
                <w:color w:val="auto"/>
                <w:sz w:val="22"/>
                <w:szCs w:val="22"/>
                <w:highlight w:val="none"/>
                <w:u w:val="single"/>
                <w:lang w:bidi="ar"/>
              </w:rPr>
              <w:t>20%</w:t>
            </w:r>
            <w:r>
              <w:rPr>
                <w:rFonts w:hint="eastAsia" w:ascii="宋体" w:hAnsi="宋体" w:eastAsia="宋体" w:cs="宋体"/>
                <w:bCs/>
                <w:color w:val="auto"/>
                <w:sz w:val="22"/>
                <w:szCs w:val="22"/>
                <w:highlight w:val="none"/>
                <w:lang w:bidi="ar"/>
              </w:rPr>
              <w:t>（范围为10%-20%）的扣除，扣除后的价格为评标报价，即评标报价=投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eastAsia="宋体" w:cs="宋体"/>
                <w:bCs/>
                <w:color w:val="auto"/>
                <w:sz w:val="22"/>
                <w:szCs w:val="22"/>
                <w:highlight w:val="none"/>
                <w:u w:val="single"/>
                <w:lang w:bidi="ar"/>
              </w:rPr>
              <w:t xml:space="preserve"> 4 %</w:t>
            </w:r>
            <w:r>
              <w:rPr>
                <w:rFonts w:hint="eastAsia" w:ascii="宋体" w:hAnsi="宋体" w:eastAsia="宋体" w:cs="宋体"/>
                <w:bCs/>
                <w:color w:val="auto"/>
                <w:sz w:val="22"/>
                <w:szCs w:val="22"/>
                <w:highlight w:val="none"/>
                <w:lang w:bidi="ar"/>
              </w:rPr>
              <w:t>（范围为4%-6%）的扣除，用扣除后的价格参加评审，扣除后的价格为评标报价，即评标报价=投标报价×（1-</w:t>
            </w:r>
            <w:r>
              <w:rPr>
                <w:rFonts w:hint="eastAsia" w:ascii="宋体" w:hAnsi="宋体" w:eastAsia="宋体" w:cs="宋体"/>
                <w:bCs/>
                <w:color w:val="auto"/>
                <w:sz w:val="22"/>
                <w:szCs w:val="22"/>
                <w:highlight w:val="none"/>
                <w:u w:val="single"/>
                <w:lang w:bidi="ar"/>
              </w:rPr>
              <w:t xml:space="preserve"> 4 </w:t>
            </w:r>
            <w:r>
              <w:rPr>
                <w:rFonts w:hint="eastAsia" w:ascii="宋体" w:hAnsi="宋体" w:eastAsia="宋体" w:cs="宋体"/>
                <w:bCs/>
                <w:color w:val="auto"/>
                <w:sz w:val="22"/>
                <w:szCs w:val="22"/>
                <w:highlight w:val="none"/>
                <w:lang w:bidi="ar"/>
              </w:rPr>
              <w:t>%）。除上述情况外，评标报价=投标报价。</w:t>
            </w:r>
          </w:p>
          <w:p w14:paraId="29C92062">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（6）满足</w:t>
            </w:r>
            <w:r>
              <w:rPr>
                <w:rFonts w:hint="eastAsia" w:ascii="宋体" w:hAnsi="宋体" w:eastAsia="宋体" w:cs="宋体"/>
                <w:color w:val="auto"/>
                <w:sz w:val="22"/>
                <w:szCs w:val="22"/>
                <w:highlight w:val="none"/>
              </w:rPr>
              <w:t>招标</w:t>
            </w:r>
            <w:r>
              <w:rPr>
                <w:rFonts w:hint="eastAsia" w:ascii="宋体" w:hAnsi="宋体" w:eastAsia="宋体" w:cs="宋体"/>
                <w:bCs/>
                <w:color w:val="auto"/>
                <w:sz w:val="22"/>
                <w:szCs w:val="22"/>
                <w:highlight w:val="none"/>
                <w:lang w:bidi="ar"/>
              </w:rPr>
              <w:t>文件要求且评标报价最低的评标报价为评标基准价，其价格分为满分。</w:t>
            </w:r>
          </w:p>
          <w:p w14:paraId="69587BA4">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bidi="ar"/>
              </w:rPr>
            </w:pPr>
            <w:r>
              <w:rPr>
                <w:rFonts w:hint="eastAsia" w:ascii="宋体" w:hAnsi="宋体" w:eastAsia="宋体" w:cs="宋体"/>
                <w:bCs/>
                <w:color w:val="auto"/>
                <w:sz w:val="22"/>
                <w:szCs w:val="22"/>
                <w:highlight w:val="none"/>
                <w:lang w:bidi="ar"/>
              </w:rPr>
              <w:t>（7）</w:t>
            </w:r>
            <w:r>
              <w:rPr>
                <w:rFonts w:hint="eastAsia" w:ascii="宋体" w:hAnsi="宋体" w:eastAsia="宋体" w:cs="宋体"/>
                <w:color w:val="auto"/>
                <w:sz w:val="22"/>
                <w:szCs w:val="22"/>
                <w:highlight w:val="none"/>
              </w:rPr>
              <w:t>价格</w:t>
            </w:r>
            <w:r>
              <w:rPr>
                <w:rFonts w:hint="eastAsia" w:ascii="宋体" w:hAnsi="宋体" w:eastAsia="宋体" w:cs="宋体"/>
                <w:bCs/>
                <w:color w:val="auto"/>
                <w:sz w:val="22"/>
                <w:szCs w:val="22"/>
                <w:highlight w:val="none"/>
                <w:lang w:bidi="ar"/>
              </w:rPr>
              <w:t>分计算公式：价格分=(评标基准价／评标报价)×</w:t>
            </w:r>
            <w:r>
              <w:rPr>
                <w:rFonts w:hint="eastAsia" w:ascii="宋体" w:hAnsi="宋体" w:eastAsia="宋体" w:cs="宋体"/>
                <w:bCs/>
                <w:color w:val="auto"/>
                <w:sz w:val="22"/>
                <w:szCs w:val="22"/>
                <w:highlight w:val="none"/>
                <w:u w:val="single"/>
                <w:lang w:bidi="ar"/>
              </w:rPr>
              <w:t xml:space="preserve"> </w:t>
            </w:r>
            <w:r>
              <w:rPr>
                <w:rFonts w:hint="eastAsia" w:ascii="宋体" w:hAnsi="宋体" w:cs="宋体"/>
                <w:bCs/>
                <w:color w:val="auto"/>
                <w:sz w:val="22"/>
                <w:szCs w:val="22"/>
                <w:highlight w:val="none"/>
                <w:u w:val="single"/>
                <w:lang w:val="en-US" w:eastAsia="zh-CN" w:bidi="ar"/>
              </w:rPr>
              <w:t xml:space="preserve"> </w:t>
            </w:r>
            <w:r>
              <w:rPr>
                <w:rFonts w:hint="eastAsia" w:ascii="宋体" w:hAnsi="宋体" w:eastAsia="宋体" w:cs="宋体"/>
                <w:bCs/>
                <w:color w:val="auto"/>
                <w:sz w:val="22"/>
                <w:szCs w:val="22"/>
                <w:highlight w:val="none"/>
                <w:u w:val="single"/>
                <w:lang w:val="en-US" w:eastAsia="zh-CN" w:bidi="ar"/>
              </w:rPr>
              <w:t>20</w:t>
            </w:r>
            <w:r>
              <w:rPr>
                <w:rFonts w:hint="eastAsia" w:ascii="宋体" w:hAnsi="宋体" w:eastAsia="宋体" w:cs="宋体"/>
                <w:bCs/>
                <w:color w:val="auto"/>
                <w:sz w:val="22"/>
                <w:szCs w:val="22"/>
                <w:highlight w:val="none"/>
                <w:u w:val="single"/>
                <w:lang w:bidi="ar"/>
              </w:rPr>
              <w:t xml:space="preserve"> </w:t>
            </w:r>
            <w:r>
              <w:rPr>
                <w:rFonts w:hint="eastAsia" w:ascii="宋体" w:hAnsi="宋体" w:eastAsia="宋体" w:cs="宋体"/>
                <w:bCs/>
                <w:color w:val="auto"/>
                <w:sz w:val="22"/>
                <w:szCs w:val="22"/>
                <w:highlight w:val="none"/>
                <w:lang w:bidi="ar"/>
              </w:rPr>
              <w:t>分</w:t>
            </w:r>
          </w:p>
          <w:p w14:paraId="20BF26F7">
            <w:pPr>
              <w:keepNext w:val="0"/>
              <w:keepLines w:val="0"/>
              <w:pageBreakBefore w:val="0"/>
              <w:widowControl w:val="0"/>
              <w:kinsoku/>
              <w:overflowPunct/>
              <w:topLinePunct w:val="0"/>
              <w:autoSpaceDE/>
              <w:autoSpaceDN/>
              <w:bidi w:val="0"/>
              <w:adjustRightInd/>
              <w:snapToGrid/>
              <w:spacing w:line="400" w:lineRule="atLeast"/>
              <w:ind w:firstLine="331" w:firstLineChars="15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color w:val="auto"/>
                <w:sz w:val="22"/>
                <w:szCs w:val="22"/>
                <w:highlight w:val="none"/>
                <w:lang w:bidi="ar"/>
              </w:rPr>
              <w:t>注：如项目为专门面向中小企业采购项目不再进行政策性价格扣除。</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7396521">
            <w:pPr>
              <w:pStyle w:val="13"/>
              <w:keepNext w:val="0"/>
              <w:keepLines w:val="0"/>
              <w:pageBreakBefore w:val="0"/>
              <w:widowControl/>
              <w:shd w:val="clear"/>
              <w:kinsoku/>
              <w:wordWrap w:val="0"/>
              <w:overflowPunct/>
              <w:topLinePunct w:val="0"/>
              <w:bidi w:val="0"/>
              <w:spacing w:line="36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rPr>
              <w:t>0~</w:t>
            </w:r>
            <w:r>
              <w:rPr>
                <w:rFonts w:hint="eastAsia" w:hAnsi="宋体" w:cs="宋体"/>
                <w:bCs/>
                <w:color w:val="auto"/>
                <w:sz w:val="21"/>
                <w:szCs w:val="21"/>
                <w:highlight w:val="none"/>
                <w:lang w:val="en-US" w:eastAsia="zh-CN"/>
              </w:rPr>
              <w:t>20分</w:t>
            </w:r>
          </w:p>
        </w:tc>
      </w:tr>
      <w:tr w14:paraId="1C78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685" w:type="dxa"/>
            <w:vMerge w:val="restart"/>
            <w:tcBorders>
              <w:top w:val="single" w:color="auto" w:sz="4" w:space="0"/>
              <w:left w:val="single" w:color="auto" w:sz="4" w:space="0"/>
              <w:right w:val="single" w:color="auto" w:sz="4" w:space="0"/>
            </w:tcBorders>
            <w:noWrap w:val="0"/>
            <w:vAlign w:val="center"/>
          </w:tcPr>
          <w:p w14:paraId="79B82BD8">
            <w:pPr>
              <w:pStyle w:val="13"/>
              <w:keepNext w:val="0"/>
              <w:keepLines w:val="0"/>
              <w:pageBreakBefore w:val="0"/>
              <w:widowControl/>
              <w:shd w:val="clear"/>
              <w:kinsoku/>
              <w:wordWrap w:val="0"/>
              <w:overflowPunct/>
              <w:topLinePunct w:val="0"/>
              <w:bidi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p>
        </w:tc>
        <w:tc>
          <w:tcPr>
            <w:tcW w:w="1649" w:type="dxa"/>
            <w:tcBorders>
              <w:top w:val="single" w:color="auto" w:sz="4" w:space="0"/>
              <w:left w:val="single" w:color="auto" w:sz="4" w:space="0"/>
              <w:bottom w:val="single" w:color="auto" w:sz="4" w:space="0"/>
              <w:right w:val="single" w:color="auto" w:sz="4" w:space="0"/>
            </w:tcBorders>
            <w:noWrap w:val="0"/>
            <w:vAlign w:val="top"/>
          </w:tcPr>
          <w:p w14:paraId="1480D803">
            <w:pPr>
              <w:pStyle w:val="13"/>
              <w:keepNext w:val="0"/>
              <w:keepLines w:val="0"/>
              <w:pageBreakBefore w:val="0"/>
              <w:widowControl/>
              <w:shd w:val="clear"/>
              <w:kinsoku/>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技术分（满分</w:t>
            </w:r>
            <w:r>
              <w:rPr>
                <w:rFonts w:hint="eastAsia" w:ascii="宋体" w:hAnsi="宋体" w:eastAsia="宋体" w:cs="宋体"/>
                <w:b/>
                <w:bCs w:val="0"/>
                <w:color w:val="auto"/>
                <w:sz w:val="21"/>
                <w:szCs w:val="21"/>
                <w:highlight w:val="none"/>
                <w:lang w:val="en-US" w:eastAsia="zh-CN"/>
              </w:rPr>
              <w:t>7</w:t>
            </w:r>
            <w:r>
              <w:rPr>
                <w:rFonts w:hint="eastAsia" w:hAnsi="宋体" w:cs="宋体"/>
                <w:b/>
                <w:bCs w:val="0"/>
                <w:color w:val="auto"/>
                <w:sz w:val="21"/>
                <w:szCs w:val="21"/>
                <w:highlight w:val="none"/>
                <w:lang w:val="en-US" w:eastAsia="zh-CN"/>
              </w:rPr>
              <w:t>1</w:t>
            </w:r>
            <w:r>
              <w:rPr>
                <w:rFonts w:hint="eastAsia" w:ascii="宋体" w:hAnsi="宋体" w:eastAsia="宋体" w:cs="宋体"/>
                <w:b/>
                <w:bCs w:val="0"/>
                <w:color w:val="auto"/>
                <w:sz w:val="21"/>
                <w:szCs w:val="21"/>
                <w:highlight w:val="none"/>
              </w:rPr>
              <w:t>分）</w:t>
            </w:r>
          </w:p>
        </w:tc>
        <w:tc>
          <w:tcPr>
            <w:tcW w:w="6672" w:type="dxa"/>
            <w:tcBorders>
              <w:top w:val="single" w:color="auto" w:sz="4" w:space="0"/>
              <w:left w:val="single" w:color="auto" w:sz="4" w:space="0"/>
              <w:bottom w:val="single" w:color="auto" w:sz="4" w:space="0"/>
              <w:right w:val="single" w:color="auto" w:sz="4" w:space="0"/>
            </w:tcBorders>
            <w:noWrap w:val="0"/>
            <w:vAlign w:val="center"/>
          </w:tcPr>
          <w:p w14:paraId="25307251">
            <w:pPr>
              <w:pStyle w:val="13"/>
              <w:keepNext w:val="0"/>
              <w:keepLines w:val="0"/>
              <w:pageBreakBefore w:val="0"/>
              <w:widowControl/>
              <w:shd w:val="clear"/>
              <w:kinsoku/>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评审因素</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B7D4808">
            <w:pPr>
              <w:pStyle w:val="13"/>
              <w:keepNext w:val="0"/>
              <w:keepLines w:val="0"/>
              <w:pageBreakBefore w:val="0"/>
              <w:widowControl/>
              <w:shd w:val="clear"/>
              <w:kinsoku/>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分值</w:t>
            </w:r>
          </w:p>
        </w:tc>
      </w:tr>
      <w:tr w14:paraId="18A7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685" w:type="dxa"/>
            <w:vMerge w:val="continue"/>
            <w:tcBorders>
              <w:left w:val="single" w:color="auto" w:sz="4" w:space="0"/>
              <w:right w:val="single" w:color="auto" w:sz="4" w:space="0"/>
            </w:tcBorders>
            <w:noWrap w:val="0"/>
            <w:vAlign w:val="top"/>
          </w:tcPr>
          <w:p w14:paraId="3AE95152">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p>
        </w:tc>
        <w:tc>
          <w:tcPr>
            <w:tcW w:w="1649" w:type="dxa"/>
            <w:tcBorders>
              <w:top w:val="single" w:color="auto" w:sz="4" w:space="0"/>
              <w:left w:val="single" w:color="auto" w:sz="4" w:space="0"/>
              <w:bottom w:val="single" w:color="auto" w:sz="4" w:space="0"/>
              <w:right w:val="single" w:color="auto" w:sz="4" w:space="0"/>
            </w:tcBorders>
            <w:noWrap w:val="0"/>
            <w:vAlign w:val="center"/>
          </w:tcPr>
          <w:p w14:paraId="5852D3B2">
            <w:pPr>
              <w:pStyle w:val="13"/>
              <w:keepNext w:val="0"/>
              <w:keepLines w:val="0"/>
              <w:pageBreakBefore w:val="0"/>
              <w:widowControl/>
              <w:numPr>
                <w:ilvl w:val="0"/>
                <w:numId w:val="0"/>
              </w:numPr>
              <w:shd w:val="clear" w:color="auto"/>
              <w:kinsoku/>
              <w:wordWrap w:val="0"/>
              <w:overflowPunct/>
              <w:topLinePunct w:val="0"/>
              <w:bidi w:val="0"/>
              <w:spacing w:line="360" w:lineRule="auto"/>
              <w:ind w:left="0" w:leftChars="0" w:firstLine="0" w:firstLineChars="0"/>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（1）</w:t>
            </w:r>
            <w:r>
              <w:rPr>
                <w:rFonts w:hint="eastAsia" w:ascii="宋体" w:hAnsi="宋体" w:eastAsia="宋体" w:cs="宋体"/>
                <w:b/>
                <w:bCs/>
                <w:color w:val="auto"/>
                <w:sz w:val="21"/>
                <w:szCs w:val="21"/>
                <w:highlight w:val="none"/>
                <w:lang w:val="en-US" w:eastAsia="zh-CN"/>
              </w:rPr>
              <w:t>人员配置（满分13</w:t>
            </w:r>
            <w:r>
              <w:rPr>
                <w:rFonts w:hint="eastAsia" w:hAnsi="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val="en-US" w:eastAsia="zh-CN"/>
              </w:rPr>
              <w:t>）</w:t>
            </w:r>
          </w:p>
        </w:tc>
        <w:tc>
          <w:tcPr>
            <w:tcW w:w="6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02A5055">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1.项目总负责人（1人），满分3分，投标人提供项目总负责人学历证书、职称证书、相关工作经验证明，未提供上述任意一项佐证材料的、提供不全或不符合要求的，或提供的材料虚假、无效的，不予计分。</w:t>
            </w:r>
          </w:p>
          <w:p w14:paraId="796635BB">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（1）</w:t>
            </w:r>
            <w:r>
              <w:rPr>
                <w:rFonts w:hint="eastAsia" w:ascii="宋体" w:hAnsi="宋体" w:eastAsia="宋体" w:cs="宋体"/>
                <w:bCs/>
                <w:color w:val="auto"/>
                <w:sz w:val="22"/>
                <w:szCs w:val="22"/>
                <w:highlight w:val="none"/>
                <w:lang w:val="en-US" w:eastAsia="zh-CN" w:bidi="ar"/>
              </w:rPr>
              <w:t>基础分1分</w:t>
            </w:r>
          </w:p>
          <w:p w14:paraId="1C559BC4">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同时满足以下全部</w:t>
            </w:r>
            <w:r>
              <w:rPr>
                <w:rFonts w:hint="eastAsia" w:ascii="宋体" w:hAnsi="宋体" w:cs="宋体"/>
                <w:bCs/>
                <w:color w:val="auto"/>
                <w:sz w:val="22"/>
                <w:szCs w:val="22"/>
                <w:highlight w:val="none"/>
                <w:lang w:val="en-US" w:eastAsia="zh-CN" w:bidi="ar"/>
              </w:rPr>
              <w:t>最低</w:t>
            </w:r>
            <w:r>
              <w:rPr>
                <w:rFonts w:hint="eastAsia" w:ascii="宋体" w:hAnsi="宋体" w:eastAsia="宋体" w:cs="宋体"/>
                <w:bCs/>
                <w:color w:val="auto"/>
                <w:sz w:val="22"/>
                <w:szCs w:val="22"/>
                <w:highlight w:val="none"/>
                <w:lang w:val="en-US" w:eastAsia="zh-CN" w:bidi="ar"/>
              </w:rPr>
              <w:t xml:space="preserve">条件的，得1分：①大专及以上学历；② </w:t>
            </w:r>
            <w:r>
              <w:rPr>
                <w:rFonts w:hint="eastAsia" w:ascii="宋体" w:hAnsi="宋体" w:eastAsia="宋体" w:cs="宋体"/>
                <w:bCs/>
                <w:color w:val="auto"/>
                <w:sz w:val="22"/>
                <w:szCs w:val="22"/>
                <w:highlight w:val="none"/>
                <w:u w:val="none"/>
                <w:lang w:val="en-US" w:eastAsia="zh-CN" w:bidi="ar"/>
              </w:rPr>
              <w:t>园林、园艺、植保、林学等相关专业中级（含）以上职称</w:t>
            </w:r>
            <w:r>
              <w:rPr>
                <w:rFonts w:hint="eastAsia" w:ascii="宋体" w:hAnsi="宋体" w:eastAsia="宋体" w:cs="宋体"/>
                <w:bCs/>
                <w:color w:val="auto"/>
                <w:sz w:val="22"/>
                <w:szCs w:val="22"/>
                <w:highlight w:val="none"/>
                <w:lang w:val="en-US" w:eastAsia="zh-CN" w:bidi="ar"/>
              </w:rPr>
              <w:t>；③ 3年及以上园林相关项目负责人工作经验；</w:t>
            </w:r>
          </w:p>
          <w:p w14:paraId="5295E660">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（2）加分项（最高2分）</w:t>
            </w:r>
          </w:p>
          <w:p w14:paraId="3E6312EB">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①具有本科及以上学历，得0.5分；</w:t>
            </w:r>
          </w:p>
          <w:p w14:paraId="0BD14DC4">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②具有园林相关专业高级（含）以上职称，得1分；</w:t>
            </w:r>
          </w:p>
          <w:p w14:paraId="104EBD87">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③具有5年及以上园林相关项目负责人工作经验的，得0.5分。</w:t>
            </w:r>
          </w:p>
          <w:p w14:paraId="3AE7D724">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2.现场负责人</w:t>
            </w:r>
            <w:r>
              <w:rPr>
                <w:rFonts w:hint="eastAsia" w:ascii="宋体" w:hAnsi="宋体" w:eastAsia="宋体" w:cs="宋体"/>
                <w:bCs/>
                <w:color w:val="auto"/>
                <w:sz w:val="22"/>
                <w:szCs w:val="22"/>
                <w:highlight w:val="none"/>
                <w:lang w:val="en-US" w:eastAsia="zh-CN" w:bidi="ar"/>
              </w:rPr>
              <w:t>（5人），满分4分，投标人提供现场负责人职称证书、相关工作经验证明，未提供上述任意一项佐证材料的、提供不全或不符合要求的，或提供的材料虚假、无效的，不予计分。</w:t>
            </w:r>
          </w:p>
          <w:p w14:paraId="7CFE40E6">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（1）基础分3分</w:t>
            </w:r>
          </w:p>
          <w:p w14:paraId="210C22AE">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同时满足以下全部</w:t>
            </w:r>
            <w:r>
              <w:rPr>
                <w:rFonts w:hint="eastAsia" w:ascii="宋体" w:hAnsi="宋体" w:cs="宋体"/>
                <w:bCs/>
                <w:color w:val="auto"/>
                <w:sz w:val="22"/>
                <w:szCs w:val="22"/>
                <w:highlight w:val="none"/>
                <w:lang w:val="en-US" w:eastAsia="zh-CN" w:bidi="ar"/>
              </w:rPr>
              <w:t>最低</w:t>
            </w:r>
            <w:r>
              <w:rPr>
                <w:rFonts w:hint="eastAsia" w:ascii="宋体" w:hAnsi="宋体" w:eastAsia="宋体" w:cs="宋体"/>
                <w:bCs/>
                <w:color w:val="auto"/>
                <w:sz w:val="22"/>
                <w:szCs w:val="22"/>
                <w:highlight w:val="none"/>
                <w:lang w:val="en-US" w:eastAsia="zh-CN" w:bidi="ar"/>
              </w:rPr>
              <w:t xml:space="preserve">条件的，得1分：① </w:t>
            </w:r>
            <w:r>
              <w:rPr>
                <w:rFonts w:hint="eastAsia" w:ascii="宋体" w:hAnsi="宋体" w:eastAsia="宋体" w:cs="宋体"/>
                <w:bCs/>
                <w:color w:val="auto"/>
                <w:sz w:val="22"/>
                <w:szCs w:val="22"/>
                <w:highlight w:val="none"/>
                <w:u w:val="none"/>
                <w:lang w:val="en-US" w:eastAsia="zh-CN" w:bidi="ar"/>
              </w:rPr>
              <w:t>园林</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园艺</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植保</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林学等相关专业</w:t>
            </w:r>
            <w:r>
              <w:rPr>
                <w:rFonts w:hint="eastAsia" w:ascii="宋体" w:hAnsi="宋体" w:eastAsia="宋体" w:cs="宋体"/>
                <w:b w:val="0"/>
                <w:bCs/>
                <w:color w:val="auto"/>
                <w:sz w:val="22"/>
                <w:szCs w:val="22"/>
                <w:highlight w:val="none"/>
                <w:u w:val="none"/>
                <w:lang w:val="en-US" w:eastAsia="zh-CN" w:bidi="ar"/>
              </w:rPr>
              <w:t>中级</w:t>
            </w:r>
            <w:r>
              <w:rPr>
                <w:rFonts w:hint="eastAsia" w:ascii="宋体" w:hAnsi="宋体" w:eastAsia="宋体" w:cs="宋体"/>
                <w:bCs/>
                <w:color w:val="auto"/>
                <w:sz w:val="22"/>
                <w:szCs w:val="22"/>
                <w:highlight w:val="none"/>
                <w:lang w:val="en-US" w:eastAsia="zh-CN" w:bidi="ar"/>
              </w:rPr>
              <w:t xml:space="preserve">职称； ② 2年及以上园林相关工作经验； </w:t>
            </w:r>
          </w:p>
          <w:p w14:paraId="070CF7C1">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（2）加分项（最高1分）</w:t>
            </w:r>
          </w:p>
          <w:p w14:paraId="2A9B82A2">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具有</w:t>
            </w:r>
            <w:r>
              <w:rPr>
                <w:rFonts w:hint="eastAsia" w:ascii="宋体" w:hAnsi="宋体" w:eastAsia="宋体" w:cs="宋体"/>
                <w:bCs/>
                <w:color w:val="auto"/>
                <w:sz w:val="22"/>
                <w:szCs w:val="22"/>
                <w:highlight w:val="none"/>
                <w:u w:val="none"/>
                <w:lang w:val="en-US" w:eastAsia="zh-CN" w:bidi="ar"/>
              </w:rPr>
              <w:t>园林</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园艺</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植保</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林学等相关专业</w:t>
            </w:r>
            <w:r>
              <w:rPr>
                <w:rFonts w:hint="eastAsia" w:ascii="宋体" w:hAnsi="宋体" w:eastAsia="宋体" w:cs="宋体"/>
                <w:bCs/>
                <w:color w:val="auto"/>
                <w:sz w:val="22"/>
                <w:szCs w:val="22"/>
                <w:highlight w:val="none"/>
                <w:lang w:val="en-US" w:eastAsia="zh-CN" w:bidi="ar"/>
              </w:rPr>
              <w:t>高级（含）以上职称，每人加0.5分，最高1分。</w:t>
            </w:r>
          </w:p>
          <w:p w14:paraId="2134EE2D">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 w:val="0"/>
                <w:bCs/>
                <w:color w:val="auto"/>
                <w:sz w:val="22"/>
                <w:szCs w:val="22"/>
                <w:highlight w:val="none"/>
                <w:lang w:val="en-US" w:eastAsia="zh-CN" w:bidi="ar"/>
              </w:rPr>
            </w:pPr>
            <w:r>
              <w:rPr>
                <w:rFonts w:hint="eastAsia" w:ascii="宋体" w:hAnsi="宋体" w:eastAsia="宋体" w:cs="宋体"/>
                <w:b w:val="0"/>
                <w:bCs/>
                <w:color w:val="auto"/>
                <w:sz w:val="22"/>
                <w:szCs w:val="22"/>
                <w:highlight w:val="none"/>
                <w:lang w:val="en-US" w:eastAsia="zh-CN" w:bidi="ar"/>
              </w:rPr>
              <w:t>3.植保员（2人），满分2分，</w:t>
            </w:r>
            <w:r>
              <w:rPr>
                <w:rFonts w:hint="eastAsia" w:ascii="宋体" w:hAnsi="宋体" w:eastAsia="宋体" w:cs="宋体"/>
                <w:bCs/>
                <w:color w:val="auto"/>
                <w:sz w:val="22"/>
                <w:szCs w:val="22"/>
                <w:highlight w:val="none"/>
                <w:lang w:val="en-US" w:eastAsia="zh-CN" w:bidi="ar"/>
              </w:rPr>
              <w:t>投标人提供植保员职称证书或职业资格等级证书、相关工作经验证明，未提供上述任意一项佐证材料的、提供不全或不符合要求的，或提供的材料虚假、无效的，不予计分。</w:t>
            </w:r>
          </w:p>
          <w:p w14:paraId="3A456EB1">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（1）基础分1分</w:t>
            </w:r>
          </w:p>
          <w:p w14:paraId="26164264">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同时满足以下全部</w:t>
            </w:r>
            <w:r>
              <w:rPr>
                <w:rFonts w:hint="eastAsia" w:ascii="宋体" w:hAnsi="宋体" w:cs="宋体"/>
                <w:bCs/>
                <w:color w:val="auto"/>
                <w:sz w:val="22"/>
                <w:szCs w:val="22"/>
                <w:highlight w:val="none"/>
                <w:lang w:val="en-US" w:eastAsia="zh-CN" w:bidi="ar"/>
              </w:rPr>
              <w:t>最低</w:t>
            </w:r>
            <w:r>
              <w:rPr>
                <w:rFonts w:hint="eastAsia" w:ascii="宋体" w:hAnsi="宋体" w:eastAsia="宋体" w:cs="宋体"/>
                <w:bCs/>
                <w:color w:val="auto"/>
                <w:sz w:val="22"/>
                <w:szCs w:val="22"/>
                <w:highlight w:val="none"/>
                <w:lang w:val="en-US" w:eastAsia="zh-CN" w:bidi="ar"/>
              </w:rPr>
              <w:t>条件的，得1分：①具有植保</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园林</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园艺</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农学</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林学等</w:t>
            </w:r>
            <w:r>
              <w:rPr>
                <w:rFonts w:hint="eastAsia" w:ascii="宋体" w:hAnsi="宋体" w:eastAsia="宋体" w:cs="宋体"/>
                <w:bCs/>
                <w:strike w:val="0"/>
                <w:dstrike w:val="0"/>
                <w:color w:val="auto"/>
                <w:sz w:val="22"/>
                <w:szCs w:val="22"/>
                <w:highlight w:val="none"/>
                <w:lang w:val="en-US" w:eastAsia="zh-CN" w:bidi="ar"/>
              </w:rPr>
              <w:t>与植物病虫害防治</w:t>
            </w:r>
            <w:r>
              <w:rPr>
                <w:rFonts w:hint="eastAsia" w:ascii="宋体" w:hAnsi="宋体" w:eastAsia="宋体" w:cs="宋体"/>
                <w:bCs/>
                <w:color w:val="auto"/>
                <w:sz w:val="22"/>
                <w:szCs w:val="22"/>
                <w:highlight w:val="none"/>
                <w:lang w:val="en-US" w:eastAsia="zh-CN" w:bidi="ar"/>
              </w:rPr>
              <w:t>相关专业或具有农作物植保员</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林业有害生物防治员</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园林植保工等国家/行业认可的高级（含）以上职业等级证书；②不少于2年园林相关工作经验证明。</w:t>
            </w:r>
          </w:p>
          <w:p w14:paraId="33478420">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（2）加分项（最高1分）</w:t>
            </w:r>
          </w:p>
          <w:p w14:paraId="2F48689A">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①具有植保</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园林</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园艺</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农学</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林学等相关专业中级职称，每人加0.2分；</w:t>
            </w:r>
          </w:p>
          <w:p w14:paraId="17948B4A">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②具有植保</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园林</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园艺</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农学</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lang w:val="en-US" w:eastAsia="zh-CN" w:bidi="ar"/>
              </w:rPr>
              <w:t>林学等相关专业高级（含）以上职称，每人加0.5分</w:t>
            </w:r>
          </w:p>
          <w:p w14:paraId="6153FC9D">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③具有技师/二级（含）以上职业等级证书，每人加0.5分。</w:t>
            </w:r>
          </w:p>
          <w:p w14:paraId="2E940042">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u w:val="none"/>
                <w:lang w:val="en-US" w:eastAsia="zh-CN" w:bidi="ar"/>
              </w:rPr>
            </w:pPr>
            <w:r>
              <w:rPr>
                <w:rFonts w:hint="eastAsia" w:ascii="宋体" w:hAnsi="宋体" w:eastAsia="宋体" w:cs="宋体"/>
                <w:bCs/>
                <w:color w:val="auto"/>
                <w:sz w:val="22"/>
                <w:szCs w:val="22"/>
                <w:highlight w:val="none"/>
                <w:u w:val="none"/>
                <w:lang w:val="en-US" w:eastAsia="zh-CN" w:bidi="ar"/>
              </w:rPr>
              <w:t>同一个人同时持有多项符合要求的证书的，最高加0.5分，不重复累计。</w:t>
            </w:r>
          </w:p>
          <w:p w14:paraId="24DE09B0">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4.驻点技术员（5人），满分4分，投标人提供驻点技术员的职称证书、相关工作经验证明等佐证材料，未提供上述任意一项佐证材料的、提供不全或不符合要求的，或提供的材料虚假、无效的，不予计分。</w:t>
            </w:r>
          </w:p>
          <w:p w14:paraId="66774FAC">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left="0" w:leftChars="0"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（1）基础分3分</w:t>
            </w:r>
          </w:p>
          <w:p w14:paraId="2F755271">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同时满足以下全部</w:t>
            </w:r>
            <w:r>
              <w:rPr>
                <w:rFonts w:hint="eastAsia" w:ascii="宋体" w:hAnsi="宋体" w:cs="宋体"/>
                <w:bCs/>
                <w:color w:val="auto"/>
                <w:sz w:val="22"/>
                <w:szCs w:val="22"/>
                <w:highlight w:val="none"/>
                <w:lang w:val="en-US" w:eastAsia="zh-CN" w:bidi="ar"/>
              </w:rPr>
              <w:t>最低</w:t>
            </w:r>
            <w:r>
              <w:rPr>
                <w:rFonts w:hint="eastAsia" w:ascii="宋体" w:hAnsi="宋体" w:eastAsia="宋体" w:cs="宋体"/>
                <w:bCs/>
                <w:color w:val="auto"/>
                <w:sz w:val="22"/>
                <w:szCs w:val="22"/>
                <w:highlight w:val="none"/>
                <w:lang w:val="en-US" w:eastAsia="zh-CN" w:bidi="ar"/>
              </w:rPr>
              <w:t>条件的，得3分：①具有</w:t>
            </w:r>
            <w:r>
              <w:rPr>
                <w:rFonts w:hint="eastAsia" w:ascii="宋体" w:hAnsi="宋体" w:eastAsia="宋体" w:cs="宋体"/>
                <w:bCs/>
                <w:color w:val="auto"/>
                <w:sz w:val="22"/>
                <w:szCs w:val="22"/>
                <w:highlight w:val="none"/>
                <w:u w:val="none"/>
                <w:lang w:val="en-US" w:eastAsia="zh-CN" w:bidi="ar"/>
              </w:rPr>
              <w:t>园林</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园艺</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植保</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林学等相关专业</w:t>
            </w:r>
            <w:r>
              <w:rPr>
                <w:rFonts w:hint="eastAsia" w:ascii="宋体" w:hAnsi="宋体" w:eastAsia="宋体" w:cs="宋体"/>
                <w:bCs/>
                <w:color w:val="auto"/>
                <w:sz w:val="22"/>
                <w:szCs w:val="22"/>
                <w:highlight w:val="none"/>
                <w:lang w:val="en-US" w:eastAsia="zh-CN" w:bidi="ar"/>
              </w:rPr>
              <w:t xml:space="preserve">中级（含）以上职称； ②不少于2年园林相关工作经验证明； </w:t>
            </w:r>
          </w:p>
          <w:p w14:paraId="116F1CDB">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（2）加分项（最高1分）</w:t>
            </w:r>
          </w:p>
          <w:p w14:paraId="2070DCF3">
            <w:pPr>
              <w:keepNext w:val="0"/>
              <w:keepLines w:val="0"/>
              <w:pageBreakBefore w:val="0"/>
              <w:widowControl w:val="0"/>
              <w:numPr>
                <w:ilvl w:val="0"/>
                <w:numId w:val="0"/>
              </w:numPr>
              <w:kinsoku/>
              <w:wordWrap w:val="0"/>
              <w:overflowPunct/>
              <w:topLinePunct w:val="0"/>
              <w:autoSpaceDE/>
              <w:autoSpaceDN/>
              <w:bidi w:val="0"/>
              <w:adjustRightInd/>
              <w:snapToGrid/>
              <w:spacing w:line="400" w:lineRule="atLeast"/>
              <w:ind w:left="0" w:leftChars="0" w:firstLine="440" w:firstLineChars="200"/>
              <w:textAlignment w:val="baseline"/>
              <w:rPr>
                <w:rFonts w:hint="eastAsia" w:ascii="宋体" w:hAnsi="宋体" w:eastAsia="宋体" w:cs="宋体"/>
                <w:bCs/>
                <w:color w:val="auto"/>
                <w:sz w:val="22"/>
                <w:szCs w:val="22"/>
                <w:highlight w:val="none"/>
                <w:lang w:val="zh-CN" w:eastAsia="zh-CN" w:bidi="ar"/>
              </w:rPr>
            </w:pPr>
            <w:r>
              <w:rPr>
                <w:rFonts w:hint="eastAsia" w:ascii="宋体" w:hAnsi="宋体" w:eastAsia="宋体" w:cs="宋体"/>
                <w:bCs/>
                <w:color w:val="auto"/>
                <w:sz w:val="22"/>
                <w:szCs w:val="22"/>
                <w:highlight w:val="none"/>
                <w:lang w:val="en-US" w:eastAsia="zh-CN" w:bidi="ar"/>
              </w:rPr>
              <w:t>具有</w:t>
            </w:r>
            <w:r>
              <w:rPr>
                <w:rFonts w:hint="eastAsia" w:ascii="宋体" w:hAnsi="宋体" w:eastAsia="宋体" w:cs="宋体"/>
                <w:bCs/>
                <w:color w:val="auto"/>
                <w:sz w:val="22"/>
                <w:szCs w:val="22"/>
                <w:highlight w:val="none"/>
                <w:u w:val="none"/>
                <w:lang w:val="en-US" w:eastAsia="zh-CN" w:bidi="ar"/>
              </w:rPr>
              <w:t>园林</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园艺</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植保</w:t>
            </w:r>
            <w:r>
              <w:rPr>
                <w:rFonts w:hint="eastAsia" w:ascii="宋体" w:hAnsi="宋体" w:cs="宋体"/>
                <w:color w:val="auto"/>
                <w:sz w:val="21"/>
                <w:szCs w:val="21"/>
                <w:highlight w:val="none"/>
                <w:lang w:val="en-US" w:eastAsia="zh-CN"/>
              </w:rPr>
              <w:t>/</w:t>
            </w:r>
            <w:r>
              <w:rPr>
                <w:rFonts w:hint="eastAsia" w:ascii="宋体" w:hAnsi="宋体" w:eastAsia="宋体" w:cs="宋体"/>
                <w:bCs/>
                <w:color w:val="auto"/>
                <w:sz w:val="22"/>
                <w:szCs w:val="22"/>
                <w:highlight w:val="none"/>
                <w:u w:val="none"/>
                <w:lang w:val="en-US" w:eastAsia="zh-CN" w:bidi="ar"/>
              </w:rPr>
              <w:t>林学等相关专业</w:t>
            </w:r>
            <w:r>
              <w:rPr>
                <w:rFonts w:hint="eastAsia" w:ascii="宋体" w:hAnsi="宋体" w:eastAsia="宋体" w:cs="宋体"/>
                <w:bCs/>
                <w:color w:val="auto"/>
                <w:sz w:val="22"/>
                <w:szCs w:val="22"/>
                <w:highlight w:val="none"/>
                <w:lang w:val="en-US" w:eastAsia="zh-CN" w:bidi="ar"/>
              </w:rPr>
              <w:t>高级（含）以上职称的，每人加0.5分，最高可加1分。</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44D1475E">
            <w:pPr>
              <w:keepNext w:val="0"/>
              <w:keepLines w:val="0"/>
              <w:pageBreakBefore w:val="0"/>
              <w:shd w:val="clear" w:color="auto"/>
              <w:kinsoku/>
              <w:wordWrap w:val="0"/>
              <w:overflowPunct/>
              <w:topLinePunct w:val="0"/>
              <w:bidi w:val="0"/>
              <w:spacing w:line="360" w:lineRule="auto"/>
              <w:jc w:val="center"/>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0~</w:t>
            </w:r>
            <w:r>
              <w:rPr>
                <w:rFonts w:hint="eastAsia" w:ascii="宋体" w:hAnsi="宋体" w:cs="宋体"/>
                <w:color w:val="auto"/>
                <w:kern w:val="0"/>
                <w:sz w:val="21"/>
                <w:szCs w:val="21"/>
                <w:highlight w:val="none"/>
                <w:lang w:val="en-US" w:eastAsia="zh-CN"/>
              </w:rPr>
              <w:t>13</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2"/>
                <w:szCs w:val="22"/>
                <w:highlight w:val="none"/>
                <w:lang w:val="en-US" w:eastAsia="zh-CN"/>
              </w:rPr>
              <w:t>(客观分)</w:t>
            </w:r>
          </w:p>
        </w:tc>
      </w:tr>
      <w:tr w14:paraId="0AC4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85" w:type="dxa"/>
            <w:vMerge w:val="continue"/>
            <w:tcBorders>
              <w:left w:val="single" w:color="auto" w:sz="4" w:space="0"/>
              <w:right w:val="single" w:color="auto" w:sz="4" w:space="0"/>
            </w:tcBorders>
            <w:noWrap w:val="0"/>
            <w:vAlign w:val="top"/>
          </w:tcPr>
          <w:p w14:paraId="1076B232">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p>
        </w:tc>
        <w:tc>
          <w:tcPr>
            <w:tcW w:w="1649" w:type="dxa"/>
            <w:tcBorders>
              <w:top w:val="single" w:color="auto" w:sz="4" w:space="0"/>
              <w:left w:val="single" w:color="auto" w:sz="4" w:space="0"/>
              <w:bottom w:val="single" w:color="auto" w:sz="4" w:space="0"/>
              <w:right w:val="single" w:color="auto" w:sz="4" w:space="0"/>
            </w:tcBorders>
            <w:noWrap w:val="0"/>
            <w:vAlign w:val="center"/>
          </w:tcPr>
          <w:p w14:paraId="3713BD8D">
            <w:pPr>
              <w:pStyle w:val="13"/>
              <w:keepNext w:val="0"/>
              <w:keepLines w:val="0"/>
              <w:pageBreakBefore w:val="0"/>
              <w:widowControl/>
              <w:shd w:val="clear" w:color="auto"/>
              <w:kinsoku/>
              <w:wordWrap w:val="0"/>
              <w:overflowPunct/>
              <w:topLinePunct w:val="0"/>
              <w:bidi w:val="0"/>
              <w:spacing w:line="360" w:lineRule="auto"/>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
                <w:bCs/>
                <w:color w:val="auto"/>
                <w:sz w:val="21"/>
                <w:szCs w:val="21"/>
                <w:highlight w:val="none"/>
              </w:rPr>
              <w:t>（2）</w:t>
            </w:r>
            <w:r>
              <w:rPr>
                <w:rFonts w:hint="eastAsia" w:ascii="宋体" w:hAnsi="宋体" w:eastAsia="宋体" w:cs="宋体"/>
                <w:b/>
                <w:bCs/>
                <w:color w:val="auto"/>
                <w:sz w:val="21"/>
                <w:szCs w:val="21"/>
                <w:highlight w:val="none"/>
                <w:lang w:val="en-US" w:eastAsia="zh-CN"/>
              </w:rPr>
              <w:t>养护方案(满分25</w:t>
            </w:r>
            <w:r>
              <w:rPr>
                <w:rFonts w:hint="eastAsia" w:hAnsi="宋体" w:cs="宋体"/>
                <w:b/>
                <w:bCs/>
                <w:color w:val="auto"/>
                <w:sz w:val="21"/>
                <w:szCs w:val="21"/>
                <w:highlight w:val="none"/>
                <w:lang w:val="en-US" w:eastAsia="zh-CN"/>
              </w:rPr>
              <w:t>分</w:t>
            </w:r>
            <w:r>
              <w:rPr>
                <w:rFonts w:hint="eastAsia" w:ascii="宋体" w:hAnsi="宋体" w:eastAsia="宋体" w:cs="宋体"/>
                <w:b/>
                <w:bCs/>
                <w:color w:val="auto"/>
                <w:sz w:val="21"/>
                <w:szCs w:val="21"/>
                <w:highlight w:val="none"/>
                <w:lang w:val="en-US" w:eastAsia="zh-CN"/>
              </w:rPr>
              <w:t>)</w:t>
            </w:r>
          </w:p>
        </w:tc>
        <w:tc>
          <w:tcPr>
            <w:tcW w:w="6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72D14CB">
            <w:pPr>
              <w:pStyle w:val="13"/>
              <w:pageBreakBefore w:val="0"/>
              <w:kinsoku/>
              <w:overflowPunct/>
              <w:topLinePunct w:val="0"/>
              <w:autoSpaceDE/>
              <w:autoSpaceDN/>
              <w:bidi w:val="0"/>
              <w:adjustRightInd/>
              <w:snapToGrid/>
              <w:spacing w:line="44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一档（</w:t>
            </w:r>
            <w:r>
              <w:rPr>
                <w:rFonts w:hint="eastAsia" w:ascii="宋体" w:hAnsi="宋体" w:eastAsia="宋体" w:cs="宋体"/>
                <w:bCs/>
                <w:color w:val="auto"/>
                <w:sz w:val="22"/>
                <w:szCs w:val="22"/>
                <w:highlight w:val="none"/>
                <w:lang w:val="en-US" w:eastAsia="zh-CN"/>
              </w:rPr>
              <w:t>6</w:t>
            </w:r>
            <w:r>
              <w:rPr>
                <w:rFonts w:hint="eastAsia" w:ascii="宋体" w:hAnsi="宋体" w:eastAsia="宋体" w:cs="宋体"/>
                <w:bCs/>
                <w:color w:val="auto"/>
                <w:sz w:val="22"/>
                <w:szCs w:val="22"/>
                <w:highlight w:val="none"/>
              </w:rPr>
              <w:t>分）：养护</w:t>
            </w:r>
            <w:r>
              <w:rPr>
                <w:rFonts w:hint="eastAsia" w:ascii="宋体" w:hAnsi="宋体" w:eastAsia="宋体" w:cs="宋体"/>
                <w:bCs/>
                <w:color w:val="auto"/>
                <w:sz w:val="22"/>
                <w:szCs w:val="22"/>
                <w:highlight w:val="none"/>
                <w:lang w:val="en-US" w:eastAsia="zh-CN"/>
              </w:rPr>
              <w:t>方案</w:t>
            </w:r>
            <w:r>
              <w:rPr>
                <w:rFonts w:hint="eastAsia" w:ascii="宋体" w:hAnsi="宋体" w:eastAsia="宋体" w:cs="宋体"/>
                <w:bCs/>
                <w:color w:val="auto"/>
                <w:sz w:val="22"/>
                <w:szCs w:val="22"/>
                <w:highlight w:val="none"/>
              </w:rPr>
              <w:t>简单</w:t>
            </w:r>
            <w:r>
              <w:rPr>
                <w:rFonts w:hint="eastAsia" w:hAnsi="宋体" w:eastAsia="宋体" w:cs="宋体"/>
                <w:bCs/>
                <w:color w:val="auto"/>
                <w:sz w:val="22"/>
                <w:szCs w:val="22"/>
                <w:highlight w:val="none"/>
                <w:lang w:eastAsia="zh-CN"/>
              </w:rPr>
              <w:t>，</w:t>
            </w:r>
            <w:r>
              <w:rPr>
                <w:rFonts w:hint="eastAsia" w:hAnsi="宋体" w:eastAsia="宋体" w:cs="宋体"/>
                <w:bCs/>
                <w:color w:val="auto"/>
                <w:sz w:val="22"/>
                <w:szCs w:val="22"/>
                <w:highlight w:val="none"/>
                <w:lang w:val="en-US" w:eastAsia="zh-CN"/>
              </w:rPr>
              <w:t>仅满足植物存活的最低需求</w:t>
            </w:r>
            <w:r>
              <w:rPr>
                <w:rFonts w:hint="eastAsia" w:ascii="宋体" w:hAnsi="宋体" w:eastAsia="宋体" w:cs="宋体"/>
                <w:bCs/>
                <w:color w:val="auto"/>
                <w:sz w:val="22"/>
                <w:szCs w:val="22"/>
                <w:highlight w:val="none"/>
              </w:rPr>
              <w:t xml:space="preserve">，服务承诺简单，未对土水肥管理、修剪、病虫害防治、植物防护、白蚁防治、大树（古树名木）养护、绿化垃圾及危险废弃物处置，设施维护，公园重点区域、重要景观节点及重点植物等工作的作出具体措施，没有违约责任承诺； </w:t>
            </w:r>
          </w:p>
          <w:p w14:paraId="769B30D0">
            <w:pPr>
              <w:pStyle w:val="13"/>
              <w:pageBreakBefore w:val="0"/>
              <w:kinsoku/>
              <w:overflowPunct/>
              <w:topLinePunct w:val="0"/>
              <w:autoSpaceDE/>
              <w:autoSpaceDN/>
              <w:bidi w:val="0"/>
              <w:adjustRightInd/>
              <w:snapToGrid/>
              <w:spacing w:line="44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二档</w:t>
            </w:r>
            <w:r>
              <w:rPr>
                <w:rFonts w:hint="eastAsia" w:ascii="宋体" w:hAnsi="宋体" w:eastAsia="宋体" w:cs="宋体"/>
                <w:bCs/>
                <w:color w:val="auto"/>
                <w:kern w:val="2"/>
                <w:sz w:val="22"/>
                <w:szCs w:val="22"/>
                <w:highlight w:val="none"/>
                <w:lang w:val="en-US" w:eastAsia="zh-CN" w:bidi="ar-SA"/>
              </w:rPr>
              <w:t>（12分）</w:t>
            </w:r>
            <w:r>
              <w:rPr>
                <w:rFonts w:hint="eastAsia" w:ascii="宋体" w:hAnsi="宋体" w:eastAsia="宋体" w:cs="宋体"/>
                <w:bCs/>
                <w:color w:val="auto"/>
                <w:sz w:val="22"/>
                <w:szCs w:val="22"/>
                <w:highlight w:val="none"/>
              </w:rPr>
              <w:t>：养护</w:t>
            </w:r>
            <w:r>
              <w:rPr>
                <w:rFonts w:hint="eastAsia" w:ascii="宋体" w:hAnsi="宋体" w:eastAsia="宋体" w:cs="宋体"/>
                <w:bCs/>
                <w:color w:val="auto"/>
                <w:sz w:val="22"/>
                <w:szCs w:val="22"/>
                <w:highlight w:val="none"/>
                <w:lang w:val="en-US" w:eastAsia="zh-CN"/>
              </w:rPr>
              <w:t>方案</w:t>
            </w:r>
            <w:r>
              <w:rPr>
                <w:rFonts w:hint="eastAsia" w:ascii="宋体" w:hAnsi="宋体" w:eastAsia="宋体" w:cs="宋体"/>
                <w:bCs/>
                <w:color w:val="auto"/>
                <w:sz w:val="22"/>
                <w:szCs w:val="22"/>
                <w:highlight w:val="none"/>
              </w:rPr>
              <w:t>基本准确，编制基本合理，关键节点的控制措施基本可行，服务承诺基本满足项目要求，基本能承诺做好土水肥管理、修剪、病虫害防治、植物防护、白蚁防治、大树（古树名木）养护、绿化垃圾及危险废弃物处置，设施维护，公园重点区域、重要景观节点及重点植物等工作的，违约责任承诺</w:t>
            </w:r>
            <w:r>
              <w:rPr>
                <w:rFonts w:hint="eastAsia" w:hAnsi="宋体" w:eastAsia="宋体" w:cs="宋体"/>
                <w:bCs/>
                <w:color w:val="auto"/>
                <w:sz w:val="22"/>
                <w:szCs w:val="22"/>
                <w:highlight w:val="none"/>
                <w:lang w:val="en-US" w:eastAsia="zh-CN"/>
              </w:rPr>
              <w:t>简单，无处罚或处罚轻微；</w:t>
            </w:r>
            <w:r>
              <w:rPr>
                <w:rFonts w:hint="eastAsia" w:ascii="宋体" w:hAnsi="宋体" w:eastAsia="宋体" w:cs="宋体"/>
                <w:bCs/>
                <w:color w:val="auto"/>
                <w:sz w:val="22"/>
                <w:szCs w:val="22"/>
                <w:highlight w:val="none"/>
              </w:rPr>
              <w:t xml:space="preserve"> </w:t>
            </w:r>
          </w:p>
          <w:p w14:paraId="0E4DB091">
            <w:pPr>
              <w:pStyle w:val="13"/>
              <w:pageBreakBefore w:val="0"/>
              <w:kinsoku/>
              <w:overflowPunct/>
              <w:topLinePunct w:val="0"/>
              <w:autoSpaceDE/>
              <w:autoSpaceDN/>
              <w:bidi w:val="0"/>
              <w:adjustRightInd/>
              <w:snapToGrid/>
              <w:spacing w:line="440" w:lineRule="exact"/>
              <w:ind w:firstLine="440" w:firstLineChars="200"/>
              <w:rPr>
                <w:rFonts w:hint="eastAsia" w:ascii="宋体" w:hAnsi="宋体" w:eastAsia="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三档（18分）：养护方案清晰且基本完整，编制合理可行，关键节点控制措施有效，但细节待优化，</w:t>
            </w:r>
            <w:r>
              <w:rPr>
                <w:rFonts w:hint="eastAsia" w:ascii="宋体" w:hAnsi="宋体" w:eastAsia="宋体" w:cs="宋体"/>
                <w:bCs/>
                <w:color w:val="auto"/>
                <w:sz w:val="22"/>
                <w:szCs w:val="22"/>
                <w:highlight w:val="none"/>
              </w:rPr>
              <w:t>服务承诺完全满足项目要求，能承诺有效的做好土水肥管理、修剪、病虫害防治、植物防护、白蚁防治、大树（古树名木）养护、绿化垃圾及危险废弃物处置，设施维护，公园重点区域、重要景观节点及重点植物等工作的</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lang w:val="en-US" w:eastAsia="zh-CN"/>
              </w:rPr>
              <w:t>违约责任承诺具体，处罚力度适中；</w:t>
            </w:r>
          </w:p>
          <w:p w14:paraId="59AA0A9C">
            <w:pPr>
              <w:keepNext w:val="0"/>
              <w:keepLines w:val="0"/>
              <w:pageBreakBefore w:val="0"/>
              <w:widowControl w:val="0"/>
              <w:kinsoku/>
              <w:wordWrap/>
              <w:overflowPunct/>
              <w:topLinePunct w:val="0"/>
              <w:autoSpaceDE/>
              <w:autoSpaceDN/>
              <w:bidi w:val="0"/>
              <w:adjustRightInd/>
              <w:snapToGrid/>
              <w:spacing w:line="440" w:lineRule="exact"/>
              <w:ind w:firstLine="440" w:firstLineChars="200"/>
              <w:textAlignment w:val="auto"/>
              <w:rPr>
                <w:rFonts w:hint="eastAsia" w:ascii="宋体" w:hAnsi="宋体" w:eastAsia="宋体" w:cs="宋体"/>
                <w:bCs/>
                <w:color w:val="auto"/>
                <w:kern w:val="0"/>
                <w:sz w:val="22"/>
                <w:szCs w:val="22"/>
                <w:highlight w:val="none"/>
                <w:lang w:val="en-US" w:eastAsia="zh-CN" w:bidi="ar-SA"/>
              </w:rPr>
            </w:pPr>
            <w:r>
              <w:rPr>
                <w:rFonts w:hint="eastAsia" w:ascii="宋体" w:hAnsi="宋体" w:eastAsia="宋体" w:cs="宋体"/>
                <w:bCs/>
                <w:color w:val="auto"/>
                <w:kern w:val="0"/>
                <w:sz w:val="22"/>
                <w:szCs w:val="22"/>
                <w:highlight w:val="none"/>
                <w:lang w:val="en-US" w:eastAsia="zh-CN" w:bidi="ar-SA"/>
              </w:rPr>
              <w:t>四档（25分）：养护方案清晰、准确、完整、编制合理、可行，关键节点的控制措施有力可行，服务承诺完全满足项目要求，能承诺有效的做好土水肥管理、修剪、病虫害防治、植物防护、白蚁防治、大树（古树名木）养护、绿化垃圾及危险废弃物处置，设施维护，公园重点区域、重要景观节点及重点植物等工作；违约责任承诺具体、明确、可落地，针对植物死亡率、病虫害爆发、设施维护不及时等主要服务内容设置了科学合理的可量化违约金计算规则，计算基准和比例设置符合行业惯例，能充分体现对核心养护义务违约的经济约束，保障合同顺利执行。</w:t>
            </w:r>
          </w:p>
          <w:p w14:paraId="12D083CB">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kern w:val="2"/>
                <w:sz w:val="22"/>
                <w:szCs w:val="22"/>
                <w:highlight w:val="none"/>
                <w:lang w:val="en-US" w:eastAsia="zh-CN" w:bidi="ar-SA"/>
              </w:rPr>
            </w:pPr>
            <w:r>
              <w:rPr>
                <w:rFonts w:hint="eastAsia" w:ascii="宋体" w:hAnsi="宋体" w:eastAsia="宋体" w:cs="宋体"/>
                <w:bCs/>
                <w:color w:val="auto"/>
                <w:sz w:val="22"/>
                <w:szCs w:val="22"/>
                <w:highlight w:val="none"/>
              </w:rPr>
              <w:t>备注：未提供或未达到最低档次标准的，得0分。</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D2AB3E0">
            <w:pPr>
              <w:keepNext w:val="0"/>
              <w:keepLines w:val="0"/>
              <w:pageBreakBefore w:val="0"/>
              <w:shd w:val="clear" w:color="auto"/>
              <w:kinsoku/>
              <w:wordWrap w:val="0"/>
              <w:overflowPunct/>
              <w:topLinePunct w:val="0"/>
              <w:bidi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cs="宋体"/>
                <w:color w:val="auto"/>
                <w:kern w:val="0"/>
                <w:sz w:val="21"/>
                <w:szCs w:val="21"/>
                <w:highlight w:val="none"/>
                <w:lang w:val="en-US" w:eastAsia="zh-CN"/>
              </w:rPr>
              <w:t>25</w:t>
            </w:r>
            <w:r>
              <w:rPr>
                <w:rFonts w:hint="eastAsia" w:ascii="宋体" w:hAnsi="宋体" w:eastAsia="宋体" w:cs="宋体"/>
                <w:color w:val="auto"/>
                <w:kern w:val="0"/>
                <w:sz w:val="21"/>
                <w:szCs w:val="21"/>
                <w:highlight w:val="none"/>
              </w:rPr>
              <w:t>分</w:t>
            </w:r>
          </w:p>
        </w:tc>
      </w:tr>
      <w:tr w14:paraId="2691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85" w:type="dxa"/>
            <w:vMerge w:val="continue"/>
            <w:tcBorders>
              <w:left w:val="single" w:color="auto" w:sz="4" w:space="0"/>
              <w:right w:val="single" w:color="auto" w:sz="4" w:space="0"/>
            </w:tcBorders>
            <w:noWrap w:val="0"/>
            <w:vAlign w:val="top"/>
          </w:tcPr>
          <w:p w14:paraId="40A5F362">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p>
        </w:tc>
        <w:tc>
          <w:tcPr>
            <w:tcW w:w="1649" w:type="dxa"/>
            <w:tcBorders>
              <w:top w:val="single" w:color="auto" w:sz="4" w:space="0"/>
              <w:left w:val="single" w:color="auto" w:sz="4" w:space="0"/>
              <w:bottom w:val="single" w:color="auto" w:sz="4" w:space="0"/>
              <w:right w:val="single" w:color="auto" w:sz="4" w:space="0"/>
            </w:tcBorders>
            <w:noWrap w:val="0"/>
            <w:vAlign w:val="center"/>
          </w:tcPr>
          <w:p w14:paraId="20E7A82A">
            <w:pPr>
              <w:keepNext w:val="0"/>
              <w:keepLines w:val="0"/>
              <w:pageBreakBefore w:val="0"/>
              <w:shd w:val="clear" w:color="auto"/>
              <w:kinsoku/>
              <w:wordWrap w:val="0"/>
              <w:overflowPunct/>
              <w:topLinePunct w:val="0"/>
              <w:autoSpaceDE w:val="0"/>
              <w:autoSpaceDN w:val="0"/>
              <w:bidi w:val="0"/>
              <w:adjustRightInd w:val="0"/>
              <w:spacing w:line="36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（3）</w:t>
            </w:r>
            <w:r>
              <w:rPr>
                <w:rFonts w:hint="eastAsia" w:ascii="宋体" w:hAnsi="宋体" w:eastAsia="宋体" w:cs="宋体"/>
                <w:b/>
                <w:color w:val="auto"/>
                <w:sz w:val="21"/>
                <w:szCs w:val="21"/>
                <w:highlight w:val="none"/>
                <w:lang w:val="en-US" w:eastAsia="zh-CN"/>
              </w:rPr>
              <w:t>管理方案</w:t>
            </w:r>
          </w:p>
          <w:p w14:paraId="7509EC08">
            <w:pPr>
              <w:keepNext w:val="0"/>
              <w:keepLines w:val="0"/>
              <w:pageBreakBefore w:val="0"/>
              <w:shd w:val="clear" w:color="auto"/>
              <w:kinsoku/>
              <w:wordWrap w:val="0"/>
              <w:overflowPunct/>
              <w:topLinePunct w:val="0"/>
              <w:autoSpaceDE w:val="0"/>
              <w:autoSpaceDN w:val="0"/>
              <w:bidi w:val="0"/>
              <w:adjustRightInd w:val="0"/>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b/>
                <w:color w:val="auto"/>
                <w:sz w:val="21"/>
                <w:szCs w:val="21"/>
                <w:highlight w:val="none"/>
                <w:lang w:val="en-US" w:eastAsia="zh-CN"/>
              </w:rPr>
              <w:t>（满分15分）</w:t>
            </w:r>
          </w:p>
        </w:tc>
        <w:tc>
          <w:tcPr>
            <w:tcW w:w="6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CF8E67">
            <w:pPr>
              <w:pStyle w:val="13"/>
              <w:spacing w:line="40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一档（</w:t>
            </w:r>
            <w:r>
              <w:rPr>
                <w:rFonts w:hint="eastAsia" w:ascii="宋体" w:hAnsi="宋体" w:eastAsia="宋体" w:cs="宋体"/>
                <w:bCs/>
                <w:color w:val="auto"/>
                <w:sz w:val="22"/>
                <w:szCs w:val="22"/>
                <w:highlight w:val="none"/>
                <w:lang w:val="en-US" w:eastAsia="zh-CN"/>
              </w:rPr>
              <w:t>5</w:t>
            </w:r>
            <w:r>
              <w:rPr>
                <w:rFonts w:hint="eastAsia" w:ascii="宋体" w:hAnsi="宋体" w:eastAsia="宋体" w:cs="宋体"/>
                <w:bCs/>
                <w:color w:val="auto"/>
                <w:sz w:val="22"/>
                <w:szCs w:val="22"/>
                <w:highlight w:val="none"/>
              </w:rPr>
              <w:t>分）：供应商对本项目情况说明及要求的理解及分析不够清晰，投标时提供的工作预案（含大型活动、重要节假日、各类迎检等）框架简单，未明确中标后为各公园“量身制定”细案的思路；培训方案缺乏针对性（未涵盖安全生产</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岗前、技术类及管理类培训），未提及季度培训频次要求；管理制度简陋，未明确人员组成、工作职责、考核机制、日常运作流程及档案管理规范等核心内容，无进场后结合各公园要求制定细案的规划；</w:t>
            </w:r>
          </w:p>
          <w:p w14:paraId="20B4E9C4">
            <w:pPr>
              <w:pStyle w:val="13"/>
              <w:spacing w:line="40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二档（1</w:t>
            </w:r>
            <w:r>
              <w:rPr>
                <w:rFonts w:hint="eastAsia" w:ascii="宋体" w:hAnsi="宋体" w:eastAsia="宋体" w:cs="宋体"/>
                <w:bCs/>
                <w:color w:val="auto"/>
                <w:sz w:val="22"/>
                <w:szCs w:val="22"/>
                <w:highlight w:val="none"/>
                <w:lang w:val="en-US" w:eastAsia="zh-CN"/>
              </w:rPr>
              <w:t>0</w:t>
            </w:r>
            <w:r>
              <w:rPr>
                <w:rFonts w:hint="eastAsia" w:ascii="宋体" w:hAnsi="宋体" w:eastAsia="宋体" w:cs="宋体"/>
                <w:bCs/>
                <w:color w:val="auto"/>
                <w:sz w:val="22"/>
                <w:szCs w:val="22"/>
                <w:highlight w:val="none"/>
              </w:rPr>
              <w:t>分）：供应商对本项目情况说明及要求的理解及分析清晰，提供的工作预案（含大型活动、重要节假日、各类迎检等）符合基本需求，明确中标后将结合各公园要求“量身制定”细案；制定有切合实际的培训方案（涵盖安全生产</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岗前、技术类及管理类培训），每季度开展培训活动不少于1次；管理制度健全，明确人员组成、工作职责、考核机制、日常运作流程及档案管理规范等核心内容，规划进场后结合各公园要求制定相关细案；</w:t>
            </w:r>
          </w:p>
          <w:p w14:paraId="3AC87DB8">
            <w:pPr>
              <w:pStyle w:val="13"/>
              <w:spacing w:line="400" w:lineRule="exact"/>
              <w:ind w:firstLine="440" w:firstLineChars="20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三档（1</w:t>
            </w:r>
            <w:r>
              <w:rPr>
                <w:rFonts w:hint="eastAsia" w:ascii="宋体" w:hAnsi="宋体" w:eastAsia="宋体" w:cs="宋体"/>
                <w:bCs/>
                <w:color w:val="auto"/>
                <w:sz w:val="22"/>
                <w:szCs w:val="22"/>
                <w:highlight w:val="none"/>
                <w:lang w:val="en-US" w:eastAsia="zh-CN"/>
              </w:rPr>
              <w:t>5</w:t>
            </w:r>
            <w:r>
              <w:rPr>
                <w:rFonts w:hint="eastAsia" w:ascii="宋体" w:hAnsi="宋体" w:eastAsia="宋体" w:cs="宋体"/>
                <w:bCs/>
                <w:color w:val="auto"/>
                <w:sz w:val="22"/>
                <w:szCs w:val="22"/>
                <w:highlight w:val="none"/>
              </w:rPr>
              <w:t>分）：供应商对本项目情况说明及要求的理解及分析清晰合理并符合实际情况，提供的工作预案（含大型活动、重要节假日、各类迎检等）体系完备、针对性强，详细说明中标后为各公园“量身制定”细案的流程与要点；制定有精细化的培训方案（全面覆盖安全生产</w:t>
            </w:r>
            <w:r>
              <w:rPr>
                <w:rFonts w:hint="eastAsia" w:ascii="宋体" w:hAnsi="宋体" w:eastAsia="宋体" w:cs="宋体"/>
                <w:bCs/>
                <w:color w:val="auto"/>
                <w:sz w:val="22"/>
                <w:szCs w:val="22"/>
                <w:highlight w:val="none"/>
                <w:lang w:eastAsia="zh-CN"/>
              </w:rPr>
              <w:t>、</w:t>
            </w:r>
            <w:r>
              <w:rPr>
                <w:rFonts w:hint="eastAsia" w:ascii="宋体" w:hAnsi="宋体" w:eastAsia="宋体" w:cs="宋体"/>
                <w:bCs/>
                <w:color w:val="auto"/>
                <w:sz w:val="22"/>
                <w:szCs w:val="22"/>
                <w:highlight w:val="none"/>
              </w:rPr>
              <w:t>岗前、技术类及管理类培训，含培训内容、考核标准、师资保障等），每季度开展培训活动不少于1次且有效果评估机制；管理制度精细化、可操作性强，系统明确人员组成、工作职责、考核机制、日常运作流程及档案管理规范等核心内容，详细规划进场后结合各公园实际需求制定细案的具体措施，同时根据项目特点从服务优化、应急联动等方面制定更为详尽的实施与优化方案；</w:t>
            </w:r>
          </w:p>
          <w:p w14:paraId="5888FB54">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kern w:val="2"/>
                <w:sz w:val="22"/>
                <w:szCs w:val="22"/>
                <w:highlight w:val="none"/>
                <w:lang w:val="en-US" w:eastAsia="zh-CN" w:bidi="ar"/>
              </w:rPr>
            </w:pPr>
            <w:r>
              <w:rPr>
                <w:rFonts w:hint="eastAsia" w:ascii="宋体" w:hAnsi="宋体" w:eastAsia="宋体" w:cs="宋体"/>
                <w:bCs/>
                <w:color w:val="auto"/>
                <w:sz w:val="22"/>
                <w:szCs w:val="22"/>
                <w:highlight w:val="none"/>
              </w:rPr>
              <w:t>备注：未提供或未达到最低档次标准的，得0分。</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22D92D1C">
            <w:pPr>
              <w:keepNext w:val="0"/>
              <w:keepLines w:val="0"/>
              <w:pageBreakBefore w:val="0"/>
              <w:shd w:val="clear" w:color="auto"/>
              <w:kinsoku/>
              <w:wordWrap w:val="0"/>
              <w:overflowPunct/>
              <w:topLinePunct w:val="0"/>
              <w:bidi w:val="0"/>
              <w:spacing w:line="360" w:lineRule="auto"/>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cs="宋体"/>
                <w:color w:val="auto"/>
                <w:kern w:val="0"/>
                <w:sz w:val="21"/>
                <w:szCs w:val="21"/>
                <w:highlight w:val="none"/>
                <w:lang w:val="en-US" w:eastAsia="zh-CN"/>
              </w:rPr>
              <w:t>15</w:t>
            </w:r>
            <w:r>
              <w:rPr>
                <w:rFonts w:hint="eastAsia" w:ascii="宋体" w:hAnsi="宋体" w:eastAsia="宋体" w:cs="宋体"/>
                <w:color w:val="auto"/>
                <w:kern w:val="0"/>
                <w:sz w:val="21"/>
                <w:szCs w:val="21"/>
                <w:highlight w:val="none"/>
              </w:rPr>
              <w:t>分</w:t>
            </w:r>
          </w:p>
          <w:p w14:paraId="3B07CE84">
            <w:pPr>
              <w:keepNext w:val="0"/>
              <w:keepLines w:val="0"/>
              <w:pageBreakBefore w:val="0"/>
              <w:shd w:val="clear" w:color="auto"/>
              <w:kinsoku/>
              <w:wordWrap w:val="0"/>
              <w:overflowPunct/>
              <w:topLinePunct w:val="0"/>
              <w:bidi w:val="0"/>
              <w:spacing w:line="360" w:lineRule="auto"/>
              <w:jc w:val="center"/>
              <w:textAlignment w:val="auto"/>
              <w:rPr>
                <w:rFonts w:hint="eastAsia" w:ascii="宋体" w:hAnsi="宋体" w:eastAsia="宋体" w:cs="宋体"/>
                <w:bCs/>
                <w:color w:val="auto"/>
                <w:kern w:val="0"/>
                <w:sz w:val="21"/>
                <w:szCs w:val="21"/>
                <w:highlight w:val="none"/>
              </w:rPr>
            </w:pPr>
          </w:p>
        </w:tc>
      </w:tr>
      <w:tr w14:paraId="2D7C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85" w:type="dxa"/>
            <w:vMerge w:val="continue"/>
            <w:tcBorders>
              <w:left w:val="single" w:color="auto" w:sz="4" w:space="0"/>
              <w:right w:val="single" w:color="auto" w:sz="4" w:space="0"/>
            </w:tcBorders>
            <w:noWrap w:val="0"/>
            <w:vAlign w:val="top"/>
          </w:tcPr>
          <w:p w14:paraId="78EF7D14">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p>
        </w:tc>
        <w:tc>
          <w:tcPr>
            <w:tcW w:w="1649"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08BED50">
            <w:pPr>
              <w:pStyle w:val="13"/>
              <w:keepNext w:val="0"/>
              <w:keepLines w:val="0"/>
              <w:pageBreakBefore w:val="0"/>
              <w:widowControl/>
              <w:shd w:val="clear" w:color="auto"/>
              <w:kinsoku/>
              <w:wordWrap w:val="0"/>
              <w:overflowPunct/>
              <w:topLinePunct w:val="0"/>
              <w:bidi w:val="0"/>
              <w:spacing w:line="360" w:lineRule="auto"/>
              <w:jc w:val="center"/>
              <w:textAlignment w:val="auto"/>
              <w:rPr>
                <w:rFonts w:hint="eastAsia" w:ascii="宋体" w:hAnsi="宋体" w:eastAsia="宋体" w:cs="宋体"/>
                <w:bCs/>
                <w:color w:val="auto"/>
                <w:sz w:val="21"/>
                <w:szCs w:val="21"/>
                <w:highlight w:val="none"/>
              </w:rPr>
            </w:pPr>
          </w:p>
          <w:p w14:paraId="58E790F9">
            <w:pPr>
              <w:pStyle w:val="13"/>
              <w:keepNext w:val="0"/>
              <w:keepLines w:val="0"/>
              <w:pageBreakBefore w:val="0"/>
              <w:widowControl/>
              <w:shd w:val="clear" w:color="auto"/>
              <w:kinsoku/>
              <w:wordWrap w:val="0"/>
              <w:overflowPunct/>
              <w:topLinePunct w:val="0"/>
              <w:bidi w:val="0"/>
              <w:spacing w:line="360" w:lineRule="auto"/>
              <w:jc w:val="center"/>
              <w:textAlignment w:val="auto"/>
              <w:rPr>
                <w:rFonts w:hint="eastAsia" w:ascii="宋体" w:hAnsi="宋体" w:eastAsia="宋体" w:cs="宋体"/>
                <w:bCs/>
                <w:color w:val="auto"/>
                <w:sz w:val="21"/>
                <w:szCs w:val="21"/>
                <w:highlight w:val="none"/>
              </w:rPr>
            </w:pPr>
          </w:p>
          <w:p w14:paraId="5B080592">
            <w:pPr>
              <w:pStyle w:val="13"/>
              <w:keepNext w:val="0"/>
              <w:keepLines w:val="0"/>
              <w:pageBreakBefore w:val="0"/>
              <w:widowControl/>
              <w:shd w:val="clear" w:color="auto"/>
              <w:kinsoku/>
              <w:wordWrap w:val="0"/>
              <w:overflowPunct/>
              <w:topLinePunct w:val="0"/>
              <w:bidi w:val="0"/>
              <w:spacing w:line="360" w:lineRule="auto"/>
              <w:jc w:val="left"/>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（4）</w:t>
            </w:r>
            <w:r>
              <w:rPr>
                <w:rFonts w:hint="eastAsia" w:ascii="宋体" w:hAnsi="宋体" w:eastAsia="宋体" w:cs="宋体"/>
                <w:b/>
                <w:color w:val="auto"/>
                <w:sz w:val="21"/>
                <w:szCs w:val="21"/>
                <w:highlight w:val="none"/>
                <w:lang w:val="en-US" w:eastAsia="zh-CN"/>
              </w:rPr>
              <w:t>突发事件的应急服务预案保障措施和承诺分（满分10分）</w:t>
            </w:r>
          </w:p>
        </w:tc>
        <w:tc>
          <w:tcPr>
            <w:tcW w:w="6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E4F9AA8">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 xml:space="preserve">一档（2分）：供应商对本项目应急服务需求的理解及分析不够清晰，安全生产制度框架简单，火灾/农药中毒/自然灾害等专项应急预案不完善，应急处理措施缺乏针对性；应急保障及安全管理实施措施简陋，项目应急配套设备养护管理措施不足； </w:t>
            </w:r>
          </w:p>
          <w:p w14:paraId="42D7664C">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二档（6分）：供应商对本项目应急服务需求的理解及分析清晰，安全生产制度健全，火灾/农药中毒/自然灾害等专项应急预案符合实际需求，具备可操作的应急处理措施；安全保障及安全管理实施措施相对完善，项目应急配套设备养护管理措施规范；</w:t>
            </w:r>
          </w:p>
          <w:p w14:paraId="40CF08C7">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三档（10分）：供应商对本项目应急服务需求的理解及分析清晰合理且契合实际，安全生产制度精细化，火灾/农药中毒/自然灾害等专项应急预案体系完备、流程闭环，应急处理措施精准高效；安全保障及安全管理实施措施全面严谨，项目应急配套设备养护管理措施系统化，结合项目实际风险点制定有详尽的实施优化方案。</w:t>
            </w:r>
          </w:p>
          <w:p w14:paraId="75692DE9">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kern w:val="2"/>
                <w:sz w:val="22"/>
                <w:szCs w:val="22"/>
                <w:highlight w:val="none"/>
                <w:lang w:val="zh-CN" w:eastAsia="zh-CN" w:bidi="ar"/>
              </w:rPr>
            </w:pPr>
            <w:r>
              <w:rPr>
                <w:rFonts w:hint="eastAsia" w:ascii="宋体" w:hAnsi="宋体" w:eastAsia="宋体" w:cs="宋体"/>
                <w:bCs/>
                <w:color w:val="auto"/>
                <w:sz w:val="22"/>
                <w:szCs w:val="22"/>
                <w:highlight w:val="none"/>
              </w:rPr>
              <w:t>备注：未提供或未达到最低档次标准的，得0分。</w:t>
            </w:r>
          </w:p>
        </w:tc>
        <w:tc>
          <w:tcPr>
            <w:tcW w:w="11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F43ED0A">
            <w:pPr>
              <w:keepNext w:val="0"/>
              <w:keepLines w:val="0"/>
              <w:pageBreakBefore w:val="0"/>
              <w:shd w:val="clear" w:color="auto"/>
              <w:kinsoku/>
              <w:wordWrap w:val="0"/>
              <w:overflowPunct/>
              <w:topLinePunct w:val="0"/>
              <w:bidi w:val="0"/>
              <w:spacing w:line="360" w:lineRule="auto"/>
              <w:jc w:val="center"/>
              <w:textAlignment w:val="auto"/>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分</w:t>
            </w:r>
          </w:p>
        </w:tc>
      </w:tr>
      <w:tr w14:paraId="1F49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85" w:type="dxa"/>
            <w:vMerge w:val="continue"/>
            <w:tcBorders>
              <w:left w:val="single" w:color="auto" w:sz="4" w:space="0"/>
              <w:right w:val="single" w:color="auto" w:sz="4" w:space="0"/>
            </w:tcBorders>
            <w:noWrap w:val="0"/>
            <w:vAlign w:val="top"/>
          </w:tcPr>
          <w:p w14:paraId="10D87ED5">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p>
        </w:tc>
        <w:tc>
          <w:tcPr>
            <w:tcW w:w="1649" w:type="dxa"/>
            <w:tcBorders>
              <w:top w:val="single" w:color="auto" w:sz="4" w:space="0"/>
              <w:left w:val="single" w:color="auto" w:sz="4" w:space="0"/>
              <w:bottom w:val="single" w:color="auto" w:sz="4" w:space="0"/>
              <w:right w:val="single" w:color="auto" w:sz="4" w:space="0"/>
            </w:tcBorders>
            <w:noWrap w:val="0"/>
            <w:vAlign w:val="center"/>
          </w:tcPr>
          <w:p w14:paraId="002FEC14">
            <w:pPr>
              <w:pStyle w:val="13"/>
              <w:keepNext w:val="0"/>
              <w:keepLines w:val="0"/>
              <w:pageBreakBefore w:val="0"/>
              <w:widowControl/>
              <w:shd w:val="clear" w:color="auto"/>
              <w:kinsoku/>
              <w:wordWrap w:val="0"/>
              <w:overflowPunct/>
              <w:topLinePunct w:val="0"/>
              <w:bidi w:val="0"/>
              <w:spacing w:line="360" w:lineRule="auto"/>
              <w:jc w:val="left"/>
              <w:textAlignment w:val="auto"/>
              <w:rPr>
                <w:rFonts w:hint="eastAsia" w:ascii="宋体" w:hAnsi="宋体" w:eastAsia="宋体" w:cs="宋体"/>
                <w:b/>
                <w:color w:val="auto"/>
                <w:sz w:val="21"/>
                <w:szCs w:val="21"/>
                <w:highlight w:val="none"/>
                <w:lang w:eastAsia="zh-CN"/>
              </w:rPr>
            </w:pPr>
            <w:r>
              <w:rPr>
                <w:rFonts w:hint="eastAsia" w:hAnsi="宋体" w:cs="宋体"/>
                <w:b/>
                <w:color w:val="auto"/>
                <w:sz w:val="21"/>
                <w:szCs w:val="21"/>
                <w:highlight w:val="none"/>
                <w:lang w:eastAsia="zh-CN"/>
              </w:rPr>
              <w:t>（</w:t>
            </w:r>
            <w:r>
              <w:rPr>
                <w:rFonts w:hint="eastAsia" w:hAnsi="宋体" w:cs="宋体"/>
                <w:b/>
                <w:color w:val="auto"/>
                <w:sz w:val="21"/>
                <w:szCs w:val="21"/>
                <w:highlight w:val="none"/>
                <w:lang w:val="en-US" w:eastAsia="zh-CN"/>
              </w:rPr>
              <w:t>5</w:t>
            </w:r>
            <w:r>
              <w:rPr>
                <w:rFonts w:hint="eastAsia" w:hAnsi="宋体" w:cs="宋体"/>
                <w:b/>
                <w:color w:val="auto"/>
                <w:sz w:val="21"/>
                <w:szCs w:val="21"/>
                <w:highlight w:val="none"/>
                <w:lang w:eastAsia="zh-CN"/>
              </w:rPr>
              <w:t>）</w:t>
            </w:r>
            <w:r>
              <w:rPr>
                <w:rFonts w:hint="eastAsia" w:hAnsi="宋体" w:cs="宋体"/>
                <w:b/>
                <w:color w:val="auto"/>
                <w:sz w:val="21"/>
                <w:szCs w:val="21"/>
                <w:highlight w:val="none"/>
                <w:lang w:val="en-US" w:eastAsia="zh-CN"/>
              </w:rPr>
              <w:t>智慧化管理</w:t>
            </w:r>
            <w:r>
              <w:rPr>
                <w:rFonts w:hint="eastAsia" w:hAnsi="宋体" w:cs="宋体"/>
                <w:b/>
                <w:color w:val="auto"/>
                <w:sz w:val="21"/>
                <w:szCs w:val="21"/>
                <w:highlight w:val="none"/>
                <w:lang w:eastAsia="zh-CN"/>
              </w:rPr>
              <w:t>（</w:t>
            </w:r>
            <w:r>
              <w:rPr>
                <w:rFonts w:hint="eastAsia" w:hAnsi="宋体" w:cs="宋体"/>
                <w:b/>
                <w:color w:val="auto"/>
                <w:sz w:val="21"/>
                <w:szCs w:val="21"/>
                <w:highlight w:val="none"/>
                <w:lang w:val="en-US" w:eastAsia="zh-CN"/>
              </w:rPr>
              <w:t>满分8分</w:t>
            </w:r>
            <w:r>
              <w:rPr>
                <w:rFonts w:hint="eastAsia" w:hAnsi="宋体" w:cs="宋体"/>
                <w:b/>
                <w:color w:val="auto"/>
                <w:sz w:val="21"/>
                <w:szCs w:val="21"/>
                <w:highlight w:val="none"/>
                <w:lang w:eastAsia="zh-CN"/>
              </w:rPr>
              <w:t>）</w:t>
            </w:r>
          </w:p>
        </w:tc>
        <w:tc>
          <w:tcPr>
            <w:tcW w:w="667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4D01B6E">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 xml:space="preserve">一档（3分）：供应商对本次智能化养护管理系统建设目标理解正确，能提供简单的技术方案，无明显错误，基本满足采购文件要求的核心功能（支持养护管理台账建立、数据动态更新与分析统计，可实现养护任务下发及进度跟踪，支持移动端与电脑数据同步、游客问题反馈通道搭建，预留拓展端口且数据存储周期≥2年、服务期内提供常态化维护并符合网络安全要求）； </w:t>
            </w:r>
          </w:p>
          <w:p w14:paraId="68AC3AF0">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二档（5分）：在满足一档的基础上，供应商对项目现状及功能需求进行较好的分析，提供较详细的智能化系统技术方案，明确“派单-处置-归档”闭环管理流程，细化移动端（或小程序）现场填报、游客反馈进度跟踪的操作逻辑，清晰说明拓展端口标准化设计、数据存储规范及网络安全保障措施；</w:t>
            </w:r>
          </w:p>
          <w:p w14:paraId="6144EC92">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三档（8分）：在满足二档的基础上，供应商对项目现状及功能需求分析更为深入详尽，智能化系统功能优于采购需求（如台账支持多维度数据分析、闭环管理增设节点预警功能、移动端优化离线填报同步机制、游客反馈通道支持图文上传与智能分类），提供系统操作界面截图及相关智能化服务案例证明材料，进一步明确服务期内常态化维护的响应时效与保障机制。</w:t>
            </w:r>
          </w:p>
          <w:p w14:paraId="2FFA55A2">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kern w:val="2"/>
                <w:sz w:val="22"/>
                <w:szCs w:val="22"/>
                <w:highlight w:val="none"/>
                <w:lang w:val="zh-CN" w:eastAsia="zh-CN" w:bidi="ar"/>
              </w:rPr>
            </w:pPr>
            <w:r>
              <w:rPr>
                <w:rFonts w:hint="eastAsia" w:ascii="宋体" w:hAnsi="宋体" w:eastAsia="宋体" w:cs="宋体"/>
                <w:bCs/>
                <w:color w:val="auto"/>
                <w:sz w:val="22"/>
                <w:szCs w:val="22"/>
                <w:highlight w:val="none"/>
              </w:rPr>
              <w:t>备注：未提供或未达到最低档次标准的，得0分。</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412D36EF">
            <w:pPr>
              <w:keepNext w:val="0"/>
              <w:keepLines w:val="0"/>
              <w:pageBreakBefore w:val="0"/>
              <w:shd w:val="clear" w:color="auto"/>
              <w:kinsoku/>
              <w:wordWrap w:val="0"/>
              <w:overflowPunct/>
              <w:topLinePunct w:val="0"/>
              <w:bidi w:val="0"/>
              <w:spacing w:line="360" w:lineRule="auto"/>
              <w:jc w:val="center"/>
              <w:textAlignment w:val="auto"/>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0~</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分</w:t>
            </w:r>
          </w:p>
        </w:tc>
      </w:tr>
      <w:tr w14:paraId="0D21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85" w:type="dxa"/>
            <w:vMerge w:val="restart"/>
            <w:tcBorders>
              <w:top w:val="single" w:color="auto" w:sz="4" w:space="0"/>
              <w:left w:val="single" w:color="auto" w:sz="4" w:space="0"/>
              <w:right w:val="single" w:color="auto" w:sz="4" w:space="0"/>
            </w:tcBorders>
            <w:noWrap w:val="0"/>
            <w:vAlign w:val="center"/>
          </w:tcPr>
          <w:p w14:paraId="0119B131">
            <w:pPr>
              <w:pStyle w:val="13"/>
              <w:keepNext w:val="0"/>
              <w:keepLines w:val="0"/>
              <w:pageBreakBefore w:val="0"/>
              <w:widowControl/>
              <w:shd w:val="clear"/>
              <w:kinsoku/>
              <w:wordWrap w:val="0"/>
              <w:overflowPunct/>
              <w:topLinePunct w:val="0"/>
              <w:bidi w:val="0"/>
              <w:spacing w:line="360" w:lineRule="auto"/>
              <w:jc w:val="center"/>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w:t>
            </w:r>
          </w:p>
        </w:tc>
        <w:tc>
          <w:tcPr>
            <w:tcW w:w="1649" w:type="dxa"/>
            <w:tcBorders>
              <w:top w:val="single" w:color="auto" w:sz="4" w:space="0"/>
              <w:left w:val="single" w:color="auto" w:sz="4" w:space="0"/>
              <w:right w:val="single" w:color="auto" w:sz="4" w:space="0"/>
            </w:tcBorders>
            <w:noWrap w:val="0"/>
            <w:vAlign w:val="top"/>
          </w:tcPr>
          <w:p w14:paraId="699DD8B2">
            <w:pPr>
              <w:pStyle w:val="13"/>
              <w:keepNext w:val="0"/>
              <w:keepLines w:val="0"/>
              <w:pageBreakBefore w:val="0"/>
              <w:widowControl/>
              <w:shd w:val="clear"/>
              <w:kinsoku/>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lang w:val="en-US" w:eastAsia="zh-CN"/>
              </w:rPr>
              <w:t>商务</w:t>
            </w:r>
            <w:r>
              <w:rPr>
                <w:rFonts w:hint="eastAsia" w:ascii="宋体" w:hAnsi="宋体" w:eastAsia="宋体" w:cs="宋体"/>
                <w:b/>
                <w:bCs w:val="0"/>
                <w:color w:val="auto"/>
                <w:sz w:val="21"/>
                <w:szCs w:val="21"/>
                <w:highlight w:val="none"/>
              </w:rPr>
              <w:t>分（满分</w:t>
            </w:r>
            <w:r>
              <w:rPr>
                <w:rFonts w:hint="eastAsia" w:hAnsi="宋体" w:cs="宋体"/>
                <w:b/>
                <w:bCs w:val="0"/>
                <w:color w:val="auto"/>
                <w:sz w:val="21"/>
                <w:szCs w:val="21"/>
                <w:highlight w:val="none"/>
                <w:lang w:val="en-US" w:eastAsia="zh-CN"/>
              </w:rPr>
              <w:t>9</w:t>
            </w:r>
            <w:r>
              <w:rPr>
                <w:rFonts w:hint="eastAsia" w:ascii="宋体" w:hAnsi="宋体" w:eastAsia="宋体" w:cs="宋体"/>
                <w:b/>
                <w:bCs w:val="0"/>
                <w:color w:val="auto"/>
                <w:sz w:val="21"/>
                <w:szCs w:val="21"/>
                <w:highlight w:val="none"/>
              </w:rPr>
              <w:t>分）</w:t>
            </w:r>
          </w:p>
        </w:tc>
        <w:tc>
          <w:tcPr>
            <w:tcW w:w="6672" w:type="dxa"/>
            <w:tcBorders>
              <w:top w:val="single" w:color="auto" w:sz="4" w:space="0"/>
              <w:left w:val="single" w:color="auto" w:sz="4" w:space="0"/>
              <w:right w:val="single" w:color="auto" w:sz="4" w:space="0"/>
            </w:tcBorders>
            <w:noWrap w:val="0"/>
            <w:vAlign w:val="center"/>
          </w:tcPr>
          <w:p w14:paraId="5D07E324">
            <w:pPr>
              <w:pStyle w:val="13"/>
              <w:keepNext w:val="0"/>
              <w:keepLines w:val="0"/>
              <w:pageBreakBefore w:val="0"/>
              <w:widowControl/>
              <w:shd w:val="clear"/>
              <w:kinsoku/>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评审因素</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53DF78C9">
            <w:pPr>
              <w:pStyle w:val="13"/>
              <w:keepNext w:val="0"/>
              <w:keepLines w:val="0"/>
              <w:pageBreakBefore w:val="0"/>
              <w:widowControl/>
              <w:shd w:val="clear"/>
              <w:kinsoku/>
              <w:overflowPunct/>
              <w:topLinePunct w:val="0"/>
              <w:autoSpaceDE/>
              <w:autoSpaceDN/>
              <w:bidi w:val="0"/>
              <w:adjustRightInd/>
              <w:spacing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bCs w:val="0"/>
                <w:color w:val="auto"/>
                <w:sz w:val="21"/>
                <w:szCs w:val="21"/>
                <w:highlight w:val="none"/>
              </w:rPr>
              <w:t>分值</w:t>
            </w:r>
          </w:p>
        </w:tc>
      </w:tr>
      <w:tr w14:paraId="50C7F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685" w:type="dxa"/>
            <w:vMerge w:val="continue"/>
            <w:tcBorders>
              <w:left w:val="single" w:color="auto" w:sz="4" w:space="0"/>
              <w:right w:val="single" w:color="auto" w:sz="4" w:space="0"/>
            </w:tcBorders>
            <w:noWrap w:val="0"/>
            <w:vAlign w:val="top"/>
          </w:tcPr>
          <w:p w14:paraId="2509C932">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p>
        </w:tc>
        <w:tc>
          <w:tcPr>
            <w:tcW w:w="1649" w:type="dxa"/>
            <w:tcBorders>
              <w:left w:val="single" w:color="auto" w:sz="4" w:space="0"/>
              <w:right w:val="single" w:color="auto" w:sz="4" w:space="0"/>
            </w:tcBorders>
            <w:shd w:val="clear" w:color="auto" w:fill="auto"/>
            <w:noWrap w:val="0"/>
            <w:vAlign w:val="center"/>
          </w:tcPr>
          <w:p w14:paraId="16E8E028">
            <w:pPr>
              <w:keepNext w:val="0"/>
              <w:keepLines w:val="0"/>
              <w:pageBreakBefore w:val="0"/>
              <w:widowControl w:val="0"/>
              <w:kinsoku/>
              <w:wordWrap w:val="0"/>
              <w:overflowPunct/>
              <w:topLinePunct w:val="0"/>
              <w:autoSpaceDE/>
              <w:autoSpaceDN/>
              <w:bidi w:val="0"/>
              <w:adjustRightInd/>
              <w:snapToGrid/>
              <w:spacing w:line="400" w:lineRule="atLeast"/>
              <w:textAlignment w:val="baseline"/>
              <w:rPr>
                <w:rFonts w:hint="eastAsia" w:ascii="宋体" w:hAnsi="宋体" w:eastAsia="宋体" w:cs="宋体"/>
                <w:bCs/>
                <w:color w:val="auto"/>
                <w:kern w:val="2"/>
                <w:sz w:val="22"/>
                <w:szCs w:val="22"/>
                <w:highlight w:val="none"/>
                <w:lang w:val="en-US" w:eastAsia="zh-CN" w:bidi="ar"/>
              </w:rPr>
            </w:pPr>
            <w:r>
              <w:rPr>
                <w:rFonts w:hint="eastAsia" w:ascii="宋体" w:hAnsi="宋体" w:eastAsia="宋体" w:cs="宋体"/>
                <w:b/>
                <w:bCs w:val="0"/>
                <w:color w:val="auto"/>
                <w:sz w:val="22"/>
                <w:szCs w:val="22"/>
                <w:highlight w:val="none"/>
                <w:lang w:val="en-US" w:eastAsia="zh-CN" w:bidi="ar"/>
              </w:rPr>
              <w:t>（1）投标人业绩情况（满6分）</w:t>
            </w:r>
          </w:p>
        </w:tc>
        <w:tc>
          <w:tcPr>
            <w:tcW w:w="6672" w:type="dxa"/>
            <w:tcBorders>
              <w:top w:val="single" w:color="auto" w:sz="4" w:space="0"/>
              <w:left w:val="single" w:color="auto" w:sz="4" w:space="0"/>
              <w:right w:val="single" w:color="auto" w:sz="4" w:space="0"/>
            </w:tcBorders>
            <w:shd w:val="clear" w:color="auto" w:fill="auto"/>
            <w:noWrap w:val="0"/>
            <w:vAlign w:val="center"/>
          </w:tcPr>
          <w:p w14:paraId="6E499015">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kern w:val="2"/>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投标人自2023年1月1日（含）至本项目投标截止日，具有同类项目的业绩（需提供有效合同证明材料复印件或中标（成交）通知书复印件，并加盖供应商公章或电子签章，续签服务项目可按另一业绩计。）每项得2分，满分6分；</w:t>
            </w:r>
          </w:p>
        </w:tc>
        <w:tc>
          <w:tcPr>
            <w:tcW w:w="112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D187895">
            <w:pPr>
              <w:widowControl/>
              <w:spacing w:line="351" w:lineRule="auto"/>
              <w:jc w:val="cente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rPr>
              <w:t>0~6</w:t>
            </w:r>
            <w:r>
              <w:rPr>
                <w:rFonts w:hint="eastAsia" w:ascii="宋体" w:hAnsi="宋体" w:eastAsia="宋体" w:cs="宋体"/>
                <w:color w:val="auto"/>
                <w:kern w:val="0"/>
                <w:sz w:val="22"/>
                <w:szCs w:val="22"/>
                <w:highlight w:val="none"/>
              </w:rPr>
              <w:t>分</w:t>
            </w:r>
            <w:r>
              <w:rPr>
                <w:rFonts w:hint="eastAsia" w:ascii="宋体" w:hAnsi="宋体" w:eastAsia="宋体" w:cs="宋体"/>
                <w:color w:val="auto"/>
                <w:kern w:val="0"/>
                <w:sz w:val="22"/>
                <w:szCs w:val="22"/>
                <w:highlight w:val="none"/>
                <w:lang w:val="en-US" w:eastAsia="zh-CN"/>
              </w:rPr>
              <w:t>(客观分)</w:t>
            </w:r>
          </w:p>
        </w:tc>
      </w:tr>
      <w:tr w14:paraId="3C82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trPr>
        <w:tc>
          <w:tcPr>
            <w:tcW w:w="685" w:type="dxa"/>
            <w:vMerge w:val="continue"/>
            <w:tcBorders>
              <w:left w:val="single" w:color="auto" w:sz="4" w:space="0"/>
              <w:right w:val="single" w:color="auto" w:sz="4" w:space="0"/>
            </w:tcBorders>
            <w:noWrap w:val="0"/>
            <w:vAlign w:val="top"/>
          </w:tcPr>
          <w:p w14:paraId="6946CE1C">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p>
        </w:tc>
        <w:tc>
          <w:tcPr>
            <w:tcW w:w="1649" w:type="dxa"/>
            <w:tcBorders>
              <w:left w:val="single" w:color="auto" w:sz="4" w:space="0"/>
              <w:right w:val="single" w:color="auto" w:sz="4" w:space="0"/>
            </w:tcBorders>
            <w:noWrap w:val="0"/>
            <w:vAlign w:val="center"/>
          </w:tcPr>
          <w:p w14:paraId="3F232679">
            <w:pPr>
              <w:keepNext w:val="0"/>
              <w:keepLines w:val="0"/>
              <w:pageBreakBefore w:val="0"/>
              <w:widowControl w:val="0"/>
              <w:kinsoku/>
              <w:wordWrap w:val="0"/>
              <w:overflowPunct/>
              <w:topLinePunct w:val="0"/>
              <w:autoSpaceDE/>
              <w:autoSpaceDN/>
              <w:bidi w:val="0"/>
              <w:adjustRightInd/>
              <w:snapToGrid/>
              <w:spacing w:line="400" w:lineRule="atLeast"/>
              <w:textAlignment w:val="baseline"/>
              <w:rPr>
                <w:rFonts w:hint="eastAsia" w:ascii="宋体" w:hAnsi="宋体" w:eastAsia="宋体" w:cs="宋体"/>
                <w:bCs/>
                <w:color w:val="auto"/>
                <w:sz w:val="21"/>
                <w:szCs w:val="21"/>
                <w:highlight w:val="none"/>
              </w:rPr>
            </w:pPr>
            <w:r>
              <w:rPr>
                <w:rFonts w:hint="eastAsia" w:ascii="宋体" w:hAnsi="宋体" w:eastAsia="宋体" w:cs="宋体"/>
                <w:b/>
                <w:bCs w:val="0"/>
                <w:color w:val="auto"/>
                <w:sz w:val="22"/>
                <w:szCs w:val="22"/>
                <w:highlight w:val="none"/>
                <w:lang w:val="en-US" w:eastAsia="zh-CN" w:bidi="ar"/>
              </w:rPr>
              <w:t>（2）投标人认证情况（满分3分）</w:t>
            </w:r>
          </w:p>
        </w:tc>
        <w:tc>
          <w:tcPr>
            <w:tcW w:w="6672" w:type="dxa"/>
            <w:tcBorders>
              <w:top w:val="single" w:color="auto" w:sz="4" w:space="0"/>
              <w:left w:val="single" w:color="auto" w:sz="4" w:space="0"/>
              <w:right w:val="single" w:color="auto" w:sz="4" w:space="0"/>
            </w:tcBorders>
            <w:noWrap w:val="0"/>
            <w:vAlign w:val="center"/>
          </w:tcPr>
          <w:p w14:paraId="408A0364">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评分内容：</w:t>
            </w:r>
          </w:p>
          <w:p w14:paraId="2DE61322">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投标人具有ISO9001质量管理体系认证、ISO14001环境管理体系认证、ISO45001职业健康安全管理体系认证的，每有一项得1分，最高得3分。</w:t>
            </w:r>
          </w:p>
          <w:p w14:paraId="278D015F">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bCs/>
                <w:color w:val="auto"/>
                <w:sz w:val="22"/>
                <w:szCs w:val="22"/>
                <w:highlight w:val="none"/>
                <w:lang w:val="en-US" w:eastAsia="zh-CN" w:bidi="ar"/>
              </w:rPr>
            </w:pPr>
            <w:r>
              <w:rPr>
                <w:rFonts w:hint="eastAsia" w:ascii="宋体" w:hAnsi="宋体" w:eastAsia="宋体" w:cs="宋体"/>
                <w:bCs/>
                <w:color w:val="auto"/>
                <w:sz w:val="22"/>
                <w:szCs w:val="22"/>
                <w:highlight w:val="none"/>
                <w:lang w:val="en-US" w:eastAsia="zh-CN" w:bidi="ar"/>
              </w:rPr>
              <w:t>评分依据：</w:t>
            </w:r>
          </w:p>
          <w:p w14:paraId="38E64971">
            <w:pPr>
              <w:keepNext w:val="0"/>
              <w:keepLines w:val="0"/>
              <w:pageBreakBefore w:val="0"/>
              <w:widowControl w:val="0"/>
              <w:kinsoku/>
              <w:wordWrap w:val="0"/>
              <w:overflowPunct/>
              <w:topLinePunct w:val="0"/>
              <w:autoSpaceDE/>
              <w:autoSpaceDN/>
              <w:bidi w:val="0"/>
              <w:adjustRightInd/>
              <w:snapToGrid/>
              <w:spacing w:line="400" w:lineRule="atLeast"/>
              <w:ind w:firstLine="440" w:firstLineChars="200"/>
              <w:textAlignment w:val="baseline"/>
              <w:rPr>
                <w:rFonts w:hint="eastAsia" w:ascii="宋体" w:hAnsi="宋体" w:eastAsia="宋体" w:cs="宋体"/>
                <w:color w:val="auto"/>
                <w:sz w:val="21"/>
                <w:szCs w:val="21"/>
                <w:highlight w:val="none"/>
              </w:rPr>
            </w:pPr>
            <w:r>
              <w:rPr>
                <w:rFonts w:hint="eastAsia" w:ascii="宋体" w:hAnsi="宋体" w:eastAsia="宋体" w:cs="宋体"/>
                <w:bCs/>
                <w:color w:val="auto"/>
                <w:sz w:val="22"/>
                <w:szCs w:val="22"/>
                <w:highlight w:val="none"/>
                <w:lang w:val="en-US" w:eastAsia="zh-CN" w:bidi="ar"/>
              </w:rPr>
              <w:t>提供有效的证书复印件，出具证书官网或全国认证认可信息公共服务平台（http://cx.cnca.cn/）的证书查询记录（网站查询截图）。认证证书在公开渠道无法查询的，需提供颁发机构的证明材料，证明证书真实有效。评分中出现无证明资料或未在有效期内的或专家无法凭所提供资料判断是否得分的情况，一律作不得分处理。</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01CFDD56">
            <w:pPr>
              <w:widowControl/>
              <w:spacing w:line="351"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kern w:val="0"/>
                <w:sz w:val="22"/>
                <w:szCs w:val="22"/>
                <w:highlight w:val="none"/>
                <w:lang w:val="en-US" w:eastAsia="zh-CN"/>
              </w:rPr>
              <w:t>0~3分(客观分)</w:t>
            </w:r>
          </w:p>
        </w:tc>
      </w:tr>
      <w:tr w14:paraId="0C61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30" w:type="dxa"/>
            <w:gridSpan w:val="4"/>
            <w:tcBorders>
              <w:left w:val="single" w:color="auto" w:sz="4" w:space="0"/>
              <w:bottom w:val="single" w:color="auto" w:sz="4" w:space="0"/>
              <w:right w:val="single" w:color="auto" w:sz="4" w:space="0"/>
            </w:tcBorders>
            <w:noWrap w:val="0"/>
            <w:vAlign w:val="top"/>
          </w:tcPr>
          <w:p w14:paraId="0C61D63A">
            <w:pPr>
              <w:pStyle w:val="13"/>
              <w:keepNext w:val="0"/>
              <w:keepLines w:val="0"/>
              <w:pageBreakBefore w:val="0"/>
              <w:widowControl/>
              <w:shd w:val="clear"/>
              <w:kinsoku/>
              <w:wordWrap w:val="0"/>
              <w:overflowPunct/>
              <w:topLinePunct w:val="0"/>
              <w:bidi w:val="0"/>
              <w:spacing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
                <w:bCs/>
                <w:color w:val="auto"/>
                <w:sz w:val="21"/>
                <w:szCs w:val="21"/>
                <w:highlight w:val="none"/>
              </w:rPr>
              <w:t>总得分=1+2+3</w:t>
            </w:r>
          </w:p>
        </w:tc>
      </w:tr>
    </w:tbl>
    <w:p w14:paraId="34D2CA5A">
      <w:pPr>
        <w:shd w:val="clear"/>
        <w:wordWrap w:val="0"/>
        <w:spacing w:line="360" w:lineRule="auto"/>
        <w:rPr>
          <w:rFonts w:hint="eastAsia" w:ascii="宋体" w:hAnsi="宋体" w:eastAsia="宋体" w:cs="宋体"/>
          <w:color w:val="auto"/>
          <w:highlight w:val="none"/>
        </w:rPr>
      </w:pPr>
    </w:p>
    <w:p w14:paraId="6A728AB2">
      <w:pPr>
        <w:pStyle w:val="14"/>
        <w:shd w:val="clear"/>
        <w:rPr>
          <w:rFonts w:hint="eastAsia" w:ascii="宋体" w:hAnsi="宋体" w:eastAsia="宋体" w:cs="宋体"/>
          <w:color w:val="auto"/>
          <w:highlight w:val="none"/>
        </w:rPr>
      </w:pPr>
    </w:p>
    <w:p w14:paraId="0A50116E">
      <w:pPr>
        <w:pStyle w:val="14"/>
        <w:shd w:val="clear"/>
        <w:rPr>
          <w:rFonts w:hint="eastAsia" w:ascii="宋体" w:hAnsi="宋体" w:eastAsia="宋体" w:cs="宋体"/>
          <w:color w:val="auto"/>
          <w:highlight w:val="none"/>
        </w:rPr>
      </w:pPr>
    </w:p>
    <w:p w14:paraId="2CE9B37C">
      <w:pPr>
        <w:pStyle w:val="13"/>
        <w:shd w:val="clear"/>
        <w:wordWrap w:val="0"/>
        <w:spacing w:line="360" w:lineRule="auto"/>
        <w:ind w:firstLine="420"/>
        <w:rPr>
          <w:rFonts w:hint="eastAsia" w:ascii="宋体" w:hAnsi="宋体" w:eastAsia="宋体" w:cs="宋体"/>
          <w:bCs/>
          <w:color w:val="auto"/>
          <w:sz w:val="24"/>
          <w:szCs w:val="24"/>
          <w:highlight w:val="none"/>
        </w:rPr>
      </w:pPr>
    </w:p>
    <w:p w14:paraId="24D2EBFE">
      <w:pPr>
        <w:shd w:val="clear"/>
        <w:rPr>
          <w:rFonts w:hint="eastAsia" w:ascii="宋体" w:hAnsi="宋体" w:eastAsia="宋体" w:cs="宋体"/>
          <w:color w:val="auto"/>
          <w:highlight w:val="none"/>
        </w:rPr>
        <w:sectPr>
          <w:pgSz w:w="11906" w:h="16838"/>
          <w:pgMar w:top="1440" w:right="1080" w:bottom="1440" w:left="1080" w:header="720" w:footer="720" w:gutter="0"/>
          <w:pgNumType w:fmt="decimal"/>
          <w:cols w:space="720" w:num="1"/>
          <w:docGrid w:type="lines" w:linePitch="331" w:charSpace="0"/>
        </w:sectPr>
      </w:pPr>
    </w:p>
    <w:bookmarkEnd w:id="581"/>
    <w:p w14:paraId="3C39DD27">
      <w:pPr>
        <w:pStyle w:val="3"/>
        <w:shd w:val="clear"/>
        <w:wordWrap w:val="0"/>
        <w:spacing w:before="0" w:after="0" w:line="360" w:lineRule="auto"/>
        <w:jc w:val="center"/>
        <w:rPr>
          <w:rFonts w:hint="eastAsia" w:ascii="宋体" w:hAnsi="宋体" w:eastAsia="宋体" w:cs="宋体"/>
          <w:b w:val="0"/>
          <w:color w:val="auto"/>
          <w:sz w:val="30"/>
          <w:szCs w:val="30"/>
          <w:highlight w:val="none"/>
        </w:rPr>
      </w:pPr>
      <w:bookmarkStart w:id="582" w:name="_Toc18980"/>
      <w:r>
        <w:rPr>
          <w:rFonts w:hint="eastAsia" w:ascii="宋体" w:hAnsi="宋体" w:eastAsia="宋体" w:cs="宋体"/>
          <w:b w:val="0"/>
          <w:color w:val="auto"/>
          <w:sz w:val="30"/>
          <w:szCs w:val="30"/>
          <w:highlight w:val="none"/>
        </w:rPr>
        <w:t>第四节 中标候选人推荐原则</w:t>
      </w:r>
      <w:bookmarkEnd w:id="582"/>
    </w:p>
    <w:p w14:paraId="5721E2FB">
      <w:pPr>
        <w:pStyle w:val="13"/>
        <w:numPr>
          <w:ilvl w:val="0"/>
          <w:numId w:val="0"/>
        </w:numPr>
        <w:shd w:val="clear"/>
        <w:wordWrap w:val="0"/>
        <w:spacing w:line="360" w:lineRule="auto"/>
        <w:ind w:left="1237" w:leftChars="0" w:hanging="765" w:firstLineChars="0"/>
        <w:contextualSpacing/>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（一）</w:t>
      </w:r>
      <w:r>
        <w:rPr>
          <w:rFonts w:hint="eastAsia" w:ascii="宋体" w:hAnsi="宋体" w:eastAsia="宋体" w:cs="宋体"/>
          <w:b/>
          <w:bCs/>
          <w:color w:val="auto"/>
          <w:sz w:val="21"/>
          <w:szCs w:val="21"/>
          <w:highlight w:val="none"/>
        </w:rPr>
        <w:t>综合评分法</w:t>
      </w:r>
    </w:p>
    <w:p w14:paraId="30FAD04E">
      <w:pPr>
        <w:pStyle w:val="13"/>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评标委员会将根据总得分由高到低排列次序并推荐中标候选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。总得分相同的，以投标报价由低到高顺序排列。得分相同且投标报价相同的并列，投标文件满足招标文件全部实质性要求，且按照评审因素的量化指标评审得分最高的投标人为排名第一的中标候选</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w:t>
      </w:r>
    </w:p>
    <w:p w14:paraId="5B56D05C">
      <w:pPr>
        <w:pStyle w:val="3"/>
        <w:shd w:val="clear"/>
        <w:wordWrap w:val="0"/>
        <w:spacing w:before="0" w:after="0" w:line="360" w:lineRule="auto"/>
        <w:ind w:firstLine="600" w:firstLineChars="200"/>
        <w:jc w:val="center"/>
        <w:rPr>
          <w:rFonts w:hint="eastAsia" w:ascii="宋体" w:hAnsi="宋体" w:eastAsia="宋体" w:cs="宋体"/>
          <w:b w:val="0"/>
          <w:color w:val="auto"/>
          <w:sz w:val="30"/>
          <w:szCs w:val="30"/>
          <w:highlight w:val="none"/>
        </w:rPr>
      </w:pPr>
      <w:bookmarkStart w:id="583" w:name="_Toc31612"/>
      <w:r>
        <w:rPr>
          <w:rFonts w:hint="eastAsia" w:ascii="宋体" w:hAnsi="宋体" w:eastAsia="宋体" w:cs="宋体"/>
          <w:b w:val="0"/>
          <w:color w:val="auto"/>
          <w:sz w:val="30"/>
          <w:szCs w:val="30"/>
          <w:highlight w:val="none"/>
        </w:rPr>
        <w:t>第五节 评标报告</w:t>
      </w:r>
      <w:bookmarkEnd w:id="583"/>
    </w:p>
    <w:p w14:paraId="4755D151">
      <w:pPr>
        <w:pStyle w:val="32"/>
        <w:shd w:val="clear"/>
        <w:wordWrap w:val="0"/>
        <w:spacing w:before="0"/>
        <w:ind w:firstLine="482"/>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（一）评标报告与推荐中标候选人</w:t>
      </w:r>
    </w:p>
    <w:p w14:paraId="7A1F2A31">
      <w:pPr>
        <w:pStyle w:val="13"/>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评标委员会根据原始评标记录和评标结果编写评标报告，并通过电子交易平台向采购人、采购代理机构提交。</w:t>
      </w:r>
    </w:p>
    <w:p w14:paraId="2D601073">
      <w:pPr>
        <w:widowControl/>
        <w:shd w:val="clear"/>
        <w:wordWrap w:val="0"/>
        <w:spacing w:line="360" w:lineRule="auto"/>
        <w:ind w:firstLine="422" w:firstLineChars="200"/>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（二）评标争议事项处理</w:t>
      </w:r>
    </w:p>
    <w:p w14:paraId="2327080B">
      <w:pPr>
        <w:pStyle w:val="13"/>
        <w:shd w:val="clear"/>
        <w:wordWrap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6FBE163B">
      <w:pPr>
        <w:widowControl/>
        <w:shd w:val="clear"/>
        <w:wordWrap w:val="0"/>
        <w:spacing w:line="360" w:lineRule="auto"/>
        <w:jc w:val="left"/>
        <w:rPr>
          <w:rFonts w:hint="eastAsia" w:ascii="宋体" w:hAnsi="宋体" w:eastAsia="宋体" w:cs="宋体"/>
          <w:b/>
          <w:color w:val="auto"/>
          <w:sz w:val="36"/>
          <w:szCs w:val="20"/>
          <w:highlight w:val="none"/>
        </w:rPr>
        <w:sectPr>
          <w:pgSz w:w="11906" w:h="16838"/>
          <w:pgMar w:top="1440" w:right="1080" w:bottom="1440" w:left="1080" w:header="720" w:footer="720" w:gutter="0"/>
          <w:pgNumType w:fmt="decimal"/>
          <w:cols w:space="720" w:num="1"/>
          <w:docGrid w:type="lines" w:linePitch="331" w:charSpace="0"/>
        </w:sectPr>
      </w:pPr>
    </w:p>
    <w:p w14:paraId="512AECB6">
      <w:pPr>
        <w:pStyle w:val="13"/>
        <w:shd w:val="clear"/>
        <w:tabs>
          <w:tab w:val="left" w:pos="2472"/>
        </w:tabs>
        <w:wordWrap w:val="0"/>
        <w:spacing w:line="360" w:lineRule="auto"/>
        <w:jc w:val="center"/>
        <w:outlineLvl w:val="0"/>
        <w:rPr>
          <w:rFonts w:hint="eastAsia" w:ascii="宋体" w:hAnsi="宋体" w:eastAsia="宋体" w:cs="宋体"/>
          <w:b/>
          <w:color w:val="auto"/>
          <w:sz w:val="36"/>
          <w:highlight w:val="none"/>
        </w:rPr>
      </w:pPr>
      <w:bookmarkStart w:id="584" w:name="_Toc9281"/>
      <w:r>
        <w:rPr>
          <w:rFonts w:hint="eastAsia" w:ascii="宋体" w:hAnsi="宋体" w:eastAsia="宋体" w:cs="宋体"/>
          <w:b/>
          <w:color w:val="auto"/>
          <w:sz w:val="36"/>
          <w:highlight w:val="none"/>
        </w:rPr>
        <w:t>第五章 拟签订的合同文本</w:t>
      </w:r>
      <w:bookmarkEnd w:id="584"/>
    </w:p>
    <w:p w14:paraId="00253EFC">
      <w:pPr>
        <w:shd w:val="clear"/>
        <w:wordWrap w:val="0"/>
        <w:spacing w:line="360" w:lineRule="auto"/>
        <w:rPr>
          <w:rFonts w:hint="eastAsia" w:ascii="宋体" w:hAnsi="宋体" w:eastAsia="宋体" w:cs="宋体"/>
          <w:color w:val="auto"/>
          <w:sz w:val="24"/>
          <w:highlight w:val="none"/>
        </w:rPr>
      </w:pPr>
    </w:p>
    <w:p w14:paraId="62E99B8C">
      <w:pPr>
        <w:pageBreakBefore w:val="0"/>
        <w:wordWrap w:val="0"/>
        <w:overflowPunct/>
        <w:topLinePunct w:val="0"/>
        <w:bidi w:val="0"/>
        <w:spacing w:line="360" w:lineRule="auto"/>
        <w:rPr>
          <w:rFonts w:ascii="宋体" w:hAnsi="宋体" w:cs="宋体"/>
          <w:color w:val="auto"/>
          <w:sz w:val="24"/>
          <w:highlight w:val="none"/>
          <w:u w:val="single"/>
        </w:rPr>
      </w:pPr>
      <w:r>
        <w:rPr>
          <w:rFonts w:hint="eastAsia" w:ascii="宋体" w:hAnsi="宋体" w:cs="宋体"/>
          <w:color w:val="auto"/>
          <w:sz w:val="24"/>
          <w:highlight w:val="none"/>
        </w:rPr>
        <w:t>广西政府采购云平台合同编号：</w:t>
      </w:r>
      <w:r>
        <w:rPr>
          <w:rFonts w:hint="eastAsia" w:ascii="宋体" w:hAnsi="宋体" w:cs="宋体"/>
          <w:color w:val="auto"/>
          <w:sz w:val="24"/>
          <w:highlight w:val="none"/>
          <w:u w:val="single"/>
        </w:rPr>
        <w:t xml:space="preserve">           </w:t>
      </w:r>
    </w:p>
    <w:p w14:paraId="2EA82F91">
      <w:pPr>
        <w:pageBreakBefore w:val="0"/>
        <w:wordWrap w:val="0"/>
        <w:overflowPunct/>
        <w:topLinePunct w:val="0"/>
        <w:bidi w:val="0"/>
        <w:spacing w:line="360" w:lineRule="auto"/>
        <w:jc w:val="center"/>
        <w:rPr>
          <w:rFonts w:ascii="宋体" w:hAnsi="宋体" w:cs="宋体"/>
          <w:b/>
          <w:bCs/>
          <w:color w:val="auto"/>
          <w:sz w:val="52"/>
          <w:highlight w:val="none"/>
        </w:rPr>
      </w:pPr>
      <w:r>
        <w:rPr>
          <w:rFonts w:hint="eastAsia" w:ascii="宋体" w:hAnsi="宋体" w:cs="宋体"/>
          <w:b/>
          <w:bCs/>
          <w:color w:val="auto"/>
          <w:sz w:val="52"/>
          <w:highlight w:val="none"/>
        </w:rPr>
        <w:t>南 宁 市 政 府 采 购</w:t>
      </w:r>
    </w:p>
    <w:p w14:paraId="576CA419">
      <w:pPr>
        <w:pageBreakBefore w:val="0"/>
        <w:wordWrap w:val="0"/>
        <w:overflowPunct/>
        <w:topLinePunct w:val="0"/>
        <w:bidi w:val="0"/>
        <w:spacing w:line="360" w:lineRule="auto"/>
        <w:rPr>
          <w:rFonts w:ascii="宋体" w:hAnsi="宋体" w:cs="宋体"/>
          <w:color w:val="auto"/>
          <w:highlight w:val="none"/>
        </w:rPr>
      </w:pPr>
      <w:r>
        <w:rPr>
          <w:rFonts w:hint="eastAsia" w:ascii="宋体" w:hAnsi="宋体" w:cs="宋体"/>
          <w:color w:val="auto"/>
          <w:highlight w:val="none"/>
        </w:rPr>
        <w:t xml:space="preserve">                         </w:t>
      </w:r>
    </w:p>
    <w:p w14:paraId="6449EBAE">
      <w:pPr>
        <w:pageBreakBefore w:val="0"/>
        <w:wordWrap w:val="0"/>
        <w:overflowPunct/>
        <w:topLinePunct w:val="0"/>
        <w:bidi w:val="0"/>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u w:val="single"/>
        </w:rPr>
        <w:t xml:space="preserve">           </w:t>
      </w:r>
      <w:r>
        <w:rPr>
          <w:rFonts w:hint="eastAsia" w:ascii="宋体" w:hAnsi="宋体" w:cs="宋体"/>
          <w:b/>
          <w:bCs/>
          <w:color w:val="auto"/>
          <w:sz w:val="44"/>
          <w:highlight w:val="none"/>
        </w:rPr>
        <w:t>合同</w:t>
      </w:r>
    </w:p>
    <w:p w14:paraId="4B6D04CD">
      <w:pPr>
        <w:pageBreakBefore w:val="0"/>
        <w:wordWrap w:val="0"/>
        <w:overflowPunct/>
        <w:topLinePunct w:val="0"/>
        <w:bidi w:val="0"/>
        <w:spacing w:line="360" w:lineRule="auto"/>
        <w:ind w:firstLine="3507" w:firstLineChars="794"/>
        <w:rPr>
          <w:rFonts w:ascii="宋体" w:hAnsi="宋体" w:cs="宋体"/>
          <w:b/>
          <w:bCs/>
          <w:color w:val="auto"/>
          <w:sz w:val="44"/>
          <w:highlight w:val="none"/>
        </w:rPr>
      </w:pPr>
    </w:p>
    <w:p w14:paraId="39000D64">
      <w:pPr>
        <w:pageBreakBefore w:val="0"/>
        <w:wordWrap w:val="0"/>
        <w:overflowPunct/>
        <w:topLinePunct w:val="0"/>
        <w:bidi w:val="0"/>
        <w:spacing w:line="360" w:lineRule="auto"/>
        <w:ind w:firstLine="1063" w:firstLineChars="294"/>
        <w:jc w:val="left"/>
        <w:rPr>
          <w:rFonts w:ascii="宋体" w:hAnsi="宋体" w:cs="宋体"/>
          <w:b/>
          <w:color w:val="auto"/>
          <w:sz w:val="36"/>
          <w:szCs w:val="36"/>
          <w:highlight w:val="none"/>
        </w:rPr>
      </w:pPr>
      <w:r>
        <w:rPr>
          <w:rFonts w:hint="eastAsia" w:ascii="宋体" w:hAnsi="宋体" w:cs="宋体"/>
          <w:b/>
          <w:color w:val="auto"/>
          <w:sz w:val="36"/>
          <w:szCs w:val="36"/>
          <w:highlight w:val="none"/>
        </w:rPr>
        <w:t xml:space="preserve">项目编号：   </w:t>
      </w:r>
    </w:p>
    <w:p w14:paraId="6542DEE5">
      <w:pPr>
        <w:pageBreakBefore w:val="0"/>
        <w:wordWrap w:val="0"/>
        <w:overflowPunct/>
        <w:topLinePunct w:val="0"/>
        <w:bidi w:val="0"/>
        <w:spacing w:line="360" w:lineRule="auto"/>
        <w:ind w:firstLine="1063" w:firstLineChars="294"/>
        <w:jc w:val="left"/>
        <w:rPr>
          <w:rFonts w:ascii="宋体" w:hAnsi="宋体" w:cs="宋体"/>
          <w:b/>
          <w:color w:val="auto"/>
          <w:sz w:val="36"/>
          <w:szCs w:val="36"/>
          <w:highlight w:val="none"/>
        </w:rPr>
      </w:pPr>
      <w:r>
        <w:rPr>
          <w:rFonts w:hint="eastAsia" w:ascii="宋体" w:hAnsi="宋体" w:cs="宋体"/>
          <w:b/>
          <w:color w:val="auto"/>
          <w:sz w:val="36"/>
          <w:szCs w:val="36"/>
          <w:highlight w:val="none"/>
        </w:rPr>
        <w:t>计划编号：</w:t>
      </w:r>
    </w:p>
    <w:p w14:paraId="5F352D8C">
      <w:pPr>
        <w:pageBreakBefore w:val="0"/>
        <w:tabs>
          <w:tab w:val="left" w:pos="7200"/>
        </w:tabs>
        <w:wordWrap w:val="0"/>
        <w:overflowPunct/>
        <w:topLinePunct w:val="0"/>
        <w:bidi w:val="0"/>
        <w:spacing w:line="360" w:lineRule="auto"/>
        <w:ind w:firstLine="1995" w:firstLineChars="552"/>
        <w:rPr>
          <w:rFonts w:ascii="宋体" w:hAnsi="宋体" w:cs="宋体"/>
          <w:b/>
          <w:color w:val="auto"/>
          <w:sz w:val="36"/>
          <w:szCs w:val="36"/>
          <w:highlight w:val="none"/>
        </w:rPr>
      </w:pPr>
    </w:p>
    <w:p w14:paraId="3CD572BF">
      <w:pPr>
        <w:pageBreakBefore w:val="0"/>
        <w:tabs>
          <w:tab w:val="left" w:pos="7200"/>
        </w:tabs>
        <w:wordWrap w:val="0"/>
        <w:overflowPunct/>
        <w:topLinePunct w:val="0"/>
        <w:bidi w:val="0"/>
        <w:spacing w:line="360" w:lineRule="auto"/>
        <w:ind w:firstLine="2168" w:firstLineChars="600"/>
        <w:rPr>
          <w:rFonts w:ascii="宋体" w:hAnsi="宋体" w:cs="宋体"/>
          <w:b/>
          <w:color w:val="auto"/>
          <w:sz w:val="36"/>
          <w:szCs w:val="36"/>
          <w:highlight w:val="none"/>
          <w:u w:val="single"/>
        </w:rPr>
      </w:pPr>
      <w:r>
        <w:rPr>
          <w:rFonts w:hint="eastAsia" w:ascii="宋体" w:hAnsi="宋体" w:cs="宋体"/>
          <w:b/>
          <w:color w:val="auto"/>
          <w:sz w:val="36"/>
          <w:szCs w:val="36"/>
          <w:highlight w:val="none"/>
          <w:lang w:val="en-US" w:eastAsia="zh-CN"/>
        </w:rPr>
        <w:t>甲方</w:t>
      </w:r>
      <w:r>
        <w:rPr>
          <w:rFonts w:hint="eastAsia" w:ascii="宋体" w:hAnsi="宋体" w:cs="宋体"/>
          <w:b/>
          <w:color w:val="auto"/>
          <w:sz w:val="36"/>
          <w:szCs w:val="36"/>
          <w:highlight w:val="none"/>
        </w:rPr>
        <w:t>：</w:t>
      </w:r>
      <w:r>
        <w:rPr>
          <w:rFonts w:hint="eastAsia" w:ascii="宋体" w:hAnsi="宋体" w:cs="宋体"/>
          <w:b/>
          <w:color w:val="auto"/>
          <w:sz w:val="36"/>
          <w:szCs w:val="36"/>
          <w:highlight w:val="none"/>
          <w:u w:val="single"/>
        </w:rPr>
        <w:t xml:space="preserve">                      </w:t>
      </w:r>
    </w:p>
    <w:p w14:paraId="4333CED1">
      <w:pPr>
        <w:pageBreakBefore w:val="0"/>
        <w:tabs>
          <w:tab w:val="left" w:pos="7380"/>
        </w:tabs>
        <w:wordWrap w:val="0"/>
        <w:overflowPunct/>
        <w:topLinePunct w:val="0"/>
        <w:bidi w:val="0"/>
        <w:spacing w:line="360" w:lineRule="auto"/>
        <w:ind w:firstLine="2168" w:firstLineChars="600"/>
        <w:rPr>
          <w:rFonts w:ascii="宋体" w:hAnsi="宋体" w:cs="宋体"/>
          <w:b/>
          <w:bCs/>
          <w:color w:val="auto"/>
          <w:sz w:val="44"/>
          <w:highlight w:val="none"/>
        </w:rPr>
      </w:pPr>
      <w:r>
        <w:rPr>
          <w:rFonts w:hint="eastAsia" w:ascii="宋体" w:hAnsi="宋体" w:cs="宋体"/>
          <w:b/>
          <w:color w:val="auto"/>
          <w:sz w:val="36"/>
          <w:szCs w:val="36"/>
          <w:highlight w:val="none"/>
        </w:rPr>
        <w:t>乙方：</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val="en-US" w:eastAsia="zh-CN"/>
        </w:rPr>
        <w:t xml:space="preserve">   </w:t>
      </w:r>
      <w:r>
        <w:rPr>
          <w:rFonts w:hint="eastAsia" w:ascii="宋体" w:hAnsi="宋体" w:cs="宋体"/>
          <w:b/>
          <w:color w:val="auto"/>
          <w:sz w:val="36"/>
          <w:szCs w:val="36"/>
          <w:highlight w:val="none"/>
          <w:u w:val="single"/>
        </w:rPr>
        <w:t xml:space="preserve">     </w:t>
      </w:r>
    </w:p>
    <w:p w14:paraId="3846F6A0">
      <w:pPr>
        <w:pageBreakBefore w:val="0"/>
        <w:wordWrap w:val="0"/>
        <w:overflowPunct/>
        <w:topLinePunct w:val="0"/>
        <w:bidi w:val="0"/>
        <w:spacing w:line="360" w:lineRule="auto"/>
        <w:jc w:val="center"/>
        <w:rPr>
          <w:rFonts w:hint="eastAsia" w:ascii="宋体" w:hAnsi="宋体" w:cs="宋体"/>
          <w:color w:val="auto"/>
          <w:sz w:val="24"/>
          <w:highlight w:val="none"/>
        </w:rPr>
      </w:pPr>
    </w:p>
    <w:p w14:paraId="08DF8583">
      <w:pPr>
        <w:pageBreakBefore w:val="0"/>
        <w:wordWrap w:val="0"/>
        <w:overflowPunct/>
        <w:topLinePunct w:val="0"/>
        <w:bidi w:val="0"/>
        <w:spacing w:line="360" w:lineRule="auto"/>
        <w:jc w:val="center"/>
        <w:rPr>
          <w:rFonts w:ascii="宋体" w:hAnsi="宋体" w:cs="宋体"/>
          <w:b/>
          <w:bCs/>
          <w:color w:val="auto"/>
          <w:sz w:val="44"/>
          <w:highlight w:val="non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070A33CA">
      <w:pPr>
        <w:pageBreakBefore w:val="0"/>
        <w:wordWrap w:val="0"/>
        <w:overflowPunct/>
        <w:topLinePunct w:val="0"/>
        <w:bidi w:val="0"/>
        <w:snapToGrid w:val="0"/>
        <w:spacing w:line="360" w:lineRule="auto"/>
        <w:jc w:val="center"/>
        <w:rPr>
          <w:rFonts w:ascii="宋体" w:hAnsi="宋体" w:cs="宋体"/>
          <w:b/>
          <w:color w:val="auto"/>
          <w:sz w:val="24"/>
          <w:highlight w:val="none"/>
        </w:rPr>
      </w:pPr>
      <w:r>
        <w:rPr>
          <w:rFonts w:hint="eastAsia" w:ascii="宋体" w:hAnsi="宋体" w:cs="宋体"/>
          <w:b/>
          <w:bCs/>
          <w:color w:val="auto"/>
          <w:sz w:val="44"/>
          <w:highlight w:val="none"/>
        </w:rPr>
        <w:br w:type="page"/>
      </w:r>
      <w:r>
        <w:rPr>
          <w:rFonts w:hint="eastAsia" w:ascii="宋体" w:hAnsi="宋体" w:cs="宋体"/>
          <w:b/>
          <w:color w:val="auto"/>
          <w:sz w:val="24"/>
          <w:highlight w:val="none"/>
        </w:rPr>
        <w:t>合同目录</w:t>
      </w:r>
    </w:p>
    <w:p w14:paraId="7C8A5240">
      <w:pPr>
        <w:pageBreakBefore w:val="0"/>
        <w:wordWrap w:val="0"/>
        <w:overflowPunct/>
        <w:topLinePunct w:val="0"/>
        <w:bidi w:val="0"/>
        <w:snapToGrid w:val="0"/>
        <w:spacing w:line="360" w:lineRule="auto"/>
        <w:jc w:val="center"/>
        <w:rPr>
          <w:rFonts w:ascii="宋体" w:hAnsi="宋体" w:cs="宋体"/>
          <w:b/>
          <w:bCs/>
          <w:color w:val="auto"/>
          <w:sz w:val="44"/>
          <w:highlight w:val="none"/>
        </w:rPr>
      </w:pPr>
    </w:p>
    <w:p w14:paraId="7F8B0E7D">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一、</w:t>
      </w:r>
      <w:r>
        <w:rPr>
          <w:rFonts w:hint="eastAsia" w:ascii="宋体" w:hAnsi="宋体" w:cs="宋体"/>
          <w:color w:val="auto"/>
          <w:sz w:val="24"/>
          <w:highlight w:val="none"/>
        </w:rPr>
        <w:t>第一部分 合同书</w:t>
      </w:r>
      <w:r>
        <w:rPr>
          <w:rFonts w:hint="eastAsia" w:ascii="宋体" w:hAnsi="宋体" w:cs="宋体"/>
          <w:color w:val="auto"/>
          <w:kern w:val="0"/>
          <w:sz w:val="24"/>
          <w:highlight w:val="none"/>
        </w:rPr>
        <w:t>……………………………………………………………（页码）</w:t>
      </w:r>
    </w:p>
    <w:p w14:paraId="38C38428">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二、第二部分 合同一般条款……………………………………………………（页码）</w:t>
      </w:r>
    </w:p>
    <w:p w14:paraId="15AD41D2">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三、第三部分 合同专用条款……………………………………………………（页码）</w:t>
      </w:r>
    </w:p>
    <w:p w14:paraId="0A988C45">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四、</w:t>
      </w:r>
      <w:r>
        <w:rPr>
          <w:rFonts w:hint="eastAsia" w:ascii="宋体" w:hAnsi="宋体" w:cs="宋体"/>
          <w:color w:val="auto"/>
          <w:sz w:val="24"/>
          <w:highlight w:val="none"/>
        </w:rPr>
        <w:t>第四部分 合同附件</w:t>
      </w:r>
      <w:r>
        <w:rPr>
          <w:rFonts w:hint="eastAsia" w:ascii="宋体" w:hAnsi="宋体" w:cs="宋体"/>
          <w:color w:val="auto"/>
          <w:kern w:val="0"/>
          <w:sz w:val="24"/>
          <w:highlight w:val="none"/>
        </w:rPr>
        <w:t>…………………………………………………………（页码）</w:t>
      </w:r>
    </w:p>
    <w:p w14:paraId="2DD885D3">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4.1中标通知书 …………………………………………………………………（页码）</w:t>
      </w:r>
    </w:p>
    <w:p w14:paraId="6D99D2C6">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4.2招标文件服务需求一览表 …………………………………………………（页码）</w:t>
      </w:r>
    </w:p>
    <w:p w14:paraId="07AE3E11">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4.3招标文件的更改通知（如有） ……………………………………………（页码）</w:t>
      </w:r>
    </w:p>
    <w:p w14:paraId="3ECD2251">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4.4投标函 ………………………………………………………………………（页码）</w:t>
      </w:r>
    </w:p>
    <w:p w14:paraId="36B4C16D">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4.5报价表 ………………………………………………………………………（页码）</w:t>
      </w:r>
    </w:p>
    <w:p w14:paraId="0FDD6CD7">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4.6投标服务技术资料表 ………………………………………………………（页码）</w:t>
      </w:r>
    </w:p>
    <w:p w14:paraId="01D52F2F">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4.7商务条款偏离表 ……………………………………………………………（页码）</w:t>
      </w:r>
    </w:p>
    <w:p w14:paraId="6E883D6F">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4.8中标供应商澄清函（如有请提供） ………………………………………（页码）</w:t>
      </w:r>
    </w:p>
    <w:p w14:paraId="0D8DB67A">
      <w:pPr>
        <w:pageBreakBefore w:val="0"/>
        <w:wordWrap w:val="0"/>
        <w:overflowPunct/>
        <w:topLinePunct w:val="0"/>
        <w:bidi w:val="0"/>
        <w:snapToGrid w:val="0"/>
        <w:spacing w:line="360" w:lineRule="auto"/>
        <w:ind w:firstLine="420" w:firstLineChars="175"/>
        <w:rPr>
          <w:rFonts w:ascii="宋体" w:hAnsi="宋体" w:cs="宋体"/>
          <w:color w:val="auto"/>
          <w:kern w:val="0"/>
          <w:sz w:val="24"/>
          <w:highlight w:val="none"/>
        </w:rPr>
      </w:pPr>
      <w:r>
        <w:rPr>
          <w:rFonts w:hint="eastAsia" w:ascii="宋体" w:hAnsi="宋体" w:cs="宋体"/>
          <w:color w:val="auto"/>
          <w:kern w:val="0"/>
          <w:sz w:val="24"/>
          <w:highlight w:val="none"/>
        </w:rPr>
        <w:t>4.9其他与本合同相关的资料（如有请提供） ………………………………（页码）</w:t>
      </w:r>
    </w:p>
    <w:p w14:paraId="3F5A17F3">
      <w:pPr>
        <w:pageBreakBefore w:val="0"/>
        <w:wordWrap w:val="0"/>
        <w:overflowPunct/>
        <w:topLinePunct w:val="0"/>
        <w:bidi w:val="0"/>
        <w:snapToGrid w:val="0"/>
        <w:spacing w:line="360" w:lineRule="auto"/>
        <w:rPr>
          <w:rFonts w:ascii="宋体" w:hAnsi="宋体" w:cs="宋体"/>
          <w:color w:val="auto"/>
          <w:kern w:val="0"/>
          <w:sz w:val="24"/>
          <w:highlight w:val="none"/>
        </w:rPr>
      </w:pPr>
    </w:p>
    <w:p w14:paraId="38A60EF8">
      <w:pPr>
        <w:pageBreakBefore w:val="0"/>
        <w:widowControl/>
        <w:wordWrap w:val="0"/>
        <w:overflowPunct/>
        <w:topLinePunct w:val="0"/>
        <w:bidi w:val="0"/>
        <w:spacing w:line="360" w:lineRule="auto"/>
        <w:jc w:val="left"/>
        <w:rPr>
          <w:rFonts w:ascii="宋体" w:hAnsi="宋体" w:cs="宋体"/>
          <w:color w:val="auto"/>
          <w:spacing w:val="-4"/>
          <w:sz w:val="18"/>
          <w:szCs w:val="20"/>
          <w:highlight w:val="none"/>
        </w:rPr>
        <w:sectPr>
          <w:footerReference r:id="rId11" w:type="default"/>
          <w:pgSz w:w="11906" w:h="16838"/>
          <w:pgMar w:top="1440" w:right="1080" w:bottom="1440" w:left="1080" w:header="720" w:footer="720" w:gutter="0"/>
          <w:pgNumType w:fmt="decimal"/>
          <w:cols w:space="720" w:num="1"/>
          <w:docGrid w:type="lines" w:linePitch="331" w:charSpace="0"/>
        </w:sectPr>
      </w:pPr>
    </w:p>
    <w:p w14:paraId="3AAD066D">
      <w:pPr>
        <w:pStyle w:val="34"/>
        <w:pageBreakBefore w:val="0"/>
        <w:wordWrap w:val="0"/>
        <w:overflowPunct/>
        <w:topLinePunct w:val="0"/>
        <w:bidi w:val="0"/>
        <w:spacing w:after="0" w:line="360" w:lineRule="auto"/>
        <w:ind w:firstLine="562"/>
        <w:jc w:val="center"/>
        <w:rPr>
          <w:rFonts w:ascii="宋体" w:hAnsi="宋体" w:cs="宋体"/>
          <w:b/>
          <w:color w:val="auto"/>
          <w:sz w:val="28"/>
          <w:szCs w:val="28"/>
          <w:highlight w:val="none"/>
        </w:rPr>
      </w:pPr>
      <w:r>
        <w:rPr>
          <w:rFonts w:hint="eastAsia" w:ascii="宋体" w:hAnsi="宋体" w:cs="宋体"/>
          <w:b/>
          <w:color w:val="auto"/>
          <w:sz w:val="28"/>
          <w:szCs w:val="28"/>
          <w:highlight w:val="none"/>
        </w:rPr>
        <w:t>第一部分 合同书</w:t>
      </w:r>
    </w:p>
    <w:p w14:paraId="02DC639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公开招标方式  </w:t>
      </w:r>
      <w:r>
        <w:rPr>
          <w:rFonts w:hint="eastAsia" w:ascii="宋体" w:hAnsi="宋体" w:cs="宋体"/>
          <w:color w:val="auto"/>
          <w:sz w:val="24"/>
          <w:highlight w:val="none"/>
        </w:rPr>
        <w:t>对</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rPr>
        <w:t>为该项目中标供应商。现于中标通知书发出之日起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日内（根据项目实际情况填写，不能超过25日），按照采购文件确定的事项签订本合同。</w:t>
      </w:r>
    </w:p>
    <w:p w14:paraId="4C3F61B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rPr>
        <w:t xml:space="preserve">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453729D0">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585" w:name="_Toc3029"/>
      <w:bookmarkStart w:id="586" w:name="_Toc2232"/>
      <w:bookmarkStart w:id="587" w:name="_Toc24059"/>
      <w:r>
        <w:rPr>
          <w:rFonts w:hint="eastAsia" w:ascii="宋体" w:hAnsi="宋体" w:cs="宋体"/>
          <w:b/>
          <w:color w:val="auto"/>
          <w:sz w:val="24"/>
          <w:highlight w:val="none"/>
        </w:rPr>
        <w:t>1.1 合同组成部分</w:t>
      </w:r>
      <w:bookmarkEnd w:id="585"/>
      <w:bookmarkEnd w:id="586"/>
      <w:bookmarkEnd w:id="587"/>
    </w:p>
    <w:p w14:paraId="277E941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79C04AE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7BFC8B5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1.1.2 中标通知书；</w:t>
      </w:r>
    </w:p>
    <w:p w14:paraId="5059150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1.1.3 投标文件及“投标报价”（含澄清或者说明文件）；</w:t>
      </w:r>
    </w:p>
    <w:p w14:paraId="6C3AFD9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1.1.4 招标文件（含澄清或者修改文件）；</w:t>
      </w:r>
    </w:p>
    <w:p w14:paraId="63DB947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71177B5F">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588" w:name="_Toc24300"/>
      <w:bookmarkStart w:id="589" w:name="_Toc21295"/>
      <w:bookmarkStart w:id="590" w:name="_Toc27126"/>
      <w:r>
        <w:rPr>
          <w:rFonts w:hint="eastAsia" w:ascii="宋体" w:hAnsi="宋体" w:cs="宋体"/>
          <w:b/>
          <w:color w:val="auto"/>
          <w:sz w:val="24"/>
          <w:highlight w:val="none"/>
        </w:rPr>
        <w:t>1.2 标的物</w:t>
      </w:r>
      <w:bookmarkEnd w:id="588"/>
      <w:bookmarkEnd w:id="589"/>
      <w:bookmarkEnd w:id="590"/>
    </w:p>
    <w:p w14:paraId="320A87B0">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 标的物1信息</w:t>
      </w:r>
    </w:p>
    <w:p w14:paraId="10018FB1">
      <w:pPr>
        <w:pageBreakBefore w:val="0"/>
        <w:wordWrap w:val="0"/>
        <w:overflowPunct/>
        <w:topLinePunct w:val="0"/>
        <w:bidi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1.2.1.1名称：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3ED3620">
      <w:pPr>
        <w:pageBreakBefore w:val="0"/>
        <w:wordWrap w:val="0"/>
        <w:overflowPunct/>
        <w:topLinePunct w:val="0"/>
        <w:bidi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1.2.1.2数量：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085811A">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1.2.1.3质量：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FFF7C0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7B0DB7F3">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591" w:name="_Toc21631"/>
      <w:bookmarkStart w:id="592" w:name="_Toc23292"/>
      <w:bookmarkStart w:id="593" w:name="_Toc21551"/>
      <w:r>
        <w:rPr>
          <w:rFonts w:hint="eastAsia" w:ascii="宋体" w:hAnsi="宋体" w:cs="宋体"/>
          <w:b/>
          <w:color w:val="auto"/>
          <w:sz w:val="24"/>
          <w:highlight w:val="none"/>
        </w:rPr>
        <w:t>1.3 价款</w:t>
      </w:r>
      <w:bookmarkEnd w:id="591"/>
      <w:bookmarkEnd w:id="592"/>
      <w:bookmarkEnd w:id="593"/>
    </w:p>
    <w:p w14:paraId="55EDD583">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本合同总价为：人民币（大写）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，含税）。</w:t>
      </w:r>
      <w:bookmarkStart w:id="594" w:name="_Toc22618"/>
      <w:bookmarkStart w:id="595" w:name="_Toc1814"/>
      <w:bookmarkStart w:id="596" w:name="_Toc10340"/>
    </w:p>
    <w:p w14:paraId="38B215D2">
      <w:pPr>
        <w:pageBreakBefore w:val="0"/>
        <w:wordWrap w:val="0"/>
        <w:overflowPunct/>
        <w:topLinePunct w:val="0"/>
        <w:bidi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1.4 付款方式和发票开具方式</w:t>
      </w:r>
      <w:bookmarkEnd w:id="594"/>
      <w:bookmarkEnd w:id="595"/>
      <w:bookmarkEnd w:id="596"/>
    </w:p>
    <w:p w14:paraId="3283B8FF">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1.4.1 付款方式：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42AD79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1.4.2 发票开具方式：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1AFEF9E">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597" w:name="_Toc2846"/>
      <w:bookmarkStart w:id="598" w:name="_Toc32071"/>
      <w:bookmarkStart w:id="599" w:name="_Toc19304"/>
      <w:r>
        <w:rPr>
          <w:rFonts w:hint="eastAsia" w:ascii="宋体" w:hAnsi="宋体" w:cs="宋体"/>
          <w:b/>
          <w:color w:val="auto"/>
          <w:sz w:val="24"/>
          <w:highlight w:val="none"/>
        </w:rPr>
        <w:t>1.5 标的物交付期限、地点、方式</w:t>
      </w:r>
      <w:bookmarkEnd w:id="597"/>
      <w:bookmarkEnd w:id="598"/>
      <w:bookmarkEnd w:id="599"/>
      <w:r>
        <w:rPr>
          <w:rFonts w:hint="eastAsia" w:ascii="宋体" w:hAnsi="宋体" w:cs="宋体"/>
          <w:b/>
          <w:color w:val="auto"/>
          <w:sz w:val="24"/>
          <w:highlight w:val="none"/>
        </w:rPr>
        <w:t>和服务期限</w:t>
      </w:r>
    </w:p>
    <w:p w14:paraId="48DB5851">
      <w:pPr>
        <w:pageBreakBefore w:val="0"/>
        <w:wordWrap w:val="0"/>
        <w:overflowPunct/>
        <w:topLinePunct w:val="0"/>
        <w:bidi w:val="0"/>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1.5.1 </w:t>
      </w:r>
      <w:r>
        <w:rPr>
          <w:rFonts w:hint="eastAsia" w:ascii="宋体" w:hAnsi="宋体" w:eastAsia="宋体" w:cs="宋体"/>
          <w:bCs/>
          <w:color w:val="auto"/>
          <w:sz w:val="24"/>
          <w:szCs w:val="24"/>
          <w:highlight w:val="none"/>
          <w:lang w:eastAsia="zh-CN"/>
        </w:rPr>
        <w:t>服务期限</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rPr>
        <w:t>；</w:t>
      </w:r>
    </w:p>
    <w:p w14:paraId="3940B20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szCs w:val="24"/>
          <w:highlight w:val="none"/>
        </w:rPr>
        <w:t xml:space="preserve">1.5.2 </w:t>
      </w:r>
      <w:r>
        <w:rPr>
          <w:rFonts w:hint="eastAsia" w:ascii="宋体" w:hAnsi="宋体" w:eastAsia="宋体" w:cs="宋体"/>
          <w:bCs/>
          <w:color w:val="auto"/>
          <w:sz w:val="24"/>
          <w:szCs w:val="24"/>
          <w:highlight w:val="none"/>
          <w:lang w:eastAsia="zh-CN"/>
        </w:rPr>
        <w:t>服务地点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492A038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 交付方式：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782F8EB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1.5.4 质量保证期：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A6EB6B3">
      <w:pPr>
        <w:pageBreakBefore w:val="0"/>
        <w:wordWrap w:val="0"/>
        <w:overflowPunct/>
        <w:topLinePunct w:val="0"/>
        <w:bidi w:val="0"/>
        <w:spacing w:line="360" w:lineRule="auto"/>
        <w:ind w:firstLine="480" w:firstLineChars="200"/>
        <w:rPr>
          <w:rFonts w:hint="eastAsia" w:ascii="宋体" w:hAnsi="宋体" w:eastAsia="宋体" w:cs="Times New Roman"/>
          <w:color w:val="auto"/>
          <w:sz w:val="24"/>
          <w:szCs w:val="24"/>
          <w:highlight w:val="none"/>
        </w:rPr>
      </w:pPr>
      <w:bookmarkStart w:id="600" w:name="_Toc27250"/>
      <w:bookmarkStart w:id="601" w:name="_Toc21423"/>
      <w:bookmarkStart w:id="602" w:name="_Toc19554"/>
      <w:r>
        <w:rPr>
          <w:rFonts w:hint="eastAsia" w:ascii="宋体" w:hAnsi="宋体" w:cs="Times New Roman"/>
          <w:color w:val="auto"/>
          <w:sz w:val="24"/>
          <w:szCs w:val="24"/>
          <w:highlight w:val="none"/>
          <w:lang w:val="en-US" w:eastAsia="zh-CN"/>
        </w:rPr>
        <w:t xml:space="preserve">1.5.5 </w:t>
      </w:r>
      <w:r>
        <w:rPr>
          <w:rFonts w:hint="eastAsia" w:ascii="宋体" w:hAnsi="宋体" w:eastAsia="宋体" w:cs="宋体"/>
          <w:color w:val="auto"/>
          <w:sz w:val="24"/>
          <w:szCs w:val="24"/>
          <w:highlight w:val="none"/>
          <w:lang w:eastAsia="zh-CN"/>
        </w:rPr>
        <w:t>合同延续年限、条件和方式：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4532B43">
      <w:pPr>
        <w:pageBreakBefore w:val="0"/>
        <w:wordWrap w:val="0"/>
        <w:overflowPunct/>
        <w:topLinePunct w:val="0"/>
        <w:bidi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1.6 违约责任</w:t>
      </w:r>
      <w:bookmarkEnd w:id="600"/>
      <w:bookmarkEnd w:id="601"/>
      <w:bookmarkEnd w:id="602"/>
    </w:p>
    <w:p w14:paraId="26E125AD">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bookmarkStart w:id="603" w:name="_Toc15583"/>
      <w:bookmarkStart w:id="604" w:name="_Toc16021"/>
      <w:bookmarkStart w:id="605" w:name="_Toc28375"/>
      <w:r>
        <w:rPr>
          <w:rFonts w:hint="eastAsia" w:ascii="宋体" w:hAnsi="宋体" w:cs="宋体"/>
          <w:color w:val="auto"/>
          <w:sz w:val="24"/>
          <w:highlight w:val="none"/>
        </w:rPr>
        <w:t>1.6.1 除不可抗力或本合同另有约定外，如果乙方没有按照本合同约定的期限、地点和方式交付标的物，甲方可要求乙方支付违约金，违约金按每迟延交付标的物一日的合同总价的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；迟延超过</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日的，甲方有权书面通知乙方解除本合同；</w:t>
      </w:r>
    </w:p>
    <w:p w14:paraId="67429CC6">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1.6.2 除不可抗力或本合同另有约定外，如果甲方没有按照本合同约定的付款方式付款，乙方可要求甲方支付违约金，违约金按每迟延付款一日的应付而未付款的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计算，最高限额为欠付金额的</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77448EDE">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1.6.3 除不可抗力或本合同另有约定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220C37A">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B28FA01">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1.6.5 除前述约定和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724389A">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1.6.6 如果出现政府采购监督管理部门在处理投诉事项期间，书面通知甲方暂停采购活动的情形，或者询问或质疑事项可能影响中标结果的，导致甲方中止履行合同的情形，均不视为甲方违约；</w:t>
      </w:r>
    </w:p>
    <w:p w14:paraId="2C1C8FC4">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1.6.7 没有甲方事先书面同意，乙方不得将由甲方提供的有关合同或任何合同条文、规格、计划或资料提供给与履行本合同无关的任何其他人。即使向履行本合同有关的人员提供，也应注意保密并限于履行合同的必需范围。乙方未履行保密义务给甲方造成损失的，应承担赔偿责任。本合同终止保密条款继续有效。</w:t>
      </w:r>
    </w:p>
    <w:p w14:paraId="6749F19C">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1.6.8乙方提供的服务或标的物如侵犯了第三方合法权益而引发的任何纠纷或诉讼，均由乙方负责交涉并承担全部责任。如因此造成甲方损失，乙方应赔偿甲方全部经济损失。  </w:t>
      </w:r>
    </w:p>
    <w:p w14:paraId="70C4636B">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1.6.9乙方所提供的服务或标的物质量、数量、服务项目要求(技术参数需求)等不符合招投标文件、国家有关质量标准或本合同约定的，甲方有权拒绝接受。如因此造成逾期提供相关服务或标的物的，则按第1.6.1款约定承担逾期违约责任。因特殊情况甲方同意接收不符合招投标文件、国家有关质量标准或本合同约定的服务或标的物的，乙方除承担逾期违约责任外，还应向甲方支付合同总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违约金。因乙方无法提供符合招投标文件、国家有关质量标准或本合同约定的服务或标的物的，甲方有权解除合同。</w:t>
      </w:r>
    </w:p>
    <w:p w14:paraId="629EC45E">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1.6.10 乙方有其它违约行为的，每发生一次按合同总价</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收取违约金。</w:t>
      </w:r>
    </w:p>
    <w:p w14:paraId="3A62E3F9">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1.6.11 甲方根据本合同约定而解除合同的，有权不予支付任何款项给乙方，已经支付的，乙方应当自甲方要求返还之日起5日内予以返还，除合同有其他约定外，乙方还应支付合同总价</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的违约金。</w:t>
      </w:r>
    </w:p>
    <w:p w14:paraId="0D32C2F4">
      <w:pPr>
        <w:pageBreakBefore w:val="0"/>
        <w:wordWrap w:val="0"/>
        <w:overflowPunct/>
        <w:topLinePunct w:val="0"/>
        <w:bidi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1.6.12当以上违约金不足以弥补甲方损失时，乙方还应对甲方超过违约金部分的损失依法承担赔偿责任，甲方有权继续向乙方追偿。乙方应当赔偿因此给甲方造成的所有损失，包括但不限于甲方直接损失、预期利益损失、向第三人承担的违约金、赔偿金、另行委托第三人的成本、为索赔支出的费用、律师费、诉讼费、仲裁费、调查费、公证费、鉴定费等。</w:t>
      </w:r>
    </w:p>
    <w:p w14:paraId="071785FC">
      <w:pPr>
        <w:pageBreakBefore w:val="0"/>
        <w:wordWrap w:val="0"/>
        <w:overflowPunct/>
        <w:topLinePunct w:val="0"/>
        <w:bidi w:val="0"/>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1.7 合同争议的解决</w:t>
      </w:r>
      <w:bookmarkEnd w:id="603"/>
      <w:bookmarkEnd w:id="604"/>
      <w:bookmarkEnd w:id="605"/>
    </w:p>
    <w:p w14:paraId="19FE481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种方式解决：</w:t>
      </w:r>
    </w:p>
    <w:p w14:paraId="200A2562">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1.7.1 将争议提交</w:t>
      </w:r>
      <w:r>
        <w:rPr>
          <w:rFonts w:hint="eastAsia" w:ascii="宋体" w:hAnsi="宋体" w:cs="宋体"/>
          <w:color w:val="auto"/>
          <w:sz w:val="24"/>
          <w:highlight w:val="none"/>
          <w:u w:val="single"/>
        </w:rPr>
        <w:t>南宁市</w:t>
      </w:r>
      <w:r>
        <w:rPr>
          <w:rFonts w:hint="eastAsia" w:ascii="宋体" w:hAnsi="宋体" w:cs="宋体"/>
          <w:color w:val="auto"/>
          <w:sz w:val="24"/>
          <w:highlight w:val="none"/>
        </w:rPr>
        <w:t>仲裁委员会依申请仲裁时其现行有效的仲裁规则裁决；</w:t>
      </w:r>
    </w:p>
    <w:p w14:paraId="038C1A3F">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1.7.2 向</w:t>
      </w:r>
      <w:r>
        <w:rPr>
          <w:rFonts w:hint="eastAsia" w:ascii="宋体" w:hAnsi="宋体" w:cs="宋体"/>
          <w:color w:val="auto"/>
          <w:sz w:val="24"/>
          <w:highlight w:val="none"/>
          <w:u w:val="single"/>
        </w:rPr>
        <w:t xml:space="preserve">   甲方所在地    </w:t>
      </w:r>
      <w:r>
        <w:rPr>
          <w:rFonts w:hint="eastAsia" w:ascii="宋体" w:hAnsi="宋体" w:cs="宋体"/>
          <w:color w:val="auto"/>
          <w:sz w:val="24"/>
          <w:highlight w:val="none"/>
          <w:u w:val="none"/>
        </w:rPr>
        <w:t>有管辖权的</w:t>
      </w:r>
      <w:r>
        <w:rPr>
          <w:rFonts w:hint="eastAsia" w:ascii="宋体" w:hAnsi="宋体" w:cs="宋体"/>
          <w:color w:val="auto"/>
          <w:sz w:val="24"/>
          <w:highlight w:val="none"/>
        </w:rPr>
        <w:t>人民法院起诉，甲方所在地为南宁市兴宁区。</w:t>
      </w:r>
    </w:p>
    <w:p w14:paraId="326BE041">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06" w:name="_Toc11173"/>
      <w:bookmarkStart w:id="607" w:name="_Toc15322"/>
      <w:bookmarkStart w:id="608" w:name="_Toc7245"/>
      <w:r>
        <w:rPr>
          <w:rFonts w:hint="eastAsia" w:ascii="宋体" w:hAnsi="宋体" w:cs="宋体"/>
          <w:b/>
          <w:color w:val="auto"/>
          <w:sz w:val="24"/>
          <w:highlight w:val="none"/>
        </w:rPr>
        <w:t>1.8 合同生效</w:t>
      </w:r>
      <w:bookmarkEnd w:id="606"/>
      <w:bookmarkEnd w:id="607"/>
      <w:bookmarkEnd w:id="608"/>
    </w:p>
    <w:p w14:paraId="2987B2BB">
      <w:pPr>
        <w:pageBreakBefore w:val="0"/>
        <w:wordWrap w:val="0"/>
        <w:overflowPunct/>
        <w:topLinePunct w:val="0"/>
        <w:bidi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本合同自双方法定代表人或授权代表签字并加盖双方单位有效公章时生效。</w:t>
      </w:r>
    </w:p>
    <w:p w14:paraId="404EF44F">
      <w:pPr>
        <w:pageBreakBefore w:val="0"/>
        <w:wordWrap w:val="0"/>
        <w:overflowPunct/>
        <w:topLinePunct w:val="0"/>
        <w:bidi w:val="0"/>
        <w:spacing w:line="360" w:lineRule="auto"/>
        <w:ind w:firstLine="200"/>
        <w:rPr>
          <w:rFonts w:hint="eastAsia" w:ascii="宋体" w:hAnsi="宋体" w:cs="宋体"/>
          <w:color w:val="auto"/>
          <w:sz w:val="24"/>
          <w:highlight w:val="none"/>
          <w:lang w:val="zh-CN"/>
        </w:rPr>
      </w:pPr>
    </w:p>
    <w:p w14:paraId="1BE6284F">
      <w:pPr>
        <w:pageBreakBefore w:val="0"/>
        <w:wordWrap w:val="0"/>
        <w:overflowPunct/>
        <w:topLinePunct w:val="0"/>
        <w:bidi w:val="0"/>
        <w:spacing w:line="360" w:lineRule="auto"/>
        <w:ind w:firstLine="200"/>
        <w:rPr>
          <w:rFonts w:hint="eastAsia" w:ascii="宋体" w:hAnsi="宋体" w:cs="宋体"/>
          <w:color w:val="auto"/>
          <w:sz w:val="24"/>
          <w:highlight w:val="none"/>
          <w:lang w:val="zh-CN"/>
        </w:rPr>
      </w:pPr>
    </w:p>
    <w:p w14:paraId="6EAEBAE6">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甲方：                                  乙方：</w:t>
      </w:r>
    </w:p>
    <w:p w14:paraId="567A8984">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14:paraId="6546551C">
      <w:pPr>
        <w:pageBreakBefore w:val="0"/>
        <w:wordWrap w:val="0"/>
        <w:overflowPunct/>
        <w:topLinePunct w:val="0"/>
        <w:bidi w:val="0"/>
        <w:spacing w:line="360" w:lineRule="auto"/>
        <w:ind w:firstLine="200"/>
        <w:rPr>
          <w:rFonts w:ascii="宋体" w:hAnsi="宋体" w:cs="宋体"/>
          <w:color w:val="auto"/>
          <w:sz w:val="24"/>
          <w:highlight w:val="none"/>
          <w:lang w:val="zh-CN"/>
        </w:rPr>
      </w:pPr>
    </w:p>
    <w:p w14:paraId="32758D71">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0B615182">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2668549D">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469A4505">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7FB0A186">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505528D7">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32EF4BAE">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28463EE5">
      <w:pPr>
        <w:pageBreakBefore w:val="0"/>
        <w:wordWrap w:val="0"/>
        <w:overflowPunct/>
        <w:topLinePunct w:val="0"/>
        <w:bidi w:val="0"/>
        <w:spacing w:line="360" w:lineRule="auto"/>
        <w:ind w:firstLine="200"/>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7BAF715A">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6DF41254">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46675232">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2D7ED172">
      <w:pPr>
        <w:pageBreakBefore w:val="0"/>
        <w:wordWrap w:val="0"/>
        <w:overflowPunct/>
        <w:topLinePunct w:val="0"/>
        <w:bidi w:val="0"/>
        <w:spacing w:line="360" w:lineRule="auto"/>
        <w:ind w:firstLine="200"/>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04EEED7E">
      <w:pPr>
        <w:pageBreakBefore w:val="0"/>
        <w:wordWrap w:val="0"/>
        <w:overflowPunct/>
        <w:topLinePunct w:val="0"/>
        <w:bidi w:val="0"/>
        <w:spacing w:line="360" w:lineRule="auto"/>
        <w:ind w:firstLine="200"/>
        <w:jc w:val="center"/>
        <w:rPr>
          <w:rFonts w:ascii="宋体" w:hAnsi="宋体" w:cs="宋体"/>
          <w:b/>
          <w:color w:val="auto"/>
          <w:sz w:val="28"/>
          <w:szCs w:val="28"/>
          <w:highlight w:val="none"/>
        </w:rPr>
      </w:pPr>
      <w:r>
        <w:rPr>
          <w:rFonts w:hint="eastAsia" w:ascii="宋体" w:hAnsi="宋体" w:cs="宋体"/>
          <w:b/>
          <w:color w:val="auto"/>
          <w:highlight w:val="none"/>
        </w:rPr>
        <w:br w:type="page"/>
      </w:r>
      <w:bookmarkStart w:id="609" w:name="_Toc331685783"/>
      <w:r>
        <w:rPr>
          <w:rFonts w:hint="eastAsia" w:ascii="宋体" w:hAnsi="宋体" w:cs="宋体"/>
          <w:b/>
          <w:color w:val="auto"/>
          <w:sz w:val="28"/>
          <w:szCs w:val="28"/>
          <w:highlight w:val="none"/>
        </w:rPr>
        <w:t>第二部分 合同一般条款</w:t>
      </w:r>
      <w:bookmarkEnd w:id="609"/>
    </w:p>
    <w:p w14:paraId="1B7C18E2">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10" w:name="_Toc487900349"/>
      <w:bookmarkStart w:id="611" w:name="_Ref467379214"/>
      <w:bookmarkStart w:id="612" w:name="_Ref467379225"/>
      <w:bookmarkStart w:id="613" w:name="_Ref467379101"/>
      <w:bookmarkStart w:id="614" w:name="_Ref467378404"/>
      <w:bookmarkStart w:id="615" w:name="_Ref467379094"/>
      <w:bookmarkStart w:id="616" w:name="_Ref467378499"/>
      <w:bookmarkStart w:id="617" w:name="_Toc28763"/>
      <w:bookmarkStart w:id="618" w:name="_Ref467379195"/>
      <w:bookmarkStart w:id="619" w:name="_Toc16917"/>
      <w:bookmarkStart w:id="620" w:name="_Toc19614"/>
      <w:bookmarkStart w:id="621" w:name="_Ref467379205"/>
      <w:bookmarkStart w:id="622" w:name="_Toc279701240"/>
      <w:bookmarkStart w:id="623" w:name="_Toc259093669"/>
      <w:bookmarkStart w:id="624" w:name="_Ref467379109"/>
      <w:bookmarkStart w:id="625" w:name="_Ref467378463"/>
      <w:r>
        <w:rPr>
          <w:rFonts w:hint="eastAsia" w:ascii="宋体" w:hAnsi="宋体" w:cs="宋体"/>
          <w:b/>
          <w:color w:val="auto"/>
          <w:sz w:val="24"/>
          <w:highlight w:val="none"/>
        </w:rPr>
        <w:t>2.1 定义</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4B137F0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40077584">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和</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签订的载明双方当事人所达成的协议，并包括所有的附件、附录和构成合同的其他文件。</w:t>
      </w:r>
    </w:p>
    <w:p w14:paraId="0AC022E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在完全履行合同义务后，</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应支付给</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的价格。</w:t>
      </w:r>
    </w:p>
    <w:p w14:paraId="6AAFF9E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 “标的物”系指</w:t>
      </w:r>
      <w:r>
        <w:rPr>
          <w:rFonts w:hint="eastAsia" w:ascii="宋体" w:hAnsi="宋体" w:cs="宋体"/>
          <w:color w:val="auto"/>
          <w:sz w:val="24"/>
          <w:highlight w:val="none"/>
          <w:lang w:val="en-US" w:eastAsia="zh-CN"/>
        </w:rPr>
        <w:t>乙方</w:t>
      </w:r>
      <w:r>
        <w:rPr>
          <w:rFonts w:hint="eastAsia" w:ascii="宋体" w:hAnsi="宋体" w:cs="宋体"/>
          <w:color w:val="auto"/>
          <w:sz w:val="24"/>
          <w:highlight w:val="none"/>
        </w:rPr>
        <w:t>根据合同约定应向</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交付的一切各种形态和种类的货物、服务和工程，包括但不限于原材料、燃料、设备、机械、仪表、备件、计算机软件、信息化系统、信息化维保、物业服务、产品等，并包括工具、手册等其他相关资料。</w:t>
      </w:r>
    </w:p>
    <w:p w14:paraId="44CA470B">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626" w:name="_Ref467378840"/>
      <w:r>
        <w:rPr>
          <w:rFonts w:hint="eastAsia" w:ascii="宋体" w:hAnsi="宋体" w:cs="宋体"/>
          <w:color w:val="auto"/>
          <w:sz w:val="24"/>
          <w:highlight w:val="none"/>
        </w:rPr>
        <w:t>2.1.4 “甲方”系指与中标供应商签署合同的</w:t>
      </w:r>
      <w:bookmarkEnd w:id="626"/>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委托采购机构代表其与乙方签订合同的，</w:t>
      </w:r>
      <w:r>
        <w:rPr>
          <w:rFonts w:hint="eastAsia" w:ascii="宋体" w:hAnsi="宋体" w:cs="宋体"/>
          <w:color w:val="auto"/>
          <w:sz w:val="24"/>
          <w:highlight w:val="none"/>
          <w:lang w:val="en-US" w:eastAsia="zh-CN"/>
        </w:rPr>
        <w:t>甲方</w:t>
      </w:r>
      <w:r>
        <w:rPr>
          <w:rFonts w:hint="eastAsia" w:ascii="宋体" w:hAnsi="宋体" w:cs="宋体"/>
          <w:color w:val="auto"/>
          <w:sz w:val="24"/>
          <w:highlight w:val="none"/>
        </w:rPr>
        <w:t>的授权委托书作为合同附件。</w:t>
      </w:r>
    </w:p>
    <w:p w14:paraId="62E48843">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627" w:name="_Ref467379400"/>
      <w:r>
        <w:rPr>
          <w:rFonts w:hint="eastAsia" w:ascii="宋体" w:hAnsi="宋体" w:cs="宋体"/>
          <w:color w:val="auto"/>
          <w:sz w:val="24"/>
          <w:highlight w:val="none"/>
        </w:rPr>
        <w:t>2.1.5 “乙方”系指根据合同约定交付标的物的</w:t>
      </w:r>
      <w:bookmarkEnd w:id="627"/>
      <w:r>
        <w:rPr>
          <w:rFonts w:hint="eastAsia" w:ascii="宋体" w:hAnsi="宋体" w:cs="宋体"/>
          <w:color w:val="auto"/>
          <w:sz w:val="24"/>
          <w:highlight w:val="none"/>
        </w:rPr>
        <w:t>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72EEDFF">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628" w:name="_Ref467379436"/>
      <w:r>
        <w:rPr>
          <w:rFonts w:hint="eastAsia" w:ascii="宋体" w:hAnsi="宋体" w:cs="宋体"/>
          <w:color w:val="auto"/>
          <w:sz w:val="24"/>
          <w:highlight w:val="none"/>
        </w:rPr>
        <w:t>2.1.6 “现场”系指合同约定标的物将要运至或者实施或者安装的地点。</w:t>
      </w:r>
      <w:bookmarkEnd w:id="628"/>
    </w:p>
    <w:p w14:paraId="2FA3870C">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29" w:name="_Toc27635"/>
      <w:bookmarkStart w:id="630" w:name="_Toc259093670"/>
      <w:bookmarkStart w:id="631" w:name="_Toc279701241"/>
      <w:bookmarkStart w:id="632" w:name="_Toc487900350"/>
      <w:bookmarkStart w:id="633" w:name="_Toc32504"/>
      <w:bookmarkStart w:id="634" w:name="_Toc13336"/>
      <w:r>
        <w:rPr>
          <w:rFonts w:hint="eastAsia" w:ascii="宋体" w:hAnsi="宋体" w:cs="宋体"/>
          <w:b/>
          <w:color w:val="auto"/>
          <w:sz w:val="24"/>
          <w:highlight w:val="none"/>
        </w:rPr>
        <w:t>2.2 技术规范</w:t>
      </w:r>
      <w:bookmarkEnd w:id="629"/>
      <w:bookmarkEnd w:id="630"/>
      <w:bookmarkEnd w:id="631"/>
      <w:bookmarkEnd w:id="632"/>
      <w:bookmarkEnd w:id="633"/>
      <w:bookmarkEnd w:id="634"/>
    </w:p>
    <w:p w14:paraId="76721F5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F3F4D80">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35" w:name="_Toc27853"/>
      <w:bookmarkStart w:id="636" w:name="_Toc487900351"/>
      <w:bookmarkStart w:id="637" w:name="_Toc9829"/>
      <w:bookmarkStart w:id="638" w:name="_Toc31634"/>
      <w:bookmarkStart w:id="639" w:name="_Toc259093671"/>
      <w:bookmarkStart w:id="640" w:name="_Toc279701242"/>
      <w:r>
        <w:rPr>
          <w:rFonts w:hint="eastAsia" w:ascii="宋体" w:hAnsi="宋体" w:cs="宋体"/>
          <w:b/>
          <w:color w:val="auto"/>
          <w:sz w:val="24"/>
          <w:highlight w:val="none"/>
        </w:rPr>
        <w:t>2.3 知识产权</w:t>
      </w:r>
      <w:bookmarkEnd w:id="635"/>
      <w:bookmarkEnd w:id="636"/>
      <w:bookmarkEnd w:id="637"/>
      <w:bookmarkEnd w:id="638"/>
      <w:bookmarkEnd w:id="639"/>
      <w:bookmarkEnd w:id="640"/>
    </w:p>
    <w:p w14:paraId="3030A0C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9C82DF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2.3.2具有知识产权的计算机软件等标的物的知识产权归属，详见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19F7794">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41" w:name="_Ref467379536"/>
      <w:bookmarkStart w:id="642" w:name="_Ref467378541"/>
      <w:bookmarkStart w:id="643" w:name="_Toc487900354"/>
      <w:bookmarkStart w:id="644" w:name="_Ref467378591"/>
      <w:bookmarkStart w:id="645" w:name="_Toc279701245"/>
      <w:bookmarkStart w:id="646" w:name="_Ref467379542"/>
      <w:bookmarkStart w:id="647" w:name="_Ref467379527"/>
      <w:bookmarkStart w:id="648" w:name="_Toc259093674"/>
      <w:bookmarkStart w:id="649" w:name="_Toc19074"/>
      <w:bookmarkStart w:id="650" w:name="_Toc30272"/>
      <w:bookmarkStart w:id="651" w:name="_Toc26182"/>
      <w:r>
        <w:rPr>
          <w:rFonts w:hint="eastAsia" w:ascii="宋体" w:hAnsi="宋体" w:cs="宋体"/>
          <w:b/>
          <w:color w:val="auto"/>
          <w:sz w:val="24"/>
          <w:highlight w:val="none"/>
        </w:rPr>
        <w:t>2.</w:t>
      </w:r>
      <w:bookmarkEnd w:id="641"/>
      <w:bookmarkEnd w:id="642"/>
      <w:bookmarkEnd w:id="643"/>
      <w:bookmarkEnd w:id="644"/>
      <w:bookmarkEnd w:id="645"/>
      <w:bookmarkEnd w:id="646"/>
      <w:bookmarkEnd w:id="647"/>
      <w:bookmarkEnd w:id="648"/>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 xml:space="preserve"> 履约检查和问题反馈</w:t>
      </w:r>
      <w:bookmarkEnd w:id="649"/>
      <w:bookmarkEnd w:id="650"/>
      <w:bookmarkEnd w:id="651"/>
    </w:p>
    <w:p w14:paraId="21E2EC81">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652" w:name="_Ref467379657"/>
      <w:r>
        <w:rPr>
          <w:rFonts w:hint="eastAsia" w:ascii="宋体" w:hAnsi="宋体" w:cs="宋体"/>
          <w:color w:val="auto"/>
          <w:sz w:val="24"/>
          <w:highlight w:val="none"/>
        </w:rPr>
        <w:t>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.1</w:t>
      </w:r>
      <w:bookmarkEnd w:id="652"/>
      <w:bookmarkStart w:id="653" w:name="_Toc186431854"/>
      <w:bookmarkStart w:id="654" w:name="_Toc279701247"/>
      <w:bookmarkStart w:id="655" w:name="_Toc259093676"/>
      <w:bookmarkStart w:id="656" w:name="_Ref467379793"/>
      <w:bookmarkStart w:id="657" w:name="_Ref467379807"/>
      <w:bookmarkStart w:id="658" w:name="_Toc487900357"/>
      <w:r>
        <w:rPr>
          <w:rFonts w:hint="eastAsia" w:ascii="宋体" w:hAnsi="宋体" w:cs="宋体"/>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8323D7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.2 合同履行期间，甲方有权将履行过程中出现的问题反馈给乙方，双方当事人应以书面形式约定需要完善和改进的内容</w:t>
      </w:r>
      <w:bookmarkEnd w:id="653"/>
      <w:bookmarkStart w:id="659" w:name="_Toc186431855"/>
      <w:r>
        <w:rPr>
          <w:rFonts w:hint="eastAsia" w:ascii="宋体" w:hAnsi="宋体" w:cs="宋体"/>
          <w:color w:val="auto"/>
          <w:sz w:val="24"/>
          <w:highlight w:val="none"/>
        </w:rPr>
        <w:t>。</w:t>
      </w:r>
    </w:p>
    <w:bookmarkEnd w:id="659"/>
    <w:p w14:paraId="5EF5D6C2">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60" w:name="_Toc7836"/>
      <w:bookmarkStart w:id="661" w:name="_Toc19219"/>
      <w:bookmarkStart w:id="662" w:name="_Toc28451"/>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 xml:space="preserve"> 结算方式和付款条件</w:t>
      </w:r>
      <w:bookmarkEnd w:id="654"/>
      <w:bookmarkEnd w:id="655"/>
      <w:bookmarkEnd w:id="656"/>
      <w:bookmarkEnd w:id="657"/>
      <w:bookmarkEnd w:id="658"/>
      <w:bookmarkEnd w:id="660"/>
      <w:bookmarkEnd w:id="661"/>
      <w:bookmarkEnd w:id="662"/>
    </w:p>
    <w:p w14:paraId="091784E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92A1C3A">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63" w:name="_Toc279701248"/>
      <w:bookmarkStart w:id="664" w:name="_Ref467379923"/>
      <w:bookmarkStart w:id="665" w:name="_Toc487900358"/>
      <w:bookmarkStart w:id="666" w:name="_Toc259093677"/>
      <w:bookmarkStart w:id="667" w:name="_Ref467379863"/>
      <w:bookmarkStart w:id="668" w:name="_Ref467379852"/>
      <w:bookmarkStart w:id="669" w:name="_Toc3225"/>
      <w:bookmarkStart w:id="670" w:name="_Toc16110"/>
      <w:bookmarkStart w:id="671" w:name="_Toc774"/>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 xml:space="preserve"> 技术资料</w:t>
      </w:r>
      <w:bookmarkEnd w:id="663"/>
      <w:bookmarkEnd w:id="664"/>
      <w:bookmarkEnd w:id="665"/>
      <w:bookmarkEnd w:id="666"/>
      <w:bookmarkEnd w:id="667"/>
      <w:bookmarkEnd w:id="668"/>
      <w:r>
        <w:rPr>
          <w:rFonts w:hint="eastAsia" w:ascii="宋体" w:hAnsi="宋体" w:cs="宋体"/>
          <w:b/>
          <w:color w:val="auto"/>
          <w:sz w:val="24"/>
          <w:highlight w:val="none"/>
        </w:rPr>
        <w:t>和保密义务</w:t>
      </w:r>
      <w:bookmarkEnd w:id="669"/>
      <w:bookmarkEnd w:id="670"/>
      <w:bookmarkEnd w:id="671"/>
    </w:p>
    <w:p w14:paraId="7DED3C1E">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.1 乙方有权依据合同约定和项目需要，向甲方了解有关情况，调阅有关资料等，甲方应予积极配合；</w:t>
      </w:r>
    </w:p>
    <w:p w14:paraId="270DD9D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 乙方有义务妥善保管和保护由甲方提供的前款信息和资料等；</w:t>
      </w:r>
    </w:p>
    <w:p w14:paraId="383B060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99D921D">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72" w:name="_Toc7860"/>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7</w:t>
      </w:r>
      <w:r>
        <w:rPr>
          <w:rFonts w:hint="eastAsia" w:ascii="宋体" w:hAnsi="宋体" w:cs="宋体"/>
          <w:b/>
          <w:color w:val="auto"/>
          <w:sz w:val="24"/>
          <w:highlight w:val="none"/>
        </w:rPr>
        <w:t xml:space="preserve"> 质量保证</w:t>
      </w:r>
      <w:bookmarkEnd w:id="672"/>
    </w:p>
    <w:p w14:paraId="758F391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.1 乙方应建立和完善履行合同的内部质量保证体系，并提供相关内部规章制度给甲方，以便甲方进行监督检查；</w:t>
      </w:r>
    </w:p>
    <w:p w14:paraId="5F5058C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.2 乙方应保证履行合同的人员数量和素质、软件和硬件设备的配置、场地、环境和设施等满足全面履行合同的要求，并应接受甲方的监督检查。</w:t>
      </w:r>
    </w:p>
    <w:p w14:paraId="353D4E32">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.3乙方应确保项目技术人员的数量和水平与投标文件一致。未经甲方书面同意，乙方不得擅自更换投标文件中注明的项目经理和技术负责人。否则</w:t>
      </w:r>
      <w:r>
        <w:rPr>
          <w:rFonts w:hint="eastAsia" w:ascii="宋体" w:hAnsi="宋体" w:cs="宋体"/>
          <w:color w:val="auto"/>
          <w:kern w:val="0"/>
          <w:sz w:val="24"/>
          <w:highlight w:val="none"/>
        </w:rPr>
        <w:t>甲方有权放弃或终止合同，并没收履约保证金。</w:t>
      </w:r>
    </w:p>
    <w:p w14:paraId="3EEFB2F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en-US" w:eastAsia="zh-CN"/>
        </w:rPr>
        <w:t>7</w:t>
      </w:r>
      <w:r>
        <w:rPr>
          <w:rFonts w:hint="eastAsia" w:ascii="宋体" w:hAnsi="宋体" w:cs="宋体"/>
          <w:color w:val="auto"/>
          <w:sz w:val="24"/>
          <w:highlight w:val="none"/>
        </w:rPr>
        <w:t>.4因乙方原因造成甲方其他系统不能正常运行，酿成重大事故（工作日系统中断一天以上）的，乙方应承担全部法律责任，并赔偿经济损失，赔偿金额为项目总价的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（根据项目实际情况填写，一般为30%）。</w:t>
      </w:r>
    </w:p>
    <w:p w14:paraId="1EA32340">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73" w:name="_Toc17244"/>
      <w:bookmarkStart w:id="674" w:name="_Toc259093681"/>
      <w:bookmarkStart w:id="675" w:name="_Toc279701252"/>
      <w:bookmarkStart w:id="676" w:name="_Toc487900362"/>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8</w:t>
      </w:r>
      <w:r>
        <w:rPr>
          <w:rFonts w:hint="eastAsia" w:ascii="宋体" w:hAnsi="宋体" w:cs="宋体"/>
          <w:b/>
          <w:color w:val="auto"/>
          <w:sz w:val="24"/>
          <w:highlight w:val="none"/>
        </w:rPr>
        <w:t xml:space="preserve"> 标的物的风险负担</w:t>
      </w:r>
      <w:bookmarkEnd w:id="673"/>
    </w:p>
    <w:p w14:paraId="2042F35B">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b w:val="0"/>
          <w:i w:val="0"/>
          <w:color w:val="auto"/>
          <w:sz w:val="24"/>
          <w:highlight w:val="none"/>
          <w:u w:val="none"/>
        </w:rPr>
        <w:t>标的物在合同服务期限内毁损、灭失的风险负担详见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242F3685">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77" w:name="_Toc14055"/>
      <w:r>
        <w:rPr>
          <w:rFonts w:hint="eastAsia" w:ascii="宋体" w:hAnsi="宋体" w:cs="宋体"/>
          <w:b/>
          <w:color w:val="auto"/>
          <w:sz w:val="24"/>
          <w:highlight w:val="none"/>
        </w:rPr>
        <w:t>2.</w:t>
      </w:r>
      <w:r>
        <w:rPr>
          <w:rFonts w:hint="eastAsia" w:ascii="宋体" w:hAnsi="宋体" w:cs="宋体"/>
          <w:b/>
          <w:color w:val="auto"/>
          <w:sz w:val="24"/>
          <w:highlight w:val="none"/>
          <w:lang w:val="en-US" w:eastAsia="zh-CN"/>
        </w:rPr>
        <w:t>9</w:t>
      </w:r>
      <w:r>
        <w:rPr>
          <w:rFonts w:hint="eastAsia" w:ascii="宋体" w:hAnsi="宋体" w:cs="宋体"/>
          <w:b/>
          <w:color w:val="auto"/>
          <w:sz w:val="24"/>
          <w:highlight w:val="none"/>
        </w:rPr>
        <w:t xml:space="preserve"> 延迟交货</w:t>
      </w:r>
      <w:bookmarkEnd w:id="674"/>
      <w:bookmarkEnd w:id="675"/>
      <w:bookmarkEnd w:id="676"/>
      <w:bookmarkEnd w:id="677"/>
      <w:r>
        <w:rPr>
          <w:rFonts w:hint="eastAsia" w:ascii="宋体" w:hAnsi="宋体" w:cs="宋体"/>
          <w:b/>
          <w:color w:val="auto"/>
          <w:sz w:val="24"/>
          <w:highlight w:val="none"/>
        </w:rPr>
        <w:t>/交付</w:t>
      </w:r>
    </w:p>
    <w:p w14:paraId="40308A0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6DFEEDC0">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78" w:name="_Toc7502"/>
      <w:bookmarkStart w:id="679" w:name="_Toc487900364"/>
      <w:bookmarkStart w:id="680" w:name="_Toc279701254"/>
      <w:bookmarkStart w:id="681" w:name="_Toc259093683"/>
      <w:bookmarkStart w:id="682" w:name="_Ref467378121"/>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0</w:t>
      </w:r>
      <w:r>
        <w:rPr>
          <w:rFonts w:hint="eastAsia" w:ascii="宋体" w:hAnsi="宋体" w:cs="宋体"/>
          <w:b/>
          <w:color w:val="auto"/>
          <w:sz w:val="24"/>
          <w:highlight w:val="none"/>
        </w:rPr>
        <w:t xml:space="preserve"> 合同变更</w:t>
      </w:r>
      <w:bookmarkEnd w:id="678"/>
    </w:p>
    <w:p w14:paraId="2DABCD2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3ADA56D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.2 合同继续履行将损害国家利益和社会公共利益的，双方当事人应当以书面形式变更合同。有过错的一方应当承担赔偿责任，双方当事人都有过错的，各自承担相应的责任。</w:t>
      </w:r>
      <w:bookmarkStart w:id="683" w:name="_Toc279701259"/>
      <w:bookmarkStart w:id="684" w:name="_Toc487900369"/>
      <w:bookmarkStart w:id="685" w:name="_Toc259093688"/>
    </w:p>
    <w:p w14:paraId="0E6CD95A">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86" w:name="_Toc22955"/>
      <w:bookmarkStart w:id="687" w:name="_Toc15237"/>
      <w:bookmarkStart w:id="688" w:name="_Toc10366"/>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1</w:t>
      </w:r>
      <w:r>
        <w:rPr>
          <w:rFonts w:hint="eastAsia" w:ascii="宋体" w:hAnsi="宋体" w:cs="宋体"/>
          <w:b/>
          <w:color w:val="auto"/>
          <w:sz w:val="24"/>
          <w:highlight w:val="none"/>
        </w:rPr>
        <w:t xml:space="preserve"> 合同转让</w:t>
      </w:r>
      <w:bookmarkEnd w:id="683"/>
      <w:bookmarkEnd w:id="684"/>
      <w:bookmarkEnd w:id="685"/>
      <w:r>
        <w:rPr>
          <w:rFonts w:hint="eastAsia" w:ascii="宋体" w:hAnsi="宋体" w:cs="宋体"/>
          <w:b/>
          <w:color w:val="auto"/>
          <w:sz w:val="24"/>
          <w:highlight w:val="none"/>
        </w:rPr>
        <w:t>和分包</w:t>
      </w:r>
      <w:bookmarkEnd w:id="686"/>
      <w:bookmarkEnd w:id="687"/>
      <w:bookmarkEnd w:id="688"/>
    </w:p>
    <w:p w14:paraId="6CD6C58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20B947F">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89" w:name="_Toc16508"/>
      <w:bookmarkStart w:id="690" w:name="_Toc13566"/>
      <w:bookmarkStart w:id="691" w:name="_Toc14066"/>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2</w:t>
      </w:r>
      <w:r>
        <w:rPr>
          <w:rFonts w:hint="eastAsia" w:ascii="宋体" w:hAnsi="宋体" w:cs="宋体"/>
          <w:b/>
          <w:color w:val="auto"/>
          <w:sz w:val="24"/>
          <w:highlight w:val="none"/>
        </w:rPr>
        <w:t xml:space="preserve"> 不可抗力</w:t>
      </w:r>
      <w:bookmarkEnd w:id="689"/>
      <w:bookmarkEnd w:id="690"/>
      <w:bookmarkEnd w:id="691"/>
    </w:p>
    <w:p w14:paraId="1A255DB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.1如果任何一方遭遇法律规定的不可抗力，致使合同履行受阻时，履行合同的期限应予延长，延长的期限应相当于不可抗力所影响的时间；</w:t>
      </w:r>
    </w:p>
    <w:p w14:paraId="6AF86308">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.2受不可抗力影响的一方在不可抗力发生后，应在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2B84DDA6">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.3 因不可抗力致使不能实现合同目的的，当事人可以解除合同；</w:t>
      </w:r>
    </w:p>
    <w:p w14:paraId="5748017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.4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2EC89252">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92" w:name="_Toc259093684"/>
      <w:bookmarkStart w:id="693" w:name="_Toc279701255"/>
      <w:bookmarkStart w:id="694" w:name="_Toc30676"/>
      <w:bookmarkStart w:id="695" w:name="_Toc689"/>
      <w:bookmarkStart w:id="696" w:name="_Toc6969"/>
      <w:bookmarkStart w:id="697" w:name="_Toc487900365"/>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3</w:t>
      </w:r>
      <w:r>
        <w:rPr>
          <w:rFonts w:hint="eastAsia" w:ascii="宋体" w:hAnsi="宋体" w:cs="宋体"/>
          <w:b/>
          <w:color w:val="auto"/>
          <w:sz w:val="24"/>
          <w:highlight w:val="none"/>
        </w:rPr>
        <w:t xml:space="preserve"> 税费</w:t>
      </w:r>
      <w:bookmarkEnd w:id="692"/>
      <w:bookmarkEnd w:id="693"/>
      <w:bookmarkEnd w:id="694"/>
      <w:bookmarkEnd w:id="695"/>
      <w:bookmarkEnd w:id="696"/>
      <w:bookmarkEnd w:id="697"/>
    </w:p>
    <w:p w14:paraId="7E3448F0">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与合同有关的一切税费，均按照中华人民共和国法律的相关规定执行。</w:t>
      </w:r>
    </w:p>
    <w:p w14:paraId="40C72A8C">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698" w:name="_Toc487900368"/>
      <w:bookmarkStart w:id="699" w:name="_Toc7102"/>
      <w:bookmarkStart w:id="700" w:name="_Toc8298"/>
      <w:bookmarkStart w:id="701" w:name="_Toc259093687"/>
      <w:bookmarkStart w:id="702" w:name="_Toc279701258"/>
      <w:bookmarkStart w:id="703" w:name="_Toc16959"/>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 xml:space="preserve"> 乙方破产</w:t>
      </w:r>
      <w:bookmarkEnd w:id="698"/>
      <w:bookmarkEnd w:id="699"/>
      <w:bookmarkEnd w:id="700"/>
      <w:bookmarkEnd w:id="701"/>
      <w:bookmarkEnd w:id="702"/>
      <w:bookmarkEnd w:id="703"/>
    </w:p>
    <w:p w14:paraId="6F4824C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CCBE251">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704" w:name="_Toc15387"/>
      <w:bookmarkStart w:id="705" w:name="_Toc29333"/>
      <w:bookmarkStart w:id="706" w:name="_Toc6134"/>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5</w:t>
      </w:r>
      <w:r>
        <w:rPr>
          <w:rFonts w:hint="eastAsia" w:ascii="宋体" w:hAnsi="宋体" w:cs="宋体"/>
          <w:b/>
          <w:color w:val="auto"/>
          <w:sz w:val="24"/>
          <w:highlight w:val="none"/>
        </w:rPr>
        <w:t xml:space="preserve"> 合同中止、终止</w:t>
      </w:r>
      <w:bookmarkEnd w:id="704"/>
      <w:bookmarkEnd w:id="705"/>
      <w:bookmarkEnd w:id="706"/>
    </w:p>
    <w:p w14:paraId="794A0BB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.1 双方当事人不得擅自中止或者终止合同；</w:t>
      </w:r>
    </w:p>
    <w:p w14:paraId="1C7B253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.2合同继续履行将损害国家利益和社会公共利益的，双方当事人应当中止或者终止合同。有过错的一方应当承担赔偿责任，双方当事人都有过错的，各自承担相应的责任。</w:t>
      </w:r>
    </w:p>
    <w:p w14:paraId="4E4D1D74">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707" w:name="_Toc14563"/>
      <w:bookmarkStart w:id="708" w:name="_Toc1125"/>
      <w:bookmarkStart w:id="709" w:name="_Toc6596"/>
      <w:r>
        <w:rPr>
          <w:rFonts w:hint="eastAsia" w:ascii="宋体" w:hAnsi="宋体" w:cs="宋体"/>
          <w:b/>
          <w:color w:val="auto"/>
          <w:sz w:val="24"/>
          <w:highlight w:val="none"/>
        </w:rPr>
        <w:t>2.1</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 xml:space="preserve"> 检验和验收</w:t>
      </w:r>
      <w:bookmarkEnd w:id="707"/>
      <w:bookmarkEnd w:id="708"/>
      <w:bookmarkEnd w:id="709"/>
    </w:p>
    <w:p w14:paraId="33474222">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.1标的物交付前，乙方应对标的物的质量、数量等方面进行详细、全面的检验，并向甲方出具证明标的物符合合同约定的文件；标的物交付时，乙方在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w:t>
      </w:r>
    </w:p>
    <w:p w14:paraId="6F14D940">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2合同期满或者履行完毕后，甲方有权组织（包括依法邀请国家认可的质量检测机构参加）对乙方履约的验收，即：按照合同约定的技术、服务、安全标准，组织对每一项技术、服务、安全标准的履约情况的验收，并出具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w:t>
      </w:r>
    </w:p>
    <w:p w14:paraId="3276A481">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.3 检验和验收标准、程序等具体内容以及前述验收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679"/>
    <w:bookmarkEnd w:id="680"/>
    <w:bookmarkEnd w:id="681"/>
    <w:bookmarkEnd w:id="682"/>
    <w:p w14:paraId="760CEAE5">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710" w:name="_Toc259093690"/>
      <w:bookmarkStart w:id="711" w:name="_Toc487900371"/>
      <w:bookmarkStart w:id="712" w:name="_Toc279701261"/>
      <w:bookmarkStart w:id="713" w:name="_Toc25182"/>
      <w:bookmarkStart w:id="714" w:name="_Toc19604"/>
      <w:bookmarkStart w:id="715" w:name="_Toc11284"/>
      <w:r>
        <w:rPr>
          <w:rFonts w:hint="eastAsia" w:ascii="宋体" w:hAnsi="宋体" w:cs="宋体"/>
          <w:b/>
          <w:color w:val="auto"/>
          <w:sz w:val="24"/>
          <w:highlight w:val="none"/>
        </w:rPr>
        <w:t>2.18 通知</w:t>
      </w:r>
      <w:bookmarkEnd w:id="710"/>
      <w:bookmarkEnd w:id="711"/>
      <w:bookmarkEnd w:id="712"/>
      <w:r>
        <w:rPr>
          <w:rFonts w:hint="eastAsia" w:ascii="宋体" w:hAnsi="宋体" w:cs="宋体"/>
          <w:b/>
          <w:color w:val="auto"/>
          <w:sz w:val="24"/>
          <w:highlight w:val="none"/>
        </w:rPr>
        <w:t>和送达</w:t>
      </w:r>
      <w:bookmarkEnd w:id="713"/>
      <w:bookmarkEnd w:id="714"/>
      <w:bookmarkEnd w:id="715"/>
    </w:p>
    <w:p w14:paraId="63039C07">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716" w:name="_Toc6698"/>
      <w:bookmarkStart w:id="717" w:name="_Toc3135"/>
      <w:bookmarkStart w:id="718" w:name="_Toc487900372"/>
      <w:bookmarkStart w:id="719" w:name="_Toc259093691"/>
      <w:bookmarkStart w:id="720" w:name="_Toc279701262"/>
      <w:r>
        <w:rPr>
          <w:rFonts w:hint="eastAsia" w:ascii="宋体" w:hAnsi="宋体" w:cs="宋体"/>
          <w:color w:val="auto"/>
          <w:sz w:val="24"/>
          <w:highlight w:val="none"/>
        </w:rPr>
        <w:t>2.18.1 任何一方因履行合同而以合同第一部分尾部所列明的</w:t>
      </w:r>
      <w:r>
        <w:rPr>
          <w:rFonts w:hint="eastAsia" w:ascii="宋体" w:hAnsi="宋体" w:cs="宋体"/>
          <w:color w:val="auto"/>
          <w:sz w:val="24"/>
          <w:highlight w:val="none"/>
          <w:u w:val="single"/>
        </w:rPr>
        <w:t>“约定送达地址”</w:t>
      </w:r>
      <w:r>
        <w:rPr>
          <w:rFonts w:hint="eastAsia" w:ascii="宋体" w:hAnsi="宋体" w:cs="宋体"/>
          <w:color w:val="auto"/>
          <w:sz w:val="24"/>
          <w:highlight w:val="none"/>
        </w:rPr>
        <w:t>为收件地址的所有通知、文件、材料，均视为已向对方当事人送达；任何一方变更上述送达方式或者地址的，应于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个工作日（根据项目实际情况填写）内书面通知对方当事人，在对方当事人收到有关变更通知之前，变更前的约定送达方式或者地址仍视为有效。</w:t>
      </w:r>
      <w:bookmarkEnd w:id="716"/>
      <w:bookmarkEnd w:id="717"/>
    </w:p>
    <w:p w14:paraId="09192316">
      <w:pPr>
        <w:pageBreakBefore w:val="0"/>
        <w:wordWrap w:val="0"/>
        <w:overflowPunct/>
        <w:topLinePunct w:val="0"/>
        <w:bidi w:val="0"/>
        <w:spacing w:line="360" w:lineRule="auto"/>
        <w:ind w:firstLine="480" w:firstLineChars="200"/>
        <w:rPr>
          <w:rFonts w:ascii="宋体" w:hAnsi="宋体" w:cs="宋体"/>
          <w:color w:val="auto"/>
          <w:sz w:val="24"/>
          <w:highlight w:val="none"/>
        </w:rPr>
      </w:pPr>
      <w:bookmarkStart w:id="721" w:name="_Toc23128"/>
      <w:bookmarkStart w:id="722" w:name="_Toc23294"/>
      <w:r>
        <w:rPr>
          <w:rFonts w:hint="eastAsia" w:ascii="宋体" w:hAnsi="宋体" w:cs="宋体"/>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721"/>
      <w:bookmarkEnd w:id="722"/>
    </w:p>
    <w:p w14:paraId="6CF31930">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723" w:name="_Toc18540"/>
      <w:bookmarkStart w:id="724" w:name="_Toc4355"/>
      <w:bookmarkStart w:id="725" w:name="_Toc30599"/>
      <w:r>
        <w:rPr>
          <w:rFonts w:hint="eastAsia" w:ascii="宋体" w:hAnsi="宋体" w:cs="宋体"/>
          <w:b/>
          <w:color w:val="auto"/>
          <w:sz w:val="24"/>
          <w:highlight w:val="none"/>
        </w:rPr>
        <w:t>2.19 计量单位</w:t>
      </w:r>
      <w:bookmarkEnd w:id="718"/>
      <w:bookmarkEnd w:id="719"/>
      <w:bookmarkEnd w:id="720"/>
      <w:bookmarkEnd w:id="723"/>
      <w:bookmarkEnd w:id="724"/>
      <w:bookmarkEnd w:id="725"/>
    </w:p>
    <w:p w14:paraId="2CA4E1B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6A2F41A8">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726" w:name="_Toc259093692"/>
      <w:bookmarkStart w:id="727" w:name="_Toc487900373"/>
      <w:bookmarkStart w:id="728" w:name="_Toc18567"/>
      <w:bookmarkStart w:id="729" w:name="_Toc279701263"/>
      <w:bookmarkStart w:id="730" w:name="_Toc10330"/>
      <w:bookmarkStart w:id="731" w:name="_Toc12773"/>
      <w:r>
        <w:rPr>
          <w:rFonts w:hint="eastAsia" w:ascii="宋体" w:hAnsi="宋体" w:cs="宋体"/>
          <w:b/>
          <w:color w:val="auto"/>
          <w:sz w:val="24"/>
          <w:highlight w:val="none"/>
        </w:rPr>
        <w:t>2.20 合同使用的文字和适用的法律</w:t>
      </w:r>
      <w:bookmarkEnd w:id="726"/>
      <w:bookmarkEnd w:id="727"/>
      <w:bookmarkEnd w:id="728"/>
      <w:bookmarkEnd w:id="729"/>
      <w:bookmarkEnd w:id="730"/>
      <w:bookmarkEnd w:id="731"/>
    </w:p>
    <w:p w14:paraId="67ED853D">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2.20.1 合同使用汉语书就、变更和解释；</w:t>
      </w:r>
    </w:p>
    <w:p w14:paraId="1047504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2.20.2 合同适用中华人民共和国法律。</w:t>
      </w:r>
    </w:p>
    <w:p w14:paraId="1367AAB6">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732" w:name="_Toc12004"/>
      <w:bookmarkStart w:id="733" w:name="_Toc3148"/>
      <w:bookmarkStart w:id="734" w:name="_Toc279701264"/>
      <w:bookmarkStart w:id="735" w:name="_Toc16673"/>
      <w:bookmarkStart w:id="736" w:name="_Toc259093693"/>
      <w:bookmarkStart w:id="737" w:name="_Toc487900374"/>
      <w:r>
        <w:rPr>
          <w:rFonts w:hint="eastAsia" w:ascii="宋体" w:hAnsi="宋体" w:cs="宋体"/>
          <w:b/>
          <w:color w:val="auto"/>
          <w:sz w:val="24"/>
          <w:highlight w:val="none"/>
        </w:rPr>
        <w:t>2.21 履约保证金</w:t>
      </w:r>
      <w:bookmarkEnd w:id="732"/>
      <w:bookmarkEnd w:id="733"/>
      <w:bookmarkEnd w:id="734"/>
      <w:bookmarkEnd w:id="735"/>
      <w:bookmarkEnd w:id="736"/>
    </w:p>
    <w:p w14:paraId="78242595">
      <w:pPr>
        <w:pageBreakBefore w:val="0"/>
        <w:wordWrap w:val="0"/>
        <w:overflowPunct/>
        <w:topLinePunct w:val="0"/>
        <w:bidi w:val="0"/>
        <w:spacing w:line="360" w:lineRule="auto"/>
        <w:ind w:firstLine="480" w:firstLineChars="200"/>
        <w:rPr>
          <w:rFonts w:hint="eastAsia" w:ascii="宋体" w:hAnsi="宋体" w:eastAsia="宋体" w:cs="宋体"/>
          <w:snapToGrid w:val="0"/>
          <w:color w:val="auto"/>
          <w:kern w:val="0"/>
          <w:sz w:val="24"/>
          <w:highlight w:val="none"/>
          <w:lang w:eastAsia="zh-CN"/>
        </w:rPr>
      </w:pPr>
      <w:r>
        <w:rPr>
          <w:rFonts w:hint="eastAsia" w:ascii="宋体" w:hAnsi="宋体" w:cs="宋体"/>
          <w:color w:val="auto"/>
          <w:sz w:val="24"/>
          <w:highlight w:val="none"/>
        </w:rPr>
        <w:t>本项目不收取履约保证金</w:t>
      </w:r>
      <w:r>
        <w:rPr>
          <w:rFonts w:hint="eastAsia" w:ascii="宋体" w:hAnsi="宋体" w:cs="宋体"/>
          <w:color w:val="auto"/>
          <w:sz w:val="24"/>
          <w:highlight w:val="none"/>
          <w:lang w:eastAsia="zh-CN"/>
        </w:rPr>
        <w:t>。</w:t>
      </w:r>
    </w:p>
    <w:p w14:paraId="7717CB2B">
      <w:pPr>
        <w:pageBreakBefore w:val="0"/>
        <w:wordWrap w:val="0"/>
        <w:overflowPunct/>
        <w:topLinePunct w:val="0"/>
        <w:bidi w:val="0"/>
        <w:spacing w:line="360" w:lineRule="auto"/>
        <w:ind w:firstLine="482" w:firstLineChars="200"/>
        <w:rPr>
          <w:rFonts w:ascii="宋体" w:hAnsi="宋体" w:cs="宋体"/>
          <w:color w:val="auto"/>
          <w:kern w:val="0"/>
          <w:sz w:val="24"/>
          <w:highlight w:val="none"/>
          <w:lang w:val="zh-CN"/>
        </w:rPr>
      </w:pPr>
      <w:r>
        <w:rPr>
          <w:rFonts w:hint="eastAsia" w:ascii="宋体" w:hAnsi="宋体" w:cs="宋体"/>
          <w:b/>
          <w:color w:val="auto"/>
          <w:sz w:val="24"/>
          <w:highlight w:val="none"/>
        </w:rPr>
        <w:t xml:space="preserve">2.22 </w:t>
      </w:r>
      <w:r>
        <w:rPr>
          <w:rFonts w:hint="eastAsia" w:ascii="宋体" w:hAnsi="宋体" w:cs="宋体"/>
          <w:b/>
          <w:color w:val="auto"/>
          <w:sz w:val="24"/>
          <w:highlight w:val="none"/>
          <w:lang w:val="en-US" w:eastAsia="zh-CN"/>
        </w:rPr>
        <w:t>中小</w:t>
      </w:r>
      <w:r>
        <w:rPr>
          <w:rFonts w:hint="eastAsia" w:ascii="宋体" w:hAnsi="宋体" w:cs="宋体"/>
          <w:b/>
          <w:color w:val="auto"/>
          <w:sz w:val="24"/>
          <w:highlight w:val="none"/>
        </w:rPr>
        <w:t>企业政策</w:t>
      </w:r>
    </w:p>
    <w:p w14:paraId="7845977A">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2.22.1本合同（□是  □否）为</w:t>
      </w:r>
      <w:r>
        <w:rPr>
          <w:rFonts w:hint="eastAsia" w:ascii="宋体" w:hAnsi="宋体" w:cs="宋体"/>
          <w:color w:val="auto"/>
          <w:kern w:val="0"/>
          <w:sz w:val="24"/>
          <w:highlight w:val="none"/>
          <w:lang w:val="en-US" w:eastAsia="zh-CN"/>
        </w:rPr>
        <w:t>中小</w:t>
      </w:r>
      <w:r>
        <w:rPr>
          <w:rFonts w:hint="eastAsia" w:ascii="宋体" w:hAnsi="宋体" w:cs="宋体"/>
          <w:color w:val="auto"/>
          <w:kern w:val="0"/>
          <w:sz w:val="24"/>
          <w:highlight w:val="none"/>
          <w:lang w:val="zh-CN"/>
        </w:rPr>
        <w:t>企业“政采贷”可融资合同，关于中小企业信用融资事项见采购文件“投标人须知正文”。</w:t>
      </w:r>
    </w:p>
    <w:p w14:paraId="7CF5CA69">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2.22.2本合同（□是  □否）为</w:t>
      </w:r>
      <w:r>
        <w:rPr>
          <w:rFonts w:hint="eastAsia" w:ascii="宋体" w:hAnsi="宋体" w:cs="宋体"/>
          <w:color w:val="auto"/>
          <w:kern w:val="0"/>
          <w:sz w:val="24"/>
          <w:highlight w:val="none"/>
          <w:lang w:val="en-US" w:eastAsia="zh-CN"/>
        </w:rPr>
        <w:t>中小</w:t>
      </w:r>
      <w:r>
        <w:rPr>
          <w:rFonts w:hint="eastAsia" w:ascii="宋体" w:hAnsi="宋体" w:cs="宋体"/>
          <w:color w:val="auto"/>
          <w:kern w:val="0"/>
          <w:sz w:val="24"/>
          <w:highlight w:val="none"/>
          <w:lang w:val="zh-CN"/>
        </w:rPr>
        <w:t>企业预留合同。</w:t>
      </w:r>
    </w:p>
    <w:bookmarkEnd w:id="737"/>
    <w:p w14:paraId="3D67FBA5">
      <w:pPr>
        <w:pageBreakBefore w:val="0"/>
        <w:wordWrap w:val="0"/>
        <w:overflowPunct/>
        <w:topLinePunct w:val="0"/>
        <w:bidi w:val="0"/>
        <w:spacing w:line="360" w:lineRule="auto"/>
        <w:ind w:firstLine="482" w:firstLineChars="200"/>
        <w:rPr>
          <w:rFonts w:ascii="宋体" w:hAnsi="宋体" w:cs="宋体"/>
          <w:b/>
          <w:color w:val="auto"/>
          <w:sz w:val="24"/>
          <w:highlight w:val="none"/>
        </w:rPr>
      </w:pPr>
      <w:bookmarkStart w:id="738" w:name="_Toc19890"/>
      <w:bookmarkStart w:id="739" w:name="_Toc6885"/>
      <w:bookmarkStart w:id="740" w:name="_Toc14001"/>
      <w:r>
        <w:rPr>
          <w:rFonts w:hint="eastAsia" w:ascii="宋体" w:hAnsi="宋体" w:cs="宋体"/>
          <w:b/>
          <w:color w:val="auto"/>
          <w:sz w:val="24"/>
          <w:highlight w:val="none"/>
        </w:rPr>
        <w:t>2.23 合同份数</w:t>
      </w:r>
      <w:bookmarkEnd w:id="738"/>
      <w:bookmarkEnd w:id="739"/>
      <w:bookmarkEnd w:id="740"/>
    </w:p>
    <w:p w14:paraId="27B4FD9C">
      <w:pPr>
        <w:pageBreakBefore w:val="0"/>
        <w:wordWrap w:val="0"/>
        <w:overflowPunct/>
        <w:topLinePunct w:val="0"/>
        <w:bidi w:val="0"/>
        <w:spacing w:line="360" w:lineRule="auto"/>
        <w:jc w:val="center"/>
        <w:rPr>
          <w:rFonts w:ascii="宋体" w:hAnsi="宋体" w:cs="宋体"/>
          <w:b/>
          <w:color w:val="auto"/>
          <w:sz w:val="28"/>
          <w:szCs w:val="28"/>
          <w:highlight w:val="none"/>
        </w:rPr>
      </w:pPr>
      <w:r>
        <w:rPr>
          <w:rFonts w:hint="eastAsia" w:ascii="宋体" w:hAnsi="宋体"/>
          <w:color w:val="auto"/>
          <w:sz w:val="24"/>
          <w:highlight w:val="none"/>
        </w:rPr>
        <w:t>本合同壹式</w:t>
      </w:r>
      <w:r>
        <w:rPr>
          <w:rFonts w:hint="eastAsia" w:ascii="宋体" w:hAnsi="宋体"/>
          <w:color w:val="auto"/>
          <w:sz w:val="24"/>
          <w:highlight w:val="none"/>
          <w:u w:val="single"/>
        </w:rPr>
        <w:t xml:space="preserve">   </w:t>
      </w:r>
      <w:r>
        <w:rPr>
          <w:rFonts w:hint="eastAsia" w:ascii="宋体" w:hAnsi="宋体"/>
          <w:color w:val="auto"/>
          <w:sz w:val="24"/>
          <w:highlight w:val="none"/>
        </w:rPr>
        <w:t>份，甲方执</w:t>
      </w:r>
      <w:r>
        <w:rPr>
          <w:rFonts w:hint="eastAsia" w:ascii="宋体" w:hAnsi="宋体"/>
          <w:color w:val="auto"/>
          <w:sz w:val="24"/>
          <w:highlight w:val="none"/>
          <w:u w:val="single"/>
        </w:rPr>
        <w:t xml:space="preserve">   </w:t>
      </w:r>
      <w:r>
        <w:rPr>
          <w:rFonts w:hint="eastAsia" w:ascii="宋体" w:hAnsi="宋体"/>
          <w:color w:val="auto"/>
          <w:sz w:val="24"/>
          <w:highlight w:val="none"/>
        </w:rPr>
        <w:t>份，乙方执</w:t>
      </w:r>
      <w:r>
        <w:rPr>
          <w:rFonts w:hint="eastAsia" w:ascii="宋体" w:hAnsi="宋体"/>
          <w:color w:val="auto"/>
          <w:sz w:val="24"/>
          <w:highlight w:val="none"/>
          <w:u w:val="single"/>
        </w:rPr>
        <w:t xml:space="preserve">   </w:t>
      </w:r>
      <w:r>
        <w:rPr>
          <w:rFonts w:hint="eastAsia" w:ascii="宋体" w:hAnsi="宋体"/>
          <w:color w:val="auto"/>
          <w:sz w:val="24"/>
          <w:highlight w:val="none"/>
        </w:rPr>
        <w:t>份，代理机构执</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份。每份均具有同等法律效力。</w:t>
      </w:r>
      <w:r>
        <w:rPr>
          <w:rFonts w:hint="eastAsia" w:ascii="宋体" w:hAnsi="宋体" w:cs="宋体"/>
          <w:color w:val="auto"/>
          <w:highlight w:val="none"/>
        </w:rPr>
        <w:br w:type="page"/>
      </w:r>
      <w:bookmarkStart w:id="741" w:name="_Toc331685784"/>
      <w:r>
        <w:rPr>
          <w:rFonts w:hint="eastAsia" w:ascii="宋体" w:hAnsi="宋体" w:cs="宋体"/>
          <w:b/>
          <w:color w:val="auto"/>
          <w:sz w:val="28"/>
          <w:szCs w:val="28"/>
          <w:highlight w:val="none"/>
        </w:rPr>
        <w:t>第三部分  合同专用条款</w:t>
      </w:r>
      <w:bookmarkEnd w:id="741"/>
    </w:p>
    <w:p w14:paraId="0465181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68F3428B">
      <w:pPr>
        <w:pageBreakBefore w:val="0"/>
        <w:wordWrap w:val="0"/>
        <w:overflowPunct/>
        <w:topLinePunct w:val="0"/>
        <w:bidi w:val="0"/>
        <w:spacing w:line="360" w:lineRule="auto"/>
        <w:ind w:firstLine="480" w:firstLineChars="200"/>
        <w:rPr>
          <w:rFonts w:hint="eastAsia" w:ascii="宋体" w:hAnsi="宋体" w:cs="宋体"/>
          <w:color w:val="auto"/>
          <w:kern w:val="0"/>
          <w:sz w:val="24"/>
          <w:highlight w:val="none"/>
          <w:u w:val="single"/>
        </w:rPr>
      </w:pPr>
      <w:r>
        <w:rPr>
          <w:rFonts w:hint="eastAsia" w:ascii="宋体" w:hAnsi="宋体" w:cs="宋体"/>
          <w:color w:val="auto"/>
          <w:sz w:val="24"/>
          <w:highlight w:val="none"/>
        </w:rPr>
        <w:t>3.1具有知识产权的标的物知识产权归属：</w:t>
      </w:r>
      <w:r>
        <w:rPr>
          <w:rFonts w:hint="eastAsia" w:ascii="宋体" w:hAnsi="宋体" w:cs="宋体"/>
          <w:color w:val="auto"/>
          <w:kern w:val="0"/>
          <w:sz w:val="24"/>
          <w:highlight w:val="none"/>
          <w:u w:val="single"/>
        </w:rPr>
        <w:t xml:space="preserve">                         </w:t>
      </w:r>
    </w:p>
    <w:p w14:paraId="1FD8DC37">
      <w:pPr>
        <w:pageBreakBefore w:val="0"/>
        <w:wordWrap w:val="0"/>
        <w:overflowPunct/>
        <w:topLinePunct w:val="0"/>
        <w:bidi w:val="0"/>
        <w:spacing w:line="360" w:lineRule="auto"/>
        <w:ind w:firstLine="480" w:firstLineChars="200"/>
        <w:rPr>
          <w:rFonts w:hint="eastAsia" w:ascii="宋体" w:hAnsi="宋体" w:cs="宋体"/>
          <w:color w:val="auto"/>
          <w:kern w:val="0"/>
          <w:sz w:val="24"/>
          <w:highlight w:val="none"/>
          <w:u w:val="single"/>
        </w:rPr>
      </w:pPr>
      <w:r>
        <w:rPr>
          <w:rFonts w:hint="eastAsia" w:ascii="宋体" w:hAnsi="宋体" w:cs="宋体"/>
          <w:color w:val="auto"/>
          <w:sz w:val="24"/>
          <w:highlight w:val="none"/>
        </w:rPr>
        <w:t>3.2包装和装运专用条款（如果有）：</w:t>
      </w:r>
      <w:r>
        <w:rPr>
          <w:rFonts w:hint="eastAsia" w:ascii="宋体" w:hAnsi="宋体" w:cs="宋体"/>
          <w:color w:val="auto"/>
          <w:kern w:val="0"/>
          <w:sz w:val="24"/>
          <w:highlight w:val="none"/>
          <w:u w:val="single"/>
        </w:rPr>
        <w:t xml:space="preserve">                              </w:t>
      </w:r>
    </w:p>
    <w:p w14:paraId="59F71627">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3.3装运标的物的要求和通知：</w:t>
      </w:r>
      <w:r>
        <w:rPr>
          <w:rFonts w:hint="eastAsia" w:ascii="宋体" w:hAnsi="宋体" w:cs="宋体"/>
          <w:color w:val="auto"/>
          <w:kern w:val="0"/>
          <w:sz w:val="24"/>
          <w:highlight w:val="none"/>
          <w:u w:val="single"/>
        </w:rPr>
        <w:t xml:space="preserve">                                   </w:t>
      </w:r>
    </w:p>
    <w:p w14:paraId="6EB7DC30">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3.4</w:t>
      </w:r>
      <w:r>
        <w:rPr>
          <w:rFonts w:hint="eastAsia" w:ascii="宋体" w:hAnsi="宋体" w:cs="宋体"/>
          <w:b/>
          <w:color w:val="auto"/>
          <w:sz w:val="24"/>
          <w:highlight w:val="none"/>
        </w:rPr>
        <w:t>结算方式和付款条件</w:t>
      </w:r>
    </w:p>
    <w:p w14:paraId="682BDACF">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本次项目合同总价为大写人民币</w:t>
      </w:r>
      <w:r>
        <w:rPr>
          <w:rFonts w:hint="eastAsia" w:ascii="宋体" w:hAnsi="宋体" w:cs="宋体"/>
          <w:color w:val="auto"/>
          <w:kern w:val="0"/>
          <w:sz w:val="24"/>
          <w:highlight w:val="none"/>
          <w:u w:val="single"/>
          <w:lang w:val="zh-CN"/>
        </w:rPr>
        <w:t xml:space="preserve">            （</w:t>
      </w:r>
      <w:r>
        <w:rPr>
          <w:rFonts w:hint="eastAsia" w:ascii="仿宋_GB2312" w:hAnsi="Times New Roman" w:eastAsia="仿宋_GB2312" w:cs="仿宋_GB2312"/>
          <w:color w:val="auto"/>
          <w:sz w:val="24"/>
          <w:szCs w:val="24"/>
          <w:highlight w:val="none"/>
          <w:lang w:val="zh-CN"/>
        </w:rPr>
        <w:t>¥</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）。本项目采用以下勾选结算方式进行支付：</w:t>
      </w:r>
    </w:p>
    <w:p w14:paraId="2868DCC7">
      <w:pPr>
        <w:pageBreakBefore w:val="0"/>
        <w:wordWrap w:val="0"/>
        <w:overflowPunct/>
        <w:topLinePunct w:val="0"/>
        <w:bidi w:val="0"/>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□采用一次性支付方式，付款条件为：</w:t>
      </w:r>
      <w:r>
        <w:rPr>
          <w:rFonts w:hint="eastAsia" w:ascii="宋体" w:hAnsi="宋体" w:cs="宋体"/>
          <w:color w:val="auto"/>
          <w:kern w:val="0"/>
          <w:sz w:val="24"/>
          <w:highlight w:val="none"/>
          <w:u w:val="single"/>
        </w:rPr>
        <w:t xml:space="preserve">           </w:t>
      </w:r>
    </w:p>
    <w:p w14:paraId="24BD0AEF">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□采用分期付款方式，付款条件为</w:t>
      </w:r>
      <w:r>
        <w:rPr>
          <w:rFonts w:hint="eastAsia" w:ascii="宋体" w:hAnsi="宋体" w:cs="宋体"/>
          <w:color w:val="auto"/>
          <w:kern w:val="0"/>
          <w:sz w:val="24"/>
          <w:highlight w:val="none"/>
        </w:rPr>
        <w:t>：</w:t>
      </w:r>
    </w:p>
    <w:p w14:paraId="692047E5">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第一期付款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616555DB">
      <w:pPr>
        <w:pageBreakBefore w:val="0"/>
        <w:wordWrap w:val="0"/>
        <w:overflowPunct/>
        <w:topLinePunct w:val="0"/>
        <w:bidi w:val="0"/>
        <w:spacing w:line="360" w:lineRule="auto"/>
        <w:ind w:firstLine="480" w:firstLineChars="200"/>
        <w:rPr>
          <w:rFonts w:ascii="宋体" w:hAnsi="宋体" w:cs="宋体"/>
          <w:color w:val="auto"/>
          <w:kern w:val="0"/>
          <w:sz w:val="24"/>
          <w:highlight w:val="none"/>
          <w:u w:val="single"/>
        </w:rPr>
      </w:pPr>
      <w:r>
        <w:rPr>
          <w:rFonts w:hint="eastAsia" w:ascii="宋体" w:hAnsi="宋体" w:cs="宋体"/>
          <w:color w:val="auto"/>
          <w:kern w:val="0"/>
          <w:sz w:val="24"/>
          <w:highlight w:val="none"/>
          <w:lang w:val="zh-CN"/>
        </w:rPr>
        <w:t>第</w:t>
      </w:r>
      <w:r>
        <w:rPr>
          <w:rFonts w:hint="eastAsia" w:ascii="宋体" w:hAnsi="宋体" w:cs="宋体"/>
          <w:color w:val="auto"/>
          <w:kern w:val="0"/>
          <w:sz w:val="24"/>
          <w:highlight w:val="none"/>
        </w:rPr>
        <w:t>二</w:t>
      </w:r>
      <w:r>
        <w:rPr>
          <w:rFonts w:hint="eastAsia" w:ascii="宋体" w:hAnsi="宋体" w:cs="宋体"/>
          <w:color w:val="auto"/>
          <w:kern w:val="0"/>
          <w:sz w:val="24"/>
          <w:highlight w:val="none"/>
          <w:lang w:val="zh-CN"/>
        </w:rPr>
        <w:t>期付款</w:t>
      </w:r>
      <w:r>
        <w:rPr>
          <w:rFonts w:hint="eastAsia" w:ascii="宋体" w:hAnsi="宋体" w:cs="宋体"/>
          <w:color w:val="auto"/>
          <w:kern w:val="0"/>
          <w:sz w:val="24"/>
          <w:highlight w:val="none"/>
        </w:rPr>
        <w:t>：</w:t>
      </w:r>
      <w:r>
        <w:rPr>
          <w:rFonts w:hint="eastAsia" w:ascii="宋体" w:hAnsi="宋体" w:cs="宋体"/>
          <w:color w:val="auto"/>
          <w:kern w:val="0"/>
          <w:sz w:val="24"/>
          <w:highlight w:val="none"/>
          <w:u w:val="single"/>
        </w:rPr>
        <w:t xml:space="preserve">                                        </w:t>
      </w:r>
    </w:p>
    <w:p w14:paraId="75C88A19">
      <w:pPr>
        <w:pageBreakBefore w:val="0"/>
        <w:wordWrap w:val="0"/>
        <w:overflowPunct/>
        <w:topLinePunct w:val="0"/>
        <w:bidi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p>
    <w:p w14:paraId="2D20713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甲方无故逾期支付合同价款的，按照每逾期一日支付欠付应付而未付款的（根据项目实际填写，一般为万分之五）</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承担违约责任，违约金上限按照《合同书》约定执行。</w:t>
      </w:r>
    </w:p>
    <w:p w14:paraId="4C0E6EDE">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3.5</w:t>
      </w:r>
      <w:r>
        <w:rPr>
          <w:rFonts w:hint="eastAsia" w:ascii="宋体" w:hAnsi="宋体" w:cs="宋体"/>
          <w:b/>
          <w:color w:val="auto"/>
          <w:sz w:val="24"/>
          <w:highlight w:val="none"/>
        </w:rPr>
        <w:t>标的物的风险负担</w:t>
      </w:r>
    </w:p>
    <w:p w14:paraId="41223C3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标的物在合同服务期限内毁损、灭失的风险负担：</w:t>
      </w:r>
    </w:p>
    <w:p w14:paraId="75C590F2">
      <w:pPr>
        <w:pageBreakBefore w:val="0"/>
        <w:wordWrap w:val="0"/>
        <w:overflowPunct/>
        <w:topLinePunct w:val="0"/>
        <w:bidi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 xml:space="preserve">乙方                                                                       </w:t>
      </w:r>
    </w:p>
    <w:p w14:paraId="6152B1D9">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3.5.1受不可抗力影响的一方在不可抗力发生后，应在  个工作日内（根据项目实际填写）以书面形式通知对方当事人，并在  个工作日内，将有关部门出具的证明文件送达对方当事人。</w:t>
      </w:r>
    </w:p>
    <w:p w14:paraId="67A2E5FC">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3.5.2因不可抗力致使合同有变更必要的，双方当事人应在  个工作日内（根据项目实际填写）以书面形式变更合同；</w:t>
      </w:r>
    </w:p>
    <w:p w14:paraId="53F061C2">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3.5.3标的物交付前，乙方应对标的物的质量、数量等方面进行详细、全面的检验，并向甲方出具证明标的物符合合同约定的文件；标的物交付时，乙方在  个工作日内发（根据项目实际填写）起验收，并可依法邀请相关方参加，验收应出具验收</w:t>
      </w:r>
      <w:r>
        <w:rPr>
          <w:rFonts w:hint="eastAsia" w:ascii="宋体" w:hAnsi="宋体" w:cs="宋体"/>
          <w:color w:val="auto"/>
          <w:sz w:val="24"/>
          <w:highlight w:val="none"/>
          <w:lang w:val="en-US" w:eastAsia="zh-CN"/>
        </w:rPr>
        <w:t>材料</w:t>
      </w:r>
      <w:r>
        <w:rPr>
          <w:rFonts w:hint="eastAsia" w:ascii="宋体" w:hAnsi="宋体" w:cs="宋体"/>
          <w:color w:val="auto"/>
          <w:sz w:val="24"/>
          <w:highlight w:val="none"/>
        </w:rPr>
        <w:t>。</w:t>
      </w:r>
    </w:p>
    <w:p w14:paraId="3DC972AB">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3.5.4 检验和验收标准、程序等具体内容以及前述验收书的效力：</w:t>
      </w:r>
    </w:p>
    <w:p w14:paraId="5529B733">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按招标文件及本合同约定执行。</w:t>
      </w:r>
    </w:p>
    <w:p w14:paraId="07DA23E5">
      <w:pPr>
        <w:pageBreakBefore w:val="0"/>
        <w:wordWrap w:val="0"/>
        <w:overflowPunct/>
        <w:topLinePunct w:val="0"/>
        <w:bidi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3.5.5 其他：</w:t>
      </w:r>
    </w:p>
    <w:p w14:paraId="708C2F96">
      <w:pPr>
        <w:pageBreakBefore w:val="0"/>
        <w:wordWrap w:val="0"/>
        <w:overflowPunct/>
        <w:topLinePunct w:val="0"/>
        <w:bidi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3.6</w:t>
      </w:r>
      <w:r>
        <w:rPr>
          <w:rFonts w:hint="eastAsia" w:ascii="宋体" w:hAnsi="宋体" w:cs="宋体"/>
          <w:b/>
          <w:color w:val="auto"/>
          <w:sz w:val="24"/>
          <w:highlight w:val="none"/>
        </w:rPr>
        <w:t>项目验收：</w:t>
      </w:r>
    </w:p>
    <w:p w14:paraId="631F8740">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3.6.1甲方参照《南宁市政府采购供应商履约验收评价管理办法》（南财采[2019]217号）规定组织对乙方履约的验收。验收方成员应当在验收</w:t>
      </w:r>
      <w:r>
        <w:rPr>
          <w:rFonts w:hint="eastAsia" w:ascii="宋体" w:hAnsi="宋体" w:cs="宋体"/>
          <w:color w:val="auto"/>
          <w:kern w:val="0"/>
          <w:sz w:val="24"/>
          <w:highlight w:val="none"/>
          <w:lang w:val="en-US" w:eastAsia="zh-CN"/>
        </w:rPr>
        <w:t>材料</w:t>
      </w:r>
      <w:r>
        <w:rPr>
          <w:rFonts w:hint="eastAsia" w:ascii="宋体" w:hAnsi="宋体" w:cs="宋体"/>
          <w:color w:val="auto"/>
          <w:kern w:val="0"/>
          <w:sz w:val="24"/>
          <w:highlight w:val="none"/>
        </w:rPr>
        <w:t>上签字，并承担相应的法律责任。如果发现与合同中要求不符，乙方须承担由此发生的一切损失和费用，并接受相应的处理。</w:t>
      </w:r>
    </w:p>
    <w:p w14:paraId="1BB05799">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w:t>
      </w:r>
      <w:r>
        <w:rPr>
          <w:rFonts w:hint="eastAsia" w:ascii="宋体" w:hAnsi="宋体" w:cs="宋体"/>
          <w:color w:val="auto"/>
          <w:kern w:val="0"/>
          <w:sz w:val="24"/>
          <w:highlight w:val="none"/>
          <w:lang w:val="en-US" w:eastAsia="zh-CN"/>
        </w:rPr>
        <w:t>材料</w:t>
      </w:r>
      <w:r>
        <w:rPr>
          <w:rFonts w:hint="eastAsia" w:ascii="宋体" w:hAnsi="宋体" w:cs="宋体"/>
          <w:color w:val="auto"/>
          <w:kern w:val="0"/>
          <w:sz w:val="24"/>
          <w:highlight w:val="none"/>
        </w:rPr>
        <w:t>并经验收小组全体成员签字。甲方根据验收报告形成验收意见并经甲方与乙方签字盖章生效。验收结果与采购合同约定的资金支付条件挂钩。履约验收的各项资料应当存档备查。</w:t>
      </w:r>
    </w:p>
    <w:p w14:paraId="238A2C12">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0F7E5C67">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3.6.4验收产生的费用：</w:t>
      </w:r>
    </w:p>
    <w:p w14:paraId="339B07F6">
      <w:pPr>
        <w:pageBreakBefore w:val="0"/>
        <w:tabs>
          <w:tab w:val="left" w:pos="904"/>
        </w:tabs>
        <w:wordWrap w:val="0"/>
        <w:overflowPunct/>
        <w:topLinePunct w:val="0"/>
        <w:bidi w:val="0"/>
        <w:snapToGrid w:val="0"/>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验收产生的费用首次验收费用由</w:t>
      </w:r>
      <w:r>
        <w:rPr>
          <w:rFonts w:hint="eastAsia" w:ascii="宋体" w:hAnsi="宋体" w:cs="宋体"/>
          <w:color w:val="auto"/>
          <w:kern w:val="0"/>
          <w:sz w:val="24"/>
          <w:highlight w:val="none"/>
          <w:u w:val="single"/>
          <w:lang w:val="en-US" w:eastAsia="zh-CN"/>
        </w:rPr>
        <w:t>乙方</w:t>
      </w:r>
      <w:r>
        <w:rPr>
          <w:rFonts w:hint="eastAsia" w:ascii="宋体" w:hAnsi="宋体" w:cs="宋体"/>
          <w:color w:val="auto"/>
          <w:kern w:val="0"/>
          <w:sz w:val="24"/>
          <w:highlight w:val="none"/>
        </w:rPr>
        <w:t>承担，如首次验收不合格，后续验收费用由</w:t>
      </w:r>
      <w:r>
        <w:rPr>
          <w:rFonts w:hint="eastAsia" w:ascii="宋体" w:hAnsi="宋体" w:cs="宋体"/>
          <w:color w:val="auto"/>
          <w:kern w:val="0"/>
          <w:sz w:val="24"/>
          <w:highlight w:val="none"/>
          <w:u w:val="single"/>
        </w:rPr>
        <w:t>乙方</w:t>
      </w:r>
      <w:r>
        <w:rPr>
          <w:rFonts w:hint="eastAsia" w:ascii="宋体" w:hAnsi="宋体" w:cs="宋体"/>
          <w:color w:val="auto"/>
          <w:kern w:val="0"/>
          <w:sz w:val="24"/>
          <w:highlight w:val="none"/>
        </w:rPr>
        <w:t>支付。</w:t>
      </w:r>
    </w:p>
    <w:p w14:paraId="0D5AE318">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3.6.5验收内容及资料要求：</w:t>
      </w:r>
    </w:p>
    <w:p w14:paraId="16D2AB6E">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根据采购文件确定的技术指标或者服务要求确定验收指标和标准。未进行相应约定的，应当符合国家强制性规定、政策要求、安全标准、行业或企业有关标准等。</w:t>
      </w:r>
    </w:p>
    <w:p w14:paraId="09816EF0">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3.6.6</w:t>
      </w:r>
      <w:r>
        <w:rPr>
          <w:rFonts w:hint="eastAsia" w:ascii="宋体" w:hAnsi="宋体" w:cs="宋体"/>
          <w:color w:val="auto"/>
          <w:sz w:val="24"/>
          <w:highlight w:val="none"/>
        </w:rPr>
        <w:t>验收内容</w:t>
      </w:r>
    </w:p>
    <w:tbl>
      <w:tblPr>
        <w:tblStyle w:val="22"/>
        <w:tblW w:w="8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814"/>
        <w:gridCol w:w="5621"/>
      </w:tblGrid>
      <w:tr w14:paraId="0F53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37" w:type="dxa"/>
            <w:noWrap w:val="0"/>
            <w:vAlign w:val="center"/>
          </w:tcPr>
          <w:p w14:paraId="6E8A4365">
            <w:pPr>
              <w:pageBreakBefore w:val="0"/>
              <w:widowControl/>
              <w:overflowPunct/>
              <w:topLinePunct w:val="0"/>
              <w:bidi w:val="0"/>
              <w:spacing w:line="360" w:lineRule="auto"/>
              <w:rPr>
                <w:rFonts w:ascii="宋体" w:hAnsi="宋体" w:cs="仿宋"/>
                <w:bCs/>
                <w:color w:val="auto"/>
                <w:kern w:val="0"/>
                <w:sz w:val="24"/>
                <w:highlight w:val="none"/>
              </w:rPr>
            </w:pPr>
            <w:r>
              <w:rPr>
                <w:rFonts w:hint="eastAsia" w:ascii="宋体" w:hAnsi="宋体" w:cs="仿宋"/>
                <w:bCs/>
                <w:color w:val="auto"/>
                <w:kern w:val="0"/>
                <w:sz w:val="24"/>
                <w:highlight w:val="none"/>
              </w:rPr>
              <w:t>序号</w:t>
            </w:r>
          </w:p>
        </w:tc>
        <w:tc>
          <w:tcPr>
            <w:tcW w:w="1814" w:type="dxa"/>
            <w:noWrap w:val="0"/>
            <w:vAlign w:val="center"/>
          </w:tcPr>
          <w:p w14:paraId="48F4C18A">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验收内容</w:t>
            </w:r>
          </w:p>
        </w:tc>
        <w:tc>
          <w:tcPr>
            <w:tcW w:w="5621" w:type="dxa"/>
            <w:noWrap w:val="0"/>
            <w:vAlign w:val="center"/>
          </w:tcPr>
          <w:p w14:paraId="051F3341">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 xml:space="preserve"> 验收标准</w:t>
            </w:r>
          </w:p>
        </w:tc>
      </w:tr>
      <w:tr w14:paraId="063E5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37" w:type="dxa"/>
            <w:noWrap w:val="0"/>
            <w:vAlign w:val="center"/>
          </w:tcPr>
          <w:p w14:paraId="16799C88">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1</w:t>
            </w:r>
          </w:p>
        </w:tc>
        <w:tc>
          <w:tcPr>
            <w:tcW w:w="1814" w:type="dxa"/>
            <w:noWrap w:val="0"/>
            <w:vAlign w:val="center"/>
          </w:tcPr>
          <w:p w14:paraId="5BF23A91">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服务的数量、范围、内容及配置要求</w:t>
            </w:r>
          </w:p>
        </w:tc>
        <w:tc>
          <w:tcPr>
            <w:tcW w:w="5621" w:type="dxa"/>
            <w:noWrap w:val="0"/>
            <w:vAlign w:val="center"/>
          </w:tcPr>
          <w:p w14:paraId="4461EF88">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r w14:paraId="4B25A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37" w:type="dxa"/>
            <w:noWrap w:val="0"/>
            <w:vAlign w:val="center"/>
          </w:tcPr>
          <w:p w14:paraId="13BC2A63">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2</w:t>
            </w:r>
          </w:p>
        </w:tc>
        <w:tc>
          <w:tcPr>
            <w:tcW w:w="1814" w:type="dxa"/>
            <w:noWrap w:val="0"/>
            <w:vAlign w:val="center"/>
          </w:tcPr>
          <w:p w14:paraId="5BE1C6A2">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养护服务的质量文件</w:t>
            </w:r>
          </w:p>
        </w:tc>
        <w:tc>
          <w:tcPr>
            <w:tcW w:w="5621" w:type="dxa"/>
            <w:noWrap w:val="0"/>
            <w:vAlign w:val="center"/>
          </w:tcPr>
          <w:p w14:paraId="1D315575">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招标文</w:t>
            </w:r>
            <w:r>
              <w:rPr>
                <w:rFonts w:hint="eastAsia" w:ascii="宋体" w:hAnsi="宋体" w:cs="仿宋"/>
                <w:color w:val="auto"/>
                <w:kern w:val="0"/>
                <w:sz w:val="24"/>
                <w:highlight w:val="none"/>
              </w:rPr>
              <w:t>件要求和投标（响应）文件执行</w:t>
            </w:r>
          </w:p>
        </w:tc>
      </w:tr>
      <w:tr w14:paraId="2C4B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637" w:type="dxa"/>
            <w:noWrap w:val="0"/>
            <w:vAlign w:val="center"/>
          </w:tcPr>
          <w:p w14:paraId="1A181033">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ascii="宋体" w:hAnsi="宋体" w:cs="仿宋"/>
                <w:bCs/>
                <w:color w:val="auto"/>
                <w:kern w:val="0"/>
                <w:sz w:val="24"/>
                <w:highlight w:val="none"/>
              </w:rPr>
              <w:t>3</w:t>
            </w:r>
          </w:p>
        </w:tc>
        <w:tc>
          <w:tcPr>
            <w:tcW w:w="1814" w:type="dxa"/>
            <w:noWrap w:val="0"/>
            <w:vAlign w:val="center"/>
          </w:tcPr>
          <w:p w14:paraId="2F013A04">
            <w:pPr>
              <w:pageBreakBefore w:val="0"/>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 xml:space="preserve">交付标的物技术、性能指标 </w:t>
            </w:r>
          </w:p>
        </w:tc>
        <w:tc>
          <w:tcPr>
            <w:tcW w:w="5621" w:type="dxa"/>
            <w:noWrap w:val="0"/>
            <w:vAlign w:val="center"/>
          </w:tcPr>
          <w:p w14:paraId="6E3561DA">
            <w:pPr>
              <w:pageBreakBefore w:val="0"/>
              <w:overflowPunct/>
              <w:topLinePunct w:val="0"/>
              <w:bidi w:val="0"/>
              <w:spacing w:line="360" w:lineRule="auto"/>
              <w:ind w:firstLine="480" w:firstLineChars="200"/>
              <w:jc w:val="left"/>
              <w:rPr>
                <w:rFonts w:ascii="宋体" w:hAnsi="宋体" w:cs="仿宋"/>
                <w:color w:val="auto"/>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r w14:paraId="5CA7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37" w:type="dxa"/>
            <w:noWrap w:val="0"/>
            <w:vAlign w:val="center"/>
          </w:tcPr>
          <w:p w14:paraId="4F4D4F66">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ascii="宋体" w:hAnsi="宋体" w:cs="仿宋"/>
                <w:color w:val="auto"/>
                <w:kern w:val="0"/>
                <w:sz w:val="24"/>
                <w:highlight w:val="none"/>
              </w:rPr>
              <w:t>4</w:t>
            </w:r>
          </w:p>
        </w:tc>
        <w:tc>
          <w:tcPr>
            <w:tcW w:w="1814" w:type="dxa"/>
            <w:noWrap w:val="0"/>
            <w:vAlign w:val="center"/>
          </w:tcPr>
          <w:p w14:paraId="5A9BBF9D">
            <w:pPr>
              <w:pageBreakBefore w:val="0"/>
              <w:overflowPunct/>
              <w:topLinePunct w:val="0"/>
              <w:bidi w:val="0"/>
              <w:spacing w:line="360" w:lineRule="auto"/>
              <w:ind w:firstLine="200"/>
              <w:jc w:val="center"/>
              <w:rPr>
                <w:rFonts w:ascii="宋体" w:hAnsi="宋体" w:cs="仿宋"/>
                <w:color w:val="auto"/>
                <w:sz w:val="24"/>
                <w:highlight w:val="none"/>
              </w:rPr>
            </w:pPr>
            <w:r>
              <w:rPr>
                <w:rFonts w:hint="eastAsia" w:ascii="宋体" w:hAnsi="宋体" w:cs="仿宋"/>
                <w:color w:val="auto"/>
                <w:sz w:val="24"/>
                <w:highlight w:val="none"/>
              </w:rPr>
              <w:t>售后服务</w:t>
            </w:r>
          </w:p>
          <w:p w14:paraId="44371869">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color w:val="auto"/>
                <w:sz w:val="24"/>
                <w:highlight w:val="none"/>
              </w:rPr>
              <w:t>承诺</w:t>
            </w:r>
          </w:p>
        </w:tc>
        <w:tc>
          <w:tcPr>
            <w:tcW w:w="5621" w:type="dxa"/>
            <w:noWrap w:val="0"/>
            <w:vAlign w:val="center"/>
          </w:tcPr>
          <w:p w14:paraId="7ADB30DA">
            <w:pPr>
              <w:pageBreakBefore w:val="0"/>
              <w:widowControl/>
              <w:overflowPunct/>
              <w:topLinePunct w:val="0"/>
              <w:bidi w:val="0"/>
              <w:spacing w:line="360" w:lineRule="auto"/>
              <w:ind w:firstLine="200"/>
              <w:jc w:val="center"/>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r w14:paraId="71021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637" w:type="dxa"/>
            <w:noWrap w:val="0"/>
            <w:vAlign w:val="center"/>
          </w:tcPr>
          <w:p w14:paraId="16E930C1">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ascii="宋体" w:hAnsi="宋体" w:cs="仿宋"/>
                <w:bCs/>
                <w:color w:val="auto"/>
                <w:kern w:val="0"/>
                <w:sz w:val="24"/>
                <w:highlight w:val="none"/>
              </w:rPr>
              <w:t>5</w:t>
            </w:r>
          </w:p>
        </w:tc>
        <w:tc>
          <w:tcPr>
            <w:tcW w:w="1814" w:type="dxa"/>
            <w:noWrap w:val="0"/>
            <w:vAlign w:val="center"/>
          </w:tcPr>
          <w:p w14:paraId="1182BC73">
            <w:pPr>
              <w:pageBreakBefore w:val="0"/>
              <w:widowControl/>
              <w:overflowPunct/>
              <w:topLinePunct w:val="0"/>
              <w:bidi w:val="0"/>
              <w:spacing w:line="360" w:lineRule="auto"/>
              <w:ind w:firstLine="200"/>
              <w:jc w:val="center"/>
              <w:rPr>
                <w:rFonts w:ascii="宋体" w:hAnsi="宋体" w:cs="仿宋"/>
                <w:bCs/>
                <w:color w:val="auto"/>
                <w:kern w:val="0"/>
                <w:sz w:val="24"/>
                <w:highlight w:val="none"/>
              </w:rPr>
            </w:pPr>
            <w:r>
              <w:rPr>
                <w:rFonts w:hint="eastAsia" w:ascii="宋体" w:hAnsi="宋体" w:cs="仿宋"/>
                <w:bCs/>
                <w:color w:val="auto"/>
                <w:kern w:val="0"/>
                <w:sz w:val="24"/>
                <w:highlight w:val="none"/>
              </w:rPr>
              <w:t>其他工作</w:t>
            </w:r>
          </w:p>
        </w:tc>
        <w:tc>
          <w:tcPr>
            <w:tcW w:w="5621" w:type="dxa"/>
            <w:noWrap w:val="0"/>
            <w:vAlign w:val="center"/>
          </w:tcPr>
          <w:p w14:paraId="01894FF5">
            <w:pPr>
              <w:pageBreakBefore w:val="0"/>
              <w:widowControl/>
              <w:overflowPunct/>
              <w:topLinePunct w:val="0"/>
              <w:bidi w:val="0"/>
              <w:spacing w:line="360" w:lineRule="auto"/>
              <w:ind w:firstLine="480" w:firstLineChars="200"/>
              <w:jc w:val="left"/>
              <w:rPr>
                <w:rFonts w:ascii="宋体" w:hAnsi="宋体" w:cs="仿宋"/>
                <w:color w:val="auto"/>
                <w:kern w:val="0"/>
                <w:sz w:val="24"/>
                <w:highlight w:val="none"/>
              </w:rPr>
            </w:pPr>
            <w:r>
              <w:rPr>
                <w:rFonts w:hint="eastAsia" w:ascii="宋体" w:hAnsi="宋体" w:cs="仿宋"/>
                <w:color w:val="auto"/>
                <w:kern w:val="0"/>
                <w:sz w:val="24"/>
                <w:highlight w:val="none"/>
              </w:rPr>
              <w:t>按项目</w:t>
            </w:r>
            <w:r>
              <w:rPr>
                <w:rFonts w:hint="eastAsia" w:ascii="宋体" w:hAnsi="宋体" w:cs="仿宋"/>
                <w:color w:val="auto"/>
                <w:kern w:val="0"/>
                <w:sz w:val="24"/>
                <w:highlight w:val="none"/>
                <w:lang w:val="en-US" w:eastAsia="zh-CN"/>
              </w:rPr>
              <w:t>招标</w:t>
            </w:r>
            <w:r>
              <w:rPr>
                <w:rFonts w:hint="eastAsia" w:ascii="宋体" w:hAnsi="宋体" w:cs="仿宋"/>
                <w:color w:val="auto"/>
                <w:kern w:val="0"/>
                <w:sz w:val="24"/>
                <w:highlight w:val="none"/>
              </w:rPr>
              <w:t>文件要求和投标（响应）文件执行</w:t>
            </w:r>
          </w:p>
        </w:tc>
      </w:tr>
    </w:tbl>
    <w:p w14:paraId="0F27A327">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3.6.7验收资料要求</w:t>
      </w:r>
    </w:p>
    <w:p w14:paraId="102F4BA0">
      <w:pPr>
        <w:pageBreakBefore w:val="0"/>
        <w:tabs>
          <w:tab w:val="left" w:pos="904"/>
        </w:tabs>
        <w:wordWrap w:val="0"/>
        <w:overflowPunct/>
        <w:topLinePunct w:val="0"/>
        <w:bidi w:val="0"/>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验收资料要求包括（不限于）以下内容：</w:t>
      </w:r>
    </w:p>
    <w:p w14:paraId="3CAF5BDC">
      <w:pPr>
        <w:pageBreakBefore w:val="0"/>
        <w:tabs>
          <w:tab w:val="left" w:pos="904"/>
        </w:tabs>
        <w:wordWrap w:val="0"/>
        <w:overflowPunct/>
        <w:topLinePunct w:val="0"/>
        <w:bidi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招标</w:t>
      </w:r>
      <w:r>
        <w:rPr>
          <w:rFonts w:hint="eastAsia" w:ascii="宋体" w:hAnsi="宋体" w:cs="宋体"/>
          <w:color w:val="auto"/>
          <w:sz w:val="24"/>
          <w:highlight w:val="none"/>
        </w:rPr>
        <w:t>文件；</w:t>
      </w:r>
    </w:p>
    <w:p w14:paraId="56EEFB39">
      <w:pPr>
        <w:pageBreakBefore w:val="0"/>
        <w:tabs>
          <w:tab w:val="left" w:pos="904"/>
        </w:tabs>
        <w:wordWrap w:val="0"/>
        <w:overflowPunct/>
        <w:topLinePunct w:val="0"/>
        <w:bidi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（2）投标文件；</w:t>
      </w:r>
    </w:p>
    <w:p w14:paraId="700BA00F">
      <w:pPr>
        <w:pageBreakBefore w:val="0"/>
        <w:tabs>
          <w:tab w:val="left" w:pos="904"/>
        </w:tabs>
        <w:wordWrap w:val="0"/>
        <w:overflowPunct/>
        <w:topLinePunct w:val="0"/>
        <w:bidi w:val="0"/>
        <w:adjustRightInd w:val="0"/>
        <w:snapToGrid w:val="0"/>
        <w:spacing w:line="360" w:lineRule="auto"/>
        <w:ind w:firstLine="240" w:firstLineChars="100"/>
        <w:jc w:val="left"/>
        <w:rPr>
          <w:rFonts w:ascii="宋体" w:hAnsi="宋体" w:cs="宋体"/>
          <w:color w:val="auto"/>
          <w:sz w:val="24"/>
          <w:highlight w:val="none"/>
        </w:rPr>
      </w:pPr>
      <w:r>
        <w:rPr>
          <w:rFonts w:hint="eastAsia" w:ascii="宋体" w:hAnsi="宋体" w:cs="宋体"/>
          <w:color w:val="auto"/>
          <w:sz w:val="24"/>
          <w:highlight w:val="none"/>
        </w:rPr>
        <w:t>（3）采购合同；</w:t>
      </w:r>
    </w:p>
    <w:p w14:paraId="12408CDE">
      <w:pPr>
        <w:pageBreakBefore w:val="0"/>
        <w:tabs>
          <w:tab w:val="left" w:pos="904"/>
        </w:tabs>
        <w:wordWrap w:val="0"/>
        <w:overflowPunct/>
        <w:topLinePunct w:val="0"/>
        <w:bidi w:val="0"/>
        <w:adjustRightInd w:val="0"/>
        <w:snapToGrid w:val="0"/>
        <w:spacing w:line="360" w:lineRule="auto"/>
        <w:ind w:firstLine="240" w:firstLineChars="100"/>
        <w:jc w:val="left"/>
        <w:rPr>
          <w:rFonts w:hint="eastAsia" w:ascii="宋体" w:hAnsi="宋体" w:cs="宋体"/>
          <w:color w:val="auto"/>
          <w:sz w:val="24"/>
          <w:highlight w:val="none"/>
        </w:rPr>
      </w:pPr>
      <w:r>
        <w:rPr>
          <w:rFonts w:hint="eastAsia" w:ascii="宋体" w:hAnsi="宋体" w:cs="宋体"/>
          <w:color w:val="auto"/>
          <w:sz w:val="24"/>
          <w:highlight w:val="none"/>
        </w:rPr>
        <w:t>（4）其他需提供的相关材料：</w:t>
      </w:r>
    </w:p>
    <w:p w14:paraId="396031CA">
      <w:pPr>
        <w:pStyle w:val="13"/>
        <w:shd w:val="clear"/>
        <w:tabs>
          <w:tab w:val="left" w:pos="2472"/>
        </w:tabs>
        <w:wordWrap w:val="0"/>
        <w:spacing w:line="360" w:lineRule="auto"/>
        <w:rPr>
          <w:rFonts w:hint="eastAsia" w:ascii="宋体" w:hAnsi="宋体" w:eastAsia="宋体" w:cs="宋体"/>
          <w:b/>
          <w:color w:val="auto"/>
          <w:sz w:val="36"/>
          <w:highlight w:val="none"/>
        </w:rPr>
      </w:pPr>
    </w:p>
    <w:p w14:paraId="0BF32E5C">
      <w:pPr>
        <w:pStyle w:val="13"/>
        <w:shd w:val="clear"/>
        <w:tabs>
          <w:tab w:val="left" w:pos="2472"/>
        </w:tabs>
        <w:wordWrap w:val="0"/>
        <w:spacing w:line="360" w:lineRule="auto"/>
        <w:rPr>
          <w:rFonts w:hint="eastAsia" w:ascii="宋体" w:hAnsi="宋体" w:eastAsia="宋体" w:cs="宋体"/>
          <w:b/>
          <w:color w:val="auto"/>
          <w:sz w:val="36"/>
          <w:highlight w:val="none"/>
        </w:rPr>
      </w:pPr>
    </w:p>
    <w:p w14:paraId="0CB4EB77">
      <w:pPr>
        <w:pStyle w:val="13"/>
        <w:shd w:val="clear"/>
        <w:tabs>
          <w:tab w:val="left" w:pos="2472"/>
        </w:tabs>
        <w:wordWrap w:val="0"/>
        <w:spacing w:line="360" w:lineRule="auto"/>
        <w:rPr>
          <w:rFonts w:hint="eastAsia" w:ascii="宋体" w:hAnsi="宋体" w:eastAsia="宋体" w:cs="宋体"/>
          <w:b/>
          <w:color w:val="auto"/>
          <w:sz w:val="36"/>
          <w:highlight w:val="none"/>
        </w:rPr>
      </w:pPr>
    </w:p>
    <w:p w14:paraId="6CB46A16">
      <w:pPr>
        <w:pStyle w:val="13"/>
        <w:shd w:val="clear"/>
        <w:tabs>
          <w:tab w:val="left" w:pos="2472"/>
        </w:tabs>
        <w:wordWrap w:val="0"/>
        <w:spacing w:line="360" w:lineRule="auto"/>
        <w:rPr>
          <w:rFonts w:hint="eastAsia" w:ascii="宋体" w:hAnsi="宋体" w:eastAsia="宋体" w:cs="宋体"/>
          <w:b/>
          <w:color w:val="auto"/>
          <w:sz w:val="36"/>
          <w:highlight w:val="none"/>
        </w:rPr>
      </w:pPr>
    </w:p>
    <w:p w14:paraId="7CB7F163">
      <w:pPr>
        <w:pStyle w:val="13"/>
        <w:shd w:val="clear"/>
        <w:tabs>
          <w:tab w:val="left" w:pos="2472"/>
        </w:tabs>
        <w:wordWrap w:val="0"/>
        <w:spacing w:line="360" w:lineRule="auto"/>
        <w:rPr>
          <w:rFonts w:hint="eastAsia" w:ascii="宋体" w:hAnsi="宋体" w:eastAsia="宋体" w:cs="宋体"/>
          <w:b/>
          <w:color w:val="auto"/>
          <w:sz w:val="36"/>
          <w:highlight w:val="none"/>
        </w:rPr>
      </w:pPr>
    </w:p>
    <w:p w14:paraId="27D3694F">
      <w:pPr>
        <w:pStyle w:val="13"/>
        <w:shd w:val="clear"/>
        <w:tabs>
          <w:tab w:val="left" w:pos="2472"/>
        </w:tabs>
        <w:wordWrap w:val="0"/>
        <w:spacing w:line="360" w:lineRule="auto"/>
        <w:rPr>
          <w:rFonts w:hint="eastAsia" w:ascii="宋体" w:hAnsi="宋体" w:eastAsia="宋体" w:cs="宋体"/>
          <w:b/>
          <w:color w:val="auto"/>
          <w:sz w:val="36"/>
          <w:highlight w:val="none"/>
        </w:rPr>
      </w:pPr>
    </w:p>
    <w:p w14:paraId="5F5C674F">
      <w:pPr>
        <w:pStyle w:val="13"/>
        <w:shd w:val="clear"/>
        <w:tabs>
          <w:tab w:val="left" w:pos="2472"/>
        </w:tabs>
        <w:wordWrap w:val="0"/>
        <w:spacing w:line="360" w:lineRule="auto"/>
        <w:rPr>
          <w:rFonts w:hint="eastAsia" w:ascii="宋体" w:hAnsi="宋体" w:eastAsia="宋体" w:cs="宋体"/>
          <w:b/>
          <w:color w:val="auto"/>
          <w:sz w:val="36"/>
          <w:highlight w:val="none"/>
        </w:rPr>
      </w:pPr>
    </w:p>
    <w:p w14:paraId="350C9375">
      <w:pPr>
        <w:rPr>
          <w:rFonts w:hint="eastAsia" w:ascii="宋体" w:hAnsi="宋体" w:eastAsia="宋体" w:cs="宋体"/>
          <w:b/>
          <w:color w:val="auto"/>
          <w:sz w:val="36"/>
          <w:highlight w:val="none"/>
        </w:rPr>
      </w:pPr>
      <w:bookmarkStart w:id="742" w:name="_Toc18489"/>
      <w:r>
        <w:rPr>
          <w:rFonts w:hint="eastAsia" w:ascii="宋体" w:hAnsi="宋体" w:eastAsia="宋体" w:cs="宋体"/>
          <w:b/>
          <w:color w:val="auto"/>
          <w:sz w:val="36"/>
          <w:highlight w:val="none"/>
        </w:rPr>
        <w:br w:type="page"/>
      </w:r>
    </w:p>
    <w:p w14:paraId="67984BE2">
      <w:pPr>
        <w:pStyle w:val="13"/>
        <w:shd w:val="clear"/>
        <w:tabs>
          <w:tab w:val="left" w:pos="2472"/>
        </w:tabs>
        <w:wordWrap w:val="0"/>
        <w:spacing w:line="360" w:lineRule="auto"/>
        <w:jc w:val="center"/>
        <w:outlineLvl w:val="9"/>
        <w:rPr>
          <w:rFonts w:hint="eastAsia" w:ascii="宋体" w:hAnsi="宋体" w:eastAsia="宋体" w:cs="宋体"/>
          <w:b/>
          <w:color w:val="auto"/>
          <w:sz w:val="36"/>
          <w:highlight w:val="none"/>
        </w:rPr>
      </w:pPr>
    </w:p>
    <w:p w14:paraId="014A2919">
      <w:pPr>
        <w:pStyle w:val="13"/>
        <w:shd w:val="clear"/>
        <w:tabs>
          <w:tab w:val="left" w:pos="2472"/>
        </w:tabs>
        <w:wordWrap w:val="0"/>
        <w:spacing w:line="360" w:lineRule="auto"/>
        <w:jc w:val="center"/>
        <w:outlineLvl w:val="9"/>
        <w:rPr>
          <w:rFonts w:hint="eastAsia" w:ascii="宋体" w:hAnsi="宋体" w:eastAsia="宋体" w:cs="宋体"/>
          <w:b/>
          <w:color w:val="auto"/>
          <w:sz w:val="36"/>
          <w:highlight w:val="none"/>
        </w:rPr>
      </w:pPr>
    </w:p>
    <w:p w14:paraId="4EBB8239">
      <w:pPr>
        <w:pStyle w:val="13"/>
        <w:shd w:val="clear"/>
        <w:tabs>
          <w:tab w:val="left" w:pos="2472"/>
        </w:tabs>
        <w:wordWrap w:val="0"/>
        <w:spacing w:line="360" w:lineRule="auto"/>
        <w:jc w:val="center"/>
        <w:outlineLvl w:val="9"/>
        <w:rPr>
          <w:rFonts w:hint="eastAsia" w:ascii="宋体" w:hAnsi="宋体" w:eastAsia="宋体" w:cs="宋体"/>
          <w:b/>
          <w:color w:val="auto"/>
          <w:sz w:val="36"/>
          <w:highlight w:val="none"/>
        </w:rPr>
      </w:pPr>
    </w:p>
    <w:p w14:paraId="28CBCD64">
      <w:pPr>
        <w:pStyle w:val="13"/>
        <w:shd w:val="clear"/>
        <w:tabs>
          <w:tab w:val="left" w:pos="2472"/>
        </w:tabs>
        <w:wordWrap w:val="0"/>
        <w:spacing w:line="360" w:lineRule="auto"/>
        <w:jc w:val="center"/>
        <w:outlineLvl w:val="9"/>
        <w:rPr>
          <w:rFonts w:hint="eastAsia" w:ascii="宋体" w:hAnsi="宋体" w:eastAsia="宋体" w:cs="宋体"/>
          <w:b/>
          <w:color w:val="auto"/>
          <w:sz w:val="36"/>
          <w:highlight w:val="none"/>
        </w:rPr>
      </w:pPr>
    </w:p>
    <w:p w14:paraId="182E8DC9">
      <w:pPr>
        <w:pStyle w:val="13"/>
        <w:shd w:val="clear"/>
        <w:tabs>
          <w:tab w:val="left" w:pos="2472"/>
        </w:tabs>
        <w:wordWrap w:val="0"/>
        <w:spacing w:line="360" w:lineRule="auto"/>
        <w:jc w:val="center"/>
        <w:outlineLvl w:val="9"/>
        <w:rPr>
          <w:rFonts w:hint="eastAsia" w:ascii="宋体" w:hAnsi="宋体" w:eastAsia="宋体" w:cs="宋体"/>
          <w:b/>
          <w:color w:val="auto"/>
          <w:sz w:val="36"/>
          <w:highlight w:val="none"/>
        </w:rPr>
      </w:pPr>
    </w:p>
    <w:p w14:paraId="72C8E052">
      <w:pPr>
        <w:pStyle w:val="13"/>
        <w:shd w:val="clear"/>
        <w:tabs>
          <w:tab w:val="left" w:pos="2472"/>
        </w:tabs>
        <w:wordWrap w:val="0"/>
        <w:spacing w:line="360" w:lineRule="auto"/>
        <w:jc w:val="center"/>
        <w:outlineLvl w:val="9"/>
        <w:rPr>
          <w:rFonts w:hint="eastAsia" w:ascii="宋体" w:hAnsi="宋体" w:eastAsia="宋体" w:cs="宋体"/>
          <w:b/>
          <w:color w:val="auto"/>
          <w:sz w:val="36"/>
          <w:highlight w:val="none"/>
        </w:rPr>
      </w:pPr>
    </w:p>
    <w:p w14:paraId="68ECE2E8">
      <w:pPr>
        <w:pStyle w:val="13"/>
        <w:shd w:val="clear"/>
        <w:tabs>
          <w:tab w:val="left" w:pos="2472"/>
        </w:tabs>
        <w:wordWrap w:val="0"/>
        <w:spacing w:line="360" w:lineRule="auto"/>
        <w:jc w:val="center"/>
        <w:outlineLvl w:val="9"/>
        <w:rPr>
          <w:rFonts w:hint="eastAsia" w:ascii="宋体" w:hAnsi="宋体" w:eastAsia="宋体" w:cs="宋体"/>
          <w:b/>
          <w:color w:val="auto"/>
          <w:sz w:val="36"/>
          <w:highlight w:val="none"/>
        </w:rPr>
      </w:pPr>
    </w:p>
    <w:p w14:paraId="3508C380">
      <w:pPr>
        <w:pStyle w:val="13"/>
        <w:shd w:val="clear"/>
        <w:tabs>
          <w:tab w:val="left" w:pos="2472"/>
        </w:tabs>
        <w:wordWrap w:val="0"/>
        <w:spacing w:line="360" w:lineRule="auto"/>
        <w:jc w:val="center"/>
        <w:outlineLvl w:val="0"/>
        <w:rPr>
          <w:rFonts w:hint="eastAsia" w:ascii="宋体" w:hAnsi="宋体" w:eastAsia="宋体" w:cs="宋体"/>
          <w:b/>
          <w:color w:val="auto"/>
          <w:sz w:val="36"/>
          <w:highlight w:val="none"/>
        </w:rPr>
      </w:pPr>
      <w:r>
        <w:rPr>
          <w:rFonts w:hint="eastAsia" w:ascii="宋体" w:hAnsi="宋体" w:eastAsia="宋体" w:cs="宋体"/>
          <w:b/>
          <w:color w:val="auto"/>
          <w:sz w:val="36"/>
          <w:highlight w:val="none"/>
        </w:rPr>
        <w:t>第六章 投标文件格式</w:t>
      </w:r>
      <w:bookmarkEnd w:id="742"/>
    </w:p>
    <w:p w14:paraId="04BFFF57">
      <w:pPr>
        <w:widowControl/>
        <w:shd w:val="clear"/>
        <w:wordWrap w:val="0"/>
        <w:spacing w:line="360" w:lineRule="auto"/>
        <w:jc w:val="left"/>
        <w:rPr>
          <w:rFonts w:hint="eastAsia" w:ascii="宋体" w:hAnsi="宋体" w:eastAsia="宋体" w:cs="宋体"/>
          <w:color w:val="auto"/>
          <w:szCs w:val="20"/>
          <w:highlight w:val="none"/>
        </w:rPr>
        <w:sectPr>
          <w:pgSz w:w="11906" w:h="16838"/>
          <w:pgMar w:top="1440" w:right="1080" w:bottom="1440" w:left="1080" w:header="720" w:footer="720" w:gutter="0"/>
          <w:pgNumType w:fmt="decimal"/>
          <w:cols w:space="720" w:num="1"/>
          <w:docGrid w:type="lines" w:linePitch="331" w:charSpace="0"/>
        </w:sectPr>
      </w:pPr>
    </w:p>
    <w:p w14:paraId="7287B100">
      <w:pPr>
        <w:pStyle w:val="13"/>
        <w:shd w:val="clear"/>
        <w:wordWrap w:val="0"/>
        <w:spacing w:line="360" w:lineRule="auto"/>
        <w:ind w:firstLine="551" w:firstLineChars="196"/>
        <w:jc w:val="center"/>
        <w:outlineLvl w:val="1"/>
        <w:rPr>
          <w:rFonts w:hint="eastAsia" w:ascii="宋体" w:hAnsi="宋体" w:eastAsia="宋体" w:cs="宋体"/>
          <w:b/>
          <w:bCs/>
          <w:color w:val="auto"/>
          <w:sz w:val="28"/>
          <w:szCs w:val="28"/>
          <w:highlight w:val="none"/>
        </w:rPr>
      </w:pPr>
      <w:bookmarkStart w:id="743" w:name="_Toc17257"/>
      <w:r>
        <w:rPr>
          <w:rFonts w:hint="eastAsia" w:ascii="宋体" w:hAnsi="宋体" w:eastAsia="宋体" w:cs="宋体"/>
          <w:b/>
          <w:bCs/>
          <w:color w:val="auto"/>
          <w:sz w:val="28"/>
          <w:szCs w:val="28"/>
          <w:highlight w:val="none"/>
        </w:rPr>
        <w:t>第一节 投标文件外层包装封面</w:t>
      </w:r>
      <w:bookmarkEnd w:id="743"/>
    </w:p>
    <w:p w14:paraId="7391C6FB">
      <w:pPr>
        <w:shd w:val="clear"/>
        <w:wordWrap w:val="0"/>
        <w:spacing w:line="360" w:lineRule="auto"/>
        <w:jc w:val="center"/>
        <w:rPr>
          <w:rFonts w:hint="eastAsia" w:ascii="宋体" w:hAnsi="宋体" w:eastAsia="宋体" w:cs="宋体"/>
          <w:color w:val="auto"/>
          <w:spacing w:val="20"/>
          <w:sz w:val="44"/>
          <w:szCs w:val="44"/>
          <w:highlight w:val="none"/>
        </w:rPr>
      </w:pPr>
    </w:p>
    <w:p w14:paraId="7556AD4C">
      <w:pPr>
        <w:shd w:val="clear"/>
        <w:wordWrap w:val="0"/>
        <w:spacing w:line="360" w:lineRule="auto"/>
        <w:jc w:val="center"/>
        <w:rPr>
          <w:rFonts w:hint="eastAsia" w:ascii="宋体" w:hAnsi="宋体" w:eastAsia="宋体" w:cs="宋体"/>
          <w:color w:val="auto"/>
          <w:spacing w:val="20"/>
          <w:sz w:val="44"/>
          <w:szCs w:val="44"/>
          <w:highlight w:val="none"/>
        </w:rPr>
      </w:pPr>
    </w:p>
    <w:p w14:paraId="06C84C55">
      <w:pPr>
        <w:shd w:val="clear"/>
        <w:wordWrap w:val="0"/>
        <w:spacing w:line="360" w:lineRule="auto"/>
        <w:jc w:val="center"/>
        <w:rPr>
          <w:rFonts w:hint="eastAsia" w:ascii="宋体" w:hAnsi="宋体" w:eastAsia="宋体" w:cs="宋体"/>
          <w:color w:val="auto"/>
          <w:spacing w:val="20"/>
          <w:sz w:val="44"/>
          <w:szCs w:val="44"/>
          <w:highlight w:val="none"/>
        </w:rPr>
      </w:pPr>
    </w:p>
    <w:p w14:paraId="53CAE046">
      <w:pPr>
        <w:shd w:val="clear"/>
        <w:wordWrap w:val="0"/>
        <w:spacing w:line="360" w:lineRule="auto"/>
        <w:jc w:val="center"/>
        <w:rPr>
          <w:rFonts w:hint="eastAsia" w:ascii="宋体" w:hAnsi="宋体" w:eastAsia="宋体" w:cs="宋体"/>
          <w:color w:val="auto"/>
          <w:spacing w:val="20"/>
          <w:sz w:val="44"/>
          <w:szCs w:val="44"/>
          <w:highlight w:val="none"/>
        </w:rPr>
      </w:pPr>
    </w:p>
    <w:p w14:paraId="2F4B05C0">
      <w:pPr>
        <w:shd w:val="clear"/>
        <w:wordWrap w:val="0"/>
        <w:spacing w:line="360" w:lineRule="auto"/>
        <w:jc w:val="center"/>
        <w:rPr>
          <w:rFonts w:hint="eastAsia" w:ascii="宋体" w:hAnsi="宋体" w:eastAsia="宋体" w:cs="宋体"/>
          <w:color w:val="auto"/>
          <w:spacing w:val="20"/>
          <w:sz w:val="44"/>
          <w:szCs w:val="44"/>
          <w:highlight w:val="none"/>
        </w:rPr>
      </w:pPr>
      <w:r>
        <w:rPr>
          <w:rFonts w:hint="eastAsia" w:ascii="宋体" w:hAnsi="宋体" w:eastAsia="宋体" w:cs="宋体"/>
          <w:color w:val="auto"/>
          <w:spacing w:val="20"/>
          <w:sz w:val="44"/>
          <w:szCs w:val="44"/>
          <w:highlight w:val="none"/>
          <w:u w:val="single"/>
        </w:rPr>
        <w:t xml:space="preserve">             </w:t>
      </w:r>
      <w:r>
        <w:rPr>
          <w:rFonts w:hint="eastAsia" w:ascii="宋体" w:hAnsi="宋体" w:eastAsia="宋体" w:cs="宋体"/>
          <w:color w:val="auto"/>
          <w:spacing w:val="20"/>
          <w:sz w:val="44"/>
          <w:szCs w:val="44"/>
          <w:highlight w:val="none"/>
        </w:rPr>
        <w:t>项目</w:t>
      </w:r>
    </w:p>
    <w:p w14:paraId="67D01D4E">
      <w:pPr>
        <w:shd w:val="clear"/>
        <w:wordWrap w:val="0"/>
        <w:spacing w:line="360" w:lineRule="auto"/>
        <w:jc w:val="center"/>
        <w:rPr>
          <w:rFonts w:hint="eastAsia" w:ascii="宋体" w:hAnsi="宋体" w:eastAsia="宋体" w:cs="宋体"/>
          <w:color w:val="auto"/>
          <w:spacing w:val="40"/>
          <w:w w:val="110"/>
          <w:sz w:val="44"/>
          <w:szCs w:val="44"/>
          <w:highlight w:val="none"/>
        </w:rPr>
      </w:pPr>
      <w:r>
        <w:rPr>
          <w:rFonts w:hint="eastAsia" w:ascii="宋体" w:hAnsi="宋体" w:eastAsia="宋体" w:cs="宋体"/>
          <w:color w:val="auto"/>
          <w:spacing w:val="40"/>
          <w:w w:val="110"/>
          <w:sz w:val="44"/>
          <w:szCs w:val="44"/>
          <w:highlight w:val="none"/>
        </w:rPr>
        <w:t>投标文件</w:t>
      </w:r>
    </w:p>
    <w:p w14:paraId="7805E8A8">
      <w:pPr>
        <w:shd w:val="clea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（电子投标文件）</w:t>
      </w:r>
    </w:p>
    <w:tbl>
      <w:tblPr>
        <w:tblStyle w:val="22"/>
        <w:tblW w:w="7773" w:type="dxa"/>
        <w:jc w:val="center"/>
        <w:tblLayout w:type="fixed"/>
        <w:tblCellMar>
          <w:top w:w="0" w:type="dxa"/>
          <w:left w:w="108" w:type="dxa"/>
          <w:bottom w:w="0" w:type="dxa"/>
          <w:right w:w="108" w:type="dxa"/>
        </w:tblCellMar>
      </w:tblPr>
      <w:tblGrid>
        <w:gridCol w:w="1601"/>
        <w:gridCol w:w="6172"/>
      </w:tblGrid>
      <w:tr w14:paraId="2529AB28">
        <w:tblPrEx>
          <w:tblCellMar>
            <w:top w:w="0" w:type="dxa"/>
            <w:left w:w="108" w:type="dxa"/>
            <w:bottom w:w="0" w:type="dxa"/>
            <w:right w:w="108" w:type="dxa"/>
          </w:tblCellMar>
        </w:tblPrEx>
        <w:trPr>
          <w:jc w:val="center"/>
        </w:trPr>
        <w:tc>
          <w:tcPr>
            <w:tcW w:w="1601" w:type="dxa"/>
            <w:noWrap w:val="0"/>
            <w:vAlign w:val="bottom"/>
          </w:tcPr>
          <w:p w14:paraId="3167AF56">
            <w:pPr>
              <w:shd w:val="clea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6172" w:type="dxa"/>
            <w:tcBorders>
              <w:top w:val="nil"/>
              <w:left w:val="nil"/>
              <w:bottom w:val="single" w:color="000000" w:sz="4" w:space="0"/>
              <w:right w:val="nil"/>
            </w:tcBorders>
            <w:noWrap w:val="0"/>
            <w:vAlign w:val="bottom"/>
          </w:tcPr>
          <w:p w14:paraId="140BE33D">
            <w:pPr>
              <w:shd w:val="clear"/>
              <w:wordWrap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r>
      <w:tr w14:paraId="7DA07E33">
        <w:tblPrEx>
          <w:tblCellMar>
            <w:top w:w="0" w:type="dxa"/>
            <w:left w:w="108" w:type="dxa"/>
            <w:bottom w:w="0" w:type="dxa"/>
            <w:right w:w="108" w:type="dxa"/>
          </w:tblCellMar>
        </w:tblPrEx>
        <w:trPr>
          <w:jc w:val="center"/>
        </w:trPr>
        <w:tc>
          <w:tcPr>
            <w:tcW w:w="1601" w:type="dxa"/>
            <w:noWrap w:val="0"/>
            <w:vAlign w:val="bottom"/>
          </w:tcPr>
          <w:p w14:paraId="3DE033C0">
            <w:pPr>
              <w:shd w:val="clea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方式：</w:t>
            </w:r>
          </w:p>
        </w:tc>
        <w:tc>
          <w:tcPr>
            <w:tcW w:w="6172" w:type="dxa"/>
            <w:tcBorders>
              <w:top w:val="single" w:color="000000" w:sz="4" w:space="0"/>
              <w:left w:val="nil"/>
              <w:bottom w:val="single" w:color="000000" w:sz="4" w:space="0"/>
              <w:right w:val="nil"/>
            </w:tcBorders>
            <w:noWrap w:val="0"/>
            <w:vAlign w:val="bottom"/>
          </w:tcPr>
          <w:p w14:paraId="4DCAFF1D">
            <w:pPr>
              <w:shd w:val="clear"/>
              <w:wordWrap w:val="0"/>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线上投标</w:t>
            </w:r>
          </w:p>
        </w:tc>
      </w:tr>
      <w:tr w14:paraId="180B9902">
        <w:tblPrEx>
          <w:tblCellMar>
            <w:top w:w="0" w:type="dxa"/>
            <w:left w:w="108" w:type="dxa"/>
            <w:bottom w:w="0" w:type="dxa"/>
            <w:right w:w="108" w:type="dxa"/>
          </w:tblCellMar>
        </w:tblPrEx>
        <w:trPr>
          <w:jc w:val="center"/>
        </w:trPr>
        <w:tc>
          <w:tcPr>
            <w:tcW w:w="1601" w:type="dxa"/>
            <w:noWrap w:val="0"/>
            <w:vAlign w:val="bottom"/>
          </w:tcPr>
          <w:p w14:paraId="08D37F54">
            <w:pPr>
              <w:shd w:val="clea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项目编号：</w:t>
            </w:r>
          </w:p>
        </w:tc>
        <w:tc>
          <w:tcPr>
            <w:tcW w:w="6172" w:type="dxa"/>
            <w:tcBorders>
              <w:top w:val="single" w:color="000000" w:sz="4" w:space="0"/>
              <w:left w:val="nil"/>
              <w:bottom w:val="single" w:color="000000" w:sz="4" w:space="0"/>
              <w:right w:val="nil"/>
            </w:tcBorders>
            <w:noWrap w:val="0"/>
            <w:vAlign w:val="bottom"/>
          </w:tcPr>
          <w:p w14:paraId="627D50B9">
            <w:pPr>
              <w:shd w:val="clear"/>
              <w:wordWrap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tc>
      </w:tr>
      <w:tr w14:paraId="07644838">
        <w:tblPrEx>
          <w:tblCellMar>
            <w:top w:w="0" w:type="dxa"/>
            <w:left w:w="108" w:type="dxa"/>
            <w:bottom w:w="0" w:type="dxa"/>
            <w:right w:w="108" w:type="dxa"/>
          </w:tblCellMar>
        </w:tblPrEx>
        <w:trPr>
          <w:jc w:val="center"/>
        </w:trPr>
        <w:tc>
          <w:tcPr>
            <w:tcW w:w="1601" w:type="dxa"/>
            <w:noWrap w:val="0"/>
            <w:vAlign w:val="bottom"/>
          </w:tcPr>
          <w:p w14:paraId="71221F37">
            <w:pPr>
              <w:shd w:val="clea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所投分标：</w:t>
            </w:r>
          </w:p>
        </w:tc>
        <w:tc>
          <w:tcPr>
            <w:tcW w:w="6172" w:type="dxa"/>
            <w:tcBorders>
              <w:top w:val="single" w:color="000000" w:sz="4" w:space="0"/>
              <w:left w:val="nil"/>
              <w:bottom w:val="single" w:color="000000" w:sz="4" w:space="0"/>
              <w:right w:val="nil"/>
            </w:tcBorders>
            <w:noWrap w:val="0"/>
            <w:vAlign w:val="bottom"/>
          </w:tcPr>
          <w:p w14:paraId="7FCE2744">
            <w:pPr>
              <w:shd w:val="clear"/>
              <w:wordWrap w:val="0"/>
              <w:spacing w:line="360" w:lineRule="auto"/>
              <w:jc w:val="left"/>
              <w:rPr>
                <w:rFonts w:hint="eastAsia" w:ascii="宋体" w:hAnsi="宋体" w:eastAsia="宋体" w:cs="宋体"/>
                <w:color w:val="auto"/>
                <w:sz w:val="24"/>
                <w:highlight w:val="none"/>
              </w:rPr>
            </w:pPr>
          </w:p>
        </w:tc>
      </w:tr>
      <w:tr w14:paraId="6426C1D5">
        <w:tblPrEx>
          <w:tblCellMar>
            <w:top w:w="0" w:type="dxa"/>
            <w:left w:w="108" w:type="dxa"/>
            <w:bottom w:w="0" w:type="dxa"/>
            <w:right w:w="108" w:type="dxa"/>
          </w:tblCellMar>
        </w:tblPrEx>
        <w:trPr>
          <w:jc w:val="center"/>
        </w:trPr>
        <w:tc>
          <w:tcPr>
            <w:tcW w:w="1601" w:type="dxa"/>
            <w:noWrap w:val="0"/>
            <w:vAlign w:val="bottom"/>
          </w:tcPr>
          <w:p w14:paraId="053AC060">
            <w:pPr>
              <w:shd w:val="clea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投标人名称：</w:t>
            </w:r>
          </w:p>
        </w:tc>
        <w:tc>
          <w:tcPr>
            <w:tcW w:w="6172" w:type="dxa"/>
            <w:tcBorders>
              <w:top w:val="single" w:color="000000" w:sz="4" w:space="0"/>
              <w:left w:val="nil"/>
              <w:bottom w:val="single" w:color="000000" w:sz="4" w:space="0"/>
              <w:right w:val="nil"/>
            </w:tcBorders>
            <w:noWrap w:val="0"/>
            <w:vAlign w:val="bottom"/>
          </w:tcPr>
          <w:p w14:paraId="55B5FB93">
            <w:pPr>
              <w:shd w:val="clear"/>
              <w:wordWrap w:val="0"/>
              <w:spacing w:line="360" w:lineRule="auto"/>
              <w:jc w:val="left"/>
              <w:rPr>
                <w:rFonts w:hint="eastAsia" w:ascii="宋体" w:hAnsi="宋体" w:eastAsia="宋体" w:cs="宋体"/>
                <w:color w:val="auto"/>
                <w:sz w:val="24"/>
                <w:highlight w:val="none"/>
              </w:rPr>
            </w:pPr>
          </w:p>
        </w:tc>
      </w:tr>
      <w:tr w14:paraId="5E9784C6">
        <w:tblPrEx>
          <w:tblCellMar>
            <w:top w:w="0" w:type="dxa"/>
            <w:left w:w="108" w:type="dxa"/>
            <w:bottom w:w="0" w:type="dxa"/>
            <w:right w:w="108" w:type="dxa"/>
          </w:tblCellMar>
        </w:tblPrEx>
        <w:trPr>
          <w:jc w:val="center"/>
        </w:trPr>
        <w:tc>
          <w:tcPr>
            <w:tcW w:w="1601" w:type="dxa"/>
            <w:noWrap w:val="0"/>
            <w:vAlign w:val="bottom"/>
          </w:tcPr>
          <w:p w14:paraId="09198BA0">
            <w:pPr>
              <w:shd w:val="clear"/>
              <w:wordWrap w:val="0"/>
              <w:spacing w:line="360" w:lineRule="auto"/>
              <w:jc w:val="distribute"/>
              <w:rPr>
                <w:rFonts w:hint="eastAsia" w:ascii="宋体" w:hAnsi="宋体" w:eastAsia="宋体" w:cs="宋体"/>
                <w:color w:val="auto"/>
                <w:sz w:val="24"/>
                <w:highlight w:val="none"/>
              </w:rPr>
            </w:pPr>
            <w:r>
              <w:rPr>
                <w:rFonts w:hint="eastAsia" w:ascii="宋体" w:hAnsi="宋体" w:eastAsia="宋体" w:cs="宋体"/>
                <w:color w:val="auto"/>
                <w:sz w:val="24"/>
                <w:highlight w:val="none"/>
              </w:rPr>
              <w:t>投标人地址：</w:t>
            </w:r>
          </w:p>
        </w:tc>
        <w:tc>
          <w:tcPr>
            <w:tcW w:w="6172" w:type="dxa"/>
            <w:tcBorders>
              <w:top w:val="single" w:color="000000" w:sz="4" w:space="0"/>
              <w:left w:val="nil"/>
              <w:bottom w:val="single" w:color="000000" w:sz="4" w:space="0"/>
              <w:right w:val="nil"/>
            </w:tcBorders>
            <w:noWrap w:val="0"/>
            <w:vAlign w:val="bottom"/>
          </w:tcPr>
          <w:p w14:paraId="6393D9D2">
            <w:pPr>
              <w:shd w:val="clear"/>
              <w:wordWrap w:val="0"/>
              <w:spacing w:line="360" w:lineRule="auto"/>
              <w:jc w:val="left"/>
              <w:rPr>
                <w:rFonts w:hint="eastAsia" w:ascii="宋体" w:hAnsi="宋体" w:eastAsia="宋体" w:cs="宋体"/>
                <w:color w:val="auto"/>
                <w:sz w:val="24"/>
                <w:highlight w:val="none"/>
              </w:rPr>
            </w:pPr>
          </w:p>
        </w:tc>
      </w:tr>
    </w:tbl>
    <w:p w14:paraId="32C7DB14">
      <w:pPr>
        <w:shd w:val="clear"/>
        <w:wordWrap w:val="0"/>
        <w:spacing w:line="360" w:lineRule="auto"/>
        <w:ind w:firstLine="4200" w:firstLineChars="1750"/>
        <w:rPr>
          <w:rFonts w:hint="eastAsia" w:ascii="宋体" w:hAnsi="宋体" w:eastAsia="宋体" w:cs="宋体"/>
          <w:color w:val="auto"/>
          <w:sz w:val="24"/>
          <w:highlight w:val="none"/>
        </w:rPr>
      </w:pPr>
    </w:p>
    <w:p w14:paraId="71633728">
      <w:pPr>
        <w:shd w:val="clear"/>
        <w:wordWrap w:val="0"/>
        <w:spacing w:line="360" w:lineRule="auto"/>
        <w:ind w:firstLine="4200" w:firstLineChars="1750"/>
        <w:rPr>
          <w:rFonts w:hint="eastAsia" w:ascii="宋体" w:hAnsi="宋体" w:eastAsia="宋体" w:cs="宋体"/>
          <w:color w:val="auto"/>
          <w:sz w:val="24"/>
          <w:highlight w:val="none"/>
        </w:rPr>
      </w:pPr>
    </w:p>
    <w:p w14:paraId="358D714C">
      <w:pPr>
        <w:shd w:val="clear"/>
        <w:wordWrap w:val="0"/>
        <w:spacing w:line="360" w:lineRule="auto"/>
        <w:ind w:firstLine="4200" w:firstLineChars="1750"/>
        <w:rPr>
          <w:rFonts w:hint="eastAsia" w:ascii="宋体" w:hAnsi="宋体" w:eastAsia="宋体" w:cs="宋体"/>
          <w:color w:val="auto"/>
          <w:sz w:val="24"/>
          <w:highlight w:val="none"/>
        </w:rPr>
      </w:pPr>
    </w:p>
    <w:p w14:paraId="0AFD53E6">
      <w:pPr>
        <w:shd w:val="clear"/>
        <w:wordWrap w:val="0"/>
        <w:spacing w:line="360" w:lineRule="auto"/>
        <w:ind w:firstLine="5880" w:firstLineChars="2450"/>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投标截止时间前不得解密</w:t>
      </w:r>
    </w:p>
    <w:p w14:paraId="09AD94FE">
      <w:pPr>
        <w:shd w:val="clear"/>
        <w:wordWrap w:val="0"/>
        <w:spacing w:line="360" w:lineRule="auto"/>
        <w:ind w:firstLine="6480" w:firstLineChars="2700"/>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1F69DB20">
      <w:pPr>
        <w:widowControl/>
        <w:shd w:val="clear"/>
        <w:wordWrap w:val="0"/>
        <w:spacing w:line="360" w:lineRule="auto"/>
        <w:jc w:val="left"/>
        <w:rPr>
          <w:rFonts w:hint="eastAsia" w:ascii="宋体" w:hAnsi="宋体" w:eastAsia="宋体" w:cs="宋体"/>
          <w:color w:val="auto"/>
          <w:sz w:val="24"/>
          <w:highlight w:val="none"/>
        </w:rPr>
        <w:sectPr>
          <w:pgSz w:w="11907" w:h="16840"/>
          <w:pgMar w:top="1440" w:right="1080" w:bottom="1440" w:left="1080" w:header="720" w:footer="720" w:gutter="0"/>
          <w:pgNumType w:fmt="decimal"/>
          <w:cols w:space="720" w:num="1"/>
        </w:sectPr>
      </w:pPr>
    </w:p>
    <w:p w14:paraId="3EDBE804">
      <w:pPr>
        <w:pStyle w:val="13"/>
        <w:shd w:val="clear"/>
        <w:wordWrap w:val="0"/>
        <w:spacing w:line="360" w:lineRule="auto"/>
        <w:jc w:val="center"/>
        <w:outlineLvl w:val="1"/>
        <w:rPr>
          <w:rFonts w:hint="eastAsia" w:ascii="宋体" w:hAnsi="宋体" w:eastAsia="宋体" w:cs="宋体"/>
          <w:b/>
          <w:bCs/>
          <w:color w:val="auto"/>
          <w:sz w:val="28"/>
          <w:szCs w:val="28"/>
          <w:highlight w:val="none"/>
        </w:rPr>
      </w:pPr>
      <w:bookmarkStart w:id="744" w:name="_Toc5824"/>
      <w:r>
        <w:rPr>
          <w:rFonts w:hint="eastAsia" w:ascii="宋体" w:hAnsi="宋体" w:eastAsia="宋体" w:cs="宋体"/>
          <w:b/>
          <w:bCs/>
          <w:color w:val="auto"/>
          <w:sz w:val="28"/>
          <w:szCs w:val="28"/>
          <w:highlight w:val="none"/>
        </w:rPr>
        <w:t>第二节 资格证明文件格式</w:t>
      </w:r>
      <w:bookmarkEnd w:id="744"/>
    </w:p>
    <w:p w14:paraId="0EBC73BD">
      <w:pPr>
        <w:pStyle w:val="13"/>
        <w:shd w:val="clear"/>
        <w:wordWrap w:val="0"/>
        <w:spacing w:line="360" w:lineRule="auto"/>
        <w:ind w:firstLine="420"/>
        <w:rPr>
          <w:rFonts w:hint="eastAsia" w:ascii="宋体" w:hAnsi="宋体" w:eastAsia="宋体" w:cs="宋体"/>
          <w:color w:val="auto"/>
          <w:sz w:val="30"/>
          <w:highlight w:val="none"/>
        </w:rPr>
      </w:pPr>
    </w:p>
    <w:p w14:paraId="0166DFDC">
      <w:pPr>
        <w:shd w:val="clea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电子投标文件</w:t>
      </w:r>
    </w:p>
    <w:p w14:paraId="09B8FA03">
      <w:pPr>
        <w:shd w:val="clear"/>
        <w:wordWrap w:val="0"/>
        <w:snapToGrid w:val="0"/>
        <w:spacing w:line="360" w:lineRule="auto"/>
        <w:rPr>
          <w:rFonts w:hint="eastAsia" w:ascii="宋体" w:hAnsi="宋体" w:eastAsia="宋体" w:cs="宋体"/>
          <w:color w:val="auto"/>
          <w:sz w:val="24"/>
          <w:szCs w:val="20"/>
          <w:highlight w:val="none"/>
        </w:rPr>
      </w:pPr>
    </w:p>
    <w:p w14:paraId="7CCBA7F6">
      <w:pPr>
        <w:shd w:val="clear"/>
        <w:wordWrap w:val="0"/>
        <w:snapToGrid w:val="0"/>
        <w:spacing w:line="360" w:lineRule="auto"/>
        <w:jc w:val="center"/>
        <w:rPr>
          <w:rFonts w:hint="eastAsia" w:ascii="宋体" w:hAnsi="宋体" w:eastAsia="宋体" w:cs="宋体"/>
          <w:b/>
          <w:color w:val="auto"/>
          <w:sz w:val="24"/>
          <w:szCs w:val="20"/>
          <w:highlight w:val="none"/>
        </w:rPr>
      </w:pPr>
      <w:r>
        <w:rPr>
          <w:rFonts w:hint="eastAsia" w:ascii="宋体" w:hAnsi="宋体" w:eastAsia="宋体" w:cs="宋体"/>
          <w:b/>
          <w:color w:val="auto"/>
          <w:sz w:val="32"/>
          <w:szCs w:val="32"/>
          <w:highlight w:val="none"/>
        </w:rPr>
        <w:t>资格证明文件（封面）</w:t>
      </w:r>
    </w:p>
    <w:p w14:paraId="0ED7A85C">
      <w:pPr>
        <w:shd w:val="clear"/>
        <w:wordWrap w:val="0"/>
        <w:snapToGrid w:val="0"/>
        <w:spacing w:line="360" w:lineRule="auto"/>
        <w:rPr>
          <w:rFonts w:hint="eastAsia" w:ascii="宋体" w:hAnsi="宋体" w:eastAsia="宋体" w:cs="宋体"/>
          <w:bCs/>
          <w:color w:val="auto"/>
          <w:sz w:val="24"/>
          <w:szCs w:val="20"/>
          <w:highlight w:val="none"/>
        </w:rPr>
      </w:pPr>
    </w:p>
    <w:p w14:paraId="20622350">
      <w:pPr>
        <w:shd w:val="clear"/>
        <w:wordWrap w:val="0"/>
        <w:snapToGrid w:val="0"/>
        <w:spacing w:line="360" w:lineRule="auto"/>
        <w:rPr>
          <w:rFonts w:hint="eastAsia" w:ascii="宋体" w:hAnsi="宋体" w:eastAsia="宋体" w:cs="宋体"/>
          <w:bCs/>
          <w:color w:val="auto"/>
          <w:sz w:val="24"/>
          <w:szCs w:val="20"/>
          <w:highlight w:val="none"/>
        </w:rPr>
      </w:pPr>
    </w:p>
    <w:p w14:paraId="3B5EB1DB">
      <w:pPr>
        <w:shd w:val="clear"/>
        <w:wordWrap w:val="0"/>
        <w:snapToGrid w:val="0"/>
        <w:spacing w:line="360" w:lineRule="auto"/>
        <w:rPr>
          <w:rFonts w:hint="eastAsia" w:ascii="宋体" w:hAnsi="宋体" w:eastAsia="宋体" w:cs="宋体"/>
          <w:bCs/>
          <w:color w:val="auto"/>
          <w:sz w:val="24"/>
          <w:szCs w:val="20"/>
          <w:highlight w:val="none"/>
        </w:rPr>
      </w:pPr>
    </w:p>
    <w:p w14:paraId="37755A62">
      <w:pPr>
        <w:shd w:val="clear"/>
        <w:wordWrap w:val="0"/>
        <w:snapToGrid w:val="0"/>
        <w:spacing w:line="360" w:lineRule="auto"/>
        <w:rPr>
          <w:rFonts w:hint="eastAsia" w:ascii="宋体" w:hAnsi="宋体" w:eastAsia="宋体" w:cs="宋体"/>
          <w:bCs/>
          <w:color w:val="auto"/>
          <w:sz w:val="24"/>
          <w:szCs w:val="20"/>
          <w:highlight w:val="none"/>
        </w:rPr>
      </w:pPr>
    </w:p>
    <w:p w14:paraId="5CDCF678">
      <w:pPr>
        <w:shd w:val="clear"/>
        <w:wordWrap w:val="0"/>
        <w:snapToGrid w:val="0"/>
        <w:spacing w:line="360" w:lineRule="auto"/>
        <w:rPr>
          <w:rFonts w:hint="eastAsia" w:ascii="宋体" w:hAnsi="宋体" w:eastAsia="宋体" w:cs="宋体"/>
          <w:bCs/>
          <w:color w:val="auto"/>
          <w:sz w:val="24"/>
          <w:szCs w:val="20"/>
          <w:highlight w:val="none"/>
        </w:rPr>
      </w:pPr>
    </w:p>
    <w:p w14:paraId="2E495DE1">
      <w:pPr>
        <w:shd w:val="clear"/>
        <w:wordWrap w:val="0"/>
        <w:snapToGrid w:val="0"/>
        <w:spacing w:line="360" w:lineRule="auto"/>
        <w:rPr>
          <w:rFonts w:hint="eastAsia" w:ascii="宋体" w:hAnsi="宋体" w:eastAsia="宋体" w:cs="宋体"/>
          <w:bCs/>
          <w:color w:val="auto"/>
          <w:sz w:val="24"/>
          <w:szCs w:val="20"/>
          <w:highlight w:val="none"/>
        </w:rPr>
      </w:pPr>
    </w:p>
    <w:p w14:paraId="11CFC899">
      <w:pPr>
        <w:shd w:val="clear"/>
        <w:wordWrap w:val="0"/>
        <w:snapToGrid w:val="0"/>
        <w:spacing w:line="360" w:lineRule="auto"/>
        <w:rPr>
          <w:rFonts w:hint="eastAsia" w:ascii="宋体" w:hAnsi="宋体" w:eastAsia="宋体" w:cs="宋体"/>
          <w:bCs/>
          <w:color w:val="auto"/>
          <w:sz w:val="24"/>
          <w:szCs w:val="20"/>
          <w:highlight w:val="none"/>
        </w:rPr>
      </w:pPr>
    </w:p>
    <w:p w14:paraId="0B7A11DD">
      <w:pPr>
        <w:shd w:val="clea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333644CB">
      <w:pPr>
        <w:shd w:val="clear"/>
        <w:wordWrap w:val="0"/>
        <w:snapToGrid w:val="0"/>
        <w:spacing w:line="360" w:lineRule="auto"/>
        <w:ind w:firstLine="540" w:firstLineChars="225"/>
        <w:rPr>
          <w:rFonts w:hint="eastAsia" w:ascii="宋体" w:hAnsi="宋体" w:eastAsia="宋体" w:cs="宋体"/>
          <w:bCs/>
          <w:color w:val="auto"/>
          <w:sz w:val="24"/>
          <w:szCs w:val="20"/>
          <w:highlight w:val="none"/>
        </w:rPr>
      </w:pPr>
    </w:p>
    <w:p w14:paraId="3ACE286C">
      <w:pPr>
        <w:shd w:val="clea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项目编号：</w:t>
      </w:r>
      <w:r>
        <w:rPr>
          <w:rFonts w:hint="eastAsia" w:ascii="宋体" w:hAnsi="宋体" w:eastAsia="宋体" w:cs="宋体"/>
          <w:color w:val="auto"/>
          <w:sz w:val="24"/>
          <w:highlight w:val="none"/>
        </w:rPr>
        <w:t xml:space="preserve"> </w:t>
      </w:r>
    </w:p>
    <w:p w14:paraId="6F819639">
      <w:pPr>
        <w:shd w:val="clear"/>
        <w:wordWrap w:val="0"/>
        <w:snapToGrid w:val="0"/>
        <w:spacing w:line="360" w:lineRule="auto"/>
        <w:ind w:firstLine="540" w:firstLineChars="225"/>
        <w:rPr>
          <w:rFonts w:hint="eastAsia" w:ascii="宋体" w:hAnsi="宋体" w:eastAsia="宋体" w:cs="宋体"/>
          <w:bCs/>
          <w:color w:val="auto"/>
          <w:sz w:val="24"/>
          <w:szCs w:val="20"/>
          <w:highlight w:val="none"/>
        </w:rPr>
      </w:pPr>
      <w:r>
        <w:rPr>
          <w:rFonts w:hint="eastAsia" w:ascii="宋体" w:hAnsi="宋体" w:eastAsia="宋体" w:cs="宋体"/>
          <w:bCs/>
          <w:color w:val="auto"/>
          <w:sz w:val="24"/>
          <w:highlight w:val="none"/>
        </w:rPr>
        <w:t xml:space="preserve"> </w:t>
      </w:r>
    </w:p>
    <w:p w14:paraId="78988B4D">
      <w:pPr>
        <w:shd w:val="clea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6A3F0450">
      <w:pPr>
        <w:pStyle w:val="8"/>
        <w:shd w:val="clear"/>
        <w:wordWrap w:val="0"/>
        <w:snapToGrid w:val="0"/>
        <w:spacing w:line="360" w:lineRule="auto"/>
        <w:ind w:firstLine="540" w:firstLineChars="225"/>
        <w:rPr>
          <w:rFonts w:hint="eastAsia" w:ascii="宋体" w:hAnsi="宋体" w:eastAsia="宋体" w:cs="宋体"/>
          <w:bCs/>
          <w:color w:val="auto"/>
          <w:sz w:val="24"/>
          <w:szCs w:val="24"/>
          <w:highlight w:val="none"/>
        </w:rPr>
      </w:pPr>
    </w:p>
    <w:p w14:paraId="4413F779">
      <w:pPr>
        <w:pStyle w:val="8"/>
        <w:shd w:val="clear"/>
        <w:wordWrap w:val="0"/>
        <w:snapToGrid w:val="0"/>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p>
    <w:p w14:paraId="34B8B45F">
      <w:pPr>
        <w:pStyle w:val="8"/>
        <w:shd w:val="clear"/>
        <w:wordWrap w:val="0"/>
        <w:snapToGrid w:val="0"/>
        <w:spacing w:line="360" w:lineRule="auto"/>
        <w:ind w:firstLine="540" w:firstLineChars="225"/>
        <w:rPr>
          <w:rFonts w:hint="eastAsia" w:ascii="宋体" w:hAnsi="宋体" w:eastAsia="宋体" w:cs="宋体"/>
          <w:bCs/>
          <w:color w:val="auto"/>
          <w:sz w:val="24"/>
          <w:szCs w:val="24"/>
          <w:highlight w:val="none"/>
        </w:rPr>
      </w:pPr>
    </w:p>
    <w:p w14:paraId="788FD7BE">
      <w:pPr>
        <w:pStyle w:val="8"/>
        <w:shd w:val="clear"/>
        <w:wordWrap w:val="0"/>
        <w:snapToGrid w:val="0"/>
        <w:spacing w:line="360" w:lineRule="auto"/>
        <w:ind w:firstLine="960" w:firstLineChars="400"/>
        <w:rPr>
          <w:rFonts w:hint="eastAsia" w:ascii="宋体" w:hAnsi="宋体" w:eastAsia="宋体" w:cs="宋体"/>
          <w:bCs/>
          <w:color w:val="auto"/>
          <w:sz w:val="24"/>
          <w:szCs w:val="24"/>
          <w:highlight w:val="none"/>
        </w:rPr>
      </w:pPr>
    </w:p>
    <w:p w14:paraId="752559A6">
      <w:pPr>
        <w:shd w:val="clear"/>
        <w:wordWrap w:val="0"/>
        <w:snapToGrid w:val="0"/>
        <w:spacing w:line="360" w:lineRule="auto"/>
        <w:ind w:firstLine="645"/>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  月  日</w:t>
      </w:r>
    </w:p>
    <w:p w14:paraId="670E66B0">
      <w:pPr>
        <w:widowControl/>
        <w:shd w:val="clear"/>
        <w:wordWrap w:val="0"/>
        <w:spacing w:line="360" w:lineRule="auto"/>
        <w:jc w:val="left"/>
        <w:rPr>
          <w:rFonts w:hint="eastAsia" w:ascii="宋体" w:hAnsi="宋体" w:eastAsia="宋体" w:cs="宋体"/>
          <w:color w:val="auto"/>
          <w:sz w:val="30"/>
          <w:szCs w:val="20"/>
          <w:highlight w:val="none"/>
        </w:rPr>
        <w:sectPr>
          <w:pgSz w:w="11906" w:h="16838"/>
          <w:pgMar w:top="1440" w:right="1080" w:bottom="1440" w:left="1080" w:header="720" w:footer="720" w:gutter="0"/>
          <w:pgNumType w:fmt="decimal"/>
          <w:cols w:space="720" w:num="1"/>
          <w:docGrid w:type="lines" w:linePitch="331" w:charSpace="0"/>
        </w:sectPr>
      </w:pPr>
    </w:p>
    <w:p w14:paraId="5D6C5C3D">
      <w:pPr>
        <w:shd w:val="clear"/>
        <w:wordWrap w:val="0"/>
        <w:spacing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资格证明文件目录</w:t>
      </w:r>
    </w:p>
    <w:p w14:paraId="5E83F235">
      <w:pPr>
        <w:shd w:val="clear"/>
        <w:wordWrap w:val="0"/>
        <w:snapToGrid w:val="0"/>
        <w:spacing w:line="360" w:lineRule="auto"/>
        <w:rPr>
          <w:rFonts w:hint="eastAsia" w:ascii="宋体" w:hAnsi="宋体" w:eastAsia="宋体" w:cs="宋体"/>
          <w:color w:val="auto"/>
          <w:kern w:val="0"/>
          <w:sz w:val="24"/>
          <w:highlight w:val="none"/>
        </w:rPr>
      </w:pPr>
    </w:p>
    <w:p w14:paraId="2CF86114">
      <w:pPr>
        <w:shd w:val="clea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营业执照(或事业法人登记证或其他工商等登记证明材料)复印件（投标人为自然人的，须提供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……………………………………………………………（页码）</w:t>
      </w:r>
    </w:p>
    <w:p w14:paraId="124A3CF2">
      <w:pPr>
        <w:shd w:val="clea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二、符合参与政府采购活动的资格条件依法缴纳税收、社会保障资金等方面的材料…………………………………………………………………………………………（页码）</w:t>
      </w:r>
    </w:p>
    <w:p w14:paraId="68799F8B">
      <w:pPr>
        <w:shd w:val="clea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0AB4868">
      <w:pPr>
        <w:shd w:val="clea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四、投标人直接控股股东信息</w:t>
      </w:r>
      <w:r>
        <w:rPr>
          <w:rFonts w:hint="eastAsia" w:ascii="宋体" w:hAnsi="宋体" w:eastAsia="宋体" w:cs="宋体"/>
          <w:color w:val="auto"/>
          <w:kern w:val="0"/>
          <w:sz w:val="24"/>
          <w:highlight w:val="none"/>
        </w:rPr>
        <w:t>…………………………………………………………（页码）</w:t>
      </w:r>
    </w:p>
    <w:p w14:paraId="2D0625E3">
      <w:pPr>
        <w:shd w:val="clea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五、投标人直接管理关系信息表</w:t>
      </w:r>
      <w:r>
        <w:rPr>
          <w:rFonts w:hint="eastAsia" w:ascii="宋体" w:hAnsi="宋体" w:eastAsia="宋体" w:cs="宋体"/>
          <w:color w:val="auto"/>
          <w:kern w:val="0"/>
          <w:sz w:val="24"/>
          <w:highlight w:val="none"/>
        </w:rPr>
        <w:t>………………………………………………………（页码）</w:t>
      </w:r>
    </w:p>
    <w:p w14:paraId="449EF45A">
      <w:pPr>
        <w:shd w:val="clear"/>
        <w:wordWrap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六、投标资格声明函……………………………………………………………………（页码）</w:t>
      </w:r>
    </w:p>
    <w:p w14:paraId="5581E621">
      <w:pPr>
        <w:shd w:val="clear"/>
        <w:wordWrap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七、联合体协议书（</w:t>
      </w:r>
      <w:r>
        <w:rPr>
          <w:rFonts w:hint="eastAsia" w:ascii="宋体" w:hAnsi="宋体" w:eastAsia="宋体" w:cs="宋体"/>
          <w:color w:val="auto"/>
          <w:sz w:val="24"/>
          <w:highlight w:val="none"/>
        </w:rPr>
        <w:t>以联合体形式投标的，提供联合体协议；本项目不接受联合体投标或者投标人不以联合体形式投标的，则不需要提供）………………………………………（页码）</w:t>
      </w:r>
    </w:p>
    <w:p w14:paraId="121A6A07">
      <w:pPr>
        <w:shd w:val="clear"/>
        <w:wordWrap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八、除招标文件规定必须提供以外，投标人认为需要提供的其他证明材料。</w:t>
      </w:r>
    </w:p>
    <w:p w14:paraId="516F053B">
      <w:pPr>
        <w:shd w:val="clea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注：以上目录是基本格式要求，各投标人可根据自身情况进一步向下增加内容或细化。</w:t>
      </w:r>
    </w:p>
    <w:p w14:paraId="52561D28">
      <w:pPr>
        <w:widowControl/>
        <w:shd w:val="clear"/>
        <w:wordWrap w:val="0"/>
        <w:spacing w:line="360" w:lineRule="auto"/>
        <w:jc w:val="left"/>
        <w:rPr>
          <w:rFonts w:hint="eastAsia" w:ascii="宋体" w:hAnsi="宋体" w:eastAsia="宋体" w:cs="宋体"/>
          <w:color w:val="auto"/>
          <w:sz w:val="30"/>
          <w:szCs w:val="20"/>
          <w:highlight w:val="none"/>
        </w:rPr>
        <w:sectPr>
          <w:pgSz w:w="11906" w:h="16838"/>
          <w:pgMar w:top="1440" w:right="1080" w:bottom="1440" w:left="1080" w:header="720" w:footer="720" w:gutter="0"/>
          <w:pgNumType w:fmt="decimal"/>
          <w:cols w:space="720" w:num="1"/>
          <w:docGrid w:type="lines" w:linePitch="331" w:charSpace="0"/>
        </w:sectPr>
      </w:pPr>
    </w:p>
    <w:p w14:paraId="3247FE84">
      <w:pPr>
        <w:shd w:val="clear"/>
        <w:wordWrap w:val="0"/>
        <w:snapToGrid w:val="0"/>
        <w:spacing w:line="360" w:lineRule="auto"/>
        <w:rPr>
          <w:rFonts w:hint="eastAsia" w:ascii="宋体" w:hAnsi="宋体" w:eastAsia="宋体" w:cs="宋体"/>
          <w:b/>
          <w:color w:val="auto"/>
          <w:kern w:val="0"/>
          <w:sz w:val="32"/>
          <w:szCs w:val="32"/>
          <w:highlight w:val="none"/>
          <w:lang w:val="zh-CN"/>
        </w:rPr>
      </w:pPr>
    </w:p>
    <w:p w14:paraId="4E973E6F">
      <w:pPr>
        <w:shd w:val="clear"/>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kern w:val="0"/>
          <w:sz w:val="32"/>
          <w:szCs w:val="32"/>
          <w:highlight w:val="none"/>
          <w:lang w:val="zh-CN"/>
        </w:rPr>
        <w:t>一、</w:t>
      </w:r>
      <w:r>
        <w:rPr>
          <w:rFonts w:hint="eastAsia" w:ascii="宋体" w:hAnsi="宋体" w:eastAsia="宋体" w:cs="宋体"/>
          <w:b/>
          <w:color w:val="auto"/>
          <w:sz w:val="30"/>
          <w:szCs w:val="30"/>
          <w:highlight w:val="none"/>
        </w:rPr>
        <w:t>营业执照(或事业法人登记证或其他工商等登记证明材料)复印件（投标人为自然人的，提供自然人的身份证明）</w:t>
      </w:r>
    </w:p>
    <w:p w14:paraId="5560225B">
      <w:pPr>
        <w:shd w:val="clear"/>
        <w:wordWrap w:val="0"/>
        <w:spacing w:line="360" w:lineRule="auto"/>
        <w:rPr>
          <w:rFonts w:hint="eastAsia" w:ascii="宋体" w:hAnsi="宋体" w:eastAsia="宋体" w:cs="宋体"/>
          <w:b/>
          <w:color w:val="auto"/>
          <w:sz w:val="30"/>
          <w:szCs w:val="30"/>
          <w:highlight w:val="none"/>
        </w:rPr>
      </w:pPr>
    </w:p>
    <w:p w14:paraId="23ECE839">
      <w:pPr>
        <w:shd w:val="clear"/>
        <w:wordWrap w:val="0"/>
        <w:snapToGrid w:val="0"/>
        <w:spacing w:line="360" w:lineRule="auto"/>
        <w:ind w:firstLine="576"/>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投标人名称(电子签章)：                              </w:t>
      </w:r>
    </w:p>
    <w:p w14:paraId="475077DB">
      <w:pPr>
        <w:shd w:val="clear"/>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 xml:space="preserve">                   日期：  年  月</w:t>
      </w:r>
    </w:p>
    <w:p w14:paraId="596B3D33">
      <w:pPr>
        <w:shd w:val="clear"/>
        <w:wordWrap w:val="0"/>
        <w:spacing w:line="360" w:lineRule="auto"/>
        <w:jc w:val="center"/>
        <w:rPr>
          <w:rFonts w:hint="eastAsia" w:ascii="宋体" w:hAnsi="宋体" w:eastAsia="宋体" w:cs="宋体"/>
          <w:b/>
          <w:color w:val="auto"/>
          <w:sz w:val="30"/>
          <w:szCs w:val="30"/>
          <w:highlight w:val="none"/>
        </w:rPr>
      </w:pPr>
    </w:p>
    <w:p w14:paraId="333FB829">
      <w:pPr>
        <w:shd w:val="clear"/>
        <w:wordWrap w:val="0"/>
        <w:snapToGrid w:val="0"/>
        <w:spacing w:line="360" w:lineRule="auto"/>
        <w:ind w:right="48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sz w:val="30"/>
          <w:szCs w:val="30"/>
          <w:highlight w:val="none"/>
        </w:rPr>
        <w:t>二、</w:t>
      </w:r>
      <w:r>
        <w:rPr>
          <w:rFonts w:hint="eastAsia" w:ascii="宋体" w:hAnsi="宋体" w:eastAsia="宋体" w:cs="宋体"/>
          <w:b/>
          <w:color w:val="auto"/>
          <w:kern w:val="0"/>
          <w:sz w:val="32"/>
          <w:szCs w:val="32"/>
          <w:highlight w:val="none"/>
        </w:rPr>
        <w:t>符合参与政府采购活动的资格条件依法缴纳税收、社会保障资金等方面的材料</w:t>
      </w:r>
    </w:p>
    <w:p w14:paraId="5AAC653D">
      <w:pPr>
        <w:shd w:val="clear"/>
        <w:wordWrap w:val="0"/>
        <w:snapToGrid w:val="0"/>
        <w:spacing w:line="360" w:lineRule="auto"/>
        <w:ind w:firstLine="480" w:firstLineChars="200"/>
        <w:rPr>
          <w:rFonts w:hint="eastAsia" w:ascii="宋体" w:hAnsi="宋体" w:eastAsia="宋体" w:cs="宋体"/>
          <w:color w:val="auto"/>
          <w:sz w:val="24"/>
          <w:highlight w:val="none"/>
        </w:rPr>
      </w:pPr>
    </w:p>
    <w:p w14:paraId="5ADB0311">
      <w:pPr>
        <w:shd w:val="clear"/>
        <w:wordWrap w:val="0"/>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40FC8F5E">
      <w:pPr>
        <w:shd w:val="clea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投标人名称(电子签章)：</w:t>
      </w:r>
    </w:p>
    <w:p w14:paraId="45979F2E">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D9B3076">
      <w:pPr>
        <w:shd w:val="clear"/>
        <w:wordWrap w:val="0"/>
        <w:snapToGrid w:val="0"/>
        <w:spacing w:line="360" w:lineRule="auto"/>
        <w:ind w:right="480"/>
        <w:jc w:val="both"/>
        <w:rPr>
          <w:rFonts w:hint="eastAsia" w:ascii="宋体" w:hAnsi="宋体" w:eastAsia="宋体" w:cs="宋体"/>
          <w:b/>
          <w:color w:val="auto"/>
          <w:kern w:val="0"/>
          <w:sz w:val="32"/>
          <w:szCs w:val="32"/>
          <w:highlight w:val="none"/>
        </w:rPr>
      </w:pPr>
      <w:r>
        <w:rPr>
          <w:rFonts w:hint="eastAsia" w:ascii="宋体" w:hAnsi="宋体" w:eastAsia="宋体" w:cs="宋体"/>
          <w:b/>
          <w:color w:val="auto"/>
          <w:sz w:val="30"/>
          <w:szCs w:val="30"/>
          <w:highlight w:val="none"/>
        </w:rPr>
        <w:t>三、</w:t>
      </w:r>
      <w:r>
        <w:rPr>
          <w:rFonts w:hint="eastAsia" w:ascii="宋体" w:hAnsi="宋体" w:eastAsia="宋体" w:cs="宋体"/>
          <w:b/>
          <w:color w:val="auto"/>
          <w:kern w:val="0"/>
          <w:sz w:val="32"/>
          <w:szCs w:val="32"/>
          <w:highlight w:val="none"/>
        </w:rPr>
        <w:t>财务状况报告方面的材料</w:t>
      </w:r>
    </w:p>
    <w:p w14:paraId="2CD97EFA">
      <w:pPr>
        <w:shd w:val="clear"/>
        <w:wordWrap w:val="0"/>
        <w:snapToGrid w:val="0"/>
        <w:spacing w:line="360" w:lineRule="auto"/>
        <w:ind w:firstLine="480" w:firstLineChars="200"/>
        <w:rPr>
          <w:rFonts w:hint="eastAsia" w:ascii="宋体" w:hAnsi="宋体" w:eastAsia="宋体" w:cs="宋体"/>
          <w:color w:val="auto"/>
          <w:sz w:val="24"/>
          <w:highlight w:val="none"/>
        </w:rPr>
      </w:pPr>
    </w:p>
    <w:p w14:paraId="49BDAF2E">
      <w:pPr>
        <w:shd w:val="clear"/>
        <w:wordWrap w:val="0"/>
        <w:snapToGrid w:val="0"/>
        <w:spacing w:line="360" w:lineRule="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38FAD226">
      <w:pPr>
        <w:shd w:val="clea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 xml:space="preserve"> 投标人名称(电子签章)：</w:t>
      </w:r>
    </w:p>
    <w:p w14:paraId="14DA0B45">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15AE40BC">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p>
    <w:p w14:paraId="0D037E2A">
      <w:pPr>
        <w:shd w:val="clear"/>
        <w:wordWrap w:val="0"/>
        <w:snapToGrid w:val="0"/>
        <w:spacing w:line="360" w:lineRule="auto"/>
        <w:ind w:right="480"/>
        <w:jc w:val="center"/>
        <w:rPr>
          <w:rFonts w:hint="eastAsia" w:ascii="宋体" w:hAnsi="宋体" w:eastAsia="宋体" w:cs="宋体"/>
          <w:b/>
          <w:color w:val="auto"/>
          <w:kern w:val="0"/>
          <w:sz w:val="32"/>
          <w:szCs w:val="32"/>
          <w:highlight w:val="none"/>
          <w:lang w:val="zh-CN"/>
        </w:rPr>
      </w:pPr>
    </w:p>
    <w:p w14:paraId="1844428D">
      <w:pPr>
        <w:shd w:val="clear"/>
        <w:wordWrap w:val="0"/>
        <w:snapToGrid w:val="0"/>
        <w:spacing w:line="360" w:lineRule="auto"/>
        <w:ind w:right="480"/>
        <w:jc w:val="center"/>
        <w:rPr>
          <w:rFonts w:hint="eastAsia" w:ascii="宋体" w:hAnsi="宋体" w:eastAsia="宋体" w:cs="宋体"/>
          <w:b/>
          <w:color w:val="auto"/>
          <w:sz w:val="28"/>
          <w:szCs w:val="28"/>
          <w:highlight w:val="none"/>
        </w:rPr>
      </w:pPr>
      <w:r>
        <w:rPr>
          <w:rFonts w:hint="eastAsia" w:ascii="宋体" w:hAnsi="宋体" w:eastAsia="宋体" w:cs="宋体"/>
          <w:b/>
          <w:color w:val="auto"/>
          <w:kern w:val="0"/>
          <w:sz w:val="32"/>
          <w:szCs w:val="32"/>
          <w:highlight w:val="none"/>
        </w:rPr>
        <w:br w:type="page"/>
      </w:r>
    </w:p>
    <w:p w14:paraId="7269F034">
      <w:pPr>
        <w:shd w:val="clear"/>
        <w:wordWrap w:val="0"/>
        <w:snapToGrid w:val="0"/>
        <w:spacing w:line="360" w:lineRule="auto"/>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四、投标人直接控股股东信息表</w:t>
      </w:r>
    </w:p>
    <w:tbl>
      <w:tblPr>
        <w:tblStyle w:val="22"/>
        <w:tblW w:w="9476" w:type="dxa"/>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1475A03C">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5D7E868">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EC0E0A9">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7E4D3E6">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1C2DDCF">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3697284">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139B87C9">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D048B2B">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E01886B">
            <w:pPr>
              <w:shd w:val="clea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7E5D9F">
            <w:pPr>
              <w:shd w:val="clea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57AA47">
            <w:pPr>
              <w:shd w:val="clea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17D8AF3">
            <w:pPr>
              <w:shd w:val="clear"/>
              <w:wordWrap w:val="0"/>
              <w:spacing w:line="360" w:lineRule="auto"/>
              <w:jc w:val="center"/>
              <w:rPr>
                <w:rFonts w:hint="eastAsia" w:ascii="宋体" w:hAnsi="宋体" w:eastAsia="宋体" w:cs="宋体"/>
                <w:color w:val="auto"/>
                <w:kern w:val="0"/>
                <w:sz w:val="24"/>
                <w:highlight w:val="none"/>
              </w:rPr>
            </w:pPr>
          </w:p>
        </w:tc>
      </w:tr>
      <w:tr w14:paraId="0C9DC1DC">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4B8AC0E">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C651E1">
            <w:pPr>
              <w:shd w:val="clea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A3C8A89">
            <w:pPr>
              <w:shd w:val="clea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CBE9788">
            <w:pPr>
              <w:shd w:val="clea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877263">
            <w:pPr>
              <w:shd w:val="clear"/>
              <w:wordWrap w:val="0"/>
              <w:spacing w:line="360" w:lineRule="auto"/>
              <w:jc w:val="center"/>
              <w:rPr>
                <w:rFonts w:hint="eastAsia" w:ascii="宋体" w:hAnsi="宋体" w:eastAsia="宋体" w:cs="宋体"/>
                <w:color w:val="auto"/>
                <w:kern w:val="0"/>
                <w:sz w:val="24"/>
                <w:highlight w:val="none"/>
              </w:rPr>
            </w:pPr>
          </w:p>
        </w:tc>
      </w:tr>
      <w:tr w14:paraId="112E4B5F">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6D535C">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6D7EA5">
            <w:pPr>
              <w:shd w:val="clea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DC9B569">
            <w:pPr>
              <w:shd w:val="clea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85D5736">
            <w:pPr>
              <w:shd w:val="clea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360374B">
            <w:pPr>
              <w:shd w:val="clear"/>
              <w:wordWrap w:val="0"/>
              <w:spacing w:line="360" w:lineRule="auto"/>
              <w:jc w:val="center"/>
              <w:rPr>
                <w:rFonts w:hint="eastAsia" w:ascii="宋体" w:hAnsi="宋体" w:eastAsia="宋体" w:cs="宋体"/>
                <w:color w:val="auto"/>
                <w:kern w:val="0"/>
                <w:sz w:val="24"/>
                <w:highlight w:val="none"/>
              </w:rPr>
            </w:pPr>
          </w:p>
        </w:tc>
      </w:tr>
      <w:tr w14:paraId="6AD16268">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C23CB9">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A53BC7F">
            <w:pPr>
              <w:shd w:val="clear"/>
              <w:wordWrap w:val="0"/>
              <w:spacing w:line="360" w:lineRule="auto"/>
              <w:jc w:val="center"/>
              <w:rPr>
                <w:rFonts w:hint="eastAsia" w:ascii="宋体" w:hAnsi="宋体" w:eastAsia="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3863FB4">
            <w:pPr>
              <w:shd w:val="clear"/>
              <w:wordWrap w:val="0"/>
              <w:spacing w:line="360" w:lineRule="auto"/>
              <w:jc w:val="center"/>
              <w:rPr>
                <w:rFonts w:hint="eastAsia" w:ascii="宋体" w:hAnsi="宋体" w:eastAsia="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864EE5E">
            <w:pPr>
              <w:shd w:val="clear"/>
              <w:wordWrap w:val="0"/>
              <w:spacing w:line="360" w:lineRule="auto"/>
              <w:jc w:val="center"/>
              <w:rPr>
                <w:rFonts w:hint="eastAsia" w:ascii="宋体" w:hAnsi="宋体" w:eastAsia="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7A183F0">
            <w:pPr>
              <w:shd w:val="clear"/>
              <w:wordWrap w:val="0"/>
              <w:spacing w:line="360" w:lineRule="auto"/>
              <w:jc w:val="center"/>
              <w:rPr>
                <w:rFonts w:hint="eastAsia" w:ascii="宋体" w:hAnsi="宋体" w:eastAsia="宋体" w:cs="宋体"/>
                <w:color w:val="auto"/>
                <w:kern w:val="0"/>
                <w:sz w:val="24"/>
                <w:highlight w:val="none"/>
              </w:rPr>
            </w:pPr>
          </w:p>
        </w:tc>
      </w:tr>
    </w:tbl>
    <w:p w14:paraId="615E05FF">
      <w:pPr>
        <w:shd w:val="clea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41B9F9EF">
      <w:pPr>
        <w:shd w:val="clea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7C4A94D">
      <w:pPr>
        <w:shd w:val="clea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2.本表所指的控股关系仅限于直接控股关系，不包括间接的控股关系。公司实际控制人与公司之间的关系不属于本表所指的直接控股关系。</w:t>
      </w:r>
    </w:p>
    <w:p w14:paraId="19F1430D">
      <w:pPr>
        <w:shd w:val="clea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3.供应商不存在直接控股股东的，则填“无”。</w:t>
      </w:r>
    </w:p>
    <w:p w14:paraId="15C9E241">
      <w:pPr>
        <w:shd w:val="clear"/>
        <w:wordWrap w:val="0"/>
        <w:snapToGrid w:val="0"/>
        <w:spacing w:line="360" w:lineRule="auto"/>
        <w:jc w:val="left"/>
        <w:rPr>
          <w:rFonts w:hint="eastAsia" w:ascii="宋体" w:hAnsi="宋体" w:eastAsia="宋体" w:cs="宋体"/>
          <w:color w:val="auto"/>
          <w:sz w:val="24"/>
          <w:highlight w:val="none"/>
        </w:rPr>
      </w:pPr>
    </w:p>
    <w:p w14:paraId="090BCC85">
      <w:pPr>
        <w:shd w:val="clear"/>
        <w:wordWrap w:val="0"/>
        <w:snapToGrid w:val="0"/>
        <w:spacing w:line="360" w:lineRule="auto"/>
        <w:jc w:val="left"/>
        <w:rPr>
          <w:rFonts w:hint="eastAsia" w:ascii="宋体" w:hAnsi="宋体" w:eastAsia="宋体" w:cs="宋体"/>
          <w:color w:val="auto"/>
          <w:sz w:val="24"/>
          <w:highlight w:val="none"/>
        </w:rPr>
      </w:pPr>
    </w:p>
    <w:p w14:paraId="3BA57F54">
      <w:pPr>
        <w:shd w:val="clear"/>
        <w:wordWrap w:val="0"/>
        <w:snapToGrid w:val="0"/>
        <w:spacing w:line="360" w:lineRule="auto"/>
        <w:jc w:val="left"/>
        <w:rPr>
          <w:rFonts w:hint="eastAsia" w:ascii="宋体" w:hAnsi="宋体" w:eastAsia="宋体" w:cs="宋体"/>
          <w:color w:val="auto"/>
          <w:sz w:val="24"/>
          <w:highlight w:val="none"/>
        </w:rPr>
      </w:pPr>
    </w:p>
    <w:p w14:paraId="67E867F0">
      <w:pPr>
        <w:shd w:val="clear"/>
        <w:wordWrap w:val="0"/>
        <w:snapToGrid w:val="0"/>
        <w:spacing w:line="360" w:lineRule="auto"/>
        <w:jc w:val="left"/>
        <w:rPr>
          <w:rFonts w:hint="eastAsia" w:ascii="宋体" w:hAnsi="宋体" w:eastAsia="宋体" w:cs="宋体"/>
          <w:color w:val="auto"/>
          <w:sz w:val="24"/>
          <w:highlight w:val="none"/>
        </w:rPr>
      </w:pPr>
    </w:p>
    <w:p w14:paraId="4CC5F3E8">
      <w:pPr>
        <w:shd w:val="clear"/>
        <w:wordWrap w:val="0"/>
        <w:snapToGrid w:val="0"/>
        <w:spacing w:line="360" w:lineRule="auto"/>
        <w:jc w:val="left"/>
        <w:rPr>
          <w:rFonts w:hint="eastAsia" w:ascii="宋体" w:hAnsi="宋体" w:eastAsia="宋体" w:cs="宋体"/>
          <w:color w:val="auto"/>
          <w:sz w:val="24"/>
          <w:highlight w:val="none"/>
        </w:rPr>
      </w:pPr>
    </w:p>
    <w:p w14:paraId="3E7CAEBD">
      <w:pPr>
        <w:shd w:val="clea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1FF5C00D">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497711D">
      <w:pPr>
        <w:shd w:val="clear"/>
        <w:wordWrap w:val="0"/>
        <w:snapToGrid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64BCC20">
      <w:pPr>
        <w:shd w:val="clear"/>
        <w:wordWrap w:val="0"/>
        <w:snapToGrid w:val="0"/>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五、投标人直接管理关系信息表</w:t>
      </w:r>
    </w:p>
    <w:tbl>
      <w:tblPr>
        <w:tblStyle w:val="22"/>
        <w:tblW w:w="9652" w:type="dxa"/>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6A3A6482">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C135564">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C835BEF">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1EFB6F4">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0195CF9">
            <w:pPr>
              <w:shd w:val="clear"/>
              <w:wordWrap w:val="0"/>
              <w:spacing w:line="360" w:lineRule="auto"/>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724C6797">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FE44486">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5D648EA">
            <w:pPr>
              <w:shd w:val="clea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B3C8F90">
            <w:pPr>
              <w:shd w:val="clea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DD787A0">
            <w:pPr>
              <w:shd w:val="clear"/>
              <w:wordWrap w:val="0"/>
              <w:spacing w:line="360" w:lineRule="auto"/>
              <w:jc w:val="center"/>
              <w:rPr>
                <w:rFonts w:hint="eastAsia" w:ascii="宋体" w:hAnsi="宋体" w:eastAsia="宋体" w:cs="宋体"/>
                <w:color w:val="auto"/>
                <w:kern w:val="0"/>
                <w:sz w:val="24"/>
                <w:highlight w:val="none"/>
              </w:rPr>
            </w:pPr>
          </w:p>
        </w:tc>
      </w:tr>
      <w:tr w14:paraId="28CCF018">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1E78DEB">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E84CEB">
            <w:pPr>
              <w:shd w:val="clea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B45410A">
            <w:pPr>
              <w:shd w:val="clea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65904CB">
            <w:pPr>
              <w:shd w:val="clear"/>
              <w:wordWrap w:val="0"/>
              <w:spacing w:line="360" w:lineRule="auto"/>
              <w:jc w:val="center"/>
              <w:rPr>
                <w:rFonts w:hint="eastAsia" w:ascii="宋体" w:hAnsi="宋体" w:eastAsia="宋体" w:cs="宋体"/>
                <w:color w:val="auto"/>
                <w:kern w:val="0"/>
                <w:sz w:val="24"/>
                <w:highlight w:val="none"/>
              </w:rPr>
            </w:pPr>
          </w:p>
        </w:tc>
      </w:tr>
      <w:tr w14:paraId="104573F3">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4479265">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ADF96A">
            <w:pPr>
              <w:shd w:val="clea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EA3DBA5">
            <w:pPr>
              <w:shd w:val="clea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5289DF">
            <w:pPr>
              <w:shd w:val="clear"/>
              <w:wordWrap w:val="0"/>
              <w:spacing w:line="360" w:lineRule="auto"/>
              <w:jc w:val="center"/>
              <w:rPr>
                <w:rFonts w:hint="eastAsia" w:ascii="宋体" w:hAnsi="宋体" w:eastAsia="宋体" w:cs="宋体"/>
                <w:color w:val="auto"/>
                <w:kern w:val="0"/>
                <w:sz w:val="24"/>
                <w:highlight w:val="none"/>
              </w:rPr>
            </w:pPr>
          </w:p>
        </w:tc>
      </w:tr>
      <w:tr w14:paraId="636576CB">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64320A">
            <w:pPr>
              <w:shd w:val="clear"/>
              <w:wordWrap w:val="0"/>
              <w:spacing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09336B">
            <w:pPr>
              <w:shd w:val="clear"/>
              <w:wordWrap w:val="0"/>
              <w:spacing w:line="360" w:lineRule="auto"/>
              <w:jc w:val="center"/>
              <w:rPr>
                <w:rFonts w:hint="eastAsia" w:ascii="宋体" w:hAnsi="宋体" w:eastAsia="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C88F20F">
            <w:pPr>
              <w:shd w:val="clear"/>
              <w:wordWrap w:val="0"/>
              <w:spacing w:line="360" w:lineRule="auto"/>
              <w:jc w:val="center"/>
              <w:rPr>
                <w:rFonts w:hint="eastAsia" w:ascii="宋体" w:hAnsi="宋体" w:eastAsia="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210742">
            <w:pPr>
              <w:shd w:val="clear"/>
              <w:wordWrap w:val="0"/>
              <w:spacing w:line="360" w:lineRule="auto"/>
              <w:jc w:val="center"/>
              <w:rPr>
                <w:rFonts w:hint="eastAsia" w:ascii="宋体" w:hAnsi="宋体" w:eastAsia="宋体" w:cs="宋体"/>
                <w:color w:val="auto"/>
                <w:kern w:val="0"/>
                <w:sz w:val="24"/>
                <w:highlight w:val="none"/>
              </w:rPr>
            </w:pPr>
          </w:p>
        </w:tc>
      </w:tr>
    </w:tbl>
    <w:p w14:paraId="25E1C535">
      <w:pPr>
        <w:shd w:val="clea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21556162">
      <w:pPr>
        <w:shd w:val="clear"/>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1.管理关系：是指不具有出资持股关系的其他单位之间存在的管理与被管理关系，如一些上下级关系的事业单位和团体组织。</w:t>
      </w:r>
    </w:p>
    <w:p w14:paraId="00811675">
      <w:pPr>
        <w:shd w:val="clear"/>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pacing w:val="-6"/>
          <w:sz w:val="24"/>
          <w:highlight w:val="none"/>
        </w:rPr>
        <w:t>本表所指的管理关系仅限于直接管理关系，不包括间接的管理关系。</w:t>
      </w:r>
    </w:p>
    <w:p w14:paraId="161FC392">
      <w:pPr>
        <w:shd w:val="clear"/>
        <w:wordWrap w:val="0"/>
        <w:snapToGrid w:val="0"/>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3.供应商不存在直接管理关系的，则填“无”。</w:t>
      </w:r>
    </w:p>
    <w:p w14:paraId="21A41780">
      <w:pPr>
        <w:shd w:val="clear"/>
        <w:wordWrap w:val="0"/>
        <w:snapToGrid w:val="0"/>
        <w:spacing w:line="360" w:lineRule="auto"/>
        <w:jc w:val="left"/>
        <w:rPr>
          <w:rFonts w:hint="eastAsia" w:ascii="宋体" w:hAnsi="宋体" w:eastAsia="宋体" w:cs="宋体"/>
          <w:color w:val="auto"/>
          <w:sz w:val="24"/>
          <w:highlight w:val="none"/>
        </w:rPr>
      </w:pPr>
    </w:p>
    <w:p w14:paraId="1B22128A">
      <w:pPr>
        <w:shd w:val="clear"/>
        <w:wordWrap w:val="0"/>
        <w:snapToGrid w:val="0"/>
        <w:spacing w:line="360" w:lineRule="auto"/>
        <w:jc w:val="left"/>
        <w:rPr>
          <w:rFonts w:hint="eastAsia" w:ascii="宋体" w:hAnsi="宋体" w:eastAsia="宋体" w:cs="宋体"/>
          <w:color w:val="auto"/>
          <w:sz w:val="24"/>
          <w:highlight w:val="none"/>
        </w:rPr>
      </w:pPr>
    </w:p>
    <w:p w14:paraId="371A9A25">
      <w:pPr>
        <w:shd w:val="clear"/>
        <w:wordWrap w:val="0"/>
        <w:snapToGrid w:val="0"/>
        <w:spacing w:line="360" w:lineRule="auto"/>
        <w:jc w:val="left"/>
        <w:rPr>
          <w:rFonts w:hint="eastAsia" w:ascii="宋体" w:hAnsi="宋体" w:eastAsia="宋体" w:cs="宋体"/>
          <w:color w:val="auto"/>
          <w:sz w:val="24"/>
          <w:highlight w:val="none"/>
        </w:rPr>
      </w:pPr>
    </w:p>
    <w:p w14:paraId="0585D2A3">
      <w:pPr>
        <w:shd w:val="clear"/>
        <w:wordWrap w:val="0"/>
        <w:snapToGrid w:val="0"/>
        <w:spacing w:line="360" w:lineRule="auto"/>
        <w:jc w:val="left"/>
        <w:rPr>
          <w:rFonts w:hint="eastAsia" w:ascii="宋体" w:hAnsi="宋体" w:eastAsia="宋体" w:cs="宋体"/>
          <w:color w:val="auto"/>
          <w:sz w:val="24"/>
          <w:highlight w:val="none"/>
        </w:rPr>
      </w:pPr>
    </w:p>
    <w:p w14:paraId="1D4ABF13">
      <w:pPr>
        <w:shd w:val="clear"/>
        <w:wordWrap w:val="0"/>
        <w:snapToGrid w:val="0"/>
        <w:spacing w:line="360" w:lineRule="auto"/>
        <w:jc w:val="left"/>
        <w:rPr>
          <w:rFonts w:hint="eastAsia" w:ascii="宋体" w:hAnsi="宋体" w:eastAsia="宋体" w:cs="宋体"/>
          <w:color w:val="auto"/>
          <w:sz w:val="24"/>
          <w:highlight w:val="none"/>
        </w:rPr>
      </w:pPr>
    </w:p>
    <w:p w14:paraId="71B7DDA1">
      <w:pPr>
        <w:shd w:val="clear"/>
        <w:wordWrap w:val="0"/>
        <w:snapToGrid w:val="0"/>
        <w:spacing w:line="360" w:lineRule="auto"/>
        <w:jc w:val="left"/>
        <w:rPr>
          <w:rFonts w:hint="eastAsia" w:ascii="宋体" w:hAnsi="宋体" w:eastAsia="宋体" w:cs="宋体"/>
          <w:color w:val="auto"/>
          <w:sz w:val="24"/>
          <w:highlight w:val="none"/>
        </w:rPr>
      </w:pPr>
    </w:p>
    <w:p w14:paraId="045FF5A4">
      <w:pPr>
        <w:shd w:val="clear"/>
        <w:wordWrap w:val="0"/>
        <w:snapToGrid w:val="0"/>
        <w:spacing w:line="360" w:lineRule="auto"/>
        <w:jc w:val="left"/>
        <w:rPr>
          <w:rFonts w:hint="eastAsia" w:ascii="宋体" w:hAnsi="宋体" w:eastAsia="宋体" w:cs="宋体"/>
          <w:color w:val="auto"/>
          <w:sz w:val="24"/>
          <w:highlight w:val="none"/>
        </w:rPr>
      </w:pPr>
    </w:p>
    <w:p w14:paraId="0713E71B">
      <w:pPr>
        <w:shd w:val="clear"/>
        <w:wordWrap w:val="0"/>
        <w:snapToGrid w:val="0"/>
        <w:spacing w:line="360" w:lineRule="auto"/>
        <w:jc w:val="left"/>
        <w:rPr>
          <w:rFonts w:hint="eastAsia" w:ascii="宋体" w:hAnsi="宋体" w:eastAsia="宋体" w:cs="宋体"/>
          <w:color w:val="auto"/>
          <w:sz w:val="24"/>
          <w:highlight w:val="none"/>
        </w:rPr>
      </w:pPr>
    </w:p>
    <w:p w14:paraId="7086E67F">
      <w:pPr>
        <w:shd w:val="clea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644FF82A">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6AB33C5D">
      <w:pPr>
        <w:shd w:val="clear"/>
        <w:wordWrap w:val="0"/>
        <w:snapToGrid w:val="0"/>
        <w:spacing w:line="360" w:lineRule="auto"/>
        <w:jc w:val="left"/>
        <w:rPr>
          <w:rFonts w:hint="eastAsia" w:ascii="宋体" w:hAnsi="宋体" w:eastAsia="宋体" w:cs="宋体"/>
          <w:color w:val="auto"/>
          <w:szCs w:val="21"/>
          <w:highlight w:val="none"/>
        </w:rPr>
      </w:pPr>
    </w:p>
    <w:p w14:paraId="70D5E653">
      <w:pPr>
        <w:shd w:val="clear"/>
        <w:wordWrap w:val="0"/>
        <w:snapToGrid w:val="0"/>
        <w:spacing w:line="360" w:lineRule="auto"/>
        <w:jc w:val="left"/>
        <w:rPr>
          <w:rFonts w:hint="eastAsia" w:ascii="宋体" w:hAnsi="宋体" w:eastAsia="宋体" w:cs="宋体"/>
          <w:b/>
          <w:color w:val="auto"/>
          <w:sz w:val="24"/>
          <w:szCs w:val="20"/>
          <w:highlight w:val="none"/>
        </w:rPr>
      </w:pPr>
    </w:p>
    <w:p w14:paraId="03AB940D">
      <w:pPr>
        <w:shd w:val="clear"/>
        <w:wordWrap w:val="0"/>
        <w:snapToGrid w:val="0"/>
        <w:spacing w:line="360" w:lineRule="auto"/>
        <w:jc w:val="left"/>
        <w:rPr>
          <w:rFonts w:hint="eastAsia" w:ascii="宋体" w:hAnsi="宋体" w:eastAsia="宋体" w:cs="宋体"/>
          <w:b/>
          <w:color w:val="auto"/>
          <w:sz w:val="24"/>
          <w:highlight w:val="none"/>
        </w:rPr>
      </w:pPr>
    </w:p>
    <w:p w14:paraId="73B66BFD">
      <w:pPr>
        <w:shd w:val="clear"/>
        <w:wordWrap w:val="0"/>
        <w:snapToGrid w:val="0"/>
        <w:spacing w:line="360" w:lineRule="auto"/>
        <w:jc w:val="left"/>
        <w:rPr>
          <w:rFonts w:hint="eastAsia" w:ascii="宋体" w:hAnsi="宋体" w:eastAsia="宋体" w:cs="宋体"/>
          <w:b/>
          <w:color w:val="auto"/>
          <w:sz w:val="24"/>
          <w:szCs w:val="20"/>
          <w:highlight w:val="none"/>
        </w:rPr>
      </w:pPr>
      <w:r>
        <w:rPr>
          <w:rFonts w:hint="eastAsia" w:ascii="宋体" w:hAnsi="宋体" w:eastAsia="宋体" w:cs="宋体"/>
          <w:b/>
          <w:color w:val="auto"/>
          <w:sz w:val="24"/>
          <w:szCs w:val="20"/>
          <w:highlight w:val="none"/>
        </w:rPr>
        <w:t xml:space="preserve"> </w:t>
      </w:r>
    </w:p>
    <w:p w14:paraId="0F350811">
      <w:pPr>
        <w:shd w:val="clear"/>
        <w:wordWrap w:val="0"/>
        <w:snapToGrid w:val="0"/>
        <w:spacing w:line="360" w:lineRule="auto"/>
        <w:jc w:val="left"/>
        <w:rPr>
          <w:rFonts w:hint="eastAsia" w:ascii="宋体" w:hAnsi="宋体" w:eastAsia="宋体" w:cs="宋体"/>
          <w:b/>
          <w:color w:val="auto"/>
          <w:sz w:val="24"/>
          <w:szCs w:val="20"/>
          <w:highlight w:val="none"/>
        </w:rPr>
      </w:pPr>
    </w:p>
    <w:p w14:paraId="1002B88F">
      <w:pPr>
        <w:shd w:val="clear"/>
        <w:wordWrap w:val="0"/>
        <w:snapToGrid w:val="0"/>
        <w:spacing w:line="360" w:lineRule="auto"/>
        <w:jc w:val="left"/>
        <w:rPr>
          <w:rFonts w:hint="eastAsia" w:ascii="宋体" w:hAnsi="宋体" w:eastAsia="宋体" w:cs="宋体"/>
          <w:color w:val="auto"/>
          <w:highlight w:val="none"/>
        </w:rPr>
      </w:pPr>
    </w:p>
    <w:p w14:paraId="54E9093F">
      <w:pPr>
        <w:shd w:val="clear"/>
        <w:wordWrap w:val="0"/>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六、投标资格声明函</w:t>
      </w:r>
    </w:p>
    <w:p w14:paraId="08452D2A">
      <w:pPr>
        <w:shd w:val="clear"/>
        <w:tabs>
          <w:tab w:val="left" w:pos="7200"/>
        </w:tabs>
        <w:wordWrap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致：</w:t>
      </w:r>
      <w:bookmarkStart w:id="745" w:name="PO_3000001866_PM031_5"/>
      <w:r>
        <w:rPr>
          <w:rFonts w:hint="eastAsia" w:ascii="宋体" w:hAnsi="宋体" w:eastAsia="宋体" w:cs="宋体"/>
          <w:color w:val="auto"/>
          <w:szCs w:val="21"/>
          <w:highlight w:val="none"/>
          <w:u w:val="single"/>
        </w:rPr>
        <w:t>广西邕政采购代理有限公司</w:t>
      </w:r>
      <w:bookmarkEnd w:id="745"/>
      <w:r>
        <w:rPr>
          <w:rFonts w:hint="eastAsia" w:ascii="宋体" w:hAnsi="宋体" w:eastAsia="宋体" w:cs="宋体"/>
          <w:color w:val="auto"/>
          <w:szCs w:val="21"/>
          <w:highlight w:val="none"/>
          <w:u w:val="single"/>
        </w:rPr>
        <w:t xml:space="preserve"> </w:t>
      </w:r>
    </w:p>
    <w:p w14:paraId="520D86FB">
      <w:pPr>
        <w:shd w:val="clea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我方愿意参加贵方组织的</w:t>
      </w:r>
      <w:r>
        <w:rPr>
          <w:rFonts w:hint="eastAsia" w:ascii="宋体" w:hAnsi="宋体" w:eastAsia="宋体" w:cs="宋体"/>
          <w:color w:val="auto"/>
          <w:szCs w:val="21"/>
          <w:highlight w:val="none"/>
          <w:u w:val="single"/>
        </w:rPr>
        <w:t xml:space="preserve">    （项目名称）          </w:t>
      </w:r>
      <w:r>
        <w:rPr>
          <w:rFonts w:hint="eastAsia" w:ascii="宋体" w:hAnsi="宋体" w:eastAsia="宋体" w:cs="宋体"/>
          <w:color w:val="auto"/>
          <w:szCs w:val="21"/>
          <w:highlight w:val="none"/>
        </w:rPr>
        <w:t>（项目编号：</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）项目的投标，为便于贵方公正、择优地确定中标供应商，我方就本次投标有关事项郑重声明如下：</w:t>
      </w:r>
    </w:p>
    <w:p w14:paraId="4D5E963B">
      <w:pPr>
        <w:shd w:val="clea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3DF4DAAA">
      <w:pPr>
        <w:shd w:val="clea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F7B2BC7">
      <w:pPr>
        <w:shd w:val="clear"/>
        <w:wordWrap w:val="0"/>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3.经查询，在“信用中国”和“中国政府采购网”网站我方未被列入失信被执行人、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w:t>
      </w:r>
    </w:p>
    <w:p w14:paraId="7E7631EF">
      <w:pPr>
        <w:shd w:val="clear"/>
        <w:wordWrap w:val="0"/>
        <w:snapToGrid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4.以上事项如有虚假或隐瞒，我方愿意承担一切后果，并不再寻求任何旨在减轻或免除法律责任的辩解。 </w:t>
      </w:r>
    </w:p>
    <w:p w14:paraId="1BD0B712">
      <w:pPr>
        <w:shd w:val="clear"/>
        <w:tabs>
          <w:tab w:val="left" w:pos="7200"/>
        </w:tabs>
        <w:wordWrap w:val="0"/>
        <w:spacing w:line="360" w:lineRule="auto"/>
        <w:ind w:firstLine="315" w:firstLineChars="1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p w14:paraId="7B0C9D10">
      <w:pPr>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1.投标人应当通过 “信用中国”（www.creditchina.gov.cn）和“中国政府采购网”网站（www.ccgp.gov.cn）查询投标人相关主体的信用记录。查询时间为本项目投标截止时间前10日至投标截止时间中任意一天。对列入失信被执行人、</w:t>
      </w:r>
      <w:r>
        <w:rPr>
          <w:rFonts w:hint="eastAsia" w:ascii="宋体" w:hAnsi="宋体" w:eastAsia="宋体" w:cs="宋体"/>
          <w:color w:val="auto"/>
          <w:sz w:val="21"/>
          <w:szCs w:val="21"/>
          <w:highlight w:val="none"/>
          <w:lang w:eastAsia="zh-CN"/>
        </w:rPr>
        <w:t>重大税收违法失信主体</w:t>
      </w:r>
      <w:r>
        <w:rPr>
          <w:rFonts w:hint="eastAsia" w:ascii="宋体" w:hAnsi="宋体" w:eastAsia="宋体" w:cs="宋体"/>
          <w:color w:val="auto"/>
          <w:sz w:val="21"/>
          <w:szCs w:val="21"/>
          <w:highlight w:val="none"/>
        </w:rPr>
        <w:t>、政府采购严重违法失信行为记录名单的投标人，将被拒绝参与本项目政府采购活动。</w:t>
      </w:r>
    </w:p>
    <w:p w14:paraId="7B999974">
      <w:pPr>
        <w:shd w:val="clear"/>
        <w:wordWrap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2B68461">
      <w:pPr>
        <w:shd w:val="clear"/>
        <w:wordWrap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color w:val="auto"/>
          <w:sz w:val="21"/>
          <w:szCs w:val="21"/>
          <w:highlight w:val="none"/>
        </w:rPr>
        <w:t xml:space="preserve">  3.如为联合体投标，盖章处须加盖联合体各方公章并由联合体各方法定代表人分别签署，否则投标无效。</w:t>
      </w:r>
    </w:p>
    <w:p w14:paraId="498DF9CB">
      <w:pPr>
        <w:shd w:val="clea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0906AA0">
      <w:pPr>
        <w:shd w:val="clear"/>
        <w:wordWrap w:val="0"/>
        <w:snapToGrid w:val="0"/>
        <w:spacing w:line="360" w:lineRule="auto"/>
        <w:ind w:left="7428" w:leftChars="2223" w:hanging="2760" w:hangingChars="1150"/>
        <w:jc w:val="left"/>
        <w:rPr>
          <w:rFonts w:hint="eastAsia" w:ascii="宋体" w:hAnsi="宋体" w:eastAsia="宋体" w:cs="宋体"/>
          <w:color w:val="auto"/>
          <w:kern w:val="0"/>
          <w:sz w:val="24"/>
          <w:highlight w:val="none"/>
          <w:lang w:val="zh-CN"/>
        </w:rPr>
      </w:pPr>
      <w:r>
        <w:rPr>
          <w:rFonts w:hint="eastAsia" w:ascii="宋体" w:hAnsi="宋体" w:eastAsia="宋体" w:cs="宋体"/>
          <w:color w:val="auto"/>
          <w:sz w:val="24"/>
          <w:highlight w:val="none"/>
        </w:rPr>
        <w:t xml:space="preserve">  </w:t>
      </w:r>
      <w:r>
        <w:rPr>
          <w:rFonts w:hint="eastAsia" w:ascii="宋体" w:hAnsi="宋体" w:eastAsia="宋体" w:cs="宋体"/>
          <w:color w:val="auto"/>
          <w:kern w:val="0"/>
          <w:sz w:val="24"/>
          <w:highlight w:val="none"/>
          <w:lang w:val="zh-CN"/>
        </w:rPr>
        <w:t>投标人名称(电子签章)：</w:t>
      </w:r>
      <w:r>
        <w:rPr>
          <w:rFonts w:hint="eastAsia" w:ascii="宋体" w:hAnsi="宋体" w:eastAsia="宋体" w:cs="宋体"/>
          <w:color w:val="auto"/>
          <w:szCs w:val="21"/>
          <w:highlight w:val="none"/>
        </w:rPr>
        <w:t xml:space="preserve">                       年    月    日</w:t>
      </w:r>
    </w:p>
    <w:p w14:paraId="1A70D9F1">
      <w:pPr>
        <w:pStyle w:val="13"/>
        <w:shd w:val="clear"/>
        <w:wordWrap w:val="0"/>
        <w:spacing w:line="360" w:lineRule="auto"/>
        <w:jc w:val="center"/>
        <w:rPr>
          <w:rFonts w:hint="eastAsia" w:ascii="宋体" w:hAnsi="宋体" w:eastAsia="宋体" w:cs="宋体"/>
          <w:b/>
          <w:bCs/>
          <w:color w:val="auto"/>
          <w:sz w:val="30"/>
          <w:szCs w:val="30"/>
          <w:highlight w:val="none"/>
        </w:rPr>
      </w:pPr>
    </w:p>
    <w:p w14:paraId="284FB72C">
      <w:pPr>
        <w:widowControl/>
        <w:shd w:val="clear"/>
        <w:wordWrap w:val="0"/>
        <w:spacing w:line="360" w:lineRule="auto"/>
        <w:jc w:val="left"/>
        <w:rPr>
          <w:rFonts w:hint="eastAsia" w:ascii="宋体" w:hAnsi="宋体" w:eastAsia="宋体" w:cs="宋体"/>
          <w:b/>
          <w:bCs/>
          <w:color w:val="auto"/>
          <w:sz w:val="30"/>
          <w:szCs w:val="30"/>
          <w:highlight w:val="none"/>
        </w:rPr>
        <w:sectPr>
          <w:pgSz w:w="11906" w:h="16838"/>
          <w:pgMar w:top="1440" w:right="1080" w:bottom="1440" w:left="1080" w:header="720" w:footer="720" w:gutter="0"/>
          <w:pgNumType w:fmt="decimal"/>
          <w:cols w:space="720" w:num="1"/>
          <w:docGrid w:type="lines" w:linePitch="331" w:charSpace="0"/>
        </w:sectPr>
      </w:pPr>
    </w:p>
    <w:p w14:paraId="173237BA">
      <w:pPr>
        <w:pStyle w:val="13"/>
        <w:shd w:val="clear"/>
        <w:wordWrap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sz w:val="30"/>
          <w:szCs w:val="30"/>
          <w:highlight w:val="none"/>
        </w:rPr>
        <w:t>七、联合体协议书</w:t>
      </w:r>
    </w:p>
    <w:p w14:paraId="3AC2BDB2">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u w:val="single"/>
        </w:rPr>
      </w:pPr>
    </w:p>
    <w:p w14:paraId="7C8E05A2">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（所有成员单位名称）自愿组成联合体，共同参加</w:t>
      </w:r>
      <w:r>
        <w:rPr>
          <w:rFonts w:hint="eastAsia" w:ascii="宋体" w:hAnsi="宋体" w:eastAsia="宋体" w:cs="宋体"/>
          <w:color w:val="auto"/>
          <w:kern w:val="0"/>
          <w:szCs w:val="21"/>
          <w:highlight w:val="none"/>
          <w:u w:val="single"/>
        </w:rPr>
        <w:t xml:space="preserve">     </w:t>
      </w:r>
      <w:bookmarkStart w:id="746" w:name="PO_3000001866_PM031_6"/>
      <w:r>
        <w:rPr>
          <w:rFonts w:hint="eastAsia" w:ascii="宋体" w:hAnsi="宋体" w:eastAsia="宋体" w:cs="宋体"/>
          <w:color w:val="auto"/>
          <w:kern w:val="0"/>
          <w:szCs w:val="21"/>
          <w:highlight w:val="none"/>
          <w:u w:val="single"/>
        </w:rPr>
        <w:t>广西邕政采购代理有限公司</w:t>
      </w:r>
      <w:bookmarkEnd w:id="746"/>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组织的</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szCs w:val="21"/>
          <w:highlight w:val="none"/>
          <w:u w:val="single"/>
        </w:rPr>
        <w:t xml:space="preserve">（项目名称） </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（项目编号：</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）投标。现就联合体投标事宜订立如下协议：</w:t>
      </w:r>
    </w:p>
    <w:p w14:paraId="5D3E77B0">
      <w:pPr>
        <w:shd w:val="clea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r>
        <w:rPr>
          <w:rFonts w:hint="eastAsia" w:ascii="宋体" w:hAnsi="宋体" w:eastAsia="宋体" w:cs="宋体"/>
          <w:color w:val="auto"/>
          <w:highlight w:val="none"/>
        </w:rPr>
        <w:t>________________________</w:t>
      </w:r>
      <w:r>
        <w:rPr>
          <w:rFonts w:hint="eastAsia" w:ascii="宋体" w:hAnsi="宋体" w:eastAsia="宋体" w:cs="宋体"/>
          <w:color w:val="auto"/>
          <w:kern w:val="0"/>
          <w:szCs w:val="21"/>
          <w:highlight w:val="none"/>
        </w:rPr>
        <w:t>（某成员单位名称）为联合体名称牵头人。</w:t>
      </w:r>
    </w:p>
    <w:p w14:paraId="36DA6725">
      <w:pPr>
        <w:shd w:val="clea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00AF1DF6">
      <w:pPr>
        <w:shd w:val="clea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3、联合体牵头人在本项目中签署和盖章的一切文件和处理的一切事宜，联合体各成员均予以承认。 联合体各成员将严格按照招标文件、投标文件和合同的要求全面履行义务，并向招标人承担连带责任。</w:t>
      </w:r>
    </w:p>
    <w:p w14:paraId="69D3BD3A">
      <w:pPr>
        <w:shd w:val="clea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4、联合体各成员单位内部的职责分工如下</w:t>
      </w:r>
      <w:r>
        <w:rPr>
          <w:rFonts w:hint="eastAsia" w:ascii="宋体" w:hAnsi="宋体" w:eastAsia="宋体" w:cs="宋体"/>
          <w:color w:val="auto"/>
          <w:kern w:val="0"/>
          <w:szCs w:val="21"/>
          <w:highlight w:val="none"/>
          <w:u w:val="single"/>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kern w:val="0"/>
          <w:szCs w:val="21"/>
          <w:highlight w:val="none"/>
        </w:rPr>
        <w:t>。</w:t>
      </w:r>
    </w:p>
    <w:p w14:paraId="7458FDD6">
      <w:pPr>
        <w:pStyle w:val="13"/>
        <w:shd w:val="clear"/>
        <w:wordWrap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highlight w:val="none"/>
        </w:rPr>
        <w:t>5、本联合体中</w:t>
      </w:r>
      <w:r>
        <w:rPr>
          <w:rFonts w:hint="eastAsia" w:ascii="宋体" w:hAnsi="宋体" w:eastAsia="宋体" w:cs="宋体"/>
          <w:color w:val="auto"/>
          <w:kern w:val="0"/>
          <w:highlight w:val="none"/>
          <w:u w:val="single"/>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kern w:val="0"/>
          <w:highlight w:val="none"/>
          <w:u w:val="single"/>
        </w:rPr>
        <w:t>（某成员单位名称）为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highlight w:val="none"/>
        </w:rPr>
        <w:t>（请填写：中型、小型、微型）企业，其协议合同金额占联合体协议合同总金额的</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highlight w:val="none"/>
        </w:rPr>
        <w:t>%。【如联合体成员中有小型、微型企业的，请填写此条，否则无需填写；如联合体成员中有多个小型、微型企业的，请逐一列出。】</w:t>
      </w:r>
    </w:p>
    <w:p w14:paraId="60B3954B">
      <w:pPr>
        <w:shd w:val="clea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6、本协议书自签署之日起生效，合同履行完毕后自动失效。</w:t>
      </w:r>
    </w:p>
    <w:p w14:paraId="39D43411">
      <w:pPr>
        <w:shd w:val="clear"/>
        <w:wordWrap w:val="0"/>
        <w:autoSpaceDE w:val="0"/>
        <w:autoSpaceDN w:val="0"/>
        <w:adjustRightInd w:val="0"/>
        <w:spacing w:line="360" w:lineRule="auto"/>
        <w:ind w:firstLine="42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7、本协议书一式</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份，联合体成员和采购代理机构各执一份。</w:t>
      </w:r>
    </w:p>
    <w:p w14:paraId="7E5FE79D">
      <w:pPr>
        <w:shd w:val="clear"/>
        <w:wordWrap w:val="0"/>
        <w:autoSpaceDE w:val="0"/>
        <w:autoSpaceDN w:val="0"/>
        <w:adjustRightInd w:val="0"/>
        <w:spacing w:line="360" w:lineRule="auto"/>
        <w:ind w:firstLine="420"/>
        <w:jc w:val="left"/>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注：本协议书由法定代表人签字的，应附法定代表人身份证明；本协议书由委托代理人签字的，应附法定代表人授权委托书。</w:t>
      </w:r>
    </w:p>
    <w:p w14:paraId="610ED467">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牵头人名称：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4567AEC6">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法定代表人或其委托代理人：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548EB8D0">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rPr>
      </w:pPr>
    </w:p>
    <w:p w14:paraId="158CB568">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成员一名称：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42A6EAAA">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法定代表人或其委托代理人：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0626A9A4">
      <w:pPr>
        <w:shd w:val="clear"/>
        <w:wordWrap w:val="0"/>
        <w:autoSpaceDE w:val="0"/>
        <w:autoSpaceDN w:val="0"/>
        <w:adjustRightInd w:val="0"/>
        <w:spacing w:line="360" w:lineRule="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成员二名称：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（公章/电子签章）</w:t>
      </w:r>
    </w:p>
    <w:p w14:paraId="7674875A">
      <w:pPr>
        <w:pStyle w:val="13"/>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法定代表人或其委托代理人：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（手写签名/电子签名）</w:t>
      </w:r>
    </w:p>
    <w:p w14:paraId="3124733B">
      <w:pPr>
        <w:shd w:val="clear"/>
        <w:wordWrap w:val="0"/>
        <w:spacing w:line="360" w:lineRule="auto"/>
        <w:rPr>
          <w:rFonts w:hint="eastAsia" w:ascii="宋体" w:hAnsi="宋体" w:eastAsia="宋体" w:cs="宋体"/>
          <w:color w:val="auto"/>
          <w:highlight w:val="none"/>
        </w:rPr>
      </w:pPr>
    </w:p>
    <w:p w14:paraId="398A9E0B">
      <w:pPr>
        <w:shd w:val="clear"/>
        <w:wordWrap w:val="0"/>
        <w:spacing w:line="360" w:lineRule="auto"/>
        <w:rPr>
          <w:rFonts w:hint="eastAsia" w:ascii="宋体" w:hAnsi="宋体" w:eastAsia="宋体" w:cs="宋体"/>
          <w:color w:val="auto"/>
          <w:highlight w:val="none"/>
        </w:rPr>
      </w:pPr>
      <w:bookmarkStart w:id="747" w:name="_Toc19686838"/>
    </w:p>
    <w:p w14:paraId="30F7A99F">
      <w:pPr>
        <w:pStyle w:val="13"/>
        <w:shd w:val="clear"/>
        <w:wordWrap w:val="0"/>
        <w:spacing w:line="360" w:lineRule="auto"/>
        <w:jc w:val="center"/>
        <w:rPr>
          <w:rFonts w:hint="eastAsia" w:ascii="宋体" w:hAnsi="宋体" w:eastAsia="宋体" w:cs="宋体"/>
          <w:b/>
          <w:color w:val="auto"/>
          <w:sz w:val="30"/>
          <w:szCs w:val="30"/>
          <w:highlight w:val="none"/>
        </w:rPr>
        <w:sectPr>
          <w:pgSz w:w="11906" w:h="16838"/>
          <w:pgMar w:top="1440" w:right="1080" w:bottom="1440" w:left="1080" w:header="851" w:footer="992" w:gutter="0"/>
          <w:pgNumType w:fmt="decimal"/>
          <w:cols w:space="720" w:num="1"/>
        </w:sectPr>
      </w:pPr>
      <w:bookmarkStart w:id="748" w:name="_Toc8057"/>
    </w:p>
    <w:p w14:paraId="5956F520">
      <w:pPr>
        <w:shd w:val="clear"/>
        <w:wordWrap w:val="0"/>
        <w:spacing w:line="360" w:lineRule="auto"/>
        <w:jc w:val="left"/>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val="en-US" w:eastAsia="zh-CN"/>
        </w:rPr>
        <w:t>八</w:t>
      </w:r>
      <w:r>
        <w:rPr>
          <w:rFonts w:hint="eastAsia" w:ascii="宋体" w:hAnsi="宋体" w:eastAsia="宋体" w:cs="宋体"/>
          <w:b/>
          <w:color w:val="auto"/>
          <w:sz w:val="32"/>
          <w:szCs w:val="32"/>
          <w:highlight w:val="none"/>
          <w:lang w:val="en-US" w:eastAsia="zh-CN"/>
        </w:rPr>
        <w:t>、</w:t>
      </w:r>
      <w:r>
        <w:rPr>
          <w:rFonts w:hint="eastAsia" w:ascii="宋体" w:hAnsi="宋体" w:eastAsia="宋体" w:cs="宋体"/>
          <w:b/>
          <w:color w:val="auto"/>
          <w:sz w:val="32"/>
          <w:szCs w:val="32"/>
          <w:highlight w:val="none"/>
        </w:rPr>
        <w:t>除招标文件规定必须提供以外，投标人认为需要提供的其他证明材料。</w:t>
      </w:r>
    </w:p>
    <w:p w14:paraId="6CFEB523">
      <w:pPr>
        <w:shd w:val="clea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3AA021EC">
      <w:pPr>
        <w:shd w:val="clear"/>
        <w:rPr>
          <w:rFonts w:hint="eastAsia" w:ascii="宋体" w:hAnsi="宋体" w:eastAsia="宋体" w:cs="宋体"/>
          <w:b/>
          <w:bCs/>
          <w:color w:val="auto"/>
          <w:sz w:val="28"/>
          <w:szCs w:val="28"/>
          <w:highlight w:val="none"/>
        </w:rPr>
      </w:pPr>
    </w:p>
    <w:p w14:paraId="1504B564">
      <w:pPr>
        <w:shd w:val="clea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55CE6473">
      <w:pPr>
        <w:pStyle w:val="13"/>
        <w:shd w:val="clear"/>
        <w:wordWrap w:val="0"/>
        <w:spacing w:line="360" w:lineRule="auto"/>
        <w:jc w:val="center"/>
        <w:outlineLvl w:val="1"/>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第三节 商务文件格式</w:t>
      </w:r>
      <w:bookmarkEnd w:id="747"/>
      <w:bookmarkEnd w:id="748"/>
    </w:p>
    <w:p w14:paraId="64B299CF">
      <w:pPr>
        <w:shd w:val="clear"/>
        <w:wordWrap w:val="0"/>
        <w:snapToGrid w:val="0"/>
        <w:spacing w:line="360" w:lineRule="auto"/>
        <w:rPr>
          <w:rFonts w:hint="eastAsia" w:ascii="宋体" w:hAnsi="宋体" w:eastAsia="宋体" w:cs="宋体"/>
          <w:color w:val="auto"/>
          <w:sz w:val="30"/>
          <w:szCs w:val="20"/>
          <w:highlight w:val="none"/>
        </w:rPr>
      </w:pPr>
    </w:p>
    <w:p w14:paraId="29776471">
      <w:pPr>
        <w:shd w:val="clea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 xml:space="preserve">             电子投标文件</w:t>
      </w:r>
    </w:p>
    <w:p w14:paraId="098DDF2E">
      <w:pPr>
        <w:shd w:val="clear"/>
        <w:wordWrap w:val="0"/>
        <w:snapToGrid w:val="0"/>
        <w:spacing w:line="360" w:lineRule="auto"/>
        <w:rPr>
          <w:rFonts w:hint="eastAsia" w:ascii="宋体" w:hAnsi="宋体" w:eastAsia="宋体" w:cs="宋体"/>
          <w:color w:val="auto"/>
          <w:sz w:val="24"/>
          <w:szCs w:val="20"/>
          <w:highlight w:val="none"/>
        </w:rPr>
      </w:pPr>
    </w:p>
    <w:p w14:paraId="7A433038">
      <w:pPr>
        <w:shd w:val="clear"/>
        <w:wordWrap w:val="0"/>
        <w:snapToGrid w:val="0"/>
        <w:spacing w:line="360" w:lineRule="auto"/>
        <w:jc w:val="center"/>
        <w:rPr>
          <w:rFonts w:hint="eastAsia" w:ascii="宋体" w:hAnsi="宋体" w:eastAsia="宋体" w:cs="宋体"/>
          <w:b/>
          <w:color w:val="auto"/>
          <w:sz w:val="24"/>
          <w:szCs w:val="20"/>
          <w:highlight w:val="none"/>
        </w:rPr>
      </w:pPr>
      <w:r>
        <w:rPr>
          <w:rFonts w:hint="eastAsia" w:ascii="宋体" w:hAnsi="宋体" w:eastAsia="宋体" w:cs="宋体"/>
          <w:b/>
          <w:color w:val="auto"/>
          <w:sz w:val="32"/>
          <w:szCs w:val="32"/>
          <w:highlight w:val="none"/>
        </w:rPr>
        <w:t>商务文件（封面）</w:t>
      </w:r>
    </w:p>
    <w:p w14:paraId="697BE7D7">
      <w:pPr>
        <w:shd w:val="clear"/>
        <w:wordWrap w:val="0"/>
        <w:snapToGrid w:val="0"/>
        <w:spacing w:line="360" w:lineRule="auto"/>
        <w:rPr>
          <w:rFonts w:hint="eastAsia" w:ascii="宋体" w:hAnsi="宋体" w:eastAsia="宋体" w:cs="宋体"/>
          <w:bCs/>
          <w:color w:val="auto"/>
          <w:sz w:val="24"/>
          <w:szCs w:val="20"/>
          <w:highlight w:val="none"/>
        </w:rPr>
      </w:pPr>
    </w:p>
    <w:p w14:paraId="7B6C11DF">
      <w:pPr>
        <w:shd w:val="clea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01267E13">
      <w:pPr>
        <w:shd w:val="clear"/>
        <w:wordWrap w:val="0"/>
        <w:snapToGrid w:val="0"/>
        <w:spacing w:line="360" w:lineRule="auto"/>
        <w:ind w:firstLine="540" w:firstLineChars="225"/>
        <w:rPr>
          <w:rFonts w:hint="eastAsia" w:ascii="宋体" w:hAnsi="宋体" w:eastAsia="宋体" w:cs="宋体"/>
          <w:bCs/>
          <w:color w:val="auto"/>
          <w:sz w:val="24"/>
          <w:szCs w:val="20"/>
          <w:highlight w:val="none"/>
        </w:rPr>
      </w:pPr>
    </w:p>
    <w:p w14:paraId="6A0B529C">
      <w:pPr>
        <w:shd w:val="clea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项目编号： </w:t>
      </w:r>
      <w:r>
        <w:rPr>
          <w:rFonts w:hint="eastAsia" w:ascii="宋体" w:hAnsi="宋体" w:eastAsia="宋体" w:cs="宋体"/>
          <w:color w:val="auto"/>
          <w:sz w:val="24"/>
          <w:highlight w:val="none"/>
        </w:rPr>
        <w:t xml:space="preserve"> </w:t>
      </w:r>
    </w:p>
    <w:p w14:paraId="4EEE5046">
      <w:pPr>
        <w:shd w:val="clear"/>
        <w:wordWrap w:val="0"/>
        <w:snapToGrid w:val="0"/>
        <w:spacing w:line="360" w:lineRule="auto"/>
        <w:ind w:firstLine="540" w:firstLineChars="225"/>
        <w:rPr>
          <w:rFonts w:hint="eastAsia" w:ascii="宋体" w:hAnsi="宋体" w:eastAsia="宋体" w:cs="宋体"/>
          <w:bCs/>
          <w:color w:val="auto"/>
          <w:sz w:val="24"/>
          <w:szCs w:val="20"/>
          <w:highlight w:val="none"/>
        </w:rPr>
      </w:pPr>
      <w:r>
        <w:rPr>
          <w:rFonts w:hint="eastAsia" w:ascii="宋体" w:hAnsi="宋体" w:eastAsia="宋体" w:cs="宋体"/>
          <w:bCs/>
          <w:color w:val="auto"/>
          <w:sz w:val="24"/>
          <w:highlight w:val="none"/>
        </w:rPr>
        <w:t xml:space="preserve"> </w:t>
      </w:r>
    </w:p>
    <w:p w14:paraId="6D00E815">
      <w:pPr>
        <w:shd w:val="clear"/>
        <w:wordWrap w:val="0"/>
        <w:snapToGrid w:val="0"/>
        <w:spacing w:line="360" w:lineRule="auto"/>
        <w:ind w:firstLine="540" w:firstLineChars="225"/>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1C2C34A8">
      <w:pPr>
        <w:shd w:val="clear"/>
        <w:wordWrap w:val="0"/>
        <w:snapToGrid w:val="0"/>
        <w:spacing w:line="360" w:lineRule="auto"/>
        <w:ind w:firstLine="540" w:firstLineChars="225"/>
        <w:rPr>
          <w:rFonts w:hint="eastAsia" w:ascii="宋体" w:hAnsi="宋体" w:eastAsia="宋体" w:cs="宋体"/>
          <w:bCs/>
          <w:color w:val="auto"/>
          <w:sz w:val="24"/>
          <w:szCs w:val="20"/>
          <w:highlight w:val="none"/>
        </w:rPr>
      </w:pPr>
    </w:p>
    <w:p w14:paraId="4DADEFDF">
      <w:pPr>
        <w:pStyle w:val="8"/>
        <w:shd w:val="clear"/>
        <w:wordWrap w:val="0"/>
        <w:snapToGrid w:val="0"/>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投标人名称：</w:t>
      </w:r>
    </w:p>
    <w:p w14:paraId="1C325542">
      <w:pPr>
        <w:pStyle w:val="8"/>
        <w:shd w:val="clear"/>
        <w:wordWrap w:val="0"/>
        <w:snapToGrid w:val="0"/>
        <w:spacing w:line="360" w:lineRule="auto"/>
        <w:ind w:firstLine="540" w:firstLineChars="225"/>
        <w:rPr>
          <w:rFonts w:hint="eastAsia" w:ascii="宋体" w:hAnsi="宋体" w:eastAsia="宋体" w:cs="宋体"/>
          <w:bCs/>
          <w:color w:val="auto"/>
          <w:sz w:val="24"/>
          <w:szCs w:val="24"/>
          <w:highlight w:val="none"/>
        </w:rPr>
      </w:pPr>
    </w:p>
    <w:p w14:paraId="6FC878F7">
      <w:pPr>
        <w:pStyle w:val="8"/>
        <w:shd w:val="clear"/>
        <w:wordWrap w:val="0"/>
        <w:snapToGrid w:val="0"/>
        <w:spacing w:line="360" w:lineRule="auto"/>
        <w:ind w:firstLine="540" w:firstLineChars="22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投标人地址：</w:t>
      </w:r>
    </w:p>
    <w:p w14:paraId="0CB34DF4">
      <w:pPr>
        <w:pStyle w:val="8"/>
        <w:shd w:val="clear"/>
        <w:wordWrap w:val="0"/>
        <w:snapToGrid w:val="0"/>
        <w:spacing w:line="360" w:lineRule="auto"/>
        <w:ind w:firstLine="960" w:firstLineChars="400"/>
        <w:rPr>
          <w:rFonts w:hint="eastAsia" w:ascii="宋体" w:hAnsi="宋体" w:eastAsia="宋体" w:cs="宋体"/>
          <w:bCs/>
          <w:color w:val="auto"/>
          <w:sz w:val="24"/>
          <w:szCs w:val="24"/>
          <w:highlight w:val="none"/>
        </w:rPr>
      </w:pPr>
    </w:p>
    <w:p w14:paraId="0B1AE4E0">
      <w:pPr>
        <w:shd w:val="clear"/>
        <w:wordWrap w:val="0"/>
        <w:snapToGrid w:val="0"/>
        <w:spacing w:line="360" w:lineRule="auto"/>
        <w:ind w:firstLine="645"/>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1B45206C">
      <w:pPr>
        <w:shd w:val="clear"/>
        <w:wordWrap w:val="0"/>
        <w:snapToGrid w:val="0"/>
        <w:spacing w:line="360" w:lineRule="auto"/>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 </w:t>
      </w:r>
    </w:p>
    <w:p w14:paraId="7F022138">
      <w:pPr>
        <w:shd w:val="clear"/>
        <w:wordWrap w:val="0"/>
        <w:spacing w:line="360" w:lineRule="auto"/>
        <w:ind w:right="420"/>
        <w:rPr>
          <w:rFonts w:hint="eastAsia" w:ascii="宋体" w:hAnsi="宋体" w:eastAsia="宋体" w:cs="宋体"/>
          <w:color w:val="auto"/>
          <w:sz w:val="24"/>
          <w:szCs w:val="20"/>
          <w:highlight w:val="none"/>
        </w:rPr>
      </w:pPr>
    </w:p>
    <w:p w14:paraId="7AD17B23">
      <w:pPr>
        <w:shd w:val="clear"/>
        <w:wordWrap w:val="0"/>
        <w:spacing w:line="360" w:lineRule="auto"/>
        <w:ind w:right="420"/>
        <w:rPr>
          <w:rFonts w:hint="eastAsia" w:ascii="宋体" w:hAnsi="宋体" w:eastAsia="宋体" w:cs="宋体"/>
          <w:color w:val="auto"/>
          <w:sz w:val="24"/>
          <w:szCs w:val="20"/>
          <w:highlight w:val="none"/>
        </w:rPr>
      </w:pPr>
    </w:p>
    <w:p w14:paraId="2F109E94">
      <w:pPr>
        <w:shd w:val="clear"/>
        <w:wordWrap w:val="0"/>
        <w:spacing w:line="360" w:lineRule="auto"/>
        <w:ind w:right="420"/>
        <w:rPr>
          <w:rFonts w:hint="eastAsia" w:ascii="宋体" w:hAnsi="宋体" w:eastAsia="宋体" w:cs="宋体"/>
          <w:color w:val="auto"/>
          <w:sz w:val="24"/>
          <w:szCs w:val="20"/>
          <w:highlight w:val="none"/>
        </w:rPr>
      </w:pPr>
    </w:p>
    <w:p w14:paraId="3C0FA9FF">
      <w:pPr>
        <w:shd w:val="clear"/>
        <w:wordWrap w:val="0"/>
        <w:spacing w:line="360" w:lineRule="auto"/>
        <w:ind w:right="420"/>
        <w:rPr>
          <w:rFonts w:hint="eastAsia" w:ascii="宋体" w:hAnsi="宋体" w:eastAsia="宋体" w:cs="宋体"/>
          <w:color w:val="auto"/>
          <w:sz w:val="24"/>
          <w:szCs w:val="20"/>
          <w:highlight w:val="none"/>
        </w:rPr>
      </w:pPr>
    </w:p>
    <w:p w14:paraId="462356EA">
      <w:pPr>
        <w:shd w:val="clear"/>
        <w:wordWrap w:val="0"/>
        <w:spacing w:line="360" w:lineRule="auto"/>
        <w:ind w:right="420"/>
        <w:rPr>
          <w:rFonts w:hint="eastAsia" w:ascii="宋体" w:hAnsi="宋体" w:eastAsia="宋体" w:cs="宋体"/>
          <w:color w:val="auto"/>
          <w:sz w:val="24"/>
          <w:szCs w:val="20"/>
          <w:highlight w:val="none"/>
        </w:rPr>
      </w:pPr>
    </w:p>
    <w:p w14:paraId="61635193">
      <w:pPr>
        <w:shd w:val="clear"/>
        <w:wordWrap w:val="0"/>
        <w:spacing w:line="360" w:lineRule="auto"/>
        <w:ind w:right="420"/>
        <w:rPr>
          <w:rFonts w:hint="eastAsia" w:ascii="宋体" w:hAnsi="宋体" w:eastAsia="宋体" w:cs="宋体"/>
          <w:color w:val="auto"/>
          <w:sz w:val="24"/>
          <w:szCs w:val="20"/>
          <w:highlight w:val="none"/>
        </w:rPr>
      </w:pPr>
    </w:p>
    <w:p w14:paraId="700696C3">
      <w:pPr>
        <w:shd w:val="clear"/>
        <w:wordWrap w:val="0"/>
        <w:spacing w:line="360" w:lineRule="auto"/>
        <w:ind w:right="420"/>
        <w:rPr>
          <w:rFonts w:hint="eastAsia" w:ascii="宋体" w:hAnsi="宋体" w:eastAsia="宋体" w:cs="宋体"/>
          <w:color w:val="auto"/>
          <w:sz w:val="24"/>
          <w:szCs w:val="20"/>
          <w:highlight w:val="none"/>
        </w:rPr>
      </w:pPr>
    </w:p>
    <w:p w14:paraId="41FC4C4F">
      <w:pPr>
        <w:shd w:val="clear"/>
        <w:wordWrap w:val="0"/>
        <w:spacing w:line="360" w:lineRule="auto"/>
        <w:ind w:right="420"/>
        <w:rPr>
          <w:rFonts w:hint="eastAsia" w:ascii="宋体" w:hAnsi="宋体" w:eastAsia="宋体" w:cs="宋体"/>
          <w:color w:val="auto"/>
          <w:sz w:val="24"/>
          <w:szCs w:val="20"/>
          <w:highlight w:val="none"/>
        </w:rPr>
      </w:pPr>
    </w:p>
    <w:p w14:paraId="385613BC">
      <w:pPr>
        <w:shd w:val="clear"/>
        <w:wordWrap w:val="0"/>
        <w:spacing w:line="360" w:lineRule="auto"/>
        <w:ind w:right="420"/>
        <w:rPr>
          <w:rFonts w:hint="eastAsia" w:ascii="宋体" w:hAnsi="宋体" w:eastAsia="宋体" w:cs="宋体"/>
          <w:color w:val="auto"/>
          <w:sz w:val="24"/>
          <w:szCs w:val="20"/>
          <w:highlight w:val="none"/>
        </w:rPr>
      </w:pPr>
    </w:p>
    <w:p w14:paraId="3C792728">
      <w:pPr>
        <w:shd w:val="clear"/>
        <w:wordWrap w:val="0"/>
        <w:spacing w:line="360" w:lineRule="auto"/>
        <w:ind w:right="420"/>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 xml:space="preserve"> </w:t>
      </w:r>
    </w:p>
    <w:p w14:paraId="2C9BCD84">
      <w:pPr>
        <w:shd w:val="clear"/>
        <w:wordWrap w:val="0"/>
        <w:spacing w:line="360" w:lineRule="auto"/>
        <w:rPr>
          <w:rFonts w:hint="eastAsia" w:ascii="宋体" w:hAnsi="宋体" w:eastAsia="宋体" w:cs="宋体"/>
          <w:b/>
          <w:color w:val="auto"/>
          <w:kern w:val="0"/>
          <w:sz w:val="24"/>
          <w:highlight w:val="none"/>
        </w:rPr>
      </w:pPr>
    </w:p>
    <w:p w14:paraId="0EF33E02">
      <w:pPr>
        <w:shd w:val="clear"/>
        <w:wordWrap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商务文件目录</w:t>
      </w:r>
    </w:p>
    <w:p w14:paraId="776BF0C6">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一、无串通投标行为的承诺函……………………………………………………………（页码）</w:t>
      </w:r>
    </w:p>
    <w:p w14:paraId="0D67F8AB">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二、法定代表人身份证明及法定代表人有效身份证正反面复印件…………………（页码）</w:t>
      </w:r>
    </w:p>
    <w:p w14:paraId="6696B785">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73E37F48">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0FF7840D">
      <w:pPr>
        <w:pStyle w:val="35"/>
        <w:shd w:val="clear"/>
        <w:wordWrap w:val="0"/>
        <w:spacing w:line="360" w:lineRule="auto"/>
        <w:rPr>
          <w:rFonts w:hint="eastAsia" w:ascii="宋体" w:hAnsi="宋体" w:eastAsia="宋体" w:cs="宋体"/>
          <w:color w:val="auto"/>
          <w:highlight w:val="none"/>
        </w:rPr>
      </w:pPr>
      <w:bookmarkStart w:id="749" w:name="OLE_LINK6"/>
      <w:bookmarkStart w:id="750" w:name="OLE_LINK7"/>
      <w:bookmarkStart w:id="751" w:name="OLE_LINK5"/>
      <w:r>
        <w:rPr>
          <w:rFonts w:hint="eastAsia" w:ascii="宋体" w:hAnsi="宋体" w:eastAsia="宋体" w:cs="宋体"/>
          <w:color w:val="auto"/>
          <w:highlight w:val="none"/>
        </w:rPr>
        <w:t>五、投标人情况介绍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40736EC">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六、投标人类似业绩的证明文件（如有要求）</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bookmarkEnd w:id="749"/>
      <w:bookmarkEnd w:id="750"/>
    </w:p>
    <w:p w14:paraId="4DC58CCD">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七、除</w:t>
      </w:r>
      <w:r>
        <w:rPr>
          <w:rFonts w:hint="eastAsia" w:ascii="宋体" w:hAnsi="宋体" w:eastAsia="宋体" w:cs="宋体"/>
          <w:color w:val="auto"/>
          <w:highlight w:val="none"/>
          <w:lang w:val="en-US" w:eastAsia="zh-CN"/>
        </w:rPr>
        <w:t>招标</w:t>
      </w:r>
      <w:r>
        <w:rPr>
          <w:rFonts w:hint="eastAsia" w:ascii="宋体" w:hAnsi="宋体" w:eastAsia="宋体" w:cs="宋体"/>
          <w:color w:val="auto"/>
          <w:highlight w:val="none"/>
        </w:rPr>
        <w:t>文件规定必须提供以外，投标人认为需要提供的其他证明材料。</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bookmarkEnd w:id="751"/>
    <w:p w14:paraId="0058CEA6">
      <w:pPr>
        <w:shd w:val="clea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注：以上目录是基本格式要求，各投标人可根据自身情况进一步向下增加内容或细化。</w:t>
      </w:r>
    </w:p>
    <w:p w14:paraId="24A73186">
      <w:pPr>
        <w:shd w:val="clea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6646BC1D">
      <w:pPr>
        <w:shd w:val="clear"/>
        <w:wordWrap w:val="0"/>
        <w:snapToGrid w:val="0"/>
        <w:spacing w:line="360" w:lineRule="auto"/>
        <w:ind w:left="42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一、无串通投标行为的承诺函</w:t>
      </w:r>
    </w:p>
    <w:p w14:paraId="3C89A044">
      <w:pPr>
        <w:shd w:val="clear"/>
        <w:wordWrap w:val="0"/>
        <w:snapToGrid w:val="0"/>
        <w:spacing w:line="360" w:lineRule="auto"/>
        <w:ind w:left="42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投标人参加本项目无串通投标行为的承诺函</w:t>
      </w:r>
    </w:p>
    <w:p w14:paraId="56151FAF">
      <w:pPr>
        <w:shd w:val="clear"/>
        <w:wordWrap w:val="0"/>
        <w:snapToGrid w:val="0"/>
        <w:spacing w:line="360" w:lineRule="auto"/>
        <w:rPr>
          <w:rFonts w:hint="eastAsia" w:ascii="宋体" w:hAnsi="宋体" w:eastAsia="宋体" w:cs="宋体"/>
          <w:b/>
          <w:color w:val="auto"/>
          <w:szCs w:val="21"/>
          <w:highlight w:val="none"/>
        </w:rPr>
      </w:pPr>
    </w:p>
    <w:p w14:paraId="076958CD">
      <w:pPr>
        <w:shd w:val="clear"/>
        <w:wordWrap w:val="0"/>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一、我方承诺无下列相互串通投标的情形：</w:t>
      </w:r>
    </w:p>
    <w:p w14:paraId="5F0D2155">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1.不同投标人的投标文件由同一单位或者个人编制；或者不同投标人报名的IP地址一致的；或者编制标书硬件设备CPU编号、硬盘编号、网卡地址一致的情况。</w:t>
      </w:r>
    </w:p>
    <w:p w14:paraId="277D4BD5">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2.不同投标人委托同一单位或者个人办理投标事宜；</w:t>
      </w:r>
    </w:p>
    <w:p w14:paraId="41C5CB72">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3.不同的投标人的投标文件载明的项目管理员为同一个人；</w:t>
      </w:r>
    </w:p>
    <w:p w14:paraId="6493477F">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4.不同投标人的投标文件异常一致或者投标报价呈规律性差异；</w:t>
      </w:r>
    </w:p>
    <w:p w14:paraId="33EAE283">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5.不同投标人的投标文件相互混装；</w:t>
      </w:r>
    </w:p>
    <w:p w14:paraId="3AC98335">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6.不同投标人的投标保证金从同一单位或者个人账户转出。</w:t>
      </w:r>
    </w:p>
    <w:p w14:paraId="4911D35E">
      <w:pPr>
        <w:shd w:val="clear"/>
        <w:wordWrap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二、我方承诺无下列恶意串通的情形：</w:t>
      </w:r>
    </w:p>
    <w:p w14:paraId="26E3218D">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1.投标人直接或者间接从采购人或者采购代理机构处获得其他投标人的相关信息并修改其投标文件或者投标文件；</w:t>
      </w:r>
    </w:p>
    <w:p w14:paraId="10325505">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2.投标人按照采购人或者采购代理机构的授意撤换、修改投标文件或者投标文件；</w:t>
      </w:r>
    </w:p>
    <w:p w14:paraId="602827D8">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3.投标人之间协商报价、技术方案等投标文件或者投标文件的实质性内容；</w:t>
      </w:r>
    </w:p>
    <w:p w14:paraId="37BF1F04">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4.属于同一集团、协会、商会等组织成员的投标人按照该组织要求协同参加政府采购活动；</w:t>
      </w:r>
    </w:p>
    <w:p w14:paraId="059BE9FA">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0CD516DD">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6.投标人之间商定部分投标人放弃参加政府采购活动或者放弃中标；</w:t>
      </w:r>
    </w:p>
    <w:p w14:paraId="35F77743">
      <w:pPr>
        <w:shd w:val="clear"/>
        <w:wordWrap w:val="0"/>
        <w:snapToGrid w:val="0"/>
        <w:spacing w:line="360" w:lineRule="auto"/>
        <w:ind w:firstLine="411" w:firstLineChars="196"/>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7.投标人与采购人或者采购代理机构之间、投标人相互之间，为谋求特定投标人中标或者排斥其他投标人的其他串通行为。</w:t>
      </w:r>
    </w:p>
    <w:p w14:paraId="5DABF05F">
      <w:pPr>
        <w:shd w:val="clear"/>
        <w:wordWrap w:val="0"/>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以上情形一经核查属实，我方愿意承担一切后果，接受政府采购监管部门对我方认定存在围标串标行为，并不再寻求任何旨在减轻或者免除法律责任的辩解。</w:t>
      </w:r>
    </w:p>
    <w:p w14:paraId="726BF005">
      <w:pPr>
        <w:shd w:val="clea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485FA90E">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1DD1605">
      <w:pPr>
        <w:pStyle w:val="13"/>
        <w:shd w:val="clear"/>
        <w:wordWrap w:val="0"/>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bCs/>
          <w:color w:val="auto"/>
          <w:sz w:val="30"/>
          <w:szCs w:val="30"/>
          <w:highlight w:val="none"/>
        </w:rPr>
        <w:t>二、法定代表人身份证明及法定代表人有效身份证正反面复印件</w:t>
      </w:r>
    </w:p>
    <w:p w14:paraId="5F7B49A6">
      <w:pPr>
        <w:shd w:val="clear"/>
        <w:wordWrap w:val="0"/>
        <w:spacing w:line="360" w:lineRule="auto"/>
        <w:ind w:left="540"/>
        <w:jc w:val="center"/>
        <w:rPr>
          <w:rFonts w:hint="eastAsia" w:ascii="宋体" w:hAnsi="宋体" w:eastAsia="宋体" w:cs="宋体"/>
          <w:b/>
          <w:color w:val="auto"/>
          <w:sz w:val="32"/>
          <w:szCs w:val="32"/>
          <w:highlight w:val="none"/>
        </w:rPr>
      </w:pPr>
    </w:p>
    <w:p w14:paraId="1E523C83">
      <w:pPr>
        <w:shd w:val="clear"/>
        <w:wordWrap w:val="0"/>
        <w:spacing w:line="360" w:lineRule="auto"/>
        <w:ind w:left="540"/>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法定代表人身份证明</w:t>
      </w:r>
    </w:p>
    <w:p w14:paraId="270F898C">
      <w:pPr>
        <w:shd w:val="clea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投 标 人：</w:t>
      </w:r>
      <w:r>
        <w:rPr>
          <w:rFonts w:hint="eastAsia" w:ascii="宋体" w:hAnsi="宋体" w:eastAsia="宋体" w:cs="宋体"/>
          <w:color w:val="auto"/>
          <w:sz w:val="24"/>
          <w:highlight w:val="none"/>
          <w:u w:val="single"/>
        </w:rPr>
        <w:t xml:space="preserve">                                                        </w:t>
      </w:r>
    </w:p>
    <w:p w14:paraId="374ED71F">
      <w:pPr>
        <w:shd w:val="clea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0DA6E435">
      <w:pPr>
        <w:shd w:val="clea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6ED01451">
      <w:pPr>
        <w:shd w:val="clear"/>
        <w:wordWrap w:val="0"/>
        <w:spacing w:line="360" w:lineRule="auto"/>
        <w:ind w:left="54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21AFDC03">
      <w:pPr>
        <w:shd w:val="clea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63AFBB00">
      <w:pPr>
        <w:shd w:val="clea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（投标人名称）              </w:t>
      </w:r>
      <w:r>
        <w:rPr>
          <w:rFonts w:hint="eastAsia" w:ascii="宋体" w:hAnsi="宋体" w:eastAsia="宋体" w:cs="宋体"/>
          <w:color w:val="auto"/>
          <w:sz w:val="24"/>
          <w:highlight w:val="none"/>
        </w:rPr>
        <w:t>的法定代表人。</w:t>
      </w:r>
    </w:p>
    <w:p w14:paraId="7BB54801">
      <w:pPr>
        <w:shd w:val="clea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63612419">
      <w:pPr>
        <w:shd w:val="clear"/>
        <w:wordWrap w:val="0"/>
        <w:spacing w:line="360" w:lineRule="auto"/>
        <w:ind w:left="540"/>
        <w:rPr>
          <w:rFonts w:hint="eastAsia" w:ascii="宋体" w:hAnsi="宋体" w:eastAsia="宋体" w:cs="宋体"/>
          <w:color w:val="auto"/>
          <w:sz w:val="24"/>
          <w:highlight w:val="none"/>
        </w:rPr>
      </w:pPr>
    </w:p>
    <w:p w14:paraId="44916BE7">
      <w:pPr>
        <w:shd w:val="clear"/>
        <w:wordWrap w:val="0"/>
        <w:spacing w:line="360" w:lineRule="auto"/>
        <w:ind w:left="540"/>
        <w:rPr>
          <w:rFonts w:hint="eastAsia" w:ascii="宋体" w:hAnsi="宋体" w:eastAsia="宋体" w:cs="宋体"/>
          <w:color w:val="auto"/>
          <w:sz w:val="24"/>
          <w:highlight w:val="none"/>
        </w:rPr>
      </w:pPr>
    </w:p>
    <w:p w14:paraId="5FFF83D7">
      <w:pPr>
        <w:shd w:val="clear"/>
        <w:wordWrap w:val="0"/>
        <w:spacing w:line="360" w:lineRule="auto"/>
        <w:ind w:left="540"/>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28BF34FE">
      <w:pPr>
        <w:shd w:val="clear"/>
        <w:wordWrap w:val="0"/>
        <w:spacing w:line="360" w:lineRule="auto"/>
        <w:ind w:left="540"/>
        <w:rPr>
          <w:rFonts w:hint="eastAsia" w:ascii="宋体" w:hAnsi="宋体" w:eastAsia="宋体" w:cs="宋体"/>
          <w:color w:val="auto"/>
          <w:sz w:val="24"/>
          <w:highlight w:val="none"/>
        </w:rPr>
      </w:pPr>
    </w:p>
    <w:p w14:paraId="7417EC6C">
      <w:pPr>
        <w:shd w:val="clea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30A26E6D">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45C5F710">
      <w:pPr>
        <w:shd w:val="clear"/>
        <w:wordWrap w:val="0"/>
        <w:snapToGrid w:val="0"/>
        <w:spacing w:line="360" w:lineRule="auto"/>
        <w:jc w:val="center"/>
        <w:rPr>
          <w:rFonts w:hint="eastAsia" w:ascii="宋体" w:hAnsi="宋体" w:eastAsia="宋体" w:cs="宋体"/>
          <w:b/>
          <w:color w:val="auto"/>
          <w:sz w:val="24"/>
          <w:highlight w:val="none"/>
        </w:rPr>
      </w:pPr>
    </w:p>
    <w:p w14:paraId="0FDC3208">
      <w:pPr>
        <w:shd w:val="clear"/>
        <w:wordWrap w:val="0"/>
        <w:snapToGrid w:val="0"/>
        <w:spacing w:line="360" w:lineRule="auto"/>
        <w:ind w:firstLine="600" w:firstLineChars="25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注：自然人投标的无需提供</w:t>
      </w:r>
    </w:p>
    <w:p w14:paraId="1F6CCF66">
      <w:pPr>
        <w:shd w:val="clear"/>
        <w:wordWrap w:val="0"/>
        <w:snapToGrid w:val="0"/>
        <w:spacing w:line="360" w:lineRule="auto"/>
        <w:ind w:firstLine="600" w:firstLineChars="250"/>
        <w:jc w:val="left"/>
        <w:rPr>
          <w:rFonts w:hint="eastAsia" w:ascii="宋体" w:hAnsi="宋体" w:eastAsia="宋体" w:cs="宋体"/>
          <w:color w:val="auto"/>
          <w:sz w:val="24"/>
          <w:highlight w:val="none"/>
        </w:rPr>
      </w:pPr>
    </w:p>
    <w:p w14:paraId="26CBA15A">
      <w:pPr>
        <w:shd w:val="clear"/>
        <w:wordWrap w:val="0"/>
        <w:snapToGrid w:val="0"/>
        <w:spacing w:line="360" w:lineRule="auto"/>
        <w:ind w:firstLine="602" w:firstLineChars="250"/>
        <w:jc w:val="left"/>
        <w:rPr>
          <w:rFonts w:hint="eastAsia" w:ascii="宋体" w:hAnsi="宋体" w:eastAsia="宋体" w:cs="宋体"/>
          <w:b/>
          <w:color w:val="auto"/>
          <w:sz w:val="24"/>
          <w:szCs w:val="20"/>
          <w:highlight w:val="none"/>
        </w:rPr>
      </w:pPr>
    </w:p>
    <w:tbl>
      <w:tblPr>
        <w:tblStyle w:val="22"/>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7C4AA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noWrap w:val="0"/>
            <w:vAlign w:val="top"/>
          </w:tcPr>
          <w:p w14:paraId="09CDD70C">
            <w:pPr>
              <w:shd w:val="clear"/>
              <w:wordWrap w:val="0"/>
              <w:spacing w:line="360" w:lineRule="auto"/>
              <w:rPr>
                <w:rFonts w:hint="eastAsia" w:ascii="宋体" w:hAnsi="宋体" w:eastAsia="宋体" w:cs="宋体"/>
                <w:b/>
                <w:color w:val="auto"/>
                <w:sz w:val="24"/>
                <w:highlight w:val="none"/>
              </w:rPr>
            </w:pPr>
          </w:p>
          <w:p w14:paraId="4309885D">
            <w:pPr>
              <w:shd w:val="clear"/>
              <w:wordWrap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42505696">
      <w:pPr>
        <w:pStyle w:val="13"/>
        <w:shd w:val="clear"/>
        <w:wordWrap w:val="0"/>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r>
        <w:rPr>
          <w:rFonts w:hint="eastAsia" w:ascii="宋体" w:hAnsi="宋体" w:eastAsia="宋体" w:cs="宋体"/>
          <w:b/>
          <w:color w:val="auto"/>
          <w:sz w:val="24"/>
          <w:highlight w:val="none"/>
        </w:rPr>
        <w:br w:type="page"/>
      </w:r>
      <w:r>
        <w:rPr>
          <w:rFonts w:hint="eastAsia" w:ascii="宋体" w:hAnsi="宋体" w:eastAsia="宋体" w:cs="宋体"/>
          <w:b/>
          <w:bCs/>
          <w:color w:val="auto"/>
          <w:sz w:val="30"/>
          <w:szCs w:val="30"/>
          <w:highlight w:val="none"/>
        </w:rPr>
        <w:t>三、法定代表人授权委托书及委托代理人有效身份证正反面复印件（如有委托时）</w:t>
      </w:r>
    </w:p>
    <w:p w14:paraId="49EE2EA5">
      <w:pPr>
        <w:shd w:val="clear"/>
        <w:wordWrap w:val="0"/>
        <w:snapToGrid w:val="0"/>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法定代表人授权委托书</w:t>
      </w:r>
    </w:p>
    <w:p w14:paraId="64929AC0">
      <w:pPr>
        <w:shd w:val="clear"/>
        <w:wordWrap w:val="0"/>
        <w:snapToGrid w:val="0"/>
        <w:spacing w:line="360" w:lineRule="auto"/>
        <w:jc w:val="center"/>
        <w:rPr>
          <w:rFonts w:hint="eastAsia" w:ascii="宋体" w:hAnsi="宋体" w:eastAsia="宋体" w:cs="宋体"/>
          <w:b/>
          <w:color w:val="auto"/>
          <w:sz w:val="24"/>
          <w:highlight w:val="none"/>
        </w:rPr>
      </w:pPr>
    </w:p>
    <w:p w14:paraId="723F7BC8">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致：</w:t>
      </w:r>
      <w:r>
        <w:rPr>
          <w:rFonts w:hint="eastAsia" w:ascii="宋体" w:hAnsi="宋体" w:eastAsia="宋体" w:cs="宋体"/>
          <w:color w:val="auto"/>
          <w:highlight w:val="none"/>
          <w:u w:val="single"/>
        </w:rPr>
        <w:t xml:space="preserve"> </w:t>
      </w:r>
      <w:bookmarkStart w:id="752" w:name="PO_3000001866_PM031_7"/>
      <w:r>
        <w:rPr>
          <w:rFonts w:hint="eastAsia" w:ascii="宋体" w:hAnsi="宋体" w:eastAsia="宋体" w:cs="宋体"/>
          <w:color w:val="auto"/>
          <w:highlight w:val="none"/>
          <w:u w:val="single"/>
        </w:rPr>
        <w:t>广西邕政采购代理有限公司</w:t>
      </w:r>
      <w:bookmarkEnd w:id="752"/>
      <w:r>
        <w:rPr>
          <w:rFonts w:hint="eastAsia" w:ascii="宋体" w:hAnsi="宋体" w:eastAsia="宋体" w:cs="宋体"/>
          <w:color w:val="auto"/>
          <w:highlight w:val="none"/>
          <w:u w:val="single"/>
        </w:rPr>
        <w:t xml:space="preserve"> </w:t>
      </w:r>
    </w:p>
    <w:p w14:paraId="67654EC3">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（投标人名称）的法定代表人，现授权我单位在职正式员工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（姓名和职务）为我方代理人。代理人根据授权，以我方名义签署、澄清、说明、补正、递交、撤回、修改贵方组织的</w:t>
      </w:r>
      <w:r>
        <w:rPr>
          <w:rFonts w:hint="eastAsia" w:ascii="宋体" w:hAnsi="宋体" w:eastAsia="宋体" w:cs="宋体"/>
          <w:color w:val="auto"/>
          <w:highlight w:val="none"/>
          <w:u w:val="single"/>
        </w:rPr>
        <w:t xml:space="preserve"> </w:t>
      </w:r>
      <w:r>
        <w:rPr>
          <w:rFonts w:hint="eastAsia" w:ascii="宋体" w:hAnsi="宋体" w:eastAsia="宋体" w:cs="宋体"/>
          <w:color w:val="auto"/>
          <w:szCs w:val="21"/>
          <w:highlight w:val="none"/>
          <w:u w:val="single"/>
        </w:rPr>
        <w:t xml:space="preserve">（项目名称）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）的投标文件、签订合同和处理一切有关事宜，其法律后果由我方承担。</w:t>
      </w:r>
    </w:p>
    <w:p w14:paraId="67CF4A3F">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本授权书于</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日签字生效，委托期限：</w:t>
      </w:r>
      <w:r>
        <w:rPr>
          <w:rFonts w:hint="eastAsia" w:ascii="宋体" w:hAnsi="宋体" w:eastAsia="宋体" w:cs="宋体"/>
          <w:color w:val="auto"/>
          <w:spacing w:val="10"/>
          <w:sz w:val="24"/>
          <w:highlight w:val="none"/>
          <w:u w:val="single"/>
        </w:rPr>
        <w:t xml:space="preserve">    </w:t>
      </w:r>
      <w:r>
        <w:rPr>
          <w:rFonts w:hint="eastAsia" w:ascii="宋体" w:hAnsi="宋体" w:eastAsia="宋体" w:cs="宋体"/>
          <w:color w:val="auto"/>
          <w:highlight w:val="none"/>
        </w:rPr>
        <w:t>。</w:t>
      </w:r>
    </w:p>
    <w:p w14:paraId="640FABFE">
      <w:pPr>
        <w:pStyle w:val="13"/>
        <w:shd w:val="clear"/>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代理人无转委托权。</w:t>
      </w:r>
    </w:p>
    <w:p w14:paraId="70D067F1">
      <w:pPr>
        <w:pStyle w:val="13"/>
        <w:shd w:val="clear"/>
        <w:wordWrap w:val="0"/>
        <w:spacing w:line="360" w:lineRule="auto"/>
        <w:ind w:firstLine="420"/>
        <w:rPr>
          <w:rFonts w:hint="eastAsia" w:ascii="宋体" w:hAnsi="宋体" w:eastAsia="宋体" w:cs="宋体"/>
          <w:color w:val="auto"/>
          <w:highlight w:val="none"/>
        </w:rPr>
      </w:pPr>
    </w:p>
    <w:p w14:paraId="110CF66A">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投标人（或联合体投标</w:t>
      </w:r>
      <w:r>
        <w:rPr>
          <w:rFonts w:hint="eastAsia" w:ascii="宋体" w:hAnsi="宋体" w:eastAsia="宋体" w:cs="宋体"/>
          <w:color w:val="auto"/>
          <w:kern w:val="0"/>
          <w:szCs w:val="21"/>
          <w:highlight w:val="none"/>
        </w:rPr>
        <w:t>牵头人名称</w:t>
      </w:r>
      <w:r>
        <w:rPr>
          <w:rFonts w:hint="eastAsia" w:ascii="宋体" w:hAnsi="宋体" w:eastAsia="宋体" w:cs="宋体"/>
          <w:color w:val="auto"/>
          <w:highlight w:val="none"/>
        </w:rPr>
        <w:t>）（盖单位公章）：</w:t>
      </w:r>
      <w:r>
        <w:rPr>
          <w:rFonts w:hint="eastAsia" w:ascii="宋体" w:hAnsi="宋体" w:eastAsia="宋体" w:cs="宋体"/>
          <w:color w:val="auto"/>
          <w:highlight w:val="none"/>
          <w:u w:val="single"/>
        </w:rPr>
        <w:t xml:space="preserve">                                    </w:t>
      </w:r>
    </w:p>
    <w:p w14:paraId="73675616">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2ACD145C">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法定代表人身份证号码：</w:t>
      </w:r>
      <w:r>
        <w:rPr>
          <w:rFonts w:hint="eastAsia" w:ascii="宋体" w:hAnsi="宋体" w:eastAsia="宋体" w:cs="宋体"/>
          <w:color w:val="auto"/>
          <w:highlight w:val="none"/>
          <w:u w:val="single"/>
        </w:rPr>
        <w:t xml:space="preserve">                                   </w:t>
      </w:r>
    </w:p>
    <w:p w14:paraId="19D0EAA9">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委托代理人（签字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24C188B2">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委托代理人身份证号码：</w:t>
      </w:r>
      <w:r>
        <w:rPr>
          <w:rFonts w:hint="eastAsia" w:ascii="宋体" w:hAnsi="宋体" w:eastAsia="宋体" w:cs="宋体"/>
          <w:color w:val="auto"/>
          <w:highlight w:val="none"/>
          <w:u w:val="single"/>
        </w:rPr>
        <w:t xml:space="preserve">                                   </w:t>
      </w:r>
    </w:p>
    <w:p w14:paraId="4EDAC6C8">
      <w:pPr>
        <w:pStyle w:val="13"/>
        <w:shd w:val="clear"/>
        <w:wordWrap w:val="0"/>
        <w:spacing w:line="360" w:lineRule="auto"/>
        <w:ind w:firstLine="420"/>
        <w:rPr>
          <w:rFonts w:hint="eastAsia" w:ascii="宋体" w:hAnsi="宋体" w:eastAsia="宋体" w:cs="宋体"/>
          <w:color w:val="auto"/>
          <w:highlight w:val="none"/>
          <w:u w:val="single"/>
        </w:rPr>
      </w:pPr>
    </w:p>
    <w:p w14:paraId="3C4F6C1B">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kern w:val="0"/>
          <w:szCs w:val="21"/>
          <w:highlight w:val="none"/>
        </w:rPr>
        <w:t>成员一名称：</w:t>
      </w:r>
      <w:r>
        <w:rPr>
          <w:rFonts w:hint="eastAsia" w:ascii="宋体" w:hAnsi="宋体" w:eastAsia="宋体" w:cs="宋体"/>
          <w:color w:val="auto"/>
          <w:highlight w:val="none"/>
        </w:rPr>
        <w:t>（盖单位公章）：</w:t>
      </w:r>
      <w:r>
        <w:rPr>
          <w:rFonts w:hint="eastAsia" w:ascii="宋体" w:hAnsi="宋体" w:eastAsia="宋体" w:cs="宋体"/>
          <w:color w:val="auto"/>
          <w:highlight w:val="none"/>
          <w:u w:val="single"/>
        </w:rPr>
        <w:t xml:space="preserve">                                    </w:t>
      </w:r>
    </w:p>
    <w:p w14:paraId="6E49D605">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法定代表人（签字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w:t>
      </w:r>
      <w:r>
        <w:rPr>
          <w:rFonts w:hint="eastAsia" w:ascii="宋体" w:hAnsi="宋体" w:eastAsia="宋体" w:cs="宋体"/>
          <w:color w:val="auto"/>
          <w:highlight w:val="none"/>
          <w:u w:val="single"/>
        </w:rPr>
        <w:t xml:space="preserve">                                </w:t>
      </w:r>
    </w:p>
    <w:p w14:paraId="688A367E">
      <w:pPr>
        <w:pStyle w:val="13"/>
        <w:shd w:val="clear"/>
        <w:wordWrap w:val="0"/>
        <w:spacing w:line="360" w:lineRule="auto"/>
        <w:ind w:firstLine="420"/>
        <w:rPr>
          <w:rFonts w:hint="eastAsia" w:ascii="宋体" w:hAnsi="宋体" w:eastAsia="宋体" w:cs="宋体"/>
          <w:color w:val="auto"/>
          <w:highlight w:val="none"/>
          <w:u w:val="single"/>
        </w:rPr>
      </w:pPr>
    </w:p>
    <w:p w14:paraId="02F50A27">
      <w:pPr>
        <w:shd w:val="clear"/>
        <w:wordWrap w:val="0"/>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成员二名称：</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kern w:val="0"/>
          <w:szCs w:val="21"/>
          <w:highlight w:val="none"/>
        </w:rPr>
        <w:t>（盖单位公章）</w:t>
      </w:r>
    </w:p>
    <w:p w14:paraId="691467C3">
      <w:pPr>
        <w:shd w:val="clear"/>
        <w:wordWrap w:val="0"/>
        <w:autoSpaceDE w:val="0"/>
        <w:autoSpaceDN w:val="0"/>
        <w:adjustRightInd w:val="0"/>
        <w:spacing w:line="360" w:lineRule="auto"/>
        <w:ind w:firstLine="420" w:firstLineChars="200"/>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法定代表人或其委托代理人：</w:t>
      </w:r>
      <w:r>
        <w:rPr>
          <w:rFonts w:hint="eastAsia" w:ascii="宋体" w:hAnsi="宋体" w:eastAsia="宋体" w:cs="宋体"/>
          <w:color w:val="auto"/>
          <w:kern w:val="0"/>
          <w:szCs w:val="21"/>
          <w:highlight w:val="none"/>
          <w:u w:val="single"/>
        </w:rPr>
        <w:t xml:space="preserve">                         </w:t>
      </w:r>
      <w:r>
        <w:rPr>
          <w:rFonts w:hint="eastAsia" w:ascii="宋体" w:hAnsi="宋体" w:eastAsia="宋体" w:cs="宋体"/>
          <w:color w:val="auto"/>
          <w:highlight w:val="none"/>
        </w:rPr>
        <w:t>（签字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w:t>
      </w:r>
    </w:p>
    <w:p w14:paraId="3E4B80E2">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p>
    <w:p w14:paraId="4395C5D1">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0C2B773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1.法定代表人和委托代理人必须在授权委托书上</w:t>
      </w:r>
      <w:r>
        <w:rPr>
          <w:rFonts w:hint="eastAsia" w:ascii="宋体" w:hAnsi="宋体" w:eastAsia="宋体" w:cs="宋体"/>
          <w:color w:val="auto"/>
          <w:highlight w:val="none"/>
        </w:rPr>
        <w:t>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否则作无效投标处理</w:t>
      </w:r>
      <w:r>
        <w:rPr>
          <w:rFonts w:hint="eastAsia" w:ascii="宋体" w:hAnsi="宋体" w:eastAsia="宋体" w:cs="宋体"/>
          <w:color w:val="auto"/>
          <w:szCs w:val="21"/>
          <w:highlight w:val="none"/>
        </w:rPr>
        <w:t>；</w:t>
      </w:r>
    </w:p>
    <w:p w14:paraId="57B33585">
      <w:pPr>
        <w:shd w:val="clear"/>
        <w:wordWrap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2.以联合体形式投标的，本授权委托书应由联合体牵头人的法定代表人按上述规定签署。</w:t>
      </w:r>
    </w:p>
    <w:p w14:paraId="7DBE9653">
      <w:pPr>
        <w:shd w:val="clear"/>
        <w:wordWrap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50EF62D">
      <w:pPr>
        <w:shd w:val="clear"/>
        <w:wordWrap w:val="0"/>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 若为联合体投标须各方签字或盖章。</w:t>
      </w:r>
    </w:p>
    <w:p w14:paraId="42D0C6E6">
      <w:pPr>
        <w:shd w:val="clear"/>
        <w:wordWrap w:val="0"/>
        <w:spacing w:line="360" w:lineRule="auto"/>
        <w:rPr>
          <w:rFonts w:hint="eastAsia" w:ascii="宋体" w:hAnsi="宋体" w:eastAsia="宋体" w:cs="宋体"/>
          <w:b/>
          <w:color w:val="auto"/>
          <w:sz w:val="24"/>
          <w:highlight w:val="none"/>
        </w:rPr>
      </w:pPr>
    </w:p>
    <w:p w14:paraId="1CA7D034">
      <w:pPr>
        <w:shd w:val="clear"/>
        <w:wordWrap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附件：</w:t>
      </w:r>
    </w:p>
    <w:tbl>
      <w:tblPr>
        <w:tblStyle w:val="22"/>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54414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90" w:type="dxa"/>
            <w:tcBorders>
              <w:top w:val="single" w:color="auto" w:sz="4" w:space="0"/>
              <w:left w:val="single" w:color="auto" w:sz="4" w:space="0"/>
              <w:bottom w:val="single" w:color="auto" w:sz="4" w:space="0"/>
              <w:right w:val="single" w:color="auto" w:sz="4" w:space="0"/>
            </w:tcBorders>
            <w:noWrap w:val="0"/>
            <w:vAlign w:val="top"/>
          </w:tcPr>
          <w:p w14:paraId="6E54AC0B">
            <w:pPr>
              <w:shd w:val="clear"/>
              <w:wordWrap w:val="0"/>
              <w:spacing w:line="360" w:lineRule="auto"/>
              <w:rPr>
                <w:rFonts w:hint="eastAsia" w:ascii="宋体" w:hAnsi="宋体" w:eastAsia="宋体" w:cs="宋体"/>
                <w:b/>
                <w:color w:val="auto"/>
                <w:sz w:val="24"/>
                <w:highlight w:val="none"/>
              </w:rPr>
            </w:pPr>
          </w:p>
          <w:p w14:paraId="10C9A8C3">
            <w:pPr>
              <w:shd w:val="clear"/>
              <w:wordWrap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全权代表身份证复印件</w:t>
            </w:r>
            <w:r>
              <w:rPr>
                <w:rFonts w:hint="eastAsia" w:ascii="宋体" w:hAnsi="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0837DAAA">
      <w:pPr>
        <w:shd w:val="clear"/>
        <w:wordWrap w:val="0"/>
        <w:snapToGrid w:val="0"/>
        <w:spacing w:line="360" w:lineRule="auto"/>
        <w:jc w:val="left"/>
        <w:rPr>
          <w:rFonts w:hint="eastAsia" w:ascii="宋体" w:hAnsi="宋体" w:eastAsia="宋体" w:cs="宋体"/>
          <w:color w:val="auto"/>
          <w:szCs w:val="21"/>
          <w:highlight w:val="none"/>
        </w:rPr>
      </w:pPr>
    </w:p>
    <w:p w14:paraId="7C2B22E6">
      <w:pPr>
        <w:shd w:val="clear"/>
        <w:wordWrap w:val="0"/>
        <w:snapToGrid w:val="0"/>
        <w:spacing w:line="360" w:lineRule="auto"/>
        <w:ind w:firstLine="566" w:firstLineChars="236"/>
        <w:jc w:val="center"/>
        <w:rPr>
          <w:rFonts w:hint="eastAsia" w:ascii="宋体" w:hAnsi="宋体" w:eastAsia="宋体" w:cs="宋体"/>
          <w:color w:val="auto"/>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rPr>
        <w:br w:type="page"/>
      </w:r>
    </w:p>
    <w:p w14:paraId="4868FCB4">
      <w:pPr>
        <w:shd w:val="clear"/>
        <w:wordWrap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四、商务条款偏离表</w:t>
      </w:r>
    </w:p>
    <w:p w14:paraId="65AF7974">
      <w:pPr>
        <w:shd w:val="clear"/>
        <w:wordWrap w:val="0"/>
        <w:spacing w:line="360" w:lineRule="auto"/>
        <w:jc w:val="center"/>
        <w:rPr>
          <w:rFonts w:hint="eastAsia" w:ascii="宋体" w:hAnsi="宋体" w:eastAsia="宋体" w:cs="宋体"/>
          <w:b/>
          <w:color w:val="auto"/>
          <w:sz w:val="24"/>
          <w:szCs w:val="20"/>
          <w:highlight w:val="none"/>
        </w:rPr>
      </w:pPr>
      <w:r>
        <w:rPr>
          <w:rFonts w:hint="eastAsia" w:ascii="宋体" w:hAnsi="宋体" w:eastAsia="宋体" w:cs="宋体"/>
          <w:color w:val="auto"/>
          <w:sz w:val="30"/>
          <w:szCs w:val="20"/>
          <w:highlight w:val="none"/>
        </w:rPr>
        <w:t>(注：按项目需求表具体项目修改)</w:t>
      </w:r>
    </w:p>
    <w:p w14:paraId="49ACE27F">
      <w:pPr>
        <w:shd w:val="clear"/>
        <w:wordWrap w:val="0"/>
        <w:snapToGrid w:val="0"/>
        <w:spacing w:line="360" w:lineRule="auto"/>
        <w:jc w:val="left"/>
        <w:rPr>
          <w:rFonts w:hint="eastAsia" w:ascii="宋体" w:hAnsi="宋体" w:eastAsia="宋体" w:cs="宋体"/>
          <w:color w:val="auto"/>
          <w:sz w:val="24"/>
          <w:highlight w:val="none"/>
        </w:rPr>
      </w:pPr>
    </w:p>
    <w:p w14:paraId="76E820BD">
      <w:pPr>
        <w:pStyle w:val="13"/>
        <w:shd w:val="clear"/>
        <w:wordWrap w:val="0"/>
        <w:spacing w:line="360" w:lineRule="auto"/>
        <w:ind w:left="-424" w:leftChars="-202" w:firstLine="846"/>
        <w:rPr>
          <w:rFonts w:hint="eastAsia" w:ascii="宋体" w:hAnsi="宋体" w:eastAsia="宋体" w:cs="宋体"/>
          <w:color w:val="auto"/>
          <w:sz w:val="24"/>
          <w:szCs w:val="24"/>
          <w:highlight w:val="none"/>
        </w:rPr>
      </w:pPr>
      <w:r>
        <w:rPr>
          <w:rFonts w:hint="eastAsia" w:ascii="宋体" w:hAnsi="宋体" w:eastAsia="宋体" w:cs="宋体"/>
          <w:color w:val="auto"/>
          <w:highlight w:val="none"/>
        </w:rPr>
        <w:t>请</w:t>
      </w:r>
      <w:r>
        <w:rPr>
          <w:rFonts w:hint="eastAsia" w:ascii="宋体" w:hAnsi="宋体" w:eastAsia="宋体" w:cs="宋体"/>
          <w:b/>
          <w:bCs/>
          <w:color w:val="auto"/>
          <w:highlight w:val="none"/>
        </w:rPr>
        <w:t>逐条对应</w:t>
      </w:r>
      <w:r>
        <w:rPr>
          <w:rFonts w:hint="eastAsia" w:ascii="宋体" w:hAnsi="宋体" w:eastAsia="宋体" w:cs="宋体"/>
          <w:color w:val="auto"/>
          <w:highlight w:val="none"/>
        </w:rPr>
        <w:t>本项目招标文件第二章“服务需求一览表”中“商务条款”的要求，详细填写相应的具体内容。“偏离说明”一栏应当选择“正偏离”、“负偏离”或“无偏离”进行填写。</w:t>
      </w:r>
    </w:p>
    <w:tbl>
      <w:tblPr>
        <w:tblStyle w:val="22"/>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516"/>
      </w:tblGrid>
      <w:tr w14:paraId="132F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vAlign w:val="top"/>
          </w:tcPr>
          <w:p w14:paraId="0327B79A">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757" w:type="dxa"/>
            <w:tcBorders>
              <w:top w:val="single" w:color="auto" w:sz="4" w:space="0"/>
              <w:left w:val="single" w:color="auto" w:sz="4" w:space="0"/>
              <w:bottom w:val="single" w:color="auto" w:sz="4" w:space="0"/>
              <w:right w:val="single" w:color="auto" w:sz="4" w:space="0"/>
            </w:tcBorders>
            <w:noWrap/>
            <w:vAlign w:val="top"/>
          </w:tcPr>
          <w:p w14:paraId="23E0AA23">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招标文件的商务需求</w:t>
            </w:r>
          </w:p>
        </w:tc>
        <w:tc>
          <w:tcPr>
            <w:tcW w:w="2516" w:type="dxa"/>
            <w:tcBorders>
              <w:top w:val="single" w:color="auto" w:sz="4" w:space="0"/>
              <w:left w:val="single" w:color="auto" w:sz="4" w:space="0"/>
              <w:right w:val="single" w:color="auto" w:sz="4" w:space="0"/>
            </w:tcBorders>
            <w:noWrap w:val="0"/>
            <w:vAlign w:val="top"/>
          </w:tcPr>
          <w:p w14:paraId="22C4FB23">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投标文件承诺的商务条款</w:t>
            </w:r>
          </w:p>
        </w:tc>
        <w:tc>
          <w:tcPr>
            <w:tcW w:w="2516" w:type="dxa"/>
            <w:tcBorders>
              <w:top w:val="single" w:color="auto" w:sz="4" w:space="0"/>
              <w:left w:val="single" w:color="auto" w:sz="4" w:space="0"/>
              <w:right w:val="single" w:color="auto" w:sz="4" w:space="0"/>
            </w:tcBorders>
            <w:noWrap w:val="0"/>
            <w:vAlign w:val="top"/>
          </w:tcPr>
          <w:p w14:paraId="1F496476">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5CD64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2307E32D">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757" w:type="dxa"/>
            <w:tcBorders>
              <w:top w:val="single" w:color="auto" w:sz="4" w:space="0"/>
              <w:left w:val="single" w:color="auto" w:sz="4" w:space="0"/>
              <w:bottom w:val="single" w:color="auto" w:sz="4" w:space="0"/>
              <w:right w:val="single" w:color="auto" w:sz="4" w:space="0"/>
            </w:tcBorders>
            <w:noWrap/>
            <w:vAlign w:val="top"/>
          </w:tcPr>
          <w:p w14:paraId="74CF17B1">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noWrap w:val="0"/>
            <w:vAlign w:val="top"/>
          </w:tcPr>
          <w:p w14:paraId="62DFB48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noWrap w:val="0"/>
            <w:vAlign w:val="top"/>
          </w:tcPr>
          <w:p w14:paraId="4F03D270">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76CD9668">
            <w:pPr>
              <w:shd w:val="clear"/>
              <w:wordWrap w:val="0"/>
              <w:spacing w:line="360" w:lineRule="auto"/>
              <w:rPr>
                <w:rFonts w:hint="eastAsia" w:ascii="宋体" w:hAnsi="宋体" w:eastAsia="宋体" w:cs="宋体"/>
                <w:color w:val="auto"/>
                <w:szCs w:val="21"/>
                <w:highlight w:val="none"/>
              </w:rPr>
            </w:pPr>
          </w:p>
        </w:tc>
      </w:tr>
      <w:tr w14:paraId="12843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5BFD8827">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1236E5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A3A2D5F">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7B07A46D">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7E32AAA">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68F7F90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526390BA">
            <w:pPr>
              <w:shd w:val="clear"/>
              <w:wordWrap w:val="0"/>
              <w:spacing w:line="360" w:lineRule="auto"/>
              <w:rPr>
                <w:rFonts w:hint="eastAsia" w:ascii="宋体" w:hAnsi="宋体" w:eastAsia="宋体" w:cs="宋体"/>
                <w:color w:val="auto"/>
                <w:szCs w:val="21"/>
                <w:highlight w:val="none"/>
              </w:rPr>
            </w:pPr>
          </w:p>
        </w:tc>
      </w:tr>
      <w:tr w14:paraId="5AD1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5461B756">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DEC0EC5">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726BFA8">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1C141BB3">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5344856">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6030C2A6">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3F29FD5E">
            <w:pPr>
              <w:shd w:val="clear"/>
              <w:wordWrap w:val="0"/>
              <w:spacing w:line="360" w:lineRule="auto"/>
              <w:rPr>
                <w:rFonts w:hint="eastAsia" w:ascii="宋体" w:hAnsi="宋体" w:eastAsia="宋体" w:cs="宋体"/>
                <w:color w:val="auto"/>
                <w:szCs w:val="21"/>
                <w:highlight w:val="none"/>
              </w:rPr>
            </w:pPr>
          </w:p>
        </w:tc>
      </w:tr>
      <w:tr w14:paraId="1F7F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61D97717">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1089E0A">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noWrap w:val="0"/>
            <w:vAlign w:val="top"/>
          </w:tcPr>
          <w:p w14:paraId="5D06D63B">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noWrap w:val="0"/>
            <w:vAlign w:val="top"/>
          </w:tcPr>
          <w:p w14:paraId="0C5E633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6F6D6BFA">
            <w:pPr>
              <w:shd w:val="clear"/>
              <w:wordWrap w:val="0"/>
              <w:spacing w:line="360" w:lineRule="auto"/>
              <w:rPr>
                <w:rFonts w:hint="eastAsia" w:ascii="宋体" w:hAnsi="宋体" w:eastAsia="宋体" w:cs="宋体"/>
                <w:color w:val="auto"/>
                <w:szCs w:val="21"/>
                <w:highlight w:val="none"/>
              </w:rPr>
            </w:pPr>
          </w:p>
        </w:tc>
      </w:tr>
      <w:tr w14:paraId="0632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464188DA">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757" w:type="dxa"/>
            <w:tcBorders>
              <w:top w:val="single" w:color="auto" w:sz="4" w:space="0"/>
              <w:left w:val="single" w:color="auto" w:sz="4" w:space="0"/>
              <w:bottom w:val="single" w:color="auto" w:sz="4" w:space="0"/>
              <w:right w:val="single" w:color="auto" w:sz="4" w:space="0"/>
            </w:tcBorders>
            <w:noWrap/>
            <w:vAlign w:val="top"/>
          </w:tcPr>
          <w:p w14:paraId="4D006D34">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noWrap w:val="0"/>
            <w:vAlign w:val="top"/>
          </w:tcPr>
          <w:p w14:paraId="52EE21EE">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noWrap w:val="0"/>
            <w:vAlign w:val="top"/>
          </w:tcPr>
          <w:p w14:paraId="5FCF098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50F69411">
            <w:pPr>
              <w:shd w:val="clear"/>
              <w:wordWrap w:val="0"/>
              <w:spacing w:line="360" w:lineRule="auto"/>
              <w:rPr>
                <w:rFonts w:hint="eastAsia" w:ascii="宋体" w:hAnsi="宋体" w:eastAsia="宋体" w:cs="宋体"/>
                <w:color w:val="auto"/>
                <w:szCs w:val="21"/>
                <w:highlight w:val="none"/>
              </w:rPr>
            </w:pPr>
          </w:p>
        </w:tc>
      </w:tr>
      <w:tr w14:paraId="1A41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607047E4">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42DEE82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FD0B6E6">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202E35CB">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76471A07">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5D8E46F5">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2872DBED">
            <w:pPr>
              <w:shd w:val="clear"/>
              <w:wordWrap w:val="0"/>
              <w:spacing w:line="360" w:lineRule="auto"/>
              <w:rPr>
                <w:rFonts w:hint="eastAsia" w:ascii="宋体" w:hAnsi="宋体" w:eastAsia="宋体" w:cs="宋体"/>
                <w:color w:val="auto"/>
                <w:szCs w:val="21"/>
                <w:highlight w:val="none"/>
              </w:rPr>
            </w:pPr>
          </w:p>
        </w:tc>
      </w:tr>
      <w:tr w14:paraId="3DAA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034A96CB">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1F4D353">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F91EABC">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09D7C7CB">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10C03C8">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233924A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6754FFD4">
            <w:pPr>
              <w:shd w:val="clear"/>
              <w:wordWrap w:val="0"/>
              <w:spacing w:line="360" w:lineRule="auto"/>
              <w:rPr>
                <w:rFonts w:hint="eastAsia" w:ascii="宋体" w:hAnsi="宋体" w:eastAsia="宋体" w:cs="宋体"/>
                <w:color w:val="auto"/>
                <w:szCs w:val="21"/>
                <w:highlight w:val="none"/>
              </w:rPr>
            </w:pPr>
          </w:p>
        </w:tc>
      </w:tr>
      <w:tr w14:paraId="42D3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17C7B4D4">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3107394">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noWrap w:val="0"/>
            <w:vAlign w:val="top"/>
          </w:tcPr>
          <w:p w14:paraId="3F476A58">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noWrap w:val="0"/>
            <w:vAlign w:val="top"/>
          </w:tcPr>
          <w:p w14:paraId="2A4AA93A">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18204F25">
            <w:pPr>
              <w:shd w:val="clear"/>
              <w:wordWrap w:val="0"/>
              <w:spacing w:line="360" w:lineRule="auto"/>
              <w:rPr>
                <w:rFonts w:hint="eastAsia" w:ascii="宋体" w:hAnsi="宋体" w:eastAsia="宋体" w:cs="宋体"/>
                <w:color w:val="auto"/>
                <w:szCs w:val="21"/>
                <w:highlight w:val="none"/>
              </w:rPr>
            </w:pPr>
          </w:p>
        </w:tc>
      </w:tr>
      <w:tr w14:paraId="25BC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vAlign w:val="top"/>
          </w:tcPr>
          <w:p w14:paraId="6404B29A">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757" w:type="dxa"/>
            <w:tcBorders>
              <w:top w:val="single" w:color="auto" w:sz="4" w:space="0"/>
              <w:left w:val="single" w:color="auto" w:sz="4" w:space="0"/>
              <w:bottom w:val="single" w:color="auto" w:sz="4" w:space="0"/>
              <w:right w:val="single" w:color="auto" w:sz="4" w:space="0"/>
            </w:tcBorders>
            <w:noWrap/>
            <w:vAlign w:val="top"/>
          </w:tcPr>
          <w:p w14:paraId="280AE4E0">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noWrap w:val="0"/>
            <w:vAlign w:val="top"/>
          </w:tcPr>
          <w:p w14:paraId="0F91F5F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tc>
        <w:tc>
          <w:tcPr>
            <w:tcW w:w="2516" w:type="dxa"/>
            <w:tcBorders>
              <w:top w:val="single" w:color="auto" w:sz="4" w:space="0"/>
              <w:left w:val="single" w:color="auto" w:sz="4" w:space="0"/>
              <w:right w:val="single" w:color="auto" w:sz="4" w:space="0"/>
            </w:tcBorders>
            <w:noWrap w:val="0"/>
            <w:vAlign w:val="top"/>
          </w:tcPr>
          <w:p w14:paraId="1DFF0AEE">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51B8DA3D">
            <w:pPr>
              <w:shd w:val="clear"/>
              <w:wordWrap w:val="0"/>
              <w:spacing w:line="360" w:lineRule="auto"/>
              <w:rPr>
                <w:rFonts w:hint="eastAsia" w:ascii="宋体" w:hAnsi="宋体" w:eastAsia="宋体" w:cs="宋体"/>
                <w:color w:val="auto"/>
                <w:szCs w:val="21"/>
                <w:highlight w:val="none"/>
              </w:rPr>
            </w:pPr>
          </w:p>
        </w:tc>
      </w:tr>
      <w:tr w14:paraId="7A83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2BD7C440">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4F7A73DE">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300C90F">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074D32EE">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799D95A">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4E16DC04">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35FA4E8A">
            <w:pPr>
              <w:shd w:val="clear"/>
              <w:wordWrap w:val="0"/>
              <w:spacing w:line="360" w:lineRule="auto"/>
              <w:rPr>
                <w:rFonts w:hint="eastAsia" w:ascii="宋体" w:hAnsi="宋体" w:eastAsia="宋体" w:cs="宋体"/>
                <w:color w:val="auto"/>
                <w:szCs w:val="21"/>
                <w:highlight w:val="none"/>
              </w:rPr>
            </w:pPr>
          </w:p>
        </w:tc>
      </w:tr>
      <w:tr w14:paraId="156C3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vAlign w:val="top"/>
          </w:tcPr>
          <w:p w14:paraId="3BB6DA5C">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7F76F90C">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5EBE408">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7FE46383">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4B1530">
            <w:pPr>
              <w:shd w:val="clear"/>
              <w:wordWrap w:val="0"/>
              <w:spacing w:line="360" w:lineRule="auto"/>
              <w:rPr>
                <w:rFonts w:hint="eastAsia" w:ascii="宋体" w:hAnsi="宋体" w:eastAsia="宋体" w:cs="宋体"/>
                <w:color w:val="auto"/>
                <w:szCs w:val="21"/>
                <w:highlight w:val="none"/>
              </w:rPr>
            </w:pPr>
          </w:p>
        </w:tc>
        <w:tc>
          <w:tcPr>
            <w:tcW w:w="2516" w:type="dxa"/>
            <w:tcBorders>
              <w:left w:val="single" w:color="auto" w:sz="4" w:space="0"/>
              <w:right w:val="single" w:color="auto" w:sz="4" w:space="0"/>
            </w:tcBorders>
            <w:noWrap w:val="0"/>
            <w:vAlign w:val="top"/>
          </w:tcPr>
          <w:p w14:paraId="4B24946C">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209D8569">
            <w:pPr>
              <w:shd w:val="clear"/>
              <w:wordWrap w:val="0"/>
              <w:spacing w:line="360" w:lineRule="auto"/>
              <w:rPr>
                <w:rFonts w:hint="eastAsia" w:ascii="宋体" w:hAnsi="宋体" w:eastAsia="宋体" w:cs="宋体"/>
                <w:color w:val="auto"/>
                <w:szCs w:val="21"/>
                <w:highlight w:val="none"/>
              </w:rPr>
            </w:pPr>
          </w:p>
        </w:tc>
      </w:tr>
      <w:tr w14:paraId="5399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vAlign w:val="top"/>
          </w:tcPr>
          <w:p w14:paraId="04CE2741">
            <w:pPr>
              <w:shd w:val="clear"/>
              <w:wordWrap w:val="0"/>
              <w:spacing w:line="360" w:lineRule="auto"/>
              <w:rPr>
                <w:rFonts w:hint="eastAsia" w:ascii="宋体" w:hAnsi="宋体" w:eastAsia="宋体" w:cs="宋体"/>
                <w:color w:val="auto"/>
                <w:szCs w:val="21"/>
                <w:highlight w:val="none"/>
              </w:rPr>
            </w:pPr>
          </w:p>
        </w:tc>
        <w:tc>
          <w:tcPr>
            <w:tcW w:w="3757" w:type="dxa"/>
            <w:tcBorders>
              <w:top w:val="single" w:color="auto" w:sz="4" w:space="0"/>
              <w:left w:val="single" w:color="auto" w:sz="4" w:space="0"/>
              <w:bottom w:val="single" w:color="auto" w:sz="4" w:space="0"/>
              <w:right w:val="single" w:color="auto" w:sz="4" w:space="0"/>
            </w:tcBorders>
            <w:noWrap/>
            <w:vAlign w:val="top"/>
          </w:tcPr>
          <w:p w14:paraId="59D89B2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noWrap w:val="0"/>
            <w:vAlign w:val="top"/>
          </w:tcPr>
          <w:p w14:paraId="4AA32E24">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516" w:type="dxa"/>
            <w:tcBorders>
              <w:left w:val="single" w:color="auto" w:sz="4" w:space="0"/>
              <w:bottom w:val="single" w:color="auto" w:sz="4" w:space="0"/>
              <w:right w:val="single" w:color="auto" w:sz="4" w:space="0"/>
            </w:tcBorders>
            <w:noWrap w:val="0"/>
            <w:vAlign w:val="top"/>
          </w:tcPr>
          <w:p w14:paraId="2A1CA3C1">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p w14:paraId="35FBB6B7">
            <w:pPr>
              <w:shd w:val="clear"/>
              <w:wordWrap w:val="0"/>
              <w:spacing w:line="360" w:lineRule="auto"/>
              <w:rPr>
                <w:rFonts w:hint="eastAsia" w:ascii="宋体" w:hAnsi="宋体" w:eastAsia="宋体" w:cs="宋体"/>
                <w:color w:val="auto"/>
                <w:szCs w:val="21"/>
                <w:highlight w:val="none"/>
              </w:rPr>
            </w:pPr>
          </w:p>
        </w:tc>
      </w:tr>
      <w:tr w14:paraId="3E8F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480" w:type="dxa"/>
            <w:gridSpan w:val="4"/>
            <w:tcBorders>
              <w:top w:val="single" w:color="auto" w:sz="4" w:space="0"/>
              <w:left w:val="single" w:color="auto" w:sz="4" w:space="0"/>
              <w:bottom w:val="single" w:color="auto" w:sz="4" w:space="0"/>
              <w:right w:val="single" w:color="auto" w:sz="4" w:space="0"/>
            </w:tcBorders>
            <w:noWrap/>
            <w:vAlign w:val="top"/>
          </w:tcPr>
          <w:p w14:paraId="410A5815">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分标（此处有分标时填写具体分标号，无分标时填写“无”）</w:t>
            </w:r>
          </w:p>
        </w:tc>
      </w:tr>
    </w:tbl>
    <w:p w14:paraId="47C342E2">
      <w:pPr>
        <w:pStyle w:val="13"/>
        <w:shd w:val="clear"/>
        <w:wordWrap w:val="0"/>
        <w:spacing w:line="360" w:lineRule="auto"/>
        <w:ind w:left="-708" w:leftChars="-337"/>
        <w:rPr>
          <w:rFonts w:hint="eastAsia" w:ascii="宋体" w:hAnsi="宋体" w:eastAsia="宋体" w:cs="宋体"/>
          <w:color w:val="auto"/>
          <w:highlight w:val="none"/>
        </w:rPr>
      </w:pPr>
    </w:p>
    <w:p w14:paraId="03457D76">
      <w:pPr>
        <w:pStyle w:val="13"/>
        <w:shd w:val="clear"/>
        <w:wordWrap w:val="0"/>
        <w:spacing w:line="360" w:lineRule="auto"/>
        <w:ind w:left="-708" w:leftChars="-337"/>
        <w:rPr>
          <w:rFonts w:hint="eastAsia" w:ascii="宋体" w:hAnsi="宋体" w:eastAsia="宋体" w:cs="宋体"/>
          <w:color w:val="auto"/>
          <w:highlight w:val="none"/>
        </w:rPr>
      </w:pPr>
      <w:r>
        <w:rPr>
          <w:rFonts w:hint="eastAsia" w:ascii="宋体" w:hAnsi="宋体" w:eastAsia="宋体" w:cs="宋体"/>
          <w:color w:val="auto"/>
          <w:highlight w:val="none"/>
        </w:rPr>
        <w:t>注：</w:t>
      </w:r>
    </w:p>
    <w:p w14:paraId="7FEBA3F3">
      <w:pPr>
        <w:pStyle w:val="13"/>
        <w:shd w:val="clear"/>
        <w:wordWrap w:val="0"/>
        <w:spacing w:line="360" w:lineRule="auto"/>
        <w:ind w:left="-708" w:leftChars="-337"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1.表格内容均需按要求填写并盖章，不得留空，否则按投标无效处理。</w:t>
      </w:r>
    </w:p>
    <w:p w14:paraId="1ACC87EE">
      <w:pPr>
        <w:pStyle w:val="13"/>
        <w:shd w:val="clear"/>
        <w:wordWrap w:val="0"/>
        <w:spacing w:line="360" w:lineRule="auto"/>
        <w:ind w:left="-603" w:leftChars="-287" w:firstLine="316" w:firstLineChars="150"/>
        <w:rPr>
          <w:rFonts w:hint="eastAsia" w:ascii="宋体" w:hAnsi="宋体" w:eastAsia="宋体" w:cs="宋体"/>
          <w:color w:val="auto"/>
          <w:highlight w:val="none"/>
        </w:rPr>
      </w:pPr>
      <w:r>
        <w:rPr>
          <w:rFonts w:hint="eastAsia" w:ascii="宋体" w:hAnsi="宋体" w:eastAsia="宋体" w:cs="宋体"/>
          <w:b/>
          <w:bCs/>
          <w:color w:val="auto"/>
          <w:highlight w:val="none"/>
        </w:rPr>
        <w:t>2.如果招标文件需求为小于或大于某个数值标准时，投标文件承诺不得直接复制招标文件需求，投标文件承诺内容应当写明投标货物具体参数或商务响应承诺的具体数值，否则按投标无效处理。</w:t>
      </w:r>
      <w:r>
        <w:rPr>
          <w:rFonts w:hint="eastAsia" w:ascii="宋体" w:hAnsi="宋体" w:eastAsia="宋体" w:cs="宋体"/>
          <w:color w:val="auto"/>
          <w:highlight w:val="none"/>
        </w:rPr>
        <w:t>如该采购需求属于不能明确具体数值的，采购人应在此采购需求的数值后标注◆号，对标注◆号的采购需求不适用上述“</w:t>
      </w: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无效”条款。</w:t>
      </w:r>
    </w:p>
    <w:p w14:paraId="477D36C9">
      <w:pPr>
        <w:pStyle w:val="13"/>
        <w:shd w:val="clear"/>
        <w:wordWrap w:val="0"/>
        <w:spacing w:line="360" w:lineRule="auto"/>
        <w:ind w:left="-603" w:leftChars="-287" w:firstLine="315" w:firstLineChars="150"/>
        <w:rPr>
          <w:rFonts w:hint="eastAsia" w:ascii="宋体" w:hAnsi="宋体" w:eastAsia="宋体" w:cs="宋体"/>
          <w:color w:val="auto"/>
          <w:highlight w:val="none"/>
        </w:rPr>
      </w:pPr>
      <w:r>
        <w:rPr>
          <w:rFonts w:hint="eastAsia" w:ascii="宋体" w:hAnsi="宋体" w:eastAsia="宋体" w:cs="宋体"/>
          <w:color w:val="auto"/>
          <w:highlight w:val="none"/>
        </w:rPr>
        <w:t>3.当投标文件的商务内容低于招标文件要求时，投标人应当如实写明“负偏离”，否则视为虚假应标。</w:t>
      </w:r>
    </w:p>
    <w:p w14:paraId="5F54EF3C">
      <w:pPr>
        <w:pStyle w:val="13"/>
        <w:shd w:val="clear"/>
        <w:wordWrap w:val="0"/>
        <w:spacing w:line="360" w:lineRule="auto"/>
        <w:ind w:left="-708" w:leftChars="-337" w:firstLine="420" w:firstLineChars="200"/>
        <w:rPr>
          <w:rFonts w:hint="eastAsia" w:ascii="宋体" w:hAnsi="宋体" w:eastAsia="宋体" w:cs="宋体"/>
          <w:color w:val="auto"/>
          <w:highlight w:val="none"/>
        </w:rPr>
      </w:pPr>
      <w:r>
        <w:rPr>
          <w:rFonts w:hint="eastAsia" w:ascii="宋体" w:hAnsi="宋体" w:eastAsia="宋体" w:cs="宋体"/>
          <w:color w:val="auto"/>
          <w:szCs w:val="21"/>
          <w:highlight w:val="none"/>
        </w:rPr>
        <w:t>4.采购需求中带“▲”及“★”的条款，也要分别在本表“投标文件的商务需求”、“投标文件承诺的商务条款”中标记。</w:t>
      </w:r>
    </w:p>
    <w:p w14:paraId="00C3D20F">
      <w:pPr>
        <w:shd w:val="clear"/>
        <w:wordWrap w:val="0"/>
        <w:snapToGrid w:val="0"/>
        <w:spacing w:line="360" w:lineRule="auto"/>
        <w:rPr>
          <w:rFonts w:hint="eastAsia" w:ascii="宋体" w:hAnsi="宋体" w:eastAsia="宋体" w:cs="宋体"/>
          <w:color w:val="auto"/>
          <w:sz w:val="24"/>
          <w:highlight w:val="none"/>
        </w:rPr>
      </w:pPr>
    </w:p>
    <w:p w14:paraId="476F0767">
      <w:pPr>
        <w:shd w:val="clea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729176D3">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5ABB869B">
      <w:pPr>
        <w:widowControl/>
        <w:shd w:val="clear"/>
        <w:wordWrap w:val="0"/>
        <w:spacing w:line="360" w:lineRule="auto"/>
        <w:jc w:val="left"/>
        <w:rPr>
          <w:rFonts w:hint="eastAsia" w:ascii="宋体" w:hAnsi="宋体" w:eastAsia="宋体" w:cs="宋体"/>
          <w:color w:val="auto"/>
          <w:szCs w:val="21"/>
          <w:highlight w:val="none"/>
        </w:rPr>
        <w:sectPr>
          <w:pgSz w:w="11906" w:h="16838"/>
          <w:pgMar w:top="1440" w:right="1080" w:bottom="1440" w:left="1080" w:header="851" w:footer="992" w:gutter="0"/>
          <w:pgNumType w:fmt="decimal"/>
          <w:cols w:space="720" w:num="1"/>
        </w:sectPr>
      </w:pPr>
    </w:p>
    <w:p w14:paraId="67947521">
      <w:pPr>
        <w:shd w:val="clear"/>
        <w:wordWrap w:val="0"/>
        <w:snapToGrid w:val="0"/>
        <w:spacing w:line="360" w:lineRule="auto"/>
        <w:ind w:firstLine="602" w:firstLineChars="20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五、投标人情况介绍</w:t>
      </w:r>
    </w:p>
    <w:p w14:paraId="363D7610">
      <w:pPr>
        <w:shd w:val="clear"/>
        <w:wordWrap w:val="0"/>
        <w:spacing w:line="360" w:lineRule="auto"/>
        <w:ind w:firstLine="4048" w:firstLineChars="1687"/>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（格式自拟）</w:t>
      </w:r>
    </w:p>
    <w:p w14:paraId="49232242">
      <w:pPr>
        <w:shd w:val="clear"/>
        <w:wordWrap w:val="0"/>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801E14A">
      <w:pPr>
        <w:shd w:val="clear"/>
        <w:wordWrap w:val="0"/>
        <w:snapToGrid w:val="0"/>
        <w:spacing w:line="360" w:lineRule="auto"/>
        <w:ind w:firstLine="4935" w:firstLineChars="2350"/>
        <w:rPr>
          <w:rFonts w:hint="eastAsia" w:ascii="宋体" w:hAnsi="宋体" w:eastAsia="宋体" w:cs="宋体"/>
          <w:color w:val="auto"/>
          <w:szCs w:val="21"/>
          <w:highlight w:val="none"/>
        </w:rPr>
      </w:pPr>
    </w:p>
    <w:p w14:paraId="646251E6">
      <w:pPr>
        <w:shd w:val="clear"/>
        <w:wordWrap w:val="0"/>
        <w:snapToGrid w:val="0"/>
        <w:spacing w:line="360" w:lineRule="auto"/>
        <w:ind w:firstLine="4935" w:firstLineChars="2350"/>
        <w:rPr>
          <w:rFonts w:hint="eastAsia" w:ascii="宋体" w:hAnsi="宋体" w:eastAsia="宋体" w:cs="宋体"/>
          <w:color w:val="auto"/>
          <w:szCs w:val="21"/>
          <w:highlight w:val="none"/>
        </w:rPr>
      </w:pPr>
    </w:p>
    <w:p w14:paraId="3159740D">
      <w:pPr>
        <w:shd w:val="clear"/>
        <w:wordWrap w:val="0"/>
        <w:snapToGrid w:val="0"/>
        <w:spacing w:line="360" w:lineRule="auto"/>
        <w:ind w:firstLine="4935" w:firstLineChars="2350"/>
        <w:rPr>
          <w:rFonts w:hint="eastAsia" w:ascii="宋体" w:hAnsi="宋体" w:eastAsia="宋体" w:cs="宋体"/>
          <w:color w:val="auto"/>
          <w:szCs w:val="21"/>
          <w:highlight w:val="none"/>
        </w:rPr>
      </w:pPr>
    </w:p>
    <w:p w14:paraId="1C22AB32">
      <w:pPr>
        <w:shd w:val="clea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464E12FA">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3B86E96">
      <w:pPr>
        <w:shd w:val="clear"/>
        <w:wordWrap w:val="0"/>
        <w:snapToGrid w:val="0"/>
        <w:spacing w:line="360" w:lineRule="auto"/>
        <w:ind w:firstLine="602" w:firstLineChars="200"/>
        <w:jc w:val="center"/>
        <w:rPr>
          <w:rFonts w:hint="eastAsia" w:ascii="宋体" w:hAnsi="宋体" w:eastAsia="宋体" w:cs="宋体"/>
          <w:b/>
          <w:bCs/>
          <w:color w:val="auto"/>
          <w:sz w:val="30"/>
          <w:szCs w:val="30"/>
          <w:highlight w:val="none"/>
        </w:rPr>
      </w:pPr>
    </w:p>
    <w:p w14:paraId="4AC3FAFB">
      <w:pPr>
        <w:widowControl/>
        <w:shd w:val="clear"/>
        <w:wordWrap w:val="0"/>
        <w:spacing w:line="360" w:lineRule="auto"/>
        <w:jc w:val="left"/>
        <w:rPr>
          <w:rFonts w:hint="eastAsia" w:ascii="宋体" w:hAnsi="宋体" w:eastAsia="宋体" w:cs="宋体"/>
          <w:b/>
          <w:bCs/>
          <w:color w:val="auto"/>
          <w:sz w:val="30"/>
          <w:szCs w:val="30"/>
          <w:highlight w:val="none"/>
        </w:rPr>
        <w:sectPr>
          <w:pgSz w:w="11906" w:h="16838"/>
          <w:pgMar w:top="1440" w:right="1080" w:bottom="1440" w:left="1080" w:header="720" w:footer="720" w:gutter="0"/>
          <w:pgNumType w:fmt="decimal"/>
          <w:cols w:space="720" w:num="1"/>
          <w:docGrid w:type="lines" w:linePitch="331" w:charSpace="0"/>
        </w:sectPr>
      </w:pPr>
    </w:p>
    <w:p w14:paraId="6E157C94">
      <w:pPr>
        <w:shd w:val="clear"/>
        <w:wordWrap w:val="0"/>
        <w:snapToGrid w:val="0"/>
        <w:spacing w:line="360" w:lineRule="auto"/>
        <w:ind w:firstLine="602" w:firstLineChars="20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六、投标人类似的业绩证明文件（如有要求）</w:t>
      </w:r>
    </w:p>
    <w:p w14:paraId="78FC9EC2">
      <w:pPr>
        <w:pStyle w:val="17"/>
        <w:shd w:val="clear"/>
        <w:wordWrap w:val="0"/>
        <w:snapToGrid w:val="0"/>
        <w:spacing w:line="360" w:lineRule="auto"/>
        <w:ind w:left="0" w:leftChars="0" w:firstLine="0" w:firstLineChars="0"/>
        <w:rPr>
          <w:rFonts w:hint="eastAsia" w:ascii="宋体" w:hAnsi="宋体" w:eastAsia="宋体" w:cs="宋体"/>
          <w:color w:val="auto"/>
          <w:sz w:val="24"/>
          <w:highlight w:val="none"/>
        </w:rPr>
      </w:pPr>
    </w:p>
    <w:p w14:paraId="1A84D6E9">
      <w:pPr>
        <w:shd w:val="clear"/>
        <w:wordWrap w:val="0"/>
        <w:autoSpaceDE w:val="0"/>
        <w:autoSpaceDN w:val="0"/>
        <w:spacing w:line="360" w:lineRule="auto"/>
        <w:ind w:firstLine="120"/>
        <w:rPr>
          <w:rFonts w:hint="eastAsia" w:ascii="宋体" w:hAnsi="宋体" w:eastAsia="宋体" w:cs="宋体"/>
          <w:color w:val="auto"/>
          <w:sz w:val="24"/>
          <w:highlight w:val="none"/>
        </w:rPr>
      </w:pPr>
      <w:r>
        <w:rPr>
          <w:rFonts w:hint="eastAsia" w:ascii="宋体" w:hAnsi="宋体" w:eastAsia="宋体" w:cs="宋体"/>
          <w:b/>
          <w:color w:val="auto"/>
          <w:sz w:val="24"/>
          <w:highlight w:val="none"/>
        </w:rPr>
        <w:t>附表 :相关项目业绩一览表（投标人同类项目合同复印件</w:t>
      </w:r>
      <w:r>
        <w:rPr>
          <w:rFonts w:hint="eastAsia" w:ascii="宋体" w:hAnsi="宋体" w:eastAsia="宋体" w:cs="宋体"/>
          <w:b/>
          <w:color w:val="auto"/>
          <w:sz w:val="24"/>
          <w:highlight w:val="none"/>
          <w:lang w:val="en-US" w:eastAsia="zh-CN"/>
        </w:rPr>
        <w:t>/中标（或成交）通知书</w:t>
      </w:r>
      <w:r>
        <w:rPr>
          <w:rFonts w:hint="eastAsia" w:ascii="宋体" w:hAnsi="宋体" w:eastAsia="宋体" w:cs="宋体"/>
          <w:b/>
          <w:color w:val="auto"/>
          <w:sz w:val="24"/>
          <w:highlight w:val="none"/>
        </w:rPr>
        <w:t>、用户验收报告</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如有</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、用户评价意见</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lang w:val="en-US" w:eastAsia="zh-CN"/>
        </w:rPr>
        <w:t>如有</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格式自拟）</w:t>
      </w:r>
    </w:p>
    <w:tbl>
      <w:tblPr>
        <w:tblStyle w:val="22"/>
        <w:tblW w:w="14567"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4C36A4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noWrap w:val="0"/>
            <w:vAlign w:val="center"/>
          </w:tcPr>
          <w:p w14:paraId="2EDE0C4B">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采购人名称</w:t>
            </w:r>
          </w:p>
        </w:tc>
        <w:tc>
          <w:tcPr>
            <w:tcW w:w="3420" w:type="dxa"/>
            <w:vMerge w:val="restart"/>
            <w:tcBorders>
              <w:top w:val="single" w:color="auto" w:sz="4" w:space="0"/>
              <w:left w:val="single" w:color="auto" w:sz="4" w:space="0"/>
              <w:bottom w:val="single" w:color="auto" w:sz="4" w:space="0"/>
              <w:right w:val="single" w:color="auto" w:sz="4" w:space="0"/>
            </w:tcBorders>
            <w:noWrap w:val="0"/>
            <w:vAlign w:val="center"/>
          </w:tcPr>
          <w:p w14:paraId="7D7953EB">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1715" w:type="dxa"/>
            <w:vMerge w:val="restart"/>
            <w:tcBorders>
              <w:top w:val="single" w:color="auto" w:sz="4" w:space="0"/>
              <w:left w:val="single" w:color="auto" w:sz="4" w:space="0"/>
              <w:bottom w:val="single" w:color="auto" w:sz="4" w:space="0"/>
              <w:right w:val="single" w:color="auto" w:sz="4" w:space="0"/>
            </w:tcBorders>
            <w:noWrap w:val="0"/>
            <w:vAlign w:val="center"/>
          </w:tcPr>
          <w:p w14:paraId="19D2A342">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p w14:paraId="32A7663C">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金额</w:t>
            </w:r>
          </w:p>
          <w:p w14:paraId="56AFED18">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（万元）</w:t>
            </w:r>
          </w:p>
        </w:tc>
        <w:tc>
          <w:tcPr>
            <w:tcW w:w="4536" w:type="dxa"/>
            <w:gridSpan w:val="3"/>
            <w:tcBorders>
              <w:top w:val="single" w:color="auto" w:sz="4" w:space="0"/>
              <w:left w:val="single" w:color="auto" w:sz="4" w:space="0"/>
              <w:bottom w:val="single" w:color="auto" w:sz="4" w:space="0"/>
              <w:right w:val="single" w:color="auto" w:sz="4" w:space="0"/>
            </w:tcBorders>
            <w:noWrap w:val="0"/>
            <w:vAlign w:val="center"/>
          </w:tcPr>
          <w:p w14:paraId="297A756A">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noWrap w:val="0"/>
            <w:vAlign w:val="center"/>
          </w:tcPr>
          <w:p w14:paraId="46872E05">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采购人联系人及</w:t>
            </w:r>
          </w:p>
          <w:p w14:paraId="2123CF94">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r>
      <w:tr w14:paraId="3C8466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noWrap w:val="0"/>
            <w:vAlign w:val="center"/>
          </w:tcPr>
          <w:p w14:paraId="722E7764">
            <w:pPr>
              <w:widowControl/>
              <w:shd w:val="clear"/>
              <w:wordWrap w:val="0"/>
              <w:spacing w:line="360" w:lineRule="auto"/>
              <w:jc w:val="left"/>
              <w:rPr>
                <w:rFonts w:hint="eastAsia" w:ascii="宋体" w:hAnsi="宋体" w:eastAsia="宋体" w:cs="宋体"/>
                <w:color w:val="auto"/>
                <w:sz w:val="24"/>
                <w:highlight w:val="none"/>
              </w:rPr>
            </w:pPr>
          </w:p>
        </w:tc>
        <w:tc>
          <w:tcPr>
            <w:tcW w:w="3420" w:type="dxa"/>
            <w:vMerge w:val="continue"/>
            <w:tcBorders>
              <w:top w:val="single" w:color="auto" w:sz="4" w:space="0"/>
              <w:left w:val="single" w:color="auto" w:sz="4" w:space="0"/>
              <w:bottom w:val="single" w:color="auto" w:sz="4" w:space="0"/>
              <w:right w:val="single" w:color="auto" w:sz="4" w:space="0"/>
            </w:tcBorders>
            <w:noWrap w:val="0"/>
            <w:vAlign w:val="center"/>
          </w:tcPr>
          <w:p w14:paraId="526CBA16">
            <w:pPr>
              <w:widowControl/>
              <w:shd w:val="clear"/>
              <w:wordWrap w:val="0"/>
              <w:spacing w:line="360" w:lineRule="auto"/>
              <w:jc w:val="left"/>
              <w:rPr>
                <w:rFonts w:hint="eastAsia" w:ascii="宋体" w:hAnsi="宋体" w:eastAsia="宋体" w:cs="宋体"/>
                <w:color w:val="auto"/>
                <w:sz w:val="24"/>
                <w:highlight w:val="none"/>
              </w:rPr>
            </w:pPr>
          </w:p>
        </w:tc>
        <w:tc>
          <w:tcPr>
            <w:tcW w:w="1715" w:type="dxa"/>
            <w:vMerge w:val="continue"/>
            <w:tcBorders>
              <w:top w:val="single" w:color="auto" w:sz="4" w:space="0"/>
              <w:left w:val="single" w:color="auto" w:sz="4" w:space="0"/>
              <w:bottom w:val="single" w:color="auto" w:sz="4" w:space="0"/>
              <w:right w:val="single" w:color="auto" w:sz="4" w:space="0"/>
            </w:tcBorders>
            <w:noWrap w:val="0"/>
            <w:vAlign w:val="center"/>
          </w:tcPr>
          <w:p w14:paraId="255AAD4D">
            <w:pPr>
              <w:widowControl/>
              <w:shd w:val="clear"/>
              <w:wordWrap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center"/>
          </w:tcPr>
          <w:p w14:paraId="0A6785FD">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合同</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E6BB0AC">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验收报告</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1752574B">
            <w:pPr>
              <w:shd w:val="clear"/>
              <w:wordWrap w:val="0"/>
              <w:snapToGri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用户评价</w:t>
            </w:r>
          </w:p>
        </w:tc>
        <w:tc>
          <w:tcPr>
            <w:tcW w:w="2268" w:type="dxa"/>
            <w:vMerge w:val="continue"/>
            <w:tcBorders>
              <w:top w:val="single" w:color="auto" w:sz="4" w:space="0"/>
              <w:left w:val="single" w:color="auto" w:sz="4" w:space="0"/>
              <w:bottom w:val="single" w:color="auto" w:sz="4" w:space="0"/>
              <w:right w:val="single" w:color="auto" w:sz="4" w:space="0"/>
            </w:tcBorders>
            <w:noWrap w:val="0"/>
            <w:vAlign w:val="center"/>
          </w:tcPr>
          <w:p w14:paraId="072B1711">
            <w:pPr>
              <w:widowControl/>
              <w:shd w:val="clear"/>
              <w:wordWrap w:val="0"/>
              <w:spacing w:line="360" w:lineRule="auto"/>
              <w:jc w:val="left"/>
              <w:rPr>
                <w:rFonts w:hint="eastAsia" w:ascii="宋体" w:hAnsi="宋体" w:eastAsia="宋体" w:cs="宋体"/>
                <w:color w:val="auto"/>
                <w:sz w:val="24"/>
                <w:highlight w:val="none"/>
              </w:rPr>
            </w:pPr>
          </w:p>
        </w:tc>
      </w:tr>
      <w:tr w14:paraId="473F18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4BDCD956">
            <w:pPr>
              <w:shd w:val="clea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511E487">
            <w:pPr>
              <w:shd w:val="clea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0772240">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3D088F34">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D12BCD6">
            <w:pPr>
              <w:shd w:val="clea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E0242F0">
            <w:pPr>
              <w:shd w:val="clea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19B69C9F">
            <w:pPr>
              <w:shd w:val="clear"/>
              <w:wordWrap w:val="0"/>
              <w:snapToGrid w:val="0"/>
              <w:spacing w:line="360" w:lineRule="auto"/>
              <w:jc w:val="left"/>
              <w:rPr>
                <w:rFonts w:hint="eastAsia" w:ascii="宋体" w:hAnsi="宋体" w:eastAsia="宋体" w:cs="宋体"/>
                <w:color w:val="auto"/>
                <w:sz w:val="24"/>
                <w:highlight w:val="none"/>
              </w:rPr>
            </w:pPr>
          </w:p>
        </w:tc>
      </w:tr>
      <w:tr w14:paraId="60269F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6F7C258D">
            <w:pPr>
              <w:shd w:val="clea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3B204209">
            <w:pPr>
              <w:shd w:val="clea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42A04096">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5640DA24">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3B3FD83D">
            <w:pPr>
              <w:shd w:val="clea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3AA15C0">
            <w:pPr>
              <w:shd w:val="clea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2F75FE4E">
            <w:pPr>
              <w:shd w:val="clear"/>
              <w:wordWrap w:val="0"/>
              <w:snapToGrid w:val="0"/>
              <w:spacing w:line="360" w:lineRule="auto"/>
              <w:jc w:val="left"/>
              <w:rPr>
                <w:rFonts w:hint="eastAsia" w:ascii="宋体" w:hAnsi="宋体" w:eastAsia="宋体" w:cs="宋体"/>
                <w:color w:val="auto"/>
                <w:sz w:val="24"/>
                <w:highlight w:val="none"/>
              </w:rPr>
            </w:pPr>
          </w:p>
        </w:tc>
      </w:tr>
      <w:tr w14:paraId="6AF22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noWrap w:val="0"/>
            <w:vAlign w:val="top"/>
          </w:tcPr>
          <w:p w14:paraId="50D33BE6">
            <w:pPr>
              <w:shd w:val="clea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24BCDF18">
            <w:pPr>
              <w:shd w:val="clea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50A39A4F">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02AF4BEA">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35967421">
            <w:pPr>
              <w:shd w:val="clea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8700199">
            <w:pPr>
              <w:shd w:val="clea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5E18900D">
            <w:pPr>
              <w:shd w:val="clear"/>
              <w:wordWrap w:val="0"/>
              <w:snapToGrid w:val="0"/>
              <w:spacing w:line="360" w:lineRule="auto"/>
              <w:jc w:val="left"/>
              <w:rPr>
                <w:rFonts w:hint="eastAsia" w:ascii="宋体" w:hAnsi="宋体" w:eastAsia="宋体" w:cs="宋体"/>
                <w:color w:val="auto"/>
                <w:sz w:val="24"/>
                <w:highlight w:val="none"/>
              </w:rPr>
            </w:pPr>
          </w:p>
        </w:tc>
      </w:tr>
      <w:tr w14:paraId="24AE30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3C739E9F">
            <w:pPr>
              <w:shd w:val="clea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4670510C">
            <w:pPr>
              <w:shd w:val="clea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6A01CBDB">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60CE6B4C">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71D19C7B">
            <w:pPr>
              <w:shd w:val="clea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3D456D1D">
            <w:pPr>
              <w:shd w:val="clea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66ADC1B4">
            <w:pPr>
              <w:shd w:val="clear"/>
              <w:wordWrap w:val="0"/>
              <w:snapToGrid w:val="0"/>
              <w:spacing w:line="360" w:lineRule="auto"/>
              <w:jc w:val="left"/>
              <w:rPr>
                <w:rFonts w:hint="eastAsia" w:ascii="宋体" w:hAnsi="宋体" w:eastAsia="宋体" w:cs="宋体"/>
                <w:color w:val="auto"/>
                <w:sz w:val="24"/>
                <w:highlight w:val="none"/>
              </w:rPr>
            </w:pPr>
          </w:p>
        </w:tc>
      </w:tr>
      <w:tr w14:paraId="2C5F62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noWrap w:val="0"/>
            <w:vAlign w:val="top"/>
          </w:tcPr>
          <w:p w14:paraId="79A77C00">
            <w:pPr>
              <w:shd w:val="clear"/>
              <w:wordWrap w:val="0"/>
              <w:snapToGrid w:val="0"/>
              <w:spacing w:line="360" w:lineRule="auto"/>
              <w:jc w:val="left"/>
              <w:rPr>
                <w:rFonts w:hint="eastAsia" w:ascii="宋体" w:hAnsi="宋体" w:eastAsia="宋体" w:cs="宋体"/>
                <w:color w:val="auto"/>
                <w:sz w:val="24"/>
                <w:highlight w:val="none"/>
              </w:rPr>
            </w:pPr>
          </w:p>
        </w:tc>
        <w:tc>
          <w:tcPr>
            <w:tcW w:w="3420" w:type="dxa"/>
            <w:tcBorders>
              <w:top w:val="single" w:color="auto" w:sz="4" w:space="0"/>
              <w:left w:val="single" w:color="auto" w:sz="4" w:space="0"/>
              <w:bottom w:val="single" w:color="auto" w:sz="4" w:space="0"/>
              <w:right w:val="single" w:color="auto" w:sz="4" w:space="0"/>
            </w:tcBorders>
            <w:noWrap w:val="0"/>
            <w:vAlign w:val="top"/>
          </w:tcPr>
          <w:p w14:paraId="2A1BD004">
            <w:pPr>
              <w:shd w:val="clear"/>
              <w:wordWrap w:val="0"/>
              <w:snapToGrid w:val="0"/>
              <w:spacing w:line="360" w:lineRule="auto"/>
              <w:jc w:val="left"/>
              <w:rPr>
                <w:rFonts w:hint="eastAsia" w:ascii="宋体" w:hAnsi="宋体" w:eastAsia="宋体" w:cs="宋体"/>
                <w:color w:val="auto"/>
                <w:sz w:val="24"/>
                <w:highlight w:val="none"/>
              </w:rPr>
            </w:pPr>
          </w:p>
        </w:tc>
        <w:tc>
          <w:tcPr>
            <w:tcW w:w="1715" w:type="dxa"/>
            <w:tcBorders>
              <w:top w:val="single" w:color="auto" w:sz="4" w:space="0"/>
              <w:left w:val="single" w:color="auto" w:sz="4" w:space="0"/>
              <w:bottom w:val="single" w:color="auto" w:sz="4" w:space="0"/>
              <w:right w:val="single" w:color="auto" w:sz="4" w:space="0"/>
            </w:tcBorders>
            <w:noWrap w:val="0"/>
            <w:vAlign w:val="top"/>
          </w:tcPr>
          <w:p w14:paraId="6B324661">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C312BF6">
            <w:pPr>
              <w:shd w:val="clear"/>
              <w:wordWrap w:val="0"/>
              <w:snapToGrid w:val="0"/>
              <w:spacing w:line="360" w:lineRule="auto"/>
              <w:jc w:val="left"/>
              <w:rPr>
                <w:rFonts w:hint="eastAsia" w:ascii="宋体" w:hAnsi="宋体" w:eastAsia="宋体" w:cs="宋体"/>
                <w:color w:val="auto"/>
                <w:sz w:val="24"/>
                <w:highlight w:val="none"/>
              </w:rPr>
            </w:pPr>
          </w:p>
        </w:tc>
        <w:tc>
          <w:tcPr>
            <w:tcW w:w="1559" w:type="dxa"/>
            <w:tcBorders>
              <w:top w:val="single" w:color="auto" w:sz="4" w:space="0"/>
              <w:left w:val="single" w:color="auto" w:sz="4" w:space="0"/>
              <w:bottom w:val="single" w:color="auto" w:sz="4" w:space="0"/>
              <w:right w:val="single" w:color="auto" w:sz="4" w:space="0"/>
            </w:tcBorders>
            <w:noWrap w:val="0"/>
            <w:vAlign w:val="top"/>
          </w:tcPr>
          <w:p w14:paraId="16F595C5">
            <w:pPr>
              <w:shd w:val="clear"/>
              <w:wordWrap w:val="0"/>
              <w:snapToGrid w:val="0"/>
              <w:spacing w:line="360" w:lineRule="auto"/>
              <w:jc w:val="left"/>
              <w:rPr>
                <w:rFonts w:hint="eastAsia" w:ascii="宋体" w:hAnsi="宋体" w:eastAsia="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CBB1466">
            <w:pPr>
              <w:shd w:val="clear"/>
              <w:wordWrap w:val="0"/>
              <w:snapToGrid w:val="0"/>
              <w:spacing w:line="360" w:lineRule="auto"/>
              <w:jc w:val="left"/>
              <w:rPr>
                <w:rFonts w:hint="eastAsia" w:ascii="宋体" w:hAnsi="宋体" w:eastAsia="宋体" w:cs="宋体"/>
                <w:color w:val="auto"/>
                <w:sz w:val="24"/>
                <w:highlight w:val="none"/>
              </w:rPr>
            </w:pPr>
          </w:p>
        </w:tc>
        <w:tc>
          <w:tcPr>
            <w:tcW w:w="2268" w:type="dxa"/>
            <w:tcBorders>
              <w:top w:val="single" w:color="auto" w:sz="4" w:space="0"/>
              <w:left w:val="single" w:color="auto" w:sz="4" w:space="0"/>
              <w:bottom w:val="single" w:color="auto" w:sz="4" w:space="0"/>
              <w:right w:val="single" w:color="auto" w:sz="4" w:space="0"/>
            </w:tcBorders>
            <w:noWrap w:val="0"/>
            <w:vAlign w:val="top"/>
          </w:tcPr>
          <w:p w14:paraId="437C0E0A">
            <w:pPr>
              <w:shd w:val="clear"/>
              <w:wordWrap w:val="0"/>
              <w:snapToGrid w:val="0"/>
              <w:spacing w:line="360" w:lineRule="auto"/>
              <w:jc w:val="left"/>
              <w:rPr>
                <w:rFonts w:hint="eastAsia" w:ascii="宋体" w:hAnsi="宋体" w:eastAsia="宋体" w:cs="宋体"/>
                <w:color w:val="auto"/>
                <w:sz w:val="24"/>
                <w:highlight w:val="none"/>
              </w:rPr>
            </w:pPr>
          </w:p>
        </w:tc>
      </w:tr>
    </w:tbl>
    <w:p w14:paraId="711ACF0A">
      <w:pPr>
        <w:pStyle w:val="13"/>
        <w:shd w:val="clear"/>
        <w:wordWrap w:val="0"/>
        <w:spacing w:line="360" w:lineRule="auto"/>
        <w:ind w:left="72"/>
        <w:rPr>
          <w:rFonts w:hint="eastAsia" w:ascii="宋体" w:hAnsi="宋体" w:eastAsia="宋体" w:cs="宋体"/>
          <w:color w:val="auto"/>
          <w:highlight w:val="none"/>
        </w:rPr>
      </w:pPr>
      <w:r>
        <w:rPr>
          <w:rFonts w:hint="eastAsia" w:ascii="宋体" w:hAnsi="宋体" w:eastAsia="宋体" w:cs="宋体"/>
          <w:color w:val="auto"/>
          <w:highlight w:val="none"/>
        </w:rPr>
        <w:t>注：投标人可按上述的格式自行编制，须随表提交相应的同类项目合同复印件</w:t>
      </w:r>
      <w:r>
        <w:rPr>
          <w:rFonts w:hint="eastAsia" w:ascii="宋体" w:hAnsi="宋体" w:eastAsia="宋体" w:cs="宋体"/>
          <w:color w:val="auto"/>
          <w:highlight w:val="none"/>
          <w:lang w:val="en-US" w:eastAsia="zh-CN"/>
        </w:rPr>
        <w:t>/中标（或成交）通知书</w:t>
      </w:r>
      <w:r>
        <w:rPr>
          <w:rFonts w:hint="eastAsia" w:ascii="宋体" w:hAnsi="宋体" w:eastAsia="宋体" w:cs="宋体"/>
          <w:color w:val="auto"/>
          <w:highlight w:val="none"/>
        </w:rPr>
        <w:t>和用户单位验收证明</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如有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并注明所在投标人商务技术文件页码。</w:t>
      </w:r>
    </w:p>
    <w:p w14:paraId="798FA504">
      <w:pPr>
        <w:shd w:val="clear"/>
        <w:wordWrap w:val="0"/>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5C7BB355">
      <w:pPr>
        <w:shd w:val="clear"/>
        <w:wordWrap w:val="0"/>
        <w:snapToGrid w:val="0"/>
        <w:spacing w:line="360" w:lineRule="auto"/>
        <w:ind w:firstLine="4935" w:firstLineChars="2350"/>
        <w:rPr>
          <w:rFonts w:hint="eastAsia" w:ascii="宋体" w:hAnsi="宋体" w:eastAsia="宋体" w:cs="宋体"/>
          <w:color w:val="auto"/>
          <w:szCs w:val="21"/>
          <w:highlight w:val="none"/>
        </w:rPr>
      </w:pPr>
    </w:p>
    <w:p w14:paraId="648A40A4">
      <w:pPr>
        <w:shd w:val="clear"/>
        <w:wordWrap w:val="0"/>
        <w:snapToGrid w:val="0"/>
        <w:spacing w:line="360" w:lineRule="auto"/>
        <w:ind w:firstLine="10080" w:firstLineChars="480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37D72754">
      <w:pPr>
        <w:shd w:val="clear"/>
        <w:wordWrap w:val="0"/>
        <w:snapToGrid w:val="0"/>
        <w:spacing w:line="360" w:lineRule="auto"/>
        <w:ind w:firstLine="10080" w:firstLineChars="42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29F45975">
      <w:pPr>
        <w:widowControl/>
        <w:shd w:val="clear"/>
        <w:wordWrap w:val="0"/>
        <w:spacing w:line="360" w:lineRule="auto"/>
        <w:jc w:val="left"/>
        <w:rPr>
          <w:rFonts w:hint="eastAsia" w:ascii="宋体" w:hAnsi="宋体" w:eastAsia="宋体" w:cs="宋体"/>
          <w:color w:val="auto"/>
          <w:kern w:val="0"/>
          <w:sz w:val="24"/>
          <w:highlight w:val="none"/>
          <w:lang w:val="zh-CN"/>
        </w:rPr>
        <w:sectPr>
          <w:pgSz w:w="16838" w:h="11906" w:orient="landscape"/>
          <w:pgMar w:top="1440" w:right="1080" w:bottom="1440" w:left="1080" w:header="720" w:footer="720" w:gutter="0"/>
          <w:pgNumType w:fmt="decimal"/>
          <w:cols w:space="720" w:num="1"/>
          <w:docGrid w:type="lines" w:linePitch="331" w:charSpace="0"/>
        </w:sectPr>
      </w:pPr>
    </w:p>
    <w:p w14:paraId="4817E05F">
      <w:pPr>
        <w:shd w:val="clear"/>
        <w:wordWrap w:val="0"/>
        <w:spacing w:line="360" w:lineRule="auto"/>
        <w:jc w:val="left"/>
        <w:rPr>
          <w:rFonts w:hint="eastAsia" w:ascii="宋体" w:hAnsi="宋体" w:eastAsia="宋体" w:cs="宋体"/>
          <w:b/>
          <w:color w:val="auto"/>
          <w:sz w:val="30"/>
          <w:szCs w:val="30"/>
          <w:highlight w:val="none"/>
        </w:rPr>
      </w:pPr>
      <w:bookmarkStart w:id="753" w:name="_Toc19686839"/>
      <w:bookmarkStart w:id="754" w:name="_Toc18625"/>
      <w:r>
        <w:rPr>
          <w:rFonts w:hint="eastAsia" w:ascii="宋体" w:hAnsi="宋体" w:eastAsia="宋体" w:cs="宋体"/>
          <w:b/>
          <w:color w:val="auto"/>
          <w:sz w:val="30"/>
          <w:szCs w:val="30"/>
          <w:highlight w:val="none"/>
          <w:lang w:val="en-US" w:eastAsia="zh-CN"/>
        </w:rPr>
        <w:t>七、</w:t>
      </w:r>
      <w:r>
        <w:rPr>
          <w:rFonts w:hint="eastAsia" w:ascii="宋体" w:hAnsi="宋体" w:eastAsia="宋体" w:cs="宋体"/>
          <w:b/>
          <w:color w:val="auto"/>
          <w:sz w:val="30"/>
          <w:szCs w:val="30"/>
          <w:highlight w:val="none"/>
        </w:rPr>
        <w:t>除</w:t>
      </w:r>
      <w:r>
        <w:rPr>
          <w:rFonts w:hint="eastAsia" w:ascii="宋体" w:hAnsi="宋体" w:eastAsia="宋体" w:cs="宋体"/>
          <w:b/>
          <w:color w:val="auto"/>
          <w:sz w:val="30"/>
          <w:szCs w:val="30"/>
          <w:highlight w:val="none"/>
          <w:lang w:val="en-US" w:eastAsia="zh-CN"/>
        </w:rPr>
        <w:t>招标</w:t>
      </w:r>
      <w:r>
        <w:rPr>
          <w:rFonts w:hint="eastAsia" w:ascii="宋体" w:hAnsi="宋体" w:eastAsia="宋体" w:cs="宋体"/>
          <w:b/>
          <w:color w:val="auto"/>
          <w:sz w:val="30"/>
          <w:szCs w:val="30"/>
          <w:highlight w:val="none"/>
        </w:rPr>
        <w:t>文件规定必须提供以外，投标人认为需要提供的其他证明材料。</w:t>
      </w:r>
    </w:p>
    <w:p w14:paraId="27058E60">
      <w:pPr>
        <w:shd w:val="clear"/>
        <w:wordWrap w:val="0"/>
        <w:spacing w:line="360" w:lineRule="auto"/>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（由投标人根据采购需求自行编制）</w:t>
      </w:r>
    </w:p>
    <w:p w14:paraId="34DE517A">
      <w:pPr>
        <w:numPr>
          <w:ilvl w:val="0"/>
          <w:numId w:val="15"/>
        </w:numPr>
        <w:shd w:val="clea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28932052">
      <w:pPr>
        <w:pStyle w:val="13"/>
        <w:shd w:val="clear"/>
        <w:wordWrap w:val="0"/>
        <w:spacing w:line="360" w:lineRule="auto"/>
        <w:jc w:val="center"/>
        <w:outlineLvl w:val="1"/>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第四节 技术文件格式</w:t>
      </w:r>
      <w:bookmarkEnd w:id="753"/>
      <w:bookmarkEnd w:id="754"/>
    </w:p>
    <w:p w14:paraId="748B2B70">
      <w:pPr>
        <w:shd w:val="clea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电子投标文件</w:t>
      </w:r>
    </w:p>
    <w:p w14:paraId="70CDECEF">
      <w:pPr>
        <w:shd w:val="clear"/>
        <w:wordWrap w:val="0"/>
        <w:snapToGrid w:val="0"/>
        <w:spacing w:line="360" w:lineRule="auto"/>
        <w:rPr>
          <w:rFonts w:hint="eastAsia" w:ascii="宋体" w:hAnsi="宋体" w:eastAsia="宋体" w:cs="宋体"/>
          <w:color w:val="auto"/>
          <w:sz w:val="24"/>
          <w:szCs w:val="20"/>
          <w:highlight w:val="none"/>
        </w:rPr>
      </w:pPr>
    </w:p>
    <w:p w14:paraId="1BB1E434">
      <w:pPr>
        <w:shd w:val="clear"/>
        <w:wordWrap w:val="0"/>
        <w:snapToGrid w:val="0"/>
        <w:spacing w:line="360" w:lineRule="auto"/>
        <w:jc w:val="center"/>
        <w:rPr>
          <w:rFonts w:hint="eastAsia" w:ascii="宋体" w:hAnsi="宋体" w:eastAsia="宋体" w:cs="宋体"/>
          <w:b/>
          <w:bCs/>
          <w:color w:val="auto"/>
          <w:sz w:val="32"/>
          <w:szCs w:val="32"/>
          <w:highlight w:val="none"/>
        </w:rPr>
      </w:pPr>
    </w:p>
    <w:p w14:paraId="1AF7618B">
      <w:pPr>
        <w:shd w:val="clear"/>
        <w:wordWrap w:val="0"/>
        <w:snapToGrid w:val="0"/>
        <w:spacing w:line="360" w:lineRule="auto"/>
        <w:jc w:val="center"/>
        <w:rPr>
          <w:rFonts w:hint="eastAsia" w:ascii="宋体" w:hAnsi="宋体" w:eastAsia="宋体" w:cs="宋体"/>
          <w:b/>
          <w:bCs/>
          <w:color w:val="auto"/>
          <w:sz w:val="32"/>
          <w:szCs w:val="32"/>
          <w:highlight w:val="none"/>
        </w:rPr>
      </w:pPr>
    </w:p>
    <w:p w14:paraId="71ECADAC">
      <w:pPr>
        <w:shd w:val="clear"/>
        <w:wordWrap w:val="0"/>
        <w:snapToGrid w:val="0"/>
        <w:spacing w:line="360" w:lineRule="auto"/>
        <w:jc w:val="center"/>
        <w:rPr>
          <w:rFonts w:hint="eastAsia" w:ascii="宋体" w:hAnsi="宋体" w:eastAsia="宋体" w:cs="宋体"/>
          <w:b/>
          <w:bCs/>
          <w:color w:val="auto"/>
          <w:sz w:val="32"/>
          <w:szCs w:val="32"/>
          <w:highlight w:val="none"/>
        </w:rPr>
      </w:pPr>
    </w:p>
    <w:p w14:paraId="4514EEA6">
      <w:pPr>
        <w:shd w:val="clear"/>
        <w:wordWrap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技术文件（封面）</w:t>
      </w:r>
    </w:p>
    <w:p w14:paraId="6280CB95">
      <w:pPr>
        <w:shd w:val="clear"/>
        <w:wordWrap w:val="0"/>
        <w:snapToGrid w:val="0"/>
        <w:spacing w:line="360" w:lineRule="auto"/>
        <w:rPr>
          <w:rFonts w:hint="eastAsia" w:ascii="宋体" w:hAnsi="宋体" w:eastAsia="宋体" w:cs="宋体"/>
          <w:bCs/>
          <w:color w:val="auto"/>
          <w:sz w:val="24"/>
          <w:szCs w:val="20"/>
          <w:highlight w:val="none"/>
        </w:rPr>
      </w:pPr>
    </w:p>
    <w:p w14:paraId="48DEFBFE">
      <w:pPr>
        <w:shd w:val="clear"/>
        <w:wordWrap w:val="0"/>
        <w:snapToGrid w:val="0"/>
        <w:spacing w:line="360" w:lineRule="auto"/>
        <w:ind w:left="599" w:leftChars="228" w:hanging="120" w:hangingChars="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2F309D06">
      <w:pPr>
        <w:shd w:val="clear"/>
        <w:wordWrap w:val="0"/>
        <w:snapToGrid w:val="0"/>
        <w:spacing w:line="360" w:lineRule="auto"/>
        <w:ind w:left="599" w:leftChars="228" w:hanging="120" w:hangingChars="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项目编号：  </w:t>
      </w:r>
    </w:p>
    <w:p w14:paraId="4F072958">
      <w:pPr>
        <w:shd w:val="clear"/>
        <w:wordWrap w:val="0"/>
        <w:snapToGrid w:val="0"/>
        <w:spacing w:line="360" w:lineRule="auto"/>
        <w:ind w:firstLine="600" w:firstLineChars="2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6E67C36E">
      <w:pPr>
        <w:shd w:val="clear"/>
        <w:wordWrap w:val="0"/>
        <w:snapToGrid w:val="0"/>
        <w:spacing w:line="360" w:lineRule="auto"/>
        <w:ind w:firstLine="600" w:firstLineChars="2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投标人名称：</w:t>
      </w:r>
    </w:p>
    <w:p w14:paraId="50A05C40">
      <w:pPr>
        <w:shd w:val="clear"/>
        <w:wordWrap w:val="0"/>
        <w:snapToGrid w:val="0"/>
        <w:spacing w:line="360" w:lineRule="auto"/>
        <w:ind w:firstLine="600" w:firstLineChars="2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投标人地址：</w:t>
      </w:r>
    </w:p>
    <w:p w14:paraId="139F4ABC">
      <w:pPr>
        <w:shd w:val="clear"/>
        <w:wordWrap w:val="0"/>
        <w:snapToGrid w:val="0"/>
        <w:spacing w:line="360" w:lineRule="auto"/>
        <w:ind w:firstLine="645"/>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63FBD1AE">
      <w:pPr>
        <w:shd w:val="clear"/>
        <w:wordWrap w:val="0"/>
        <w:snapToGrid w:val="0"/>
        <w:spacing w:line="360" w:lineRule="auto"/>
        <w:ind w:firstLine="645"/>
        <w:jc w:val="center"/>
        <w:rPr>
          <w:rFonts w:hint="eastAsia" w:ascii="宋体" w:hAnsi="宋体" w:eastAsia="宋体" w:cs="宋体"/>
          <w:color w:val="auto"/>
          <w:sz w:val="24"/>
          <w:szCs w:val="20"/>
          <w:highlight w:val="none"/>
        </w:rPr>
      </w:pPr>
    </w:p>
    <w:p w14:paraId="60AB96CC">
      <w:pPr>
        <w:shd w:val="clear"/>
        <w:wordWrap w:val="0"/>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bCs/>
          <w:color w:val="auto"/>
          <w:sz w:val="24"/>
          <w:highlight w:val="none"/>
        </w:rPr>
        <w:br w:type="page"/>
      </w:r>
      <w:r>
        <w:rPr>
          <w:rFonts w:hint="eastAsia" w:ascii="宋体" w:hAnsi="宋体" w:eastAsia="宋体" w:cs="宋体"/>
          <w:b/>
          <w:color w:val="auto"/>
          <w:kern w:val="0"/>
          <w:sz w:val="28"/>
          <w:szCs w:val="28"/>
          <w:highlight w:val="none"/>
        </w:rPr>
        <w:t>技术文件目录</w:t>
      </w:r>
    </w:p>
    <w:p w14:paraId="7525FA5D">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一、服务需求、技术需求偏离表…………………………………………………（页码）</w:t>
      </w:r>
    </w:p>
    <w:p w14:paraId="57D141EB">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二、组织服务方案…………………………………………………………………（页码）</w:t>
      </w:r>
    </w:p>
    <w:p w14:paraId="6FE3B10F">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三、售后服务方案 ………………………………</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1324A34D">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项目实施人员一览表 ………………………………</w:t>
      </w:r>
      <w:r>
        <w:rPr>
          <w:rFonts w:hint="eastAsia" w:ascii="宋体" w:hAnsi="宋体" w:eastAsia="宋体" w:cs="宋体"/>
          <w:color w:val="auto"/>
          <w:highlight w:val="none"/>
        </w:rPr>
        <w:t>………………………（页码）</w:t>
      </w:r>
    </w:p>
    <w:p w14:paraId="6AD43937">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五、投标人对项目的合理化建议和改进措施</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53E4E78">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六、优惠条件及特殊承诺（如有）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4F3D197">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七、备品备件及供选择的配套零部件清单（如有）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87F668D">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八、培训计划（如有）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579C810B">
      <w:pPr>
        <w:pStyle w:val="35"/>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九、认为需要的其他技术文件或说明（如有）</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792DE2C">
      <w:pPr>
        <w:shd w:val="clea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注：以上目录是基本格式要求，各投标人可根据自身情况进一步向下增加内容或细化。</w:t>
      </w:r>
    </w:p>
    <w:p w14:paraId="24F0F69D">
      <w:pPr>
        <w:shd w:val="clear"/>
        <w:wordWrap w:val="0"/>
        <w:snapToGrid w:val="0"/>
        <w:spacing w:line="360" w:lineRule="auto"/>
        <w:ind w:left="143" w:leftChars="68" w:firstLine="472" w:firstLineChars="196"/>
        <w:jc w:val="left"/>
        <w:rPr>
          <w:rFonts w:hint="eastAsia" w:ascii="宋体" w:hAnsi="宋体" w:eastAsia="宋体" w:cs="宋体"/>
          <w:b/>
          <w:color w:val="auto"/>
          <w:sz w:val="24"/>
          <w:highlight w:val="none"/>
        </w:rPr>
      </w:pPr>
    </w:p>
    <w:p w14:paraId="11E78415">
      <w:pPr>
        <w:shd w:val="clear"/>
        <w:wordWrap w:val="0"/>
        <w:snapToGrid w:val="0"/>
        <w:spacing w:line="360" w:lineRule="auto"/>
        <w:ind w:left="143" w:leftChars="68" w:firstLine="472" w:firstLineChars="196"/>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 xml:space="preserve"> </w:t>
      </w:r>
    </w:p>
    <w:p w14:paraId="7E35E26A">
      <w:pPr>
        <w:pStyle w:val="13"/>
        <w:shd w:val="clear"/>
        <w:wordWrap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sz w:val="30"/>
          <w:szCs w:val="30"/>
          <w:highlight w:val="none"/>
        </w:rPr>
        <w:t>一、服务需求、技术需求偏离表</w:t>
      </w:r>
    </w:p>
    <w:p w14:paraId="26E5F71D">
      <w:pPr>
        <w:pStyle w:val="13"/>
        <w:shd w:val="clear"/>
        <w:wordWrap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请根据所投服务的实际技术参数，</w:t>
      </w:r>
      <w:r>
        <w:rPr>
          <w:rFonts w:hint="eastAsia" w:ascii="宋体" w:hAnsi="宋体" w:eastAsia="宋体" w:cs="宋体"/>
          <w:b/>
          <w:color w:val="auto"/>
          <w:sz w:val="28"/>
          <w:szCs w:val="28"/>
          <w:highlight w:val="none"/>
        </w:rPr>
        <w:t>逐条对应</w:t>
      </w:r>
      <w:r>
        <w:rPr>
          <w:rFonts w:hint="eastAsia" w:ascii="宋体" w:hAnsi="宋体" w:eastAsia="宋体" w:cs="宋体"/>
          <w:color w:val="auto"/>
          <w:sz w:val="24"/>
          <w:szCs w:val="24"/>
          <w:highlight w:val="none"/>
        </w:rPr>
        <w:t>本项目招标文件第二章“服务需求一览表”中的</w:t>
      </w:r>
      <w:r>
        <w:rPr>
          <w:rFonts w:hint="eastAsia" w:ascii="宋体" w:hAnsi="宋体" w:eastAsia="宋体" w:cs="宋体"/>
          <w:b/>
          <w:color w:val="auto"/>
          <w:sz w:val="28"/>
          <w:szCs w:val="28"/>
          <w:highlight w:val="none"/>
        </w:rPr>
        <w:t>采购清单及服务参数</w:t>
      </w:r>
      <w:r>
        <w:rPr>
          <w:rFonts w:hint="eastAsia" w:ascii="宋体" w:hAnsi="宋体" w:eastAsia="宋体" w:cs="宋体"/>
          <w:color w:val="auto"/>
          <w:sz w:val="24"/>
          <w:szCs w:val="24"/>
          <w:highlight w:val="none"/>
        </w:rPr>
        <w:t>详细填写相应的具体内容。“偏离说明”一栏应当选择“正偏离”、“负偏离”或“无偏离”进行填写。</w:t>
      </w:r>
    </w:p>
    <w:tbl>
      <w:tblPr>
        <w:tblStyle w:val="22"/>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4DEAE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477998D7">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570" w:type="dxa"/>
            <w:gridSpan w:val="2"/>
            <w:tcBorders>
              <w:top w:val="single" w:color="auto" w:sz="4" w:space="0"/>
              <w:left w:val="single" w:color="auto" w:sz="4" w:space="0"/>
              <w:bottom w:val="single" w:color="auto" w:sz="4" w:space="0"/>
              <w:right w:val="single" w:color="auto" w:sz="4" w:space="0"/>
            </w:tcBorders>
            <w:noWrap w:val="0"/>
            <w:vAlign w:val="center"/>
          </w:tcPr>
          <w:p w14:paraId="56DC73B4">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招标文件需求</w:t>
            </w:r>
          </w:p>
        </w:tc>
        <w:tc>
          <w:tcPr>
            <w:tcW w:w="4813" w:type="dxa"/>
            <w:gridSpan w:val="2"/>
            <w:tcBorders>
              <w:top w:val="single" w:color="auto" w:sz="4" w:space="0"/>
              <w:left w:val="single" w:color="auto" w:sz="4" w:space="0"/>
              <w:bottom w:val="single" w:color="auto" w:sz="4" w:space="0"/>
              <w:right w:val="single" w:color="auto" w:sz="4" w:space="0"/>
            </w:tcBorders>
            <w:noWrap w:val="0"/>
            <w:vAlign w:val="center"/>
          </w:tcPr>
          <w:p w14:paraId="2B023E1E">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投标文件承诺</w:t>
            </w:r>
          </w:p>
        </w:tc>
        <w:tc>
          <w:tcPr>
            <w:tcW w:w="1168" w:type="dxa"/>
            <w:vMerge w:val="restart"/>
            <w:tcBorders>
              <w:top w:val="single" w:color="auto" w:sz="4" w:space="0"/>
              <w:left w:val="single" w:color="auto" w:sz="4" w:space="0"/>
              <w:bottom w:val="single" w:color="auto" w:sz="4" w:space="0"/>
              <w:right w:val="single" w:color="auto" w:sz="4" w:space="0"/>
            </w:tcBorders>
            <w:noWrap w:val="0"/>
            <w:vAlign w:val="center"/>
          </w:tcPr>
          <w:p w14:paraId="49B85C6C">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4E9F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6D936C0D">
            <w:pPr>
              <w:widowControl/>
              <w:shd w:val="clear"/>
              <w:wordWrap w:val="0"/>
              <w:spacing w:line="360" w:lineRule="auto"/>
              <w:jc w:val="left"/>
              <w:rPr>
                <w:rFonts w:hint="eastAsia" w:ascii="宋体" w:hAnsi="宋体" w:eastAsia="宋体" w:cs="宋体"/>
                <w:color w:val="auto"/>
                <w:szCs w:val="21"/>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708112D5">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服务名称</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53686529">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服务参数</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6D4F70A1">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服务名称</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7ED2CF23">
            <w:pPr>
              <w:shd w:val="clear"/>
              <w:wordWrap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noWrap w:val="0"/>
            <w:vAlign w:val="center"/>
          </w:tcPr>
          <w:p w14:paraId="4D47BFFA">
            <w:pPr>
              <w:widowControl/>
              <w:shd w:val="clear"/>
              <w:wordWrap w:val="0"/>
              <w:spacing w:line="360" w:lineRule="auto"/>
              <w:jc w:val="left"/>
              <w:rPr>
                <w:rFonts w:hint="eastAsia" w:ascii="宋体" w:hAnsi="宋体" w:eastAsia="宋体" w:cs="宋体"/>
                <w:color w:val="auto"/>
                <w:szCs w:val="21"/>
                <w:highlight w:val="none"/>
              </w:rPr>
            </w:pPr>
          </w:p>
        </w:tc>
      </w:tr>
      <w:tr w14:paraId="1F36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7CFB2AC5">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1C9A54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55780BE7">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6D5EED8">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3799D14">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FAD5C7B">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4CDF069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2CE12DDB">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8F08C3E">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F93F7F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6430A68">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0ADE101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tc>
      </w:tr>
      <w:tr w14:paraId="0830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0D948CA6">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4D3940D">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2310" w:type="dxa"/>
            <w:tcBorders>
              <w:top w:val="single" w:color="auto" w:sz="4" w:space="0"/>
              <w:left w:val="single" w:color="auto" w:sz="4" w:space="0"/>
              <w:bottom w:val="single" w:color="auto" w:sz="4" w:space="0"/>
              <w:right w:val="single" w:color="auto" w:sz="4" w:space="0"/>
            </w:tcBorders>
            <w:noWrap w:val="0"/>
            <w:vAlign w:val="center"/>
          </w:tcPr>
          <w:p w14:paraId="6719635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04898B5">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4DBADC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07A5E21">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1F97BB4E">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97" w:type="dxa"/>
            <w:tcBorders>
              <w:top w:val="single" w:color="auto" w:sz="4" w:space="0"/>
              <w:left w:val="single" w:color="auto" w:sz="4" w:space="0"/>
              <w:bottom w:val="single" w:color="auto" w:sz="4" w:space="0"/>
              <w:right w:val="single" w:color="auto" w:sz="4" w:space="0"/>
            </w:tcBorders>
            <w:noWrap w:val="0"/>
            <w:vAlign w:val="center"/>
          </w:tcPr>
          <w:p w14:paraId="0EBF31D9">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2AB5DED">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50A1DB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6D11A38">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168" w:type="dxa"/>
            <w:tcBorders>
              <w:top w:val="single" w:color="auto" w:sz="4" w:space="0"/>
              <w:left w:val="single" w:color="auto" w:sz="4" w:space="0"/>
              <w:bottom w:val="single" w:color="auto" w:sz="4" w:space="0"/>
              <w:right w:val="single" w:color="auto" w:sz="4" w:space="0"/>
            </w:tcBorders>
            <w:noWrap w:val="0"/>
            <w:vAlign w:val="center"/>
          </w:tcPr>
          <w:p w14:paraId="1F136C42">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正偏离（负偏离或无偏离）</w:t>
            </w:r>
          </w:p>
        </w:tc>
      </w:tr>
      <w:tr w14:paraId="4DF09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noWrap w:val="0"/>
            <w:vAlign w:val="center"/>
          </w:tcPr>
          <w:p w14:paraId="491700E8">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67DD0A1D">
            <w:pPr>
              <w:shd w:val="clear"/>
              <w:wordWrap w:val="0"/>
              <w:spacing w:line="360" w:lineRule="auto"/>
              <w:rPr>
                <w:rFonts w:hint="eastAsia" w:ascii="宋体" w:hAnsi="宋体" w:eastAsia="宋体" w:cs="宋体"/>
                <w:color w:val="auto"/>
                <w:szCs w:val="21"/>
                <w:highlight w:val="none"/>
              </w:rPr>
            </w:pPr>
          </w:p>
        </w:tc>
        <w:tc>
          <w:tcPr>
            <w:tcW w:w="2310" w:type="dxa"/>
            <w:tcBorders>
              <w:top w:val="single" w:color="auto" w:sz="4" w:space="0"/>
              <w:left w:val="single" w:color="auto" w:sz="4" w:space="0"/>
              <w:bottom w:val="single" w:color="auto" w:sz="4" w:space="0"/>
              <w:right w:val="single" w:color="auto" w:sz="4" w:space="0"/>
            </w:tcBorders>
            <w:noWrap w:val="0"/>
            <w:vAlign w:val="center"/>
          </w:tcPr>
          <w:p w14:paraId="218C74B7">
            <w:pPr>
              <w:shd w:val="clear"/>
              <w:wordWrap w:val="0"/>
              <w:spacing w:line="360" w:lineRule="auto"/>
              <w:rPr>
                <w:rFonts w:hint="eastAsia" w:ascii="宋体" w:hAnsi="宋体" w:eastAsia="宋体" w:cs="宋体"/>
                <w:color w:val="auto"/>
                <w:szCs w:val="21"/>
                <w:highlight w:val="none"/>
              </w:rPr>
            </w:pPr>
          </w:p>
        </w:tc>
        <w:tc>
          <w:tcPr>
            <w:tcW w:w="1516" w:type="dxa"/>
            <w:tcBorders>
              <w:top w:val="single" w:color="auto" w:sz="4" w:space="0"/>
              <w:left w:val="single" w:color="auto" w:sz="4" w:space="0"/>
              <w:bottom w:val="single" w:color="auto" w:sz="4" w:space="0"/>
              <w:right w:val="single" w:color="auto" w:sz="4" w:space="0"/>
            </w:tcBorders>
            <w:noWrap w:val="0"/>
            <w:vAlign w:val="center"/>
          </w:tcPr>
          <w:p w14:paraId="1FE00275">
            <w:pPr>
              <w:shd w:val="clear"/>
              <w:wordWrap w:val="0"/>
              <w:spacing w:line="360" w:lineRule="auto"/>
              <w:rPr>
                <w:rFonts w:hint="eastAsia" w:ascii="宋体" w:hAnsi="宋体" w:eastAsia="宋体" w:cs="宋体"/>
                <w:color w:val="auto"/>
                <w:szCs w:val="21"/>
                <w:highlight w:val="none"/>
              </w:rPr>
            </w:pPr>
          </w:p>
        </w:tc>
        <w:tc>
          <w:tcPr>
            <w:tcW w:w="3297" w:type="dxa"/>
            <w:tcBorders>
              <w:top w:val="single" w:color="auto" w:sz="4" w:space="0"/>
              <w:left w:val="single" w:color="auto" w:sz="4" w:space="0"/>
              <w:bottom w:val="single" w:color="auto" w:sz="4" w:space="0"/>
              <w:right w:val="single" w:color="auto" w:sz="4" w:space="0"/>
            </w:tcBorders>
            <w:noWrap w:val="0"/>
            <w:vAlign w:val="center"/>
          </w:tcPr>
          <w:p w14:paraId="6C02A48A">
            <w:pPr>
              <w:shd w:val="clear"/>
              <w:wordWrap w:val="0"/>
              <w:spacing w:line="360" w:lineRule="auto"/>
              <w:rPr>
                <w:rFonts w:hint="eastAsia" w:ascii="宋体" w:hAnsi="宋体" w:eastAsia="宋体" w:cs="宋体"/>
                <w:color w:val="auto"/>
                <w:szCs w:val="21"/>
                <w:highlight w:val="none"/>
              </w:rPr>
            </w:pPr>
          </w:p>
        </w:tc>
        <w:tc>
          <w:tcPr>
            <w:tcW w:w="1168" w:type="dxa"/>
            <w:tcBorders>
              <w:top w:val="single" w:color="auto" w:sz="4" w:space="0"/>
              <w:left w:val="single" w:color="auto" w:sz="4" w:space="0"/>
              <w:bottom w:val="single" w:color="auto" w:sz="4" w:space="0"/>
              <w:right w:val="single" w:color="auto" w:sz="4" w:space="0"/>
            </w:tcBorders>
            <w:noWrap w:val="0"/>
            <w:vAlign w:val="center"/>
          </w:tcPr>
          <w:p w14:paraId="2A083967">
            <w:pPr>
              <w:shd w:val="clear"/>
              <w:wordWrap w:val="0"/>
              <w:spacing w:line="360" w:lineRule="auto"/>
              <w:rPr>
                <w:rFonts w:hint="eastAsia" w:ascii="宋体" w:hAnsi="宋体" w:eastAsia="宋体" w:cs="宋体"/>
                <w:color w:val="auto"/>
                <w:szCs w:val="21"/>
                <w:highlight w:val="none"/>
              </w:rPr>
            </w:pPr>
          </w:p>
        </w:tc>
      </w:tr>
      <w:tr w14:paraId="319E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noWrap w:val="0"/>
            <w:vAlign w:val="center"/>
          </w:tcPr>
          <w:p w14:paraId="1EA161EE">
            <w:pPr>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rPr>
              <w:t>　　</w:t>
            </w:r>
            <w:r>
              <w:rPr>
                <w:rFonts w:hint="eastAsia" w:ascii="宋体" w:hAnsi="宋体" w:eastAsia="宋体" w:cs="宋体"/>
                <w:color w:val="auto"/>
                <w:szCs w:val="21"/>
                <w:highlight w:val="none"/>
              </w:rPr>
              <w:t>分标（此处有分标时填写具体分标号，无分标时填写“无”）</w:t>
            </w:r>
          </w:p>
        </w:tc>
      </w:tr>
    </w:tbl>
    <w:p w14:paraId="2B104CF7">
      <w:pPr>
        <w:pStyle w:val="13"/>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w:t>
      </w:r>
    </w:p>
    <w:p w14:paraId="4489C568">
      <w:pPr>
        <w:pStyle w:val="13"/>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1.表格内容均需按要求填写并盖章，不得留空，</w:t>
      </w:r>
      <w:r>
        <w:rPr>
          <w:rFonts w:hint="eastAsia" w:ascii="宋体" w:hAnsi="宋体" w:eastAsia="宋体" w:cs="宋体"/>
          <w:bCs/>
          <w:color w:val="auto"/>
          <w:szCs w:val="21"/>
          <w:highlight w:val="none"/>
        </w:rPr>
        <w:t>否则按投标无效处理</w:t>
      </w:r>
      <w:r>
        <w:rPr>
          <w:rFonts w:hint="eastAsia" w:ascii="宋体" w:hAnsi="宋体" w:eastAsia="宋体" w:cs="宋体"/>
          <w:color w:val="auto"/>
          <w:szCs w:val="21"/>
          <w:highlight w:val="none"/>
        </w:rPr>
        <w:t>。</w:t>
      </w:r>
    </w:p>
    <w:p w14:paraId="2280944D">
      <w:pPr>
        <w:pStyle w:val="13"/>
        <w:shd w:val="clear"/>
        <w:wordWrap w:val="0"/>
        <w:spacing w:line="360" w:lineRule="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2.当投标文件的服务内容低于招标文件要求时，投标人应当如实写明“负偏离”，否则视为虚假应标。</w:t>
      </w:r>
    </w:p>
    <w:p w14:paraId="4748C6B7">
      <w:pPr>
        <w:pStyle w:val="13"/>
        <w:shd w:val="clear"/>
        <w:wordWrap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3.</w:t>
      </w:r>
      <w:r>
        <w:rPr>
          <w:rFonts w:hint="eastAsia" w:ascii="宋体" w:hAnsi="宋体" w:eastAsia="宋体" w:cs="宋体"/>
          <w:color w:val="auto"/>
          <w:szCs w:val="21"/>
          <w:highlight w:val="none"/>
        </w:rPr>
        <w:t>采购需求中带“▲”及“★”的条款，也要分别在本表“服务参数”、“所提供服务的内容”中标记。</w:t>
      </w:r>
    </w:p>
    <w:p w14:paraId="22E5DCA3">
      <w:pPr>
        <w:shd w:val="clear"/>
        <w:wordWrap w:val="0"/>
        <w:snapToGrid w:val="0"/>
        <w:spacing w:line="360" w:lineRule="auto"/>
        <w:ind w:firstLine="5640" w:firstLineChars="2350"/>
        <w:rPr>
          <w:rFonts w:hint="eastAsia" w:ascii="宋体" w:hAnsi="宋体" w:eastAsia="宋体" w:cs="宋体"/>
          <w:color w:val="auto"/>
          <w:kern w:val="0"/>
          <w:sz w:val="24"/>
          <w:highlight w:val="none"/>
          <w:lang w:val="zh-CN"/>
        </w:rPr>
      </w:pPr>
    </w:p>
    <w:p w14:paraId="6EFFF6A2">
      <w:pPr>
        <w:shd w:val="clear"/>
        <w:wordWrap w:val="0"/>
        <w:snapToGrid w:val="0"/>
        <w:spacing w:line="360" w:lineRule="auto"/>
        <w:ind w:firstLine="5640" w:firstLineChars="23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200C332F">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1DED9B56">
      <w:pPr>
        <w:widowControl/>
        <w:shd w:val="clear"/>
        <w:wordWrap w:val="0"/>
        <w:spacing w:line="360" w:lineRule="auto"/>
        <w:jc w:val="left"/>
        <w:rPr>
          <w:rFonts w:hint="eastAsia" w:ascii="宋体" w:hAnsi="宋体" w:eastAsia="宋体" w:cs="宋体"/>
          <w:color w:val="auto"/>
          <w:sz w:val="30"/>
          <w:szCs w:val="20"/>
          <w:highlight w:val="none"/>
        </w:rPr>
        <w:sectPr>
          <w:pgSz w:w="11906" w:h="16838"/>
          <w:pgMar w:top="1440" w:right="1080" w:bottom="1440" w:left="1080" w:header="720" w:footer="720" w:gutter="0"/>
          <w:pgNumType w:fmt="decimal"/>
          <w:cols w:space="720" w:num="1"/>
          <w:docGrid w:type="lines" w:linePitch="331" w:charSpace="0"/>
        </w:sectPr>
      </w:pPr>
    </w:p>
    <w:p w14:paraId="3B2572B6">
      <w:pPr>
        <w:shd w:val="clear"/>
        <w:wordWrap w:val="0"/>
        <w:snapToGrid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二、组织服务方案</w:t>
      </w:r>
    </w:p>
    <w:p w14:paraId="5B030265">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492DD017">
      <w:pPr>
        <w:shd w:val="clear"/>
        <w:wordWrap w:val="0"/>
        <w:spacing w:line="360" w:lineRule="auto"/>
        <w:rPr>
          <w:rFonts w:hint="eastAsia" w:ascii="宋体" w:hAnsi="宋体" w:eastAsia="宋体" w:cs="宋体"/>
          <w:b/>
          <w:bCs/>
          <w:color w:val="auto"/>
          <w:kern w:val="0"/>
          <w:sz w:val="24"/>
          <w:highlight w:val="none"/>
          <w:lang w:val="zh-CN"/>
        </w:rPr>
      </w:pPr>
    </w:p>
    <w:p w14:paraId="2A687461">
      <w:pPr>
        <w:shd w:val="clear"/>
        <w:wordWrap w:val="0"/>
        <w:spacing w:line="360" w:lineRule="auto"/>
        <w:rPr>
          <w:rFonts w:hint="eastAsia" w:ascii="宋体" w:hAnsi="宋体" w:eastAsia="宋体" w:cs="宋体"/>
          <w:b/>
          <w:bCs/>
          <w:color w:val="auto"/>
          <w:kern w:val="0"/>
          <w:sz w:val="24"/>
          <w:highlight w:val="none"/>
          <w:lang w:val="zh-CN"/>
        </w:rPr>
      </w:pPr>
    </w:p>
    <w:p w14:paraId="1B6D300E">
      <w:pPr>
        <w:shd w:val="clear"/>
        <w:wordWrap w:val="0"/>
        <w:spacing w:line="360" w:lineRule="auto"/>
        <w:rPr>
          <w:rFonts w:hint="eastAsia" w:ascii="宋体" w:hAnsi="宋体" w:eastAsia="宋体" w:cs="宋体"/>
          <w:b/>
          <w:bCs/>
          <w:color w:val="auto"/>
          <w:kern w:val="0"/>
          <w:sz w:val="24"/>
          <w:highlight w:val="none"/>
          <w:lang w:val="zh-CN"/>
        </w:rPr>
      </w:pPr>
      <w:bookmarkStart w:id="755" w:name="_Toc78473822"/>
      <w:r>
        <w:rPr>
          <w:rFonts w:hint="eastAsia" w:ascii="宋体" w:hAnsi="宋体" w:eastAsia="宋体" w:cs="宋体"/>
          <w:b/>
          <w:bCs/>
          <w:color w:val="auto"/>
          <w:kern w:val="0"/>
          <w:sz w:val="24"/>
          <w:highlight w:val="none"/>
          <w:lang w:val="zh-CN"/>
        </w:rPr>
        <w:t>附表:项目实施进度计划表</w:t>
      </w:r>
      <w:r>
        <w:rPr>
          <w:rFonts w:hint="eastAsia" w:ascii="宋体" w:hAnsi="宋体" w:eastAsia="宋体" w:cs="宋体"/>
          <w:b/>
          <w:color w:val="auto"/>
          <w:sz w:val="24"/>
          <w:highlight w:val="none"/>
        </w:rPr>
        <w:t>(以生效日算起)</w:t>
      </w:r>
      <w:bookmarkEnd w:id="755"/>
      <w:r>
        <w:rPr>
          <w:rFonts w:hint="eastAsia" w:ascii="宋体" w:hAnsi="宋体" w:eastAsia="宋体" w:cs="宋体"/>
          <w:b/>
          <w:color w:val="auto"/>
          <w:sz w:val="24"/>
          <w:highlight w:val="none"/>
        </w:rPr>
        <w:t xml:space="preserve"> </w:t>
      </w:r>
    </w:p>
    <w:tbl>
      <w:tblPr>
        <w:tblStyle w:val="2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374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noWrap w:val="0"/>
            <w:vAlign w:val="center"/>
          </w:tcPr>
          <w:p w14:paraId="1A67059F">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6985"/>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0B621E5E">
                                    <w:pPr>
                                      <w:snapToGrid w:val="0"/>
                                      <w:rPr>
                                        <w:sz w:val="24"/>
                                        <w:szCs w:val="24"/>
                                      </w:rPr>
                                    </w:pPr>
                                    <w:r>
                                      <w:rPr>
                                        <w:rFonts w:hint="eastAsia"/>
                                        <w:sz w:val="24"/>
                                        <w:szCs w:val="24"/>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75A8964E">
                                    <w:pPr>
                                      <w:snapToGrid w:val="0"/>
                                      <w:rPr>
                                        <w:sz w:val="24"/>
                                        <w:szCs w:val="24"/>
                                      </w:rPr>
                                    </w:pPr>
                                    <w:r>
                                      <w:rPr>
                                        <w:rFonts w:hint="eastAsia"/>
                                        <w:sz w:val="24"/>
                                        <w:szCs w:val="24"/>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72041756">
                                    <w:pPr>
                                      <w:snapToGrid w:val="0"/>
                                      <w:rPr>
                                        <w:sz w:val="24"/>
                                        <w:szCs w:val="24"/>
                                      </w:rPr>
                                    </w:pPr>
                                    <w:r>
                                      <w:rPr>
                                        <w:rFonts w:hint="eastAsia"/>
                                        <w:sz w:val="24"/>
                                        <w:szCs w:val="24"/>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0B621E5E">
                              <w:pPr>
                                <w:snapToGrid w:val="0"/>
                                <w:rPr>
                                  <w:sz w:val="24"/>
                                  <w:szCs w:val="24"/>
                                </w:rPr>
                              </w:pPr>
                              <w:r>
                                <w:rPr>
                                  <w:rFonts w:hint="eastAsia"/>
                                  <w:sz w:val="24"/>
                                  <w:szCs w:val="24"/>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5A8964E">
                              <w:pPr>
                                <w:snapToGrid w:val="0"/>
                                <w:rPr>
                                  <w:sz w:val="24"/>
                                  <w:szCs w:val="24"/>
                                </w:rPr>
                              </w:pPr>
                              <w:r>
                                <w:rPr>
                                  <w:rFonts w:hint="eastAsia"/>
                                  <w:sz w:val="24"/>
                                  <w:szCs w:val="24"/>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2041756">
                              <w:pPr>
                                <w:snapToGrid w:val="0"/>
                                <w:rPr>
                                  <w:sz w:val="24"/>
                                  <w:szCs w:val="24"/>
                                </w:rPr>
                              </w:pPr>
                              <w:r>
                                <w:rPr>
                                  <w:rFonts w:hint="eastAsia"/>
                                  <w:sz w:val="24"/>
                                  <w:szCs w:val="24"/>
                                </w:rPr>
                                <w:t>日</w:t>
                              </w:r>
                            </w:p>
                          </w:txbxContent>
                        </v:textbox>
                      </v:shape>
                    </v:group>
                  </w:pict>
                </mc:Fallback>
              </mc:AlternateContent>
            </w:r>
          </w:p>
          <w:p w14:paraId="26472A06">
            <w:pPr>
              <w:shd w:val="clear"/>
              <w:wordWrap w:val="0"/>
              <w:spacing w:line="360" w:lineRule="auto"/>
              <w:rPr>
                <w:rFonts w:hint="eastAsia" w:ascii="宋体" w:hAnsi="宋体" w:eastAsia="宋体" w:cs="宋体"/>
                <w:color w:val="auto"/>
                <w:sz w:val="24"/>
                <w:highlight w:val="none"/>
              </w:rPr>
            </w:pPr>
          </w:p>
          <w:p w14:paraId="090E50CB">
            <w:pPr>
              <w:shd w:val="clear"/>
              <w:wordWrap w:val="0"/>
              <w:spacing w:line="360" w:lineRule="auto"/>
              <w:rPr>
                <w:rFonts w:hint="eastAsia" w:ascii="宋体" w:hAnsi="宋体" w:eastAsia="宋体" w:cs="宋体"/>
                <w:color w:val="auto"/>
                <w:sz w:val="24"/>
                <w:highlight w:val="none"/>
              </w:rPr>
            </w:pPr>
          </w:p>
          <w:p w14:paraId="7C19BDF7">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内容</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327D4265">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3CCFAEE9">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575147A7">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3</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5CE33BD5">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3805DBE5">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552" w:type="dxa"/>
            <w:tcBorders>
              <w:top w:val="single" w:color="auto" w:sz="4" w:space="0"/>
              <w:left w:val="single" w:color="auto" w:sz="4" w:space="0"/>
              <w:bottom w:val="single" w:color="auto" w:sz="4" w:space="0"/>
              <w:right w:val="single" w:color="auto" w:sz="4" w:space="0"/>
            </w:tcBorders>
            <w:noWrap w:val="0"/>
            <w:vAlign w:val="center"/>
          </w:tcPr>
          <w:p w14:paraId="52B83653">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746E47D2">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30BD1D8">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8</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059790D6">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9</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42F061BB">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10</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DD667C4">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11</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1E435E7">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12</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64D381AE">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13</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1D27642D">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14</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01A19156">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15</w:t>
            </w:r>
          </w:p>
        </w:tc>
        <w:tc>
          <w:tcPr>
            <w:tcW w:w="553" w:type="dxa"/>
            <w:tcBorders>
              <w:top w:val="single" w:color="auto" w:sz="4" w:space="0"/>
              <w:left w:val="single" w:color="auto" w:sz="4" w:space="0"/>
              <w:bottom w:val="single" w:color="auto" w:sz="4" w:space="0"/>
              <w:right w:val="single" w:color="auto" w:sz="4" w:space="0"/>
            </w:tcBorders>
            <w:noWrap w:val="0"/>
            <w:vAlign w:val="center"/>
          </w:tcPr>
          <w:p w14:paraId="280858EF">
            <w:pPr>
              <w:shd w:val="clear"/>
              <w:wordWrap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tc>
      </w:tr>
      <w:tr w14:paraId="7A076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104B40E">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AE1DF33">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318AC89">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6D26B97">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AF11E2A">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4E5CC5D">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2FB4207">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C83FC26">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29F0C26">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49AA877">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9F56D38">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1206EE7">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3D99AFE">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0F0FED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58CE364">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F5445CD">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5B2AC23">
            <w:pPr>
              <w:shd w:val="clear"/>
              <w:wordWrap w:val="0"/>
              <w:spacing w:line="360" w:lineRule="auto"/>
              <w:rPr>
                <w:rFonts w:hint="eastAsia" w:ascii="宋体" w:hAnsi="宋体" w:eastAsia="宋体" w:cs="宋体"/>
                <w:color w:val="auto"/>
                <w:sz w:val="24"/>
                <w:highlight w:val="none"/>
              </w:rPr>
            </w:pPr>
          </w:p>
        </w:tc>
      </w:tr>
      <w:tr w14:paraId="15B0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0C6F452A">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F15330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6C8E818">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DB69C4B">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23BCEA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6069882">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91D89DB">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E3703F8">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9052CA6">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E3E546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809225B">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CE98513">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D972C4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FFBF613">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6313289">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67EA47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242944A">
            <w:pPr>
              <w:shd w:val="clear"/>
              <w:wordWrap w:val="0"/>
              <w:spacing w:line="360" w:lineRule="auto"/>
              <w:rPr>
                <w:rFonts w:hint="eastAsia" w:ascii="宋体" w:hAnsi="宋体" w:eastAsia="宋体" w:cs="宋体"/>
                <w:color w:val="auto"/>
                <w:sz w:val="24"/>
                <w:highlight w:val="none"/>
              </w:rPr>
            </w:pPr>
          </w:p>
        </w:tc>
      </w:tr>
      <w:tr w14:paraId="19F10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66B08BD3">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D88C852">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1468BA3">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84AB5BC">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A1C6BB0">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ECD6846">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FB193B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0A2EFE7">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E92FE01">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4CD1435">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E34DECD">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B1BA2E4">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42BB787">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6D29410">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A954270">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21234B0">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A8B8B00">
            <w:pPr>
              <w:shd w:val="clear"/>
              <w:wordWrap w:val="0"/>
              <w:spacing w:line="360" w:lineRule="auto"/>
              <w:rPr>
                <w:rFonts w:hint="eastAsia" w:ascii="宋体" w:hAnsi="宋体" w:eastAsia="宋体" w:cs="宋体"/>
                <w:color w:val="auto"/>
                <w:sz w:val="24"/>
                <w:highlight w:val="none"/>
              </w:rPr>
            </w:pPr>
          </w:p>
        </w:tc>
      </w:tr>
      <w:tr w14:paraId="32FD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4437ABAD">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B8E48A2">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D0F785E">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6B43F17">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0E8BCCE">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3B8D9EB">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A7AAD49">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C5DD93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59A2A4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9F1BD8B">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9473A9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3B8D94D">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F5CCC98">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DBE856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9CA7468">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E7A58FB">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5CCF34E">
            <w:pPr>
              <w:shd w:val="clear"/>
              <w:wordWrap w:val="0"/>
              <w:spacing w:line="360" w:lineRule="auto"/>
              <w:rPr>
                <w:rFonts w:hint="eastAsia" w:ascii="宋体" w:hAnsi="宋体" w:eastAsia="宋体" w:cs="宋体"/>
                <w:color w:val="auto"/>
                <w:sz w:val="24"/>
                <w:highlight w:val="none"/>
              </w:rPr>
            </w:pPr>
          </w:p>
        </w:tc>
      </w:tr>
      <w:tr w14:paraId="3E188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7B44C1B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A77EB3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7FE5D7C">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8F39FC8">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D09080E">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309F6D3">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565B75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56933F3">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CC23EA1">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FD33A39">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4AD4615">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F0FAD78">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62181A4">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ACF0AFE">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D39E6A5">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BBF090C">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C33ECDF">
            <w:pPr>
              <w:shd w:val="clear"/>
              <w:wordWrap w:val="0"/>
              <w:spacing w:line="360" w:lineRule="auto"/>
              <w:rPr>
                <w:rFonts w:hint="eastAsia" w:ascii="宋体" w:hAnsi="宋体" w:eastAsia="宋体" w:cs="宋体"/>
                <w:color w:val="auto"/>
                <w:sz w:val="24"/>
                <w:highlight w:val="none"/>
              </w:rPr>
            </w:pPr>
          </w:p>
        </w:tc>
      </w:tr>
      <w:tr w14:paraId="404F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B173E8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9B5843B">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7D8C833">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32F8E1B">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2EE2B09">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320E81E">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7B3275BE">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7B69CD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CF7836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43E44F6">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D9AE1C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DE444C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119D2E3">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7084433">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70577F0">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F7479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4AD3A1C">
            <w:pPr>
              <w:shd w:val="clear"/>
              <w:wordWrap w:val="0"/>
              <w:spacing w:line="360" w:lineRule="auto"/>
              <w:rPr>
                <w:rFonts w:hint="eastAsia" w:ascii="宋体" w:hAnsi="宋体" w:eastAsia="宋体" w:cs="宋体"/>
                <w:color w:val="auto"/>
                <w:sz w:val="24"/>
                <w:highlight w:val="none"/>
              </w:rPr>
            </w:pPr>
          </w:p>
        </w:tc>
      </w:tr>
      <w:tr w14:paraId="408EE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369665C7">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ECA257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62957BB">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33202AC">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F1BAF4B">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0142C16">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2BDFD4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67EA91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95E20DE">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51B91C8">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7686B1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5FC7D09">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747274C">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9D815E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64D27C9">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C0D20FC">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E2F8CC0">
            <w:pPr>
              <w:shd w:val="clear"/>
              <w:wordWrap w:val="0"/>
              <w:spacing w:line="360" w:lineRule="auto"/>
              <w:rPr>
                <w:rFonts w:hint="eastAsia" w:ascii="宋体" w:hAnsi="宋体" w:eastAsia="宋体" w:cs="宋体"/>
                <w:color w:val="auto"/>
                <w:sz w:val="24"/>
                <w:highlight w:val="none"/>
              </w:rPr>
            </w:pPr>
          </w:p>
        </w:tc>
      </w:tr>
      <w:tr w14:paraId="690D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1FEA2301">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C739397">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3905CC2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E9889D8">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683F38C">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13615338">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9F58093">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5E2C5D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607134C">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2A2A8D3">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2122D8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5A595D7F">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6DC8E64">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384390D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436C92B">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038EB4B">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28874E44">
            <w:pPr>
              <w:shd w:val="clear"/>
              <w:wordWrap w:val="0"/>
              <w:spacing w:line="360" w:lineRule="auto"/>
              <w:rPr>
                <w:rFonts w:hint="eastAsia" w:ascii="宋体" w:hAnsi="宋体" w:eastAsia="宋体" w:cs="宋体"/>
                <w:color w:val="auto"/>
                <w:sz w:val="24"/>
                <w:highlight w:val="none"/>
              </w:rPr>
            </w:pPr>
          </w:p>
        </w:tc>
      </w:tr>
      <w:tr w14:paraId="7164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noWrap w:val="0"/>
            <w:vAlign w:val="center"/>
          </w:tcPr>
          <w:p w14:paraId="22BD52FF">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21428393">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767A8C5">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093CB08E">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6F22AFE1">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5AB32D87">
            <w:pPr>
              <w:shd w:val="clear"/>
              <w:wordWrap w:val="0"/>
              <w:spacing w:line="360" w:lineRule="auto"/>
              <w:rPr>
                <w:rFonts w:hint="eastAsia" w:ascii="宋体" w:hAnsi="宋体" w:eastAsia="宋体" w:cs="宋体"/>
                <w:color w:val="auto"/>
                <w:sz w:val="24"/>
                <w:highlight w:val="none"/>
              </w:rPr>
            </w:pPr>
          </w:p>
        </w:tc>
        <w:tc>
          <w:tcPr>
            <w:tcW w:w="552" w:type="dxa"/>
            <w:tcBorders>
              <w:top w:val="single" w:color="auto" w:sz="4" w:space="0"/>
              <w:left w:val="single" w:color="auto" w:sz="4" w:space="0"/>
              <w:bottom w:val="single" w:color="auto" w:sz="4" w:space="0"/>
              <w:right w:val="single" w:color="auto" w:sz="4" w:space="0"/>
            </w:tcBorders>
            <w:noWrap w:val="0"/>
            <w:vAlign w:val="top"/>
          </w:tcPr>
          <w:p w14:paraId="47B0D936">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303C209">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0D9512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0B47A09">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4FB23DAA">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2FBD05C">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019FECB">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0A3138C2">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67AC75C8">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71BEBF5D">
            <w:pPr>
              <w:shd w:val="clear"/>
              <w:wordWrap w:val="0"/>
              <w:spacing w:line="360" w:lineRule="auto"/>
              <w:rPr>
                <w:rFonts w:hint="eastAsia" w:ascii="宋体" w:hAnsi="宋体" w:eastAsia="宋体" w:cs="宋体"/>
                <w:color w:val="auto"/>
                <w:sz w:val="24"/>
                <w:highlight w:val="none"/>
              </w:rPr>
            </w:pPr>
          </w:p>
        </w:tc>
        <w:tc>
          <w:tcPr>
            <w:tcW w:w="553" w:type="dxa"/>
            <w:tcBorders>
              <w:top w:val="single" w:color="auto" w:sz="4" w:space="0"/>
              <w:left w:val="single" w:color="auto" w:sz="4" w:space="0"/>
              <w:bottom w:val="single" w:color="auto" w:sz="4" w:space="0"/>
              <w:right w:val="single" w:color="auto" w:sz="4" w:space="0"/>
            </w:tcBorders>
            <w:noWrap w:val="0"/>
            <w:vAlign w:val="top"/>
          </w:tcPr>
          <w:p w14:paraId="164D7823">
            <w:pPr>
              <w:shd w:val="clear"/>
              <w:wordWrap w:val="0"/>
              <w:spacing w:line="360" w:lineRule="auto"/>
              <w:rPr>
                <w:rFonts w:hint="eastAsia" w:ascii="宋体" w:hAnsi="宋体" w:eastAsia="宋体" w:cs="宋体"/>
                <w:color w:val="auto"/>
                <w:sz w:val="24"/>
                <w:highlight w:val="none"/>
              </w:rPr>
            </w:pPr>
          </w:p>
        </w:tc>
      </w:tr>
    </w:tbl>
    <w:p w14:paraId="67C1AEB6">
      <w:pPr>
        <w:shd w:val="clea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注：投标人可按上述时间表的格式自行编制切合实际的具体时间表。</w:t>
      </w:r>
    </w:p>
    <w:p w14:paraId="0E7B0469">
      <w:pPr>
        <w:shd w:val="clear"/>
        <w:wordWrap w:val="0"/>
        <w:autoSpaceDE w:val="0"/>
        <w:autoSpaceDN w:val="0"/>
        <w:spacing w:line="360" w:lineRule="auto"/>
        <w:ind w:firstLine="4440" w:firstLineChars="18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投标人名称（电子签章）：</w:t>
      </w:r>
    </w:p>
    <w:p w14:paraId="17C9411F">
      <w:pPr>
        <w:shd w:val="clear"/>
        <w:wordWrap w:val="0"/>
        <w:autoSpaceDE w:val="0"/>
        <w:autoSpaceDN w:val="0"/>
        <w:spacing w:line="360" w:lineRule="auto"/>
        <w:rPr>
          <w:rFonts w:hint="eastAsia" w:ascii="宋体" w:hAnsi="宋体" w:eastAsia="宋体" w:cs="宋体"/>
          <w:b/>
          <w:bCs/>
          <w:color w:val="auto"/>
          <w:sz w:val="32"/>
          <w:szCs w:val="32"/>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7193F26C">
      <w:pPr>
        <w:shd w:val="clear"/>
        <w:wordWrap w:val="0"/>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48477D98">
      <w:pPr>
        <w:shd w:val="clear"/>
        <w:wordWrap w:val="0"/>
        <w:snapToGrid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三、售后服务方案</w:t>
      </w:r>
    </w:p>
    <w:p w14:paraId="3727EF4D">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（由投标人根据采购需求及招标文件要求编制）</w:t>
      </w:r>
    </w:p>
    <w:p w14:paraId="2E686BA2">
      <w:pPr>
        <w:shd w:val="clear"/>
        <w:wordWrap w:val="0"/>
        <w:snapToGrid w:val="0"/>
        <w:spacing w:line="360" w:lineRule="auto"/>
        <w:ind w:left="142"/>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1、售后服务承诺</w:t>
      </w:r>
    </w:p>
    <w:p w14:paraId="64277146">
      <w:pPr>
        <w:shd w:val="clea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附表A:售后服务机构情况表</w:t>
      </w:r>
      <w:r>
        <w:rPr>
          <w:rFonts w:hint="eastAsia" w:ascii="宋体" w:hAnsi="宋体" w:eastAsia="宋体" w:cs="宋体"/>
          <w:color w:val="auto"/>
          <w:sz w:val="24"/>
          <w:highlight w:val="none"/>
        </w:rPr>
        <w:t>（按此格式自制）</w:t>
      </w:r>
    </w:p>
    <w:tbl>
      <w:tblPr>
        <w:tblStyle w:val="22"/>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5BFE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1715B6F1">
            <w:pPr>
              <w:shd w:val="clea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2340" w:type="dxa"/>
            <w:tcBorders>
              <w:top w:val="single" w:color="auto" w:sz="4" w:space="0"/>
              <w:left w:val="single" w:color="auto" w:sz="4" w:space="0"/>
              <w:bottom w:val="single" w:color="auto" w:sz="4" w:space="0"/>
              <w:right w:val="single" w:color="auto" w:sz="4" w:space="0"/>
            </w:tcBorders>
            <w:noWrap w:val="0"/>
            <w:vAlign w:val="top"/>
          </w:tcPr>
          <w:p w14:paraId="6C2A7DD6">
            <w:pPr>
              <w:shd w:val="clea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机构名称</w:t>
            </w:r>
          </w:p>
        </w:tc>
        <w:tc>
          <w:tcPr>
            <w:tcW w:w="1095" w:type="dxa"/>
            <w:tcBorders>
              <w:top w:val="single" w:color="auto" w:sz="4" w:space="0"/>
              <w:left w:val="single" w:color="auto" w:sz="4" w:space="0"/>
              <w:bottom w:val="single" w:color="auto" w:sz="4" w:space="0"/>
              <w:right w:val="single" w:color="auto" w:sz="4" w:space="0"/>
            </w:tcBorders>
            <w:noWrap w:val="0"/>
            <w:vAlign w:val="top"/>
          </w:tcPr>
          <w:p w14:paraId="2EF78D94">
            <w:pPr>
              <w:shd w:val="clea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机构性质</w:t>
            </w:r>
          </w:p>
        </w:tc>
        <w:tc>
          <w:tcPr>
            <w:tcW w:w="1245" w:type="dxa"/>
            <w:tcBorders>
              <w:top w:val="single" w:color="auto" w:sz="4" w:space="0"/>
              <w:left w:val="single" w:color="auto" w:sz="4" w:space="0"/>
              <w:bottom w:val="single" w:color="auto" w:sz="4" w:space="0"/>
              <w:right w:val="single" w:color="auto" w:sz="4" w:space="0"/>
            </w:tcBorders>
            <w:noWrap w:val="0"/>
            <w:vAlign w:val="top"/>
          </w:tcPr>
          <w:p w14:paraId="7A89ADF6">
            <w:pPr>
              <w:shd w:val="clea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注册地址</w:t>
            </w:r>
          </w:p>
        </w:tc>
        <w:tc>
          <w:tcPr>
            <w:tcW w:w="1980" w:type="dxa"/>
            <w:tcBorders>
              <w:top w:val="single" w:color="auto" w:sz="4" w:space="0"/>
              <w:left w:val="single" w:color="auto" w:sz="4" w:space="0"/>
              <w:bottom w:val="single" w:color="auto" w:sz="4" w:space="0"/>
              <w:right w:val="single" w:color="auto" w:sz="4" w:space="0"/>
            </w:tcBorders>
            <w:noWrap w:val="0"/>
            <w:vAlign w:val="top"/>
          </w:tcPr>
          <w:p w14:paraId="03DA8DEB">
            <w:pPr>
              <w:shd w:val="clea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服务技术人员数量</w:t>
            </w:r>
          </w:p>
        </w:tc>
        <w:tc>
          <w:tcPr>
            <w:tcW w:w="1260" w:type="dxa"/>
            <w:tcBorders>
              <w:top w:val="single" w:color="auto" w:sz="4" w:space="0"/>
              <w:left w:val="single" w:color="auto" w:sz="4" w:space="0"/>
              <w:bottom w:val="single" w:color="auto" w:sz="4" w:space="0"/>
              <w:right w:val="single" w:color="auto" w:sz="4" w:space="0"/>
            </w:tcBorders>
            <w:noWrap w:val="0"/>
            <w:vAlign w:val="top"/>
          </w:tcPr>
          <w:p w14:paraId="30C7B5C9">
            <w:pPr>
              <w:shd w:val="clear"/>
              <w:wordWrap w:val="0"/>
              <w:autoSpaceDE w:val="0"/>
              <w:autoSpaceDN w:val="0"/>
              <w:spacing w:line="360" w:lineRule="auto"/>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联系电话</w:t>
            </w:r>
          </w:p>
        </w:tc>
      </w:tr>
      <w:tr w14:paraId="4751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28350B73">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6E40C4B8">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78E18987">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6779336D">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58A164A4">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2D6F8194">
            <w:pPr>
              <w:shd w:val="clear"/>
              <w:wordWrap w:val="0"/>
              <w:autoSpaceDE w:val="0"/>
              <w:autoSpaceDN w:val="0"/>
              <w:spacing w:line="360" w:lineRule="auto"/>
              <w:jc w:val="center"/>
              <w:rPr>
                <w:rFonts w:hint="eastAsia" w:ascii="宋体" w:hAnsi="宋体" w:eastAsia="宋体" w:cs="宋体"/>
                <w:color w:val="auto"/>
                <w:sz w:val="24"/>
                <w:highlight w:val="none"/>
              </w:rPr>
            </w:pPr>
          </w:p>
        </w:tc>
      </w:tr>
      <w:tr w14:paraId="38AA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6871515C">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55BCA594">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0941DC3F">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0D660041">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3398DE3A">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2AACEF55">
            <w:pPr>
              <w:shd w:val="clear"/>
              <w:wordWrap w:val="0"/>
              <w:autoSpaceDE w:val="0"/>
              <w:autoSpaceDN w:val="0"/>
              <w:spacing w:line="360" w:lineRule="auto"/>
              <w:jc w:val="center"/>
              <w:rPr>
                <w:rFonts w:hint="eastAsia" w:ascii="宋体" w:hAnsi="宋体" w:eastAsia="宋体" w:cs="宋体"/>
                <w:color w:val="auto"/>
                <w:sz w:val="24"/>
                <w:highlight w:val="none"/>
              </w:rPr>
            </w:pPr>
          </w:p>
        </w:tc>
      </w:tr>
      <w:tr w14:paraId="24AB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noWrap w:val="0"/>
            <w:vAlign w:val="top"/>
          </w:tcPr>
          <w:p w14:paraId="149261A1">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2340" w:type="dxa"/>
            <w:tcBorders>
              <w:top w:val="single" w:color="auto" w:sz="4" w:space="0"/>
              <w:left w:val="single" w:color="auto" w:sz="4" w:space="0"/>
              <w:bottom w:val="single" w:color="auto" w:sz="4" w:space="0"/>
              <w:right w:val="single" w:color="auto" w:sz="4" w:space="0"/>
            </w:tcBorders>
            <w:noWrap w:val="0"/>
            <w:vAlign w:val="top"/>
          </w:tcPr>
          <w:p w14:paraId="1A8C77C3">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top"/>
          </w:tcPr>
          <w:p w14:paraId="364DDE18">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45" w:type="dxa"/>
            <w:tcBorders>
              <w:top w:val="single" w:color="auto" w:sz="4" w:space="0"/>
              <w:left w:val="single" w:color="auto" w:sz="4" w:space="0"/>
              <w:bottom w:val="single" w:color="auto" w:sz="4" w:space="0"/>
              <w:right w:val="single" w:color="auto" w:sz="4" w:space="0"/>
            </w:tcBorders>
            <w:noWrap w:val="0"/>
            <w:vAlign w:val="top"/>
          </w:tcPr>
          <w:p w14:paraId="7B7DC5AD">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980" w:type="dxa"/>
            <w:tcBorders>
              <w:top w:val="single" w:color="auto" w:sz="4" w:space="0"/>
              <w:left w:val="single" w:color="auto" w:sz="4" w:space="0"/>
              <w:bottom w:val="single" w:color="auto" w:sz="4" w:space="0"/>
              <w:right w:val="single" w:color="auto" w:sz="4" w:space="0"/>
            </w:tcBorders>
            <w:noWrap w:val="0"/>
            <w:vAlign w:val="top"/>
          </w:tcPr>
          <w:p w14:paraId="0A7D623F">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top"/>
          </w:tcPr>
          <w:p w14:paraId="5FAC516A">
            <w:pPr>
              <w:shd w:val="clear"/>
              <w:wordWrap w:val="0"/>
              <w:autoSpaceDE w:val="0"/>
              <w:autoSpaceDN w:val="0"/>
              <w:spacing w:line="360" w:lineRule="auto"/>
              <w:jc w:val="center"/>
              <w:rPr>
                <w:rFonts w:hint="eastAsia" w:ascii="宋体" w:hAnsi="宋体" w:eastAsia="宋体" w:cs="宋体"/>
                <w:color w:val="auto"/>
                <w:sz w:val="24"/>
                <w:highlight w:val="none"/>
              </w:rPr>
            </w:pPr>
          </w:p>
        </w:tc>
      </w:tr>
    </w:tbl>
    <w:p w14:paraId="3A42638D">
      <w:pPr>
        <w:shd w:val="clea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注：关于项目涉及的所有售后服务机构均在本表注明，包括投标人本单位和符合条件的第三方服务机构；</w:t>
      </w:r>
    </w:p>
    <w:p w14:paraId="7BFC631D">
      <w:pPr>
        <w:shd w:val="clear"/>
        <w:wordWrap w:val="0"/>
        <w:autoSpaceDE w:val="0"/>
        <w:autoSpaceDN w:val="0"/>
        <w:spacing w:line="360" w:lineRule="auto"/>
        <w:rPr>
          <w:rFonts w:hint="eastAsia" w:ascii="宋体" w:hAnsi="宋体" w:eastAsia="宋体" w:cs="宋体"/>
          <w:color w:val="auto"/>
          <w:kern w:val="0"/>
          <w:sz w:val="24"/>
          <w:highlight w:val="none"/>
        </w:rPr>
      </w:pPr>
    </w:p>
    <w:p w14:paraId="45981A2A">
      <w:pPr>
        <w:shd w:val="clea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b/>
          <w:color w:val="auto"/>
          <w:kern w:val="0"/>
          <w:sz w:val="24"/>
          <w:highlight w:val="none"/>
        </w:rPr>
        <w:t>附表B：售后服务人员情况表</w:t>
      </w:r>
      <w:r>
        <w:rPr>
          <w:rFonts w:hint="eastAsia" w:ascii="宋体" w:hAnsi="宋体" w:eastAsia="宋体" w:cs="宋体"/>
          <w:color w:val="auto"/>
          <w:sz w:val="24"/>
          <w:highlight w:val="none"/>
        </w:rPr>
        <w:t>（按此格式自制）</w:t>
      </w:r>
    </w:p>
    <w:tbl>
      <w:tblPr>
        <w:tblStyle w:val="22"/>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030480E4">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62EC4A09">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p w14:paraId="0A5AABDA">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3A092043">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1C74F2BF">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7164F4D">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120AFCC">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FA00CE3">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B57D219">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D005663">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2FD10B67">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514E6574">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875EDBB">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到达现场时间</w:t>
            </w:r>
          </w:p>
        </w:tc>
      </w:tr>
      <w:tr w14:paraId="628661C2">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E1D87E6">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3A0EEB24">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1CEE833">
            <w:pPr>
              <w:shd w:val="clea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89F3027">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B33CFE8">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34B5359">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F167520">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018BBEB">
            <w:pPr>
              <w:shd w:val="clea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33A476C">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855BC05">
            <w:pPr>
              <w:shd w:val="clea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228E631">
            <w:pPr>
              <w:shd w:val="clear"/>
              <w:wordWrap w:val="0"/>
              <w:autoSpaceDE w:val="0"/>
              <w:autoSpaceDN w:val="0"/>
              <w:spacing w:line="360" w:lineRule="auto"/>
              <w:rPr>
                <w:rFonts w:hint="eastAsia" w:ascii="宋体" w:hAnsi="宋体" w:eastAsia="宋体" w:cs="宋体"/>
                <w:color w:val="auto"/>
                <w:sz w:val="24"/>
                <w:highlight w:val="none"/>
              </w:rPr>
            </w:pPr>
          </w:p>
        </w:tc>
      </w:tr>
      <w:tr w14:paraId="1D73F23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4E776E5E">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77E38B4">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8C3E6B2">
            <w:pPr>
              <w:shd w:val="clea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79E2BE9">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6B3F9B2">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2F3B785">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EF1AF96">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95005A1">
            <w:pPr>
              <w:shd w:val="clea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4878B1B">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EC94BF0">
            <w:pPr>
              <w:shd w:val="clea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16B4890">
            <w:pPr>
              <w:shd w:val="clear"/>
              <w:wordWrap w:val="0"/>
              <w:autoSpaceDE w:val="0"/>
              <w:autoSpaceDN w:val="0"/>
              <w:spacing w:line="360" w:lineRule="auto"/>
              <w:rPr>
                <w:rFonts w:hint="eastAsia" w:ascii="宋体" w:hAnsi="宋体" w:eastAsia="宋体" w:cs="宋体"/>
                <w:color w:val="auto"/>
                <w:sz w:val="24"/>
                <w:highlight w:val="none"/>
              </w:rPr>
            </w:pPr>
          </w:p>
        </w:tc>
      </w:tr>
      <w:tr w14:paraId="29925519">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5C69C0C">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2AAD246B">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63300A8">
            <w:pPr>
              <w:shd w:val="clea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D9101EE">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CE651CE">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751D1CE">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D6F7253">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66781FE">
            <w:pPr>
              <w:shd w:val="clea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D648237">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28448F1">
            <w:pPr>
              <w:shd w:val="clea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96DD8F1">
            <w:pPr>
              <w:shd w:val="clear"/>
              <w:wordWrap w:val="0"/>
              <w:autoSpaceDE w:val="0"/>
              <w:autoSpaceDN w:val="0"/>
              <w:spacing w:line="360" w:lineRule="auto"/>
              <w:rPr>
                <w:rFonts w:hint="eastAsia" w:ascii="宋体" w:hAnsi="宋体" w:eastAsia="宋体" w:cs="宋体"/>
                <w:color w:val="auto"/>
                <w:sz w:val="24"/>
                <w:highlight w:val="none"/>
              </w:rPr>
            </w:pPr>
          </w:p>
        </w:tc>
      </w:tr>
      <w:tr w14:paraId="2F05D3F5">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6FCCA2F6">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42D926AF">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CED88EE">
            <w:pPr>
              <w:shd w:val="clea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5FE16C5">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85BBADE">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4D20647">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0CEAEAA">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8D74B94">
            <w:pPr>
              <w:shd w:val="clea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4F34258">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A516DE8">
            <w:pPr>
              <w:shd w:val="clear"/>
              <w:wordWrap w:val="0"/>
              <w:autoSpaceDE w:val="0"/>
              <w:autoSpaceDN w:val="0"/>
              <w:spacing w:line="360" w:lineRule="auto"/>
              <w:rPr>
                <w:rFonts w:hint="eastAsia" w:ascii="宋体" w:hAnsi="宋体" w:eastAsia="宋体" w:cs="宋体"/>
                <w:color w:val="auto"/>
                <w:sz w:val="24"/>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250C3311">
            <w:pPr>
              <w:shd w:val="clear"/>
              <w:wordWrap w:val="0"/>
              <w:autoSpaceDE w:val="0"/>
              <w:autoSpaceDN w:val="0"/>
              <w:spacing w:line="360" w:lineRule="auto"/>
              <w:rPr>
                <w:rFonts w:hint="eastAsia" w:ascii="宋体" w:hAnsi="宋体" w:eastAsia="宋体" w:cs="宋体"/>
                <w:color w:val="auto"/>
                <w:sz w:val="24"/>
                <w:highlight w:val="none"/>
              </w:rPr>
            </w:pPr>
          </w:p>
        </w:tc>
      </w:tr>
    </w:tbl>
    <w:p w14:paraId="442E6249">
      <w:pPr>
        <w:shd w:val="clear"/>
        <w:wordWrap w:val="0"/>
        <w:snapToGrid w:val="0"/>
        <w:spacing w:line="360" w:lineRule="auto"/>
        <w:ind w:left="142"/>
        <w:jc w:val="center"/>
        <w:rPr>
          <w:rFonts w:hint="eastAsia" w:ascii="宋体" w:hAnsi="宋体" w:eastAsia="宋体" w:cs="宋体"/>
          <w:b/>
          <w:color w:val="auto"/>
          <w:sz w:val="32"/>
          <w:szCs w:val="32"/>
          <w:highlight w:val="none"/>
        </w:rPr>
      </w:pPr>
    </w:p>
    <w:p w14:paraId="657A8373">
      <w:pPr>
        <w:shd w:val="clear"/>
        <w:wordWrap w:val="0"/>
        <w:snapToGrid w:val="0"/>
        <w:spacing w:line="360" w:lineRule="auto"/>
        <w:ind w:right="480" w:firstLine="3967" w:firstLineChars="1653"/>
        <w:rPr>
          <w:rFonts w:hint="eastAsia" w:ascii="宋体" w:hAnsi="宋体" w:eastAsia="宋体" w:cs="宋体"/>
          <w:color w:val="auto"/>
          <w:sz w:val="24"/>
          <w:highlight w:val="none"/>
        </w:rPr>
      </w:pPr>
    </w:p>
    <w:p w14:paraId="4B37E4C4">
      <w:pPr>
        <w:shd w:val="clear"/>
        <w:wordWrap w:val="0"/>
        <w:snapToGrid w:val="0"/>
        <w:spacing w:line="360" w:lineRule="auto"/>
        <w:ind w:firstLine="5160" w:firstLineChars="21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478B84A2">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16DA7CA">
      <w:pPr>
        <w:widowControl/>
        <w:shd w:val="clear"/>
        <w:wordWrap w:val="0"/>
        <w:spacing w:line="360" w:lineRule="auto"/>
        <w:jc w:val="left"/>
        <w:rPr>
          <w:rFonts w:hint="eastAsia" w:ascii="宋体" w:hAnsi="宋体" w:eastAsia="宋体" w:cs="宋体"/>
          <w:color w:val="auto"/>
          <w:sz w:val="24"/>
          <w:highlight w:val="none"/>
        </w:rPr>
        <w:sectPr>
          <w:pgSz w:w="11906" w:h="16838"/>
          <w:pgMar w:top="1440" w:right="1080" w:bottom="1440" w:left="1080" w:header="720" w:footer="720" w:gutter="0"/>
          <w:pgNumType w:fmt="decimal"/>
          <w:cols w:space="720" w:num="1"/>
          <w:docGrid w:type="lines" w:linePitch="331" w:charSpace="0"/>
        </w:sectPr>
      </w:pPr>
    </w:p>
    <w:p w14:paraId="51B32E88">
      <w:pPr>
        <w:shd w:val="clear"/>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四、项目实施人员一览表</w:t>
      </w:r>
    </w:p>
    <w:p w14:paraId="167EF828">
      <w:pPr>
        <w:shd w:val="clear"/>
        <w:wordWrap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（由投标人根据采购需求及招标文件要求编制）</w:t>
      </w:r>
    </w:p>
    <w:p w14:paraId="64B49537">
      <w:pPr>
        <w:pStyle w:val="13"/>
        <w:shd w:val="clear"/>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所投分标：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分标</w:t>
      </w:r>
    </w:p>
    <w:p w14:paraId="7A664D0D">
      <w:pPr>
        <w:keepNext/>
        <w:shd w:val="clear"/>
        <w:wordWrap w:val="0"/>
        <w:autoSpaceDE w:val="0"/>
        <w:autoSpaceDN w:val="0"/>
        <w:spacing w:line="36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22"/>
        <w:tblW w:w="8755" w:type="dxa"/>
        <w:tblInd w:w="116" w:type="dxa"/>
        <w:tblLayout w:type="fixed"/>
        <w:tblCellMar>
          <w:top w:w="0" w:type="dxa"/>
          <w:left w:w="108" w:type="dxa"/>
          <w:bottom w:w="0" w:type="dxa"/>
          <w:right w:w="108" w:type="dxa"/>
        </w:tblCellMar>
      </w:tblPr>
      <w:tblGrid>
        <w:gridCol w:w="2061"/>
        <w:gridCol w:w="1287"/>
        <w:gridCol w:w="1260"/>
        <w:gridCol w:w="4147"/>
      </w:tblGrid>
      <w:tr w14:paraId="1CC3053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D56618B">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619BB94">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C9C9B49">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5DD6F1DC">
            <w:pPr>
              <w:shd w:val="clear"/>
              <w:wordWrap w:val="0"/>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投标截止时间前三年业绩及承担的主要工作情况，曾担任项目经理的项目应列明细</w:t>
            </w:r>
          </w:p>
        </w:tc>
      </w:tr>
      <w:tr w14:paraId="1944BC7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DEC7D20">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D303269">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C407396">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2AB0690">
            <w:pPr>
              <w:shd w:val="clear"/>
              <w:wordWrap w:val="0"/>
              <w:autoSpaceDE w:val="0"/>
              <w:autoSpaceDN w:val="0"/>
              <w:spacing w:line="360" w:lineRule="auto"/>
              <w:jc w:val="center"/>
              <w:rPr>
                <w:rFonts w:hint="eastAsia" w:ascii="宋体" w:hAnsi="宋体" w:eastAsia="宋体" w:cs="宋体"/>
                <w:color w:val="auto"/>
                <w:sz w:val="24"/>
                <w:highlight w:val="none"/>
              </w:rPr>
            </w:pPr>
          </w:p>
        </w:tc>
      </w:tr>
      <w:tr w14:paraId="35AFA4F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1E2F075">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CE87954">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DB3193B">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8769A6A">
            <w:pPr>
              <w:widowControl/>
              <w:shd w:val="clear"/>
              <w:wordWrap w:val="0"/>
              <w:spacing w:line="360" w:lineRule="auto"/>
              <w:jc w:val="left"/>
              <w:rPr>
                <w:rFonts w:hint="eastAsia" w:ascii="宋体" w:hAnsi="宋体" w:eastAsia="宋体" w:cs="宋体"/>
                <w:color w:val="auto"/>
                <w:sz w:val="24"/>
                <w:highlight w:val="none"/>
              </w:rPr>
            </w:pPr>
          </w:p>
        </w:tc>
      </w:tr>
      <w:tr w14:paraId="525551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CCA0AFF">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FC91973">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E91BBDC">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17058EC">
            <w:pPr>
              <w:widowControl/>
              <w:shd w:val="clear"/>
              <w:wordWrap w:val="0"/>
              <w:spacing w:line="360" w:lineRule="auto"/>
              <w:jc w:val="left"/>
              <w:rPr>
                <w:rFonts w:hint="eastAsia" w:ascii="宋体" w:hAnsi="宋体" w:eastAsia="宋体" w:cs="宋体"/>
                <w:color w:val="auto"/>
                <w:sz w:val="24"/>
                <w:highlight w:val="none"/>
              </w:rPr>
            </w:pPr>
          </w:p>
        </w:tc>
      </w:tr>
      <w:tr w14:paraId="1904F5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6F4EFA9">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676E8D5">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495CA83">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C1C51E5">
            <w:pPr>
              <w:widowControl/>
              <w:shd w:val="clear"/>
              <w:wordWrap w:val="0"/>
              <w:spacing w:line="360" w:lineRule="auto"/>
              <w:jc w:val="left"/>
              <w:rPr>
                <w:rFonts w:hint="eastAsia" w:ascii="宋体" w:hAnsi="宋体" w:eastAsia="宋体" w:cs="宋体"/>
                <w:color w:val="auto"/>
                <w:sz w:val="24"/>
                <w:highlight w:val="none"/>
              </w:rPr>
            </w:pPr>
          </w:p>
        </w:tc>
      </w:tr>
      <w:tr w14:paraId="4580B3F2">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1868F3D">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777AC6B">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D05837A">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3F31DE6">
            <w:pPr>
              <w:widowControl/>
              <w:shd w:val="clear"/>
              <w:wordWrap w:val="0"/>
              <w:spacing w:line="360" w:lineRule="auto"/>
              <w:jc w:val="left"/>
              <w:rPr>
                <w:rFonts w:hint="eastAsia" w:ascii="宋体" w:hAnsi="宋体" w:eastAsia="宋体" w:cs="宋体"/>
                <w:color w:val="auto"/>
                <w:sz w:val="24"/>
                <w:highlight w:val="none"/>
              </w:rPr>
            </w:pPr>
          </w:p>
        </w:tc>
      </w:tr>
      <w:tr w14:paraId="7E61727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3636DC0">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3EC9CC4">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F43F8DE">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519F09D">
            <w:pPr>
              <w:widowControl/>
              <w:shd w:val="clear"/>
              <w:wordWrap w:val="0"/>
              <w:spacing w:line="360" w:lineRule="auto"/>
              <w:jc w:val="left"/>
              <w:rPr>
                <w:rFonts w:hint="eastAsia" w:ascii="宋体" w:hAnsi="宋体" w:eastAsia="宋体" w:cs="宋体"/>
                <w:color w:val="auto"/>
                <w:sz w:val="24"/>
                <w:highlight w:val="none"/>
              </w:rPr>
            </w:pPr>
          </w:p>
        </w:tc>
      </w:tr>
      <w:tr w14:paraId="66EC626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CB37873">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A701F2B">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74A516E">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95EBAC1">
            <w:pPr>
              <w:widowControl/>
              <w:shd w:val="clear"/>
              <w:wordWrap w:val="0"/>
              <w:spacing w:line="360" w:lineRule="auto"/>
              <w:jc w:val="left"/>
              <w:rPr>
                <w:rFonts w:hint="eastAsia" w:ascii="宋体" w:hAnsi="宋体" w:eastAsia="宋体" w:cs="宋体"/>
                <w:color w:val="auto"/>
                <w:sz w:val="24"/>
                <w:highlight w:val="none"/>
              </w:rPr>
            </w:pPr>
          </w:p>
        </w:tc>
      </w:tr>
      <w:tr w14:paraId="6F7D48F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BB6408A">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3992A7">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44845A8">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A0BF36F">
            <w:pPr>
              <w:widowControl/>
              <w:shd w:val="clear"/>
              <w:wordWrap w:val="0"/>
              <w:spacing w:line="360" w:lineRule="auto"/>
              <w:jc w:val="left"/>
              <w:rPr>
                <w:rFonts w:hint="eastAsia" w:ascii="宋体" w:hAnsi="宋体" w:eastAsia="宋体" w:cs="宋体"/>
                <w:color w:val="auto"/>
                <w:sz w:val="24"/>
                <w:highlight w:val="none"/>
              </w:rPr>
            </w:pPr>
          </w:p>
        </w:tc>
      </w:tr>
      <w:tr w14:paraId="7B3AC10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07BE64B">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6D6F610">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76BDD87">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9185061">
            <w:pPr>
              <w:widowControl/>
              <w:shd w:val="clear"/>
              <w:wordWrap w:val="0"/>
              <w:spacing w:line="360" w:lineRule="auto"/>
              <w:jc w:val="left"/>
              <w:rPr>
                <w:rFonts w:hint="eastAsia" w:ascii="宋体" w:hAnsi="宋体" w:eastAsia="宋体" w:cs="宋体"/>
                <w:color w:val="auto"/>
                <w:sz w:val="24"/>
                <w:highlight w:val="none"/>
              </w:rPr>
            </w:pPr>
          </w:p>
        </w:tc>
      </w:tr>
    </w:tbl>
    <w:p w14:paraId="3F9CDE90">
      <w:pPr>
        <w:shd w:val="clea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3A1FF375">
      <w:pPr>
        <w:shd w:val="clea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2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43826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18AEBBBA">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0AF7DCB">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20E6082">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10A35519">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6AB2CE2">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74F09154">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926294C">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5E25C830">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B9E6DC8">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601C742A">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534E1C2">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0592D1">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97B755F">
            <w:pPr>
              <w:shd w:val="clear"/>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7C4CAB3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65D2E733">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22D0D3E">
            <w:pPr>
              <w:shd w:val="clea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117BA07">
            <w:pPr>
              <w:shd w:val="clear"/>
              <w:wordWrap w:val="0"/>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15CE791">
            <w:pPr>
              <w:shd w:val="clear"/>
              <w:wordWrap w:val="0"/>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31FA396">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CD0C27D">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4731CA7">
            <w:pPr>
              <w:shd w:val="clea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6D15D59">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DBB2719">
            <w:pPr>
              <w:shd w:val="clear"/>
              <w:wordWrap w:val="0"/>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EB0B205">
            <w:pPr>
              <w:shd w:val="clear"/>
              <w:wordWrap w:val="0"/>
              <w:autoSpaceDE w:val="0"/>
              <w:autoSpaceDN w:val="0"/>
              <w:spacing w:line="360" w:lineRule="auto"/>
              <w:rPr>
                <w:rFonts w:hint="eastAsia" w:ascii="宋体" w:hAnsi="宋体" w:eastAsia="宋体" w:cs="宋体"/>
                <w:color w:val="auto"/>
                <w:sz w:val="24"/>
                <w:highlight w:val="none"/>
              </w:rPr>
            </w:pPr>
          </w:p>
        </w:tc>
      </w:tr>
      <w:tr w14:paraId="2C17ED8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32D7FC38">
            <w:pPr>
              <w:shd w:val="clear"/>
              <w:wordWrap w:val="0"/>
              <w:autoSpaceDE w:val="0"/>
              <w:autoSpaceDN w:val="0"/>
              <w:spacing w:line="36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1EF17B">
            <w:pPr>
              <w:shd w:val="clear"/>
              <w:wordWrap w:val="0"/>
              <w:autoSpaceDE w:val="0"/>
              <w:autoSpaceDN w:val="0"/>
              <w:spacing w:line="36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5D17A49">
            <w:pPr>
              <w:shd w:val="clear"/>
              <w:wordWrap w:val="0"/>
              <w:autoSpaceDE w:val="0"/>
              <w:autoSpaceDN w:val="0"/>
              <w:spacing w:line="36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591CC7D">
            <w:pPr>
              <w:shd w:val="clear"/>
              <w:wordWrap w:val="0"/>
              <w:autoSpaceDE w:val="0"/>
              <w:autoSpaceDN w:val="0"/>
              <w:spacing w:line="36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3FA33B25">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2D3FA89">
            <w:pPr>
              <w:shd w:val="clear"/>
              <w:wordWrap w:val="0"/>
              <w:autoSpaceDE w:val="0"/>
              <w:autoSpaceDN w:val="0"/>
              <w:spacing w:line="36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586D8B3">
            <w:pPr>
              <w:shd w:val="clear"/>
              <w:wordWrap w:val="0"/>
              <w:autoSpaceDE w:val="0"/>
              <w:autoSpaceDN w:val="0"/>
              <w:spacing w:line="36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2D9FF48">
            <w:pPr>
              <w:shd w:val="clear"/>
              <w:wordWrap w:val="0"/>
              <w:autoSpaceDE w:val="0"/>
              <w:autoSpaceDN w:val="0"/>
              <w:spacing w:line="36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86F9110">
            <w:pPr>
              <w:shd w:val="clear"/>
              <w:wordWrap w:val="0"/>
              <w:autoSpaceDE w:val="0"/>
              <w:autoSpaceDN w:val="0"/>
              <w:spacing w:line="36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5BFEBA5">
            <w:pPr>
              <w:shd w:val="clear"/>
              <w:wordWrap w:val="0"/>
              <w:autoSpaceDE w:val="0"/>
              <w:autoSpaceDN w:val="0"/>
              <w:spacing w:line="360" w:lineRule="auto"/>
              <w:rPr>
                <w:rFonts w:hint="eastAsia" w:ascii="宋体" w:hAnsi="宋体" w:eastAsia="宋体" w:cs="宋体"/>
                <w:color w:val="auto"/>
                <w:sz w:val="24"/>
                <w:highlight w:val="none"/>
              </w:rPr>
            </w:pPr>
          </w:p>
        </w:tc>
      </w:tr>
    </w:tbl>
    <w:p w14:paraId="1B8D3A7C">
      <w:pPr>
        <w:shd w:val="clear"/>
        <w:wordWrap w:val="0"/>
        <w:spacing w:line="36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注：投标人可按上述的格式自行编制，须随表提交相应的证书复印件并注明所在投标技术文件页码。</w:t>
      </w:r>
    </w:p>
    <w:p w14:paraId="4A85E4C7">
      <w:pPr>
        <w:shd w:val="clear"/>
        <w:wordWrap w:val="0"/>
        <w:snapToGrid w:val="0"/>
        <w:spacing w:line="360" w:lineRule="auto"/>
        <w:ind w:firstLine="4320" w:firstLineChars="18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37C95DA4">
      <w:pPr>
        <w:shd w:val="clea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54E40603">
      <w:pPr>
        <w:shd w:val="clear"/>
        <w:wordWrap w:val="0"/>
        <w:snapToGrid w:val="0"/>
        <w:spacing w:line="360" w:lineRule="auto"/>
        <w:rPr>
          <w:rFonts w:hint="eastAsia" w:ascii="宋体" w:hAnsi="宋体" w:eastAsia="宋体" w:cs="宋体"/>
          <w:color w:val="auto"/>
          <w:sz w:val="24"/>
          <w:highlight w:val="none"/>
        </w:rPr>
      </w:pPr>
    </w:p>
    <w:p w14:paraId="1D1A8599">
      <w:pPr>
        <w:shd w:val="clear"/>
        <w:wordWrap w:val="0"/>
        <w:snapToGrid w:val="0"/>
        <w:spacing w:line="360" w:lineRule="auto"/>
        <w:jc w:val="left"/>
        <w:rPr>
          <w:rFonts w:hint="eastAsia" w:ascii="宋体" w:hAnsi="宋体" w:eastAsia="宋体" w:cs="宋体"/>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color w:val="auto"/>
          <w:sz w:val="24"/>
          <w:highlight w:val="none"/>
        </w:rPr>
        <w:t xml:space="preserve"> </w:t>
      </w:r>
    </w:p>
    <w:p w14:paraId="7C86CA86">
      <w:pPr>
        <w:shd w:val="clear"/>
        <w:wordWrap w:val="0"/>
        <w:spacing w:line="360" w:lineRule="auto"/>
        <w:jc w:val="lef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五、投标人对项目的合理化建议和改进措施</w:t>
      </w:r>
    </w:p>
    <w:p w14:paraId="220526C9">
      <w:pPr>
        <w:shd w:val="clear"/>
        <w:wordWrap w:val="0"/>
        <w:spacing w:line="360" w:lineRule="auto"/>
        <w:ind w:firstLine="4048" w:firstLineChars="1687"/>
        <w:rPr>
          <w:rFonts w:hint="eastAsia" w:ascii="宋体" w:hAnsi="宋体" w:eastAsia="宋体" w:cs="宋体"/>
          <w:color w:val="auto"/>
          <w:sz w:val="24"/>
          <w:highlight w:val="none"/>
        </w:rPr>
      </w:pPr>
      <w:r>
        <w:rPr>
          <w:rFonts w:hint="eastAsia" w:ascii="宋体" w:hAnsi="宋体" w:eastAsia="宋体" w:cs="宋体"/>
          <w:color w:val="auto"/>
          <w:sz w:val="24"/>
          <w:highlight w:val="none"/>
        </w:rPr>
        <w:t>（格式自拟）</w:t>
      </w:r>
    </w:p>
    <w:p w14:paraId="2D5A63A7">
      <w:pPr>
        <w:shd w:val="clear"/>
        <w:wordWrap w:val="0"/>
        <w:snapToGrid w:val="0"/>
        <w:spacing w:line="360" w:lineRule="auto"/>
        <w:ind w:firstLine="4935" w:firstLineChars="235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142024F3">
      <w:pPr>
        <w:shd w:val="clear"/>
        <w:wordWrap w:val="0"/>
        <w:snapToGrid w:val="0"/>
        <w:spacing w:line="360" w:lineRule="auto"/>
        <w:ind w:firstLine="4935" w:firstLineChars="2350"/>
        <w:rPr>
          <w:rFonts w:hint="eastAsia" w:ascii="宋体" w:hAnsi="宋体" w:eastAsia="宋体" w:cs="宋体"/>
          <w:color w:val="auto"/>
          <w:szCs w:val="21"/>
          <w:highlight w:val="none"/>
        </w:rPr>
      </w:pPr>
    </w:p>
    <w:p w14:paraId="3C06A184">
      <w:pPr>
        <w:shd w:val="clear"/>
        <w:wordWrap w:val="0"/>
        <w:snapToGrid w:val="0"/>
        <w:spacing w:line="360" w:lineRule="auto"/>
        <w:ind w:firstLine="4935" w:firstLineChars="2350"/>
        <w:rPr>
          <w:rFonts w:hint="eastAsia" w:ascii="宋体" w:hAnsi="宋体" w:eastAsia="宋体" w:cs="宋体"/>
          <w:color w:val="auto"/>
          <w:szCs w:val="21"/>
          <w:highlight w:val="none"/>
        </w:rPr>
      </w:pPr>
    </w:p>
    <w:p w14:paraId="0FE42514">
      <w:pPr>
        <w:shd w:val="clear"/>
        <w:wordWrap w:val="0"/>
        <w:snapToGrid w:val="0"/>
        <w:spacing w:line="360" w:lineRule="auto"/>
        <w:ind w:firstLine="4935" w:firstLineChars="2350"/>
        <w:rPr>
          <w:rFonts w:hint="eastAsia" w:ascii="宋体" w:hAnsi="宋体" w:eastAsia="宋体" w:cs="宋体"/>
          <w:color w:val="auto"/>
          <w:szCs w:val="21"/>
          <w:highlight w:val="none"/>
        </w:rPr>
      </w:pPr>
    </w:p>
    <w:p w14:paraId="3F3ACBD4">
      <w:pPr>
        <w:shd w:val="clear"/>
        <w:wordWrap w:val="0"/>
        <w:snapToGrid w:val="0"/>
        <w:spacing w:line="360" w:lineRule="auto"/>
        <w:ind w:firstLine="4935" w:firstLineChars="2350"/>
        <w:rPr>
          <w:rFonts w:hint="eastAsia" w:ascii="宋体" w:hAnsi="宋体" w:eastAsia="宋体" w:cs="宋体"/>
          <w:color w:val="auto"/>
          <w:kern w:val="0"/>
          <w:sz w:val="24"/>
          <w:highlight w:val="none"/>
        </w:rPr>
      </w:pPr>
      <w:r>
        <w:rPr>
          <w:rFonts w:hint="eastAsia" w:ascii="宋体" w:hAnsi="宋体" w:eastAsia="宋体" w:cs="宋体"/>
          <w:color w:val="auto"/>
          <w:szCs w:val="21"/>
          <w:highlight w:val="none"/>
        </w:rPr>
        <w:t xml:space="preserve">  </w:t>
      </w:r>
      <w:r>
        <w:rPr>
          <w:rFonts w:hint="eastAsia" w:ascii="宋体" w:hAnsi="宋体" w:eastAsia="宋体" w:cs="宋体"/>
          <w:color w:val="auto"/>
          <w:kern w:val="0"/>
          <w:sz w:val="24"/>
          <w:highlight w:val="none"/>
          <w:lang w:val="zh-CN"/>
        </w:rPr>
        <w:t>投标人名称(电子签章)：</w:t>
      </w:r>
    </w:p>
    <w:p w14:paraId="0298FE44">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2AA4501B">
      <w:pPr>
        <w:shd w:val="clear"/>
        <w:wordWrap w:val="0"/>
        <w:spacing w:line="360" w:lineRule="auto"/>
        <w:jc w:val="lef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六、优惠条件及特殊承诺</w:t>
      </w:r>
    </w:p>
    <w:p w14:paraId="1E9CF21E">
      <w:pPr>
        <w:shd w:val="clea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716BB8B1">
      <w:pPr>
        <w:shd w:val="clear"/>
        <w:wordWrap w:val="0"/>
        <w:spacing w:line="360" w:lineRule="auto"/>
        <w:jc w:val="center"/>
        <w:rPr>
          <w:rFonts w:hint="eastAsia" w:ascii="宋体" w:hAnsi="宋体" w:eastAsia="宋体" w:cs="宋体"/>
          <w:color w:val="auto"/>
          <w:sz w:val="18"/>
          <w:szCs w:val="18"/>
          <w:highlight w:val="none"/>
        </w:rPr>
      </w:pPr>
    </w:p>
    <w:p w14:paraId="5FAB87A9">
      <w:pPr>
        <w:shd w:val="clea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2BD52FFC">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23BEAA4">
      <w:pPr>
        <w:shd w:val="clear"/>
        <w:wordWrap w:val="0"/>
        <w:spacing w:line="360" w:lineRule="auto"/>
        <w:jc w:val="lef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七、备品备件及供选择的配套零部件清单</w:t>
      </w:r>
    </w:p>
    <w:p w14:paraId="13A93087">
      <w:pPr>
        <w:shd w:val="clea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7E26CBB0">
      <w:pPr>
        <w:shd w:val="clear"/>
        <w:wordWrap w:val="0"/>
        <w:autoSpaceDE w:val="0"/>
        <w:autoSpaceDN w:val="0"/>
        <w:spacing w:line="360" w:lineRule="auto"/>
        <w:ind w:firstLine="4440" w:firstLineChars="1850"/>
        <w:rPr>
          <w:rFonts w:hint="eastAsia" w:ascii="宋体" w:hAnsi="宋体" w:eastAsia="宋体" w:cs="宋体"/>
          <w:color w:val="auto"/>
          <w:kern w:val="0"/>
          <w:sz w:val="24"/>
          <w:highlight w:val="none"/>
        </w:rPr>
      </w:pPr>
    </w:p>
    <w:p w14:paraId="1C8B39C3">
      <w:pPr>
        <w:shd w:val="clear"/>
        <w:wordWrap w:val="0"/>
        <w:autoSpaceDE w:val="0"/>
        <w:autoSpaceDN w:val="0"/>
        <w:spacing w:line="360" w:lineRule="auto"/>
        <w:ind w:firstLine="4440" w:firstLineChars="185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投标人名称（</w:t>
      </w:r>
      <w:r>
        <w:rPr>
          <w:rFonts w:hint="eastAsia" w:ascii="宋体" w:hAnsi="宋体" w:eastAsia="宋体" w:cs="宋体"/>
          <w:color w:val="auto"/>
          <w:kern w:val="0"/>
          <w:sz w:val="24"/>
          <w:highlight w:val="none"/>
          <w:lang w:val="zh-CN"/>
        </w:rPr>
        <w:t>电子签章</w:t>
      </w:r>
      <w:r>
        <w:rPr>
          <w:rFonts w:hint="eastAsia" w:ascii="宋体" w:hAnsi="宋体" w:eastAsia="宋体" w:cs="宋体"/>
          <w:color w:val="auto"/>
          <w:kern w:val="0"/>
          <w:sz w:val="24"/>
          <w:highlight w:val="none"/>
        </w:rPr>
        <w:t>）：</w:t>
      </w:r>
    </w:p>
    <w:p w14:paraId="32F4CA26">
      <w:pPr>
        <w:shd w:val="clear"/>
        <w:wordWrap w:val="0"/>
        <w:autoSpaceDE w:val="0"/>
        <w:autoSpaceDN w:val="0"/>
        <w:spacing w:line="360" w:lineRule="auto"/>
        <w:rPr>
          <w:rFonts w:hint="eastAsia" w:ascii="宋体" w:hAnsi="宋体" w:eastAsia="宋体" w:cs="宋体"/>
          <w:b/>
          <w:bCs/>
          <w:color w:val="auto"/>
          <w:sz w:val="18"/>
          <w:szCs w:val="18"/>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3F629809">
      <w:pPr>
        <w:shd w:val="clear"/>
        <w:wordWrap w:val="0"/>
        <w:spacing w:line="360" w:lineRule="auto"/>
        <w:jc w:val="lef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八、培训计划</w:t>
      </w:r>
    </w:p>
    <w:p w14:paraId="1286F28F">
      <w:pPr>
        <w:shd w:val="clea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0E36C304">
      <w:pPr>
        <w:keepNext/>
        <w:shd w:val="clear"/>
        <w:wordWrap w:val="0"/>
        <w:autoSpaceDE w:val="0"/>
        <w:autoSpaceDN w:val="0"/>
        <w:spacing w:line="360" w:lineRule="auto"/>
        <w:ind w:firstLine="477"/>
        <w:jc w:val="left"/>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 培训日程及费用</w:t>
      </w:r>
    </w:p>
    <w:tbl>
      <w:tblPr>
        <w:tblStyle w:val="2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03D043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2C49CE5D">
            <w:pPr>
              <w:shd w:val="clear"/>
              <w:tabs>
                <w:tab w:val="center" w:pos="1690"/>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584D7912">
            <w:pPr>
              <w:shd w:val="clea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0B217CC5">
            <w:pPr>
              <w:shd w:val="clea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2F224CCC">
            <w:pPr>
              <w:shd w:val="clear"/>
              <w:tabs>
                <w:tab w:val="center" w:pos="1028"/>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7722D1A">
            <w:pPr>
              <w:shd w:val="clear"/>
              <w:tabs>
                <w:tab w:val="center" w:pos="595"/>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4EC87FA8">
            <w:pPr>
              <w:shd w:val="clear"/>
              <w:tabs>
                <w:tab w:val="center" w:pos="520"/>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6E88B6BF">
            <w:pPr>
              <w:shd w:val="clear"/>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课程费用</w:t>
            </w:r>
          </w:p>
        </w:tc>
      </w:tr>
      <w:tr w14:paraId="7B75B9B7">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F6A17EE">
            <w:pPr>
              <w:shd w:val="clea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1E9CBFEC">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noWrap w:val="0"/>
            <w:vAlign w:val="top"/>
          </w:tcPr>
          <w:p w14:paraId="76D52047">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noWrap w:val="0"/>
            <w:vAlign w:val="top"/>
          </w:tcPr>
          <w:p w14:paraId="3504AD88">
            <w:pPr>
              <w:shd w:val="clea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noWrap w:val="0"/>
            <w:vAlign w:val="top"/>
          </w:tcPr>
          <w:p w14:paraId="58F61996">
            <w:pPr>
              <w:shd w:val="clea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noWrap w:val="0"/>
            <w:vAlign w:val="top"/>
          </w:tcPr>
          <w:p w14:paraId="63447073">
            <w:pPr>
              <w:shd w:val="clea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19915CA4">
            <w:pPr>
              <w:shd w:val="clear"/>
              <w:suppressAutoHyphens/>
              <w:wordWrap w:val="0"/>
              <w:autoSpaceDE w:val="0"/>
              <w:autoSpaceDN w:val="0"/>
              <w:spacing w:line="360" w:lineRule="auto"/>
              <w:rPr>
                <w:rFonts w:hint="eastAsia" w:ascii="宋体" w:hAnsi="宋体" w:eastAsia="宋体" w:cs="宋体"/>
                <w:color w:val="auto"/>
                <w:sz w:val="24"/>
                <w:highlight w:val="none"/>
              </w:rPr>
            </w:pPr>
          </w:p>
        </w:tc>
      </w:tr>
      <w:tr w14:paraId="796B7AEE">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noWrap w:val="0"/>
            <w:vAlign w:val="top"/>
          </w:tcPr>
          <w:p w14:paraId="26140825">
            <w:pPr>
              <w:shd w:val="clea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eastAsia="宋体" w:cs="宋体"/>
                <w:color w:val="auto"/>
                <w:sz w:val="24"/>
                <w:highlight w:val="none"/>
              </w:rPr>
            </w:pPr>
          </w:p>
        </w:tc>
        <w:tc>
          <w:tcPr>
            <w:tcW w:w="1254" w:type="dxa"/>
            <w:tcBorders>
              <w:top w:val="single" w:color="auto" w:sz="6" w:space="0"/>
              <w:left w:val="single" w:color="auto" w:sz="6" w:space="0"/>
              <w:bottom w:val="nil"/>
              <w:right w:val="single" w:color="auto" w:sz="6" w:space="0"/>
            </w:tcBorders>
            <w:noWrap w:val="0"/>
            <w:vAlign w:val="top"/>
          </w:tcPr>
          <w:p w14:paraId="5DFDA4BF">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nil"/>
              <w:right w:val="nil"/>
            </w:tcBorders>
            <w:noWrap w:val="0"/>
            <w:vAlign w:val="top"/>
          </w:tcPr>
          <w:p w14:paraId="34770801">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nil"/>
              <w:right w:val="nil"/>
            </w:tcBorders>
            <w:noWrap w:val="0"/>
            <w:vAlign w:val="top"/>
          </w:tcPr>
          <w:p w14:paraId="6B41D2B0">
            <w:pPr>
              <w:shd w:val="clea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nil"/>
              <w:right w:val="nil"/>
            </w:tcBorders>
            <w:noWrap w:val="0"/>
            <w:vAlign w:val="top"/>
          </w:tcPr>
          <w:p w14:paraId="00DB1559">
            <w:pPr>
              <w:shd w:val="clea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nil"/>
              <w:right w:val="nil"/>
            </w:tcBorders>
            <w:noWrap w:val="0"/>
            <w:vAlign w:val="top"/>
          </w:tcPr>
          <w:p w14:paraId="4F9F3DC3">
            <w:pPr>
              <w:shd w:val="clear"/>
              <w:tabs>
                <w:tab w:val="left" w:pos="7"/>
              </w:tabs>
              <w:suppressAutoHyphens/>
              <w:wordWrap w:val="0"/>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nil"/>
              <w:right w:val="single" w:color="auto" w:sz="6" w:space="0"/>
            </w:tcBorders>
            <w:noWrap w:val="0"/>
            <w:vAlign w:val="top"/>
          </w:tcPr>
          <w:p w14:paraId="44195102">
            <w:pPr>
              <w:shd w:val="clear"/>
              <w:suppressAutoHyphens/>
              <w:wordWrap w:val="0"/>
              <w:autoSpaceDE w:val="0"/>
              <w:autoSpaceDN w:val="0"/>
              <w:spacing w:line="360" w:lineRule="auto"/>
              <w:rPr>
                <w:rFonts w:hint="eastAsia" w:ascii="宋体" w:hAnsi="宋体" w:eastAsia="宋体" w:cs="宋体"/>
                <w:color w:val="auto"/>
                <w:sz w:val="24"/>
                <w:highlight w:val="none"/>
              </w:rPr>
            </w:pPr>
          </w:p>
        </w:tc>
      </w:tr>
      <w:tr w14:paraId="223A8B7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8528D1F">
            <w:pPr>
              <w:shd w:val="clea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57B2E8C9">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4B333120">
            <w:pPr>
              <w:shd w:val="clea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eastAsia="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51072DA0">
            <w:pPr>
              <w:shd w:val="clea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eastAsia="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40ACEE9">
            <w:pPr>
              <w:shd w:val="clear"/>
              <w:tabs>
                <w:tab w:val="left" w:pos="440"/>
                <w:tab w:val="left" w:pos="1154"/>
                <w:tab w:val="left" w:pos="1936"/>
                <w:tab w:val="left" w:pos="2368"/>
              </w:tabs>
              <w:suppressAutoHyphens/>
              <w:wordWrap w:val="0"/>
              <w:autoSpaceDE w:val="0"/>
              <w:autoSpaceDN w:val="0"/>
              <w:spacing w:line="360" w:lineRule="auto"/>
              <w:rPr>
                <w:rFonts w:hint="eastAsia" w:ascii="宋体" w:hAnsi="宋体" w:eastAsia="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726B64BA">
            <w:pPr>
              <w:shd w:val="clear"/>
              <w:tabs>
                <w:tab w:val="left" w:pos="7"/>
              </w:tabs>
              <w:suppressAutoHyphens/>
              <w:wordWrap w:val="0"/>
              <w:autoSpaceDE w:val="0"/>
              <w:autoSpaceDN w:val="0"/>
              <w:spacing w:line="360" w:lineRule="auto"/>
              <w:rPr>
                <w:rFonts w:hint="eastAsia" w:ascii="宋体" w:hAnsi="宋体" w:eastAsia="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7183697A">
            <w:pPr>
              <w:shd w:val="clear"/>
              <w:suppressAutoHyphens/>
              <w:wordWrap w:val="0"/>
              <w:autoSpaceDE w:val="0"/>
              <w:autoSpaceDN w:val="0"/>
              <w:spacing w:line="360" w:lineRule="auto"/>
              <w:rPr>
                <w:rFonts w:hint="eastAsia" w:ascii="宋体" w:hAnsi="宋体" w:eastAsia="宋体" w:cs="宋体"/>
                <w:color w:val="auto"/>
                <w:sz w:val="24"/>
                <w:highlight w:val="none"/>
              </w:rPr>
            </w:pPr>
          </w:p>
        </w:tc>
      </w:tr>
    </w:tbl>
    <w:p w14:paraId="65168AF6">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注解:A</w:t>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课程清单按时间顺序排列，并提供以下详细资料：</w:t>
      </w:r>
    </w:p>
    <w:p w14:paraId="2B0E299A">
      <w:pPr>
        <w:numPr>
          <w:ilvl w:val="0"/>
          <w:numId w:val="0"/>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leftChars="0" w:hanging="420" w:firstLineChars="0"/>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sz w:val="24"/>
          <w:highlight w:val="none"/>
        </w:rPr>
        <w:t>课程概要</w:t>
      </w:r>
    </w:p>
    <w:p w14:paraId="0904A1CF">
      <w:pPr>
        <w:numPr>
          <w:ilvl w:val="0"/>
          <w:numId w:val="0"/>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leftChars="0" w:hanging="420" w:firstLineChars="0"/>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（2）</w:t>
      </w:r>
      <w:r>
        <w:rPr>
          <w:rFonts w:hint="eastAsia" w:ascii="宋体" w:hAnsi="宋体" w:eastAsia="宋体" w:cs="宋体"/>
          <w:color w:val="auto"/>
          <w:sz w:val="24"/>
          <w:highlight w:val="none"/>
        </w:rPr>
        <w:t>课程目的</w:t>
      </w:r>
    </w:p>
    <w:p w14:paraId="4D1CE409">
      <w:pPr>
        <w:numPr>
          <w:ilvl w:val="0"/>
          <w:numId w:val="0"/>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leftChars="0" w:hanging="420" w:firstLineChars="0"/>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color w:val="auto"/>
          <w:sz w:val="24"/>
          <w:highlight w:val="none"/>
        </w:rPr>
        <w:t>教学方式</w:t>
      </w:r>
    </w:p>
    <w:p w14:paraId="1A133C10">
      <w:pPr>
        <w:numPr>
          <w:ilvl w:val="0"/>
          <w:numId w:val="0"/>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leftChars="0" w:hanging="420" w:firstLineChars="0"/>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highlight w:val="none"/>
        </w:rPr>
        <w:t>先决条件</w:t>
      </w:r>
    </w:p>
    <w:p w14:paraId="35F266F5">
      <w:pPr>
        <w:numPr>
          <w:ilvl w:val="0"/>
          <w:numId w:val="0"/>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adjustRightInd w:val="0"/>
        <w:spacing w:line="360" w:lineRule="auto"/>
        <w:ind w:left="1069" w:leftChars="0" w:hanging="420" w:firstLineChars="0"/>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sz w:val="24"/>
          <w:highlight w:val="none"/>
        </w:rPr>
        <w:t>教材目录</w:t>
      </w:r>
    </w:p>
    <w:p w14:paraId="2151202C">
      <w:pPr>
        <w:shd w:val="clear"/>
        <w:wordWrap w:val="0"/>
        <w:autoSpaceDE w:val="0"/>
        <w:autoSpaceDN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B  按照附表A提供授课教师的简历</w:t>
      </w:r>
    </w:p>
    <w:p w14:paraId="0025BA46">
      <w:pPr>
        <w:shd w:val="clear"/>
        <w:wordWrap w:val="0"/>
        <w:autoSpaceDE w:val="0"/>
        <w:autoSpaceDN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注：须随表提交相应的证书复印件并注明所在投标技术文件页码。</w:t>
      </w:r>
    </w:p>
    <w:p w14:paraId="1CFA3E8A">
      <w:pPr>
        <w:shd w:val="clear"/>
        <w:wordWrap w:val="0"/>
        <w:autoSpaceDE w:val="0"/>
        <w:autoSpaceDN w:val="0"/>
        <w:spacing w:line="360" w:lineRule="auto"/>
        <w:ind w:firstLine="4800" w:firstLineChars="20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投标人名称（</w:t>
      </w:r>
      <w:r>
        <w:rPr>
          <w:rFonts w:hint="eastAsia" w:ascii="宋体" w:hAnsi="宋体" w:eastAsia="宋体" w:cs="宋体"/>
          <w:color w:val="auto"/>
          <w:kern w:val="0"/>
          <w:sz w:val="24"/>
          <w:highlight w:val="none"/>
          <w:lang w:val="zh-CN"/>
        </w:rPr>
        <w:t>电子签章</w:t>
      </w:r>
      <w:r>
        <w:rPr>
          <w:rFonts w:hint="eastAsia" w:ascii="宋体" w:hAnsi="宋体" w:eastAsia="宋体" w:cs="宋体"/>
          <w:color w:val="auto"/>
          <w:kern w:val="0"/>
          <w:sz w:val="24"/>
          <w:highlight w:val="none"/>
        </w:rPr>
        <w:t xml:space="preserve">）：                       </w:t>
      </w:r>
    </w:p>
    <w:p w14:paraId="0FA91813">
      <w:pPr>
        <w:shd w:val="clear"/>
        <w:wordWrap w:val="0"/>
        <w:autoSpaceDE w:val="0"/>
        <w:autoSpaceDN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6B87E571">
      <w:pPr>
        <w:shd w:val="clear"/>
        <w:wordWrap w:val="0"/>
        <w:autoSpaceDE w:val="0"/>
        <w:autoSpaceDN w:val="0"/>
        <w:spacing w:line="360" w:lineRule="auto"/>
        <w:ind w:firstLine="120"/>
        <w:rPr>
          <w:rFonts w:hint="eastAsia" w:ascii="宋体" w:hAnsi="宋体" w:eastAsia="宋体" w:cs="宋体"/>
          <w:color w:val="auto"/>
          <w:sz w:val="24"/>
          <w:highlight w:val="none"/>
        </w:rPr>
      </w:pPr>
    </w:p>
    <w:p w14:paraId="128310DD">
      <w:pPr>
        <w:shd w:val="clear"/>
        <w:wordWrap w:val="0"/>
        <w:spacing w:line="360" w:lineRule="auto"/>
        <w:jc w:val="lef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九、认为需要的其他技术文件或说明</w:t>
      </w:r>
    </w:p>
    <w:p w14:paraId="6643690A">
      <w:pPr>
        <w:shd w:val="clear"/>
        <w:wordWrap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（由投标人根据采购需求自行编制）</w:t>
      </w:r>
    </w:p>
    <w:p w14:paraId="767DE670">
      <w:pPr>
        <w:shd w:val="clear"/>
        <w:wordWrap w:val="0"/>
        <w:spacing w:line="360" w:lineRule="auto"/>
        <w:jc w:val="center"/>
        <w:rPr>
          <w:rFonts w:hint="eastAsia" w:ascii="宋体" w:hAnsi="宋体" w:eastAsia="宋体" w:cs="宋体"/>
          <w:color w:val="auto"/>
          <w:sz w:val="24"/>
          <w:highlight w:val="none"/>
        </w:rPr>
      </w:pPr>
    </w:p>
    <w:p w14:paraId="6BFC59F8">
      <w:pPr>
        <w:shd w:val="clear"/>
        <w:wordWrap w:val="0"/>
        <w:autoSpaceDE w:val="0"/>
        <w:autoSpaceDN w:val="0"/>
        <w:spacing w:line="360" w:lineRule="auto"/>
        <w:ind w:firstLine="4800" w:firstLineChars="20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投标人名称（电子</w:t>
      </w:r>
      <w:r>
        <w:rPr>
          <w:rFonts w:hint="eastAsia" w:ascii="宋体" w:hAnsi="宋体" w:eastAsia="宋体" w:cs="宋体"/>
          <w:color w:val="auto"/>
          <w:kern w:val="0"/>
          <w:sz w:val="24"/>
          <w:highlight w:val="none"/>
          <w:lang w:val="zh-CN"/>
        </w:rPr>
        <w:t>签章</w:t>
      </w:r>
      <w:r>
        <w:rPr>
          <w:rFonts w:hint="eastAsia" w:ascii="宋体" w:hAnsi="宋体" w:eastAsia="宋体" w:cs="宋体"/>
          <w:color w:val="auto"/>
          <w:kern w:val="0"/>
          <w:sz w:val="24"/>
          <w:highlight w:val="none"/>
        </w:rPr>
        <w:t xml:space="preserve">）：                       </w:t>
      </w:r>
    </w:p>
    <w:p w14:paraId="0F8D7683">
      <w:pPr>
        <w:shd w:val="clear"/>
        <w:wordWrap w:val="0"/>
        <w:autoSpaceDE w:val="0"/>
        <w:autoSpaceDN w:val="0"/>
        <w:spacing w:line="360" w:lineRule="auto"/>
        <w:rPr>
          <w:rFonts w:hint="eastAsia" w:ascii="宋体" w:hAnsi="宋体" w:eastAsia="宋体" w:cs="宋体"/>
          <w:b/>
          <w:bCs/>
          <w:color w:val="auto"/>
          <w:sz w:val="30"/>
          <w:szCs w:val="30"/>
          <w:highlight w:val="none"/>
        </w:rPr>
      </w:pP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日期：  年  月   日</w:t>
      </w:r>
    </w:p>
    <w:p w14:paraId="0ED03BC8">
      <w:pPr>
        <w:widowControl/>
        <w:shd w:val="clear"/>
        <w:wordWrap w:val="0"/>
        <w:spacing w:line="360" w:lineRule="auto"/>
        <w:jc w:val="left"/>
        <w:rPr>
          <w:rFonts w:hint="eastAsia" w:ascii="宋体" w:hAnsi="宋体" w:eastAsia="宋体" w:cs="宋体"/>
          <w:b/>
          <w:bCs/>
          <w:color w:val="auto"/>
          <w:sz w:val="24"/>
          <w:highlight w:val="none"/>
        </w:rPr>
        <w:sectPr>
          <w:pgSz w:w="11906" w:h="16838"/>
          <w:pgMar w:top="1440" w:right="1080" w:bottom="1440" w:left="1080" w:header="720" w:footer="720" w:gutter="0"/>
          <w:pgNumType w:fmt="decimal"/>
          <w:cols w:space="720" w:num="1"/>
          <w:docGrid w:type="lines" w:linePitch="331" w:charSpace="0"/>
        </w:sectPr>
      </w:pPr>
    </w:p>
    <w:p w14:paraId="0E5FC9C0">
      <w:pPr>
        <w:pStyle w:val="13"/>
        <w:shd w:val="clear"/>
        <w:wordWrap w:val="0"/>
        <w:spacing w:line="360" w:lineRule="auto"/>
        <w:jc w:val="center"/>
        <w:outlineLvl w:val="1"/>
        <w:rPr>
          <w:rFonts w:hint="eastAsia" w:ascii="宋体" w:hAnsi="宋体" w:eastAsia="宋体" w:cs="宋体"/>
          <w:b/>
          <w:bCs/>
          <w:color w:val="auto"/>
          <w:sz w:val="28"/>
          <w:szCs w:val="28"/>
          <w:highlight w:val="none"/>
        </w:rPr>
      </w:pPr>
      <w:bookmarkStart w:id="756" w:name="_Toc24450"/>
      <w:r>
        <w:rPr>
          <w:rFonts w:hint="eastAsia" w:ascii="宋体" w:hAnsi="宋体" w:eastAsia="宋体" w:cs="宋体"/>
          <w:b/>
          <w:bCs/>
          <w:color w:val="auto"/>
          <w:sz w:val="28"/>
          <w:szCs w:val="28"/>
          <w:highlight w:val="none"/>
        </w:rPr>
        <w:t>第五节 报价文件格式</w:t>
      </w:r>
      <w:bookmarkEnd w:id="756"/>
    </w:p>
    <w:p w14:paraId="13E09BEC">
      <w:pPr>
        <w:shd w:val="clear"/>
        <w:wordWrap w:val="0"/>
        <w:snapToGrid w:val="0"/>
        <w:spacing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电子投标文件</w:t>
      </w:r>
    </w:p>
    <w:p w14:paraId="75649615">
      <w:pPr>
        <w:shd w:val="clear"/>
        <w:wordWrap w:val="0"/>
        <w:snapToGrid w:val="0"/>
        <w:spacing w:line="360" w:lineRule="auto"/>
        <w:jc w:val="center"/>
        <w:rPr>
          <w:rFonts w:hint="eastAsia" w:ascii="宋体" w:hAnsi="宋体" w:eastAsia="宋体" w:cs="宋体"/>
          <w:bCs/>
          <w:color w:val="auto"/>
          <w:sz w:val="24"/>
          <w:szCs w:val="20"/>
          <w:highlight w:val="none"/>
        </w:rPr>
      </w:pPr>
    </w:p>
    <w:p w14:paraId="2B92633B">
      <w:pPr>
        <w:shd w:val="clear"/>
        <w:wordWrap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报价文件（封面）</w:t>
      </w:r>
    </w:p>
    <w:p w14:paraId="42A69B6F">
      <w:pPr>
        <w:shd w:val="clear"/>
        <w:wordWrap w:val="0"/>
        <w:snapToGrid w:val="0"/>
        <w:spacing w:line="360" w:lineRule="auto"/>
        <w:rPr>
          <w:rFonts w:hint="eastAsia" w:ascii="宋体" w:hAnsi="宋体" w:eastAsia="宋体" w:cs="宋体"/>
          <w:bCs/>
          <w:color w:val="auto"/>
          <w:sz w:val="24"/>
          <w:szCs w:val="20"/>
          <w:highlight w:val="none"/>
        </w:rPr>
      </w:pPr>
    </w:p>
    <w:p w14:paraId="203130F9">
      <w:pPr>
        <w:shd w:val="clear"/>
        <w:wordWrap w:val="0"/>
        <w:snapToGrid w:val="0"/>
        <w:spacing w:line="360" w:lineRule="auto"/>
        <w:rPr>
          <w:rFonts w:hint="eastAsia" w:ascii="宋体" w:hAnsi="宋体" w:eastAsia="宋体" w:cs="宋体"/>
          <w:bCs/>
          <w:color w:val="auto"/>
          <w:sz w:val="24"/>
          <w:szCs w:val="20"/>
          <w:highlight w:val="none"/>
        </w:rPr>
      </w:pPr>
    </w:p>
    <w:p w14:paraId="583C86C3">
      <w:pPr>
        <w:shd w:val="clear"/>
        <w:wordWrap w:val="0"/>
        <w:snapToGrid w:val="0"/>
        <w:spacing w:line="360" w:lineRule="auto"/>
        <w:rPr>
          <w:rFonts w:hint="eastAsia" w:ascii="宋体" w:hAnsi="宋体" w:eastAsia="宋体" w:cs="宋体"/>
          <w:bCs/>
          <w:color w:val="auto"/>
          <w:sz w:val="24"/>
          <w:szCs w:val="20"/>
          <w:highlight w:val="none"/>
        </w:rPr>
      </w:pPr>
    </w:p>
    <w:p w14:paraId="2799BD42">
      <w:pPr>
        <w:shd w:val="clear"/>
        <w:wordWrap w:val="0"/>
        <w:snapToGrid w:val="0"/>
        <w:spacing w:line="360" w:lineRule="auto"/>
        <w:rPr>
          <w:rFonts w:hint="eastAsia" w:ascii="宋体" w:hAnsi="宋体" w:eastAsia="宋体" w:cs="宋体"/>
          <w:bCs/>
          <w:color w:val="auto"/>
          <w:sz w:val="24"/>
          <w:szCs w:val="20"/>
          <w:highlight w:val="none"/>
        </w:rPr>
      </w:pPr>
    </w:p>
    <w:p w14:paraId="72733CBE">
      <w:pPr>
        <w:shd w:val="clea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项目名称：  </w:t>
      </w:r>
    </w:p>
    <w:p w14:paraId="262C3562">
      <w:pPr>
        <w:shd w:val="clear"/>
        <w:wordWrap w:val="0"/>
        <w:snapToGrid w:val="0"/>
        <w:spacing w:line="360" w:lineRule="auto"/>
        <w:ind w:firstLine="360" w:firstLineChars="150"/>
        <w:rPr>
          <w:rFonts w:hint="eastAsia" w:ascii="宋体" w:hAnsi="宋体" w:eastAsia="宋体" w:cs="宋体"/>
          <w:bCs/>
          <w:color w:val="auto"/>
          <w:sz w:val="24"/>
          <w:highlight w:val="none"/>
        </w:rPr>
      </w:pPr>
    </w:p>
    <w:p w14:paraId="11B5DE88">
      <w:pPr>
        <w:shd w:val="clea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 xml:space="preserve">项目编号： </w:t>
      </w:r>
      <w:r>
        <w:rPr>
          <w:rFonts w:hint="eastAsia" w:ascii="宋体" w:hAnsi="宋体" w:eastAsia="宋体" w:cs="宋体"/>
          <w:color w:val="auto"/>
          <w:sz w:val="24"/>
          <w:highlight w:val="none"/>
        </w:rPr>
        <w:t xml:space="preserve"> </w:t>
      </w:r>
    </w:p>
    <w:p w14:paraId="4664D445">
      <w:pPr>
        <w:shd w:val="clear"/>
        <w:wordWrap w:val="0"/>
        <w:snapToGrid w:val="0"/>
        <w:spacing w:line="360" w:lineRule="auto"/>
        <w:ind w:firstLine="360" w:firstLineChars="150"/>
        <w:rPr>
          <w:rFonts w:hint="eastAsia" w:ascii="宋体" w:hAnsi="宋体" w:eastAsia="宋体" w:cs="宋体"/>
          <w:bCs/>
          <w:color w:val="auto"/>
          <w:sz w:val="24"/>
          <w:highlight w:val="none"/>
        </w:rPr>
      </w:pPr>
    </w:p>
    <w:p w14:paraId="118EF4C2">
      <w:pPr>
        <w:shd w:val="clea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所投分标：</w:t>
      </w:r>
    </w:p>
    <w:p w14:paraId="2E847641">
      <w:pPr>
        <w:shd w:val="clear"/>
        <w:wordWrap w:val="0"/>
        <w:snapToGrid w:val="0"/>
        <w:spacing w:line="360" w:lineRule="auto"/>
        <w:ind w:firstLine="360" w:firstLineChars="150"/>
        <w:rPr>
          <w:rFonts w:hint="eastAsia" w:ascii="宋体" w:hAnsi="宋体" w:eastAsia="宋体" w:cs="宋体"/>
          <w:bCs/>
          <w:color w:val="auto"/>
          <w:sz w:val="24"/>
          <w:highlight w:val="none"/>
        </w:rPr>
      </w:pPr>
    </w:p>
    <w:p w14:paraId="661D15B9">
      <w:pPr>
        <w:shd w:val="clea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投标人名称：</w:t>
      </w:r>
    </w:p>
    <w:p w14:paraId="04CE1833">
      <w:pPr>
        <w:shd w:val="clear"/>
        <w:wordWrap w:val="0"/>
        <w:snapToGrid w:val="0"/>
        <w:spacing w:line="360" w:lineRule="auto"/>
        <w:ind w:firstLine="360" w:firstLineChars="150"/>
        <w:rPr>
          <w:rFonts w:hint="eastAsia" w:ascii="宋体" w:hAnsi="宋体" w:eastAsia="宋体" w:cs="宋体"/>
          <w:bCs/>
          <w:color w:val="auto"/>
          <w:sz w:val="24"/>
          <w:highlight w:val="none"/>
        </w:rPr>
      </w:pPr>
    </w:p>
    <w:p w14:paraId="14F773DE">
      <w:pPr>
        <w:shd w:val="clear"/>
        <w:wordWrap w:val="0"/>
        <w:snapToGrid w:val="0"/>
        <w:spacing w:line="360" w:lineRule="auto"/>
        <w:ind w:firstLine="360" w:firstLineChars="15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投标人地址：</w:t>
      </w:r>
    </w:p>
    <w:p w14:paraId="3FE34211">
      <w:pPr>
        <w:pStyle w:val="8"/>
        <w:shd w:val="clear"/>
        <w:wordWrap w:val="0"/>
        <w:snapToGrid w:val="0"/>
        <w:spacing w:line="360" w:lineRule="auto"/>
        <w:ind w:firstLine="960" w:firstLineChars="400"/>
        <w:rPr>
          <w:rFonts w:hint="eastAsia" w:ascii="宋体" w:hAnsi="宋体" w:eastAsia="宋体" w:cs="宋体"/>
          <w:bCs/>
          <w:color w:val="auto"/>
          <w:sz w:val="24"/>
          <w:szCs w:val="24"/>
          <w:highlight w:val="none"/>
        </w:rPr>
      </w:pPr>
    </w:p>
    <w:p w14:paraId="74D4DA24">
      <w:pPr>
        <w:shd w:val="clear"/>
        <w:wordWrap w:val="0"/>
        <w:snapToGri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707AA758">
      <w:pPr>
        <w:widowControl/>
        <w:shd w:val="clear"/>
        <w:wordWrap w:val="0"/>
        <w:spacing w:line="360" w:lineRule="auto"/>
        <w:jc w:val="left"/>
        <w:rPr>
          <w:rFonts w:hint="eastAsia" w:ascii="宋体" w:hAnsi="宋体" w:eastAsia="宋体" w:cs="宋体"/>
          <w:color w:val="auto"/>
          <w:sz w:val="24"/>
          <w:highlight w:val="none"/>
        </w:rPr>
        <w:sectPr>
          <w:pgSz w:w="11906" w:h="16838"/>
          <w:pgMar w:top="1440" w:right="1080" w:bottom="1440" w:left="1080" w:header="720" w:footer="720" w:gutter="0"/>
          <w:pgNumType w:fmt="decimal"/>
          <w:cols w:space="720" w:num="1"/>
          <w:docGrid w:type="lines" w:linePitch="331" w:charSpace="0"/>
        </w:sectPr>
      </w:pPr>
    </w:p>
    <w:p w14:paraId="3340A474">
      <w:pPr>
        <w:shd w:val="clear"/>
        <w:wordWrap w:val="0"/>
        <w:spacing w:line="360" w:lineRule="auto"/>
        <w:rPr>
          <w:rFonts w:hint="eastAsia" w:ascii="宋体" w:hAnsi="宋体" w:eastAsia="宋体" w:cs="宋体"/>
          <w:color w:val="auto"/>
          <w:highlight w:val="none"/>
        </w:rPr>
      </w:pPr>
    </w:p>
    <w:p w14:paraId="748573BC">
      <w:pPr>
        <w:shd w:val="clear"/>
        <w:wordWrap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报价文件目录</w:t>
      </w:r>
    </w:p>
    <w:p w14:paraId="35344BAC">
      <w:pPr>
        <w:shd w:val="clear"/>
        <w:wordWrap w:val="0"/>
        <w:spacing w:line="360" w:lineRule="auto"/>
        <w:rPr>
          <w:rFonts w:hint="eastAsia" w:ascii="宋体" w:hAnsi="宋体" w:eastAsia="宋体" w:cs="宋体"/>
          <w:color w:val="auto"/>
          <w:highlight w:val="none"/>
        </w:rPr>
      </w:pPr>
    </w:p>
    <w:p w14:paraId="7DB99E54">
      <w:pPr>
        <w:shd w:val="clear"/>
        <w:wordWrap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一、投标函………………………………………………………（页码）</w:t>
      </w:r>
    </w:p>
    <w:p w14:paraId="5D77A022">
      <w:pPr>
        <w:shd w:val="clear"/>
        <w:wordWrap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二、开标一览表</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含投标报价明细</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14E4A064">
      <w:pPr>
        <w:pStyle w:val="10"/>
        <w:shd w:val="clear"/>
        <w:wordWrap w:val="0"/>
        <w:spacing w:after="0" w:line="360" w:lineRule="auto"/>
        <w:rPr>
          <w:rFonts w:hint="default" w:ascii="宋体" w:hAnsi="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三、</w:t>
      </w:r>
      <w:r>
        <w:rPr>
          <w:rFonts w:hint="eastAsia" w:ascii="宋体" w:hAnsi="宋体" w:cs="宋体"/>
          <w:color w:val="auto"/>
          <w:kern w:val="0"/>
          <w:sz w:val="24"/>
          <w:highlight w:val="none"/>
          <w:lang w:val="en-US" w:eastAsia="zh-CN"/>
        </w:rPr>
        <w:t>中小企业声明函（如有请提供）</w:t>
      </w:r>
      <w:r>
        <w:rPr>
          <w:rFonts w:hint="eastAsia" w:ascii="宋体" w:hAnsi="宋体" w:eastAsia="宋体" w:cs="宋体"/>
          <w:color w:val="auto"/>
          <w:kern w:val="0"/>
          <w:sz w:val="24"/>
          <w:highlight w:val="none"/>
        </w:rPr>
        <w:t>……………………（页码）</w:t>
      </w:r>
    </w:p>
    <w:p w14:paraId="4C74575C">
      <w:pPr>
        <w:pStyle w:val="10"/>
        <w:shd w:val="clear"/>
        <w:wordWrap w:val="0"/>
        <w:spacing w:after="0" w:line="360" w:lineRule="auto"/>
        <w:rPr>
          <w:rFonts w:hint="eastAsia" w:ascii="宋体" w:hAnsi="宋体" w:eastAsia="宋体" w:cs="宋体"/>
          <w:color w:val="auto"/>
          <w:highlight w:val="none"/>
        </w:rPr>
        <w:sectPr>
          <w:pgSz w:w="11906" w:h="16838"/>
          <w:pgMar w:top="1440" w:right="1080" w:bottom="1440" w:left="1080" w:header="720" w:footer="720" w:gutter="0"/>
          <w:pgNumType w:fmt="decimal"/>
          <w:cols w:space="720" w:num="1"/>
          <w:docGrid w:type="lines" w:linePitch="331" w:charSpace="0"/>
        </w:sect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投标人针对报价需要说明的其他文件和说明……………（页码）</w:t>
      </w:r>
    </w:p>
    <w:p w14:paraId="6DEE30F1">
      <w:pPr>
        <w:pStyle w:val="13"/>
        <w:shd w:val="clear"/>
        <w:wordWrap w:val="0"/>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一、投标函</w:t>
      </w:r>
    </w:p>
    <w:p w14:paraId="507C13DB">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致：</w:t>
      </w:r>
      <w:bookmarkStart w:id="757" w:name="PO_3000001866_PM031_4"/>
      <w:r>
        <w:rPr>
          <w:rFonts w:hint="eastAsia" w:ascii="宋体" w:hAnsi="宋体" w:eastAsia="宋体" w:cs="宋体"/>
          <w:color w:val="auto"/>
          <w:highlight w:val="none"/>
          <w:u w:val="single"/>
        </w:rPr>
        <w:t>广西邕政采购代理有限公司</w:t>
      </w:r>
      <w:bookmarkEnd w:id="757"/>
    </w:p>
    <w:p w14:paraId="34D135C8">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我方已仔细阅读了贵方组织的</w:t>
      </w:r>
      <w:r>
        <w:rPr>
          <w:rFonts w:hint="eastAsia" w:ascii="宋体" w:hAnsi="宋体" w:eastAsia="宋体" w:cs="宋体"/>
          <w:color w:val="auto"/>
          <w:szCs w:val="21"/>
          <w:highlight w:val="none"/>
          <w:u w:val="single"/>
        </w:rPr>
        <w:t xml:space="preserve">（项目名称）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项目（项目编号：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）的招标文件的全部内容，授权</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(全权代表姓名)</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(职务、职称)为全权代表，现正式递交下述文件参加贵方组织的本次政府采购活动： </w:t>
      </w:r>
    </w:p>
    <w:p w14:paraId="415DB29F">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一、报价文件电子版一份（包含按投标人须知前附表要求提交的全部文件）；</w:t>
      </w:r>
    </w:p>
    <w:p w14:paraId="650E2E67">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二、资格文件电子版一份（包含按投标人须知前附表要求提交的全部文件）；</w:t>
      </w:r>
    </w:p>
    <w:p w14:paraId="5D3A7D56">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三、商务文件和技术文件按顺序合并生成电子版一份（包含按投标人须知前附表要求提交的全部文件）；</w:t>
      </w:r>
    </w:p>
    <w:p w14:paraId="343B7155">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据此函，签字人兹宣布：</w:t>
      </w:r>
    </w:p>
    <w:p w14:paraId="3CD3DBD3">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我方愿意以（大写）人民币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)的投标总报价，</w:t>
      </w:r>
      <w:r>
        <w:rPr>
          <w:rFonts w:hint="eastAsia" w:ascii="宋体" w:hAnsi="宋体" w:eastAsia="宋体" w:cs="宋体"/>
          <w:color w:val="auto"/>
          <w:highlight w:val="none"/>
          <w:lang w:val="en-US" w:eastAsia="zh-CN"/>
        </w:rPr>
        <w:t>服务期限</w:t>
      </w:r>
      <w:r>
        <w:rPr>
          <w:rFonts w:hint="eastAsia" w:ascii="宋体" w:hAnsi="宋体" w:eastAsia="宋体" w:cs="宋体"/>
          <w:color w:val="auto"/>
          <w:highlight w:val="none"/>
        </w:rPr>
        <w:t>（无分标时填写）</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；提供本项目招标文件第二章“服务需求”中的相应的采购内容。</w:t>
      </w:r>
    </w:p>
    <w:p w14:paraId="226799C3">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其中（有分标时填写）：</w:t>
      </w:r>
    </w:p>
    <w:p w14:paraId="5F02C8CF">
      <w:pPr>
        <w:pStyle w:val="13"/>
        <w:shd w:val="clear"/>
        <w:wordWrap w:val="0"/>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分标报价为（大写）人民币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服务期限：</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D581198">
      <w:pPr>
        <w:pStyle w:val="13"/>
        <w:shd w:val="clear"/>
        <w:wordWrap w:val="0"/>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分标报价为（大写）人民币</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服务期限：</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FC7CF6D">
      <w:pPr>
        <w:pStyle w:val="13"/>
        <w:shd w:val="clear"/>
        <w:wordWrap w:val="0"/>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w:t>
      </w:r>
    </w:p>
    <w:p w14:paraId="0EBEFFBB">
      <w:pPr>
        <w:pStyle w:val="13"/>
        <w:shd w:val="clear"/>
        <w:wordWrap w:val="0"/>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我方同意自本项目招标文件“第三章 投标人须知”第一节 投标人须知前附表 第21.2项规定的投标截止时间（开标时间）起遵循本投标函，并承诺在“投标人须知前附表”第17.2项规定的投标有效期内不修改、撤销投标文件。</w:t>
      </w:r>
    </w:p>
    <w:p w14:paraId="63B9D320">
      <w:pPr>
        <w:pStyle w:val="13"/>
        <w:shd w:val="clear"/>
        <w:wordWrap w:val="0"/>
        <w:spacing w:line="360" w:lineRule="auto"/>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3</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我方所递交的投标文件及有关资料都是内容完整、真实和准确的。</w:t>
      </w:r>
    </w:p>
    <w:p w14:paraId="4F39DBF2">
      <w:pPr>
        <w:pStyle w:val="13"/>
        <w:shd w:val="clear"/>
        <w:wordWrap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eastAsia="宋体" w:cs="宋体"/>
          <w:color w:val="auto"/>
          <w:highlight w:val="none"/>
          <w:lang w:val="en-US" w:eastAsia="zh-CN"/>
        </w:rPr>
        <w:t>.</w:t>
      </w:r>
      <w:r>
        <w:rPr>
          <w:rFonts w:hint="eastAsia" w:ascii="宋体" w:hAnsi="宋体" w:eastAsia="宋体" w:cs="宋体"/>
          <w:color w:val="auto"/>
          <w:szCs w:val="21"/>
          <w:highlight w:val="none"/>
        </w:rPr>
        <w:t>如本项目采购内容涉及须符合国家强制规定的，我方承诺我方本次投标（包括资格条件和所投产品）均符合国家有关强制规定。</w:t>
      </w:r>
    </w:p>
    <w:p w14:paraId="5E3CFEE2">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14:paraId="0CB88C25">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我方已详细审核招标文件，我方知道必须放弃提出含糊不清或误解问题的权利。</w:t>
      </w:r>
    </w:p>
    <w:p w14:paraId="646BB61F">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我方同意应贵方要求提供与本投标有关的任何数据或资料。若贵方需要，我方愿意提供我方作出的一切承诺的证明材料。</w:t>
      </w:r>
    </w:p>
    <w:p w14:paraId="57EA72C8">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8</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我方完全理解贵方不一定接受投标报价最低的投标人为中标供应商的行为。</w:t>
      </w:r>
    </w:p>
    <w:p w14:paraId="27B48AFC">
      <w:pPr>
        <w:pStyle w:val="13"/>
        <w:shd w:val="clear"/>
        <w:wordWrap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9</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4ECB575C">
      <w:pPr>
        <w:pStyle w:val="13"/>
        <w:numPr>
          <w:ilvl w:val="0"/>
          <w:numId w:val="0"/>
        </w:numPr>
        <w:shd w:val="clear"/>
        <w:wordWrap w:val="0"/>
        <w:spacing w:line="360" w:lineRule="auto"/>
        <w:ind w:left="1140" w:leftChars="0" w:hanging="720" w:firstLineChars="0"/>
        <w:rPr>
          <w:rFonts w:hint="eastAsia" w:ascii="宋体" w:hAnsi="宋体" w:eastAsia="宋体" w:cs="宋体"/>
          <w:color w:val="auto"/>
          <w:highlight w:val="none"/>
        </w:rPr>
      </w:pPr>
      <w:r>
        <w:rPr>
          <w:rFonts w:hint="eastAsia" w:ascii="宋体" w:hAnsi="宋体" w:eastAsia="宋体" w:cs="宋体"/>
          <w:color w:val="auto"/>
          <w:kern w:val="2"/>
          <w:sz w:val="21"/>
          <w:szCs w:val="20"/>
          <w:highlight w:val="none"/>
          <w:lang w:val="en-US" w:eastAsia="zh-CN" w:bidi="ar-SA"/>
        </w:rPr>
        <w:t>（1）</w:t>
      </w:r>
      <w:r>
        <w:rPr>
          <w:rFonts w:hint="eastAsia" w:ascii="宋体" w:hAnsi="宋体" w:eastAsia="宋体" w:cs="宋体"/>
          <w:color w:val="auto"/>
          <w:highlight w:val="none"/>
        </w:rPr>
        <w:t>提供虚假材料谋取中标、成交的；</w:t>
      </w:r>
    </w:p>
    <w:p w14:paraId="17B3F7EF">
      <w:pPr>
        <w:pStyle w:val="13"/>
        <w:numPr>
          <w:ilvl w:val="0"/>
          <w:numId w:val="0"/>
        </w:numPr>
        <w:shd w:val="clear"/>
        <w:wordWrap w:val="0"/>
        <w:spacing w:line="360" w:lineRule="auto"/>
        <w:ind w:left="1140" w:leftChars="0" w:hanging="720" w:firstLineChars="0"/>
        <w:rPr>
          <w:rFonts w:hint="eastAsia" w:ascii="宋体" w:hAnsi="宋体" w:eastAsia="宋体" w:cs="宋体"/>
          <w:color w:val="auto"/>
          <w:highlight w:val="none"/>
        </w:rPr>
      </w:pPr>
      <w:r>
        <w:rPr>
          <w:rFonts w:hint="eastAsia" w:ascii="宋体" w:hAnsi="宋体" w:eastAsia="宋体" w:cs="宋体"/>
          <w:color w:val="auto"/>
          <w:kern w:val="2"/>
          <w:sz w:val="21"/>
          <w:szCs w:val="20"/>
          <w:highlight w:val="none"/>
          <w:lang w:val="en-US" w:eastAsia="zh-CN" w:bidi="ar-SA"/>
        </w:rPr>
        <w:t>（2）</w:t>
      </w:r>
      <w:r>
        <w:rPr>
          <w:rFonts w:hint="eastAsia" w:ascii="宋体" w:hAnsi="宋体" w:eastAsia="宋体" w:cs="宋体"/>
          <w:color w:val="auto"/>
          <w:highlight w:val="none"/>
        </w:rPr>
        <w:t>采取不正当手段诋毁、排挤其他供应商的；</w:t>
      </w:r>
    </w:p>
    <w:p w14:paraId="556F5C4C">
      <w:pPr>
        <w:pStyle w:val="13"/>
        <w:numPr>
          <w:ilvl w:val="0"/>
          <w:numId w:val="0"/>
        </w:numPr>
        <w:shd w:val="clear"/>
        <w:wordWrap w:val="0"/>
        <w:spacing w:line="360" w:lineRule="auto"/>
        <w:ind w:left="1140" w:leftChars="0" w:hanging="720" w:firstLineChars="0"/>
        <w:rPr>
          <w:rFonts w:hint="eastAsia" w:ascii="宋体" w:hAnsi="宋体" w:eastAsia="宋体" w:cs="宋体"/>
          <w:color w:val="auto"/>
          <w:highlight w:val="none"/>
        </w:rPr>
      </w:pPr>
      <w:r>
        <w:rPr>
          <w:rFonts w:hint="eastAsia" w:ascii="宋体" w:hAnsi="宋体" w:eastAsia="宋体" w:cs="宋体"/>
          <w:color w:val="auto"/>
          <w:kern w:val="2"/>
          <w:sz w:val="21"/>
          <w:szCs w:val="20"/>
          <w:highlight w:val="none"/>
          <w:lang w:val="en-US" w:eastAsia="zh-CN" w:bidi="ar-SA"/>
        </w:rPr>
        <w:t>（3）</w:t>
      </w:r>
      <w:r>
        <w:rPr>
          <w:rFonts w:hint="eastAsia" w:ascii="宋体" w:hAnsi="宋体" w:eastAsia="宋体" w:cs="宋体"/>
          <w:color w:val="auto"/>
          <w:highlight w:val="none"/>
        </w:rPr>
        <w:t>与采购人、其他供应商或者采购代理机构恶意串通的；</w:t>
      </w:r>
    </w:p>
    <w:p w14:paraId="47AC0EAC">
      <w:pPr>
        <w:pStyle w:val="13"/>
        <w:numPr>
          <w:ilvl w:val="0"/>
          <w:numId w:val="0"/>
        </w:numPr>
        <w:shd w:val="clear"/>
        <w:wordWrap w:val="0"/>
        <w:spacing w:line="360" w:lineRule="auto"/>
        <w:ind w:left="1140" w:leftChars="0" w:hanging="720" w:firstLineChars="0"/>
        <w:rPr>
          <w:rFonts w:hint="eastAsia" w:ascii="宋体" w:hAnsi="宋体" w:eastAsia="宋体" w:cs="宋体"/>
          <w:color w:val="auto"/>
          <w:highlight w:val="none"/>
        </w:rPr>
      </w:pPr>
      <w:r>
        <w:rPr>
          <w:rFonts w:hint="eastAsia" w:ascii="宋体" w:hAnsi="宋体" w:eastAsia="宋体" w:cs="宋体"/>
          <w:color w:val="auto"/>
          <w:kern w:val="2"/>
          <w:sz w:val="21"/>
          <w:szCs w:val="20"/>
          <w:highlight w:val="none"/>
          <w:lang w:val="en-US" w:eastAsia="zh-CN" w:bidi="ar-SA"/>
        </w:rPr>
        <w:t>（4）</w:t>
      </w:r>
      <w:r>
        <w:rPr>
          <w:rFonts w:hint="eastAsia" w:ascii="宋体" w:hAnsi="宋体" w:eastAsia="宋体" w:cs="宋体"/>
          <w:color w:val="auto"/>
          <w:highlight w:val="none"/>
        </w:rPr>
        <w:t>向采购人、采购代理机构行贿或者提供其他不正当利益的；</w:t>
      </w:r>
    </w:p>
    <w:p w14:paraId="09450D96">
      <w:pPr>
        <w:pStyle w:val="13"/>
        <w:numPr>
          <w:ilvl w:val="0"/>
          <w:numId w:val="0"/>
        </w:numPr>
        <w:shd w:val="clear"/>
        <w:wordWrap w:val="0"/>
        <w:spacing w:line="360" w:lineRule="auto"/>
        <w:ind w:left="1140" w:leftChars="0" w:hanging="720" w:firstLineChars="0"/>
        <w:rPr>
          <w:rFonts w:hint="eastAsia" w:ascii="宋体" w:hAnsi="宋体" w:eastAsia="宋体" w:cs="宋体"/>
          <w:color w:val="auto"/>
          <w:highlight w:val="none"/>
        </w:rPr>
      </w:pPr>
      <w:r>
        <w:rPr>
          <w:rFonts w:hint="eastAsia" w:ascii="宋体" w:hAnsi="宋体" w:eastAsia="宋体" w:cs="宋体"/>
          <w:color w:val="auto"/>
          <w:kern w:val="2"/>
          <w:sz w:val="21"/>
          <w:szCs w:val="20"/>
          <w:highlight w:val="none"/>
          <w:lang w:val="en-US" w:eastAsia="zh-CN" w:bidi="ar-SA"/>
        </w:rPr>
        <w:t>（5）</w:t>
      </w:r>
      <w:r>
        <w:rPr>
          <w:rFonts w:hint="eastAsia" w:ascii="宋体" w:hAnsi="宋体" w:eastAsia="宋体" w:cs="宋体"/>
          <w:color w:val="auto"/>
          <w:highlight w:val="none"/>
        </w:rPr>
        <w:t>在招标采购过程中与采购人进行协商谈判的；</w:t>
      </w:r>
    </w:p>
    <w:p w14:paraId="670B74F7">
      <w:pPr>
        <w:pStyle w:val="13"/>
        <w:numPr>
          <w:ilvl w:val="0"/>
          <w:numId w:val="0"/>
        </w:numPr>
        <w:shd w:val="clear"/>
        <w:wordWrap w:val="0"/>
        <w:spacing w:line="360" w:lineRule="auto"/>
        <w:ind w:left="1140" w:leftChars="0" w:hanging="720" w:firstLineChars="0"/>
        <w:rPr>
          <w:rFonts w:hint="eastAsia" w:ascii="宋体" w:hAnsi="宋体" w:eastAsia="宋体" w:cs="宋体"/>
          <w:color w:val="auto"/>
          <w:highlight w:val="none"/>
        </w:rPr>
      </w:pPr>
      <w:r>
        <w:rPr>
          <w:rFonts w:hint="eastAsia" w:ascii="宋体" w:hAnsi="宋体" w:eastAsia="宋体" w:cs="宋体"/>
          <w:color w:val="auto"/>
          <w:kern w:val="2"/>
          <w:sz w:val="21"/>
          <w:szCs w:val="20"/>
          <w:highlight w:val="none"/>
          <w:lang w:val="en-US" w:eastAsia="zh-CN" w:bidi="ar-SA"/>
        </w:rPr>
        <w:t>（6）</w:t>
      </w:r>
      <w:r>
        <w:rPr>
          <w:rFonts w:hint="eastAsia" w:ascii="宋体" w:hAnsi="宋体" w:eastAsia="宋体" w:cs="宋体"/>
          <w:color w:val="auto"/>
          <w:highlight w:val="none"/>
        </w:rPr>
        <w:t>拒绝有关部门监督检查或提供虚假情况的。</w:t>
      </w:r>
    </w:p>
    <w:p w14:paraId="20922902">
      <w:pPr>
        <w:pStyle w:val="13"/>
        <w:shd w:val="clear"/>
        <w:wordWrap w:val="0"/>
        <w:spacing w:line="360" w:lineRule="auto"/>
        <w:ind w:left="420"/>
        <w:rPr>
          <w:rFonts w:hint="eastAsia" w:ascii="宋体" w:hAnsi="宋体" w:eastAsia="宋体" w:cs="宋体"/>
          <w:color w:val="auto"/>
          <w:highlight w:val="none"/>
        </w:rPr>
      </w:pPr>
      <w:r>
        <w:rPr>
          <w:rFonts w:hint="eastAsia" w:ascii="宋体" w:hAnsi="宋体" w:eastAsia="宋体" w:cs="宋体"/>
          <w:color w:val="auto"/>
          <w:highlight w:val="none"/>
        </w:rPr>
        <w:t>10</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我方及由本人担任法定代表人的其他机构最近三年内被处罚的违法行为有：</w:t>
      </w:r>
      <w:r>
        <w:rPr>
          <w:rFonts w:hint="eastAsia" w:ascii="宋体" w:hAnsi="宋体" w:eastAsia="宋体" w:cs="宋体"/>
          <w:color w:val="auto"/>
          <w:highlight w:val="none"/>
          <w:u w:val="single"/>
        </w:rPr>
        <w:t xml:space="preserve">         </w:t>
      </w:r>
    </w:p>
    <w:p w14:paraId="45A38320">
      <w:pPr>
        <w:pStyle w:val="13"/>
        <w:shd w:val="clear"/>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11</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以上事项如有虚假或隐瞒，我方愿意承担一切后果，并不再寻求任何旨在减轻或免除法律责任的辩解。</w:t>
      </w:r>
    </w:p>
    <w:p w14:paraId="54291CD8">
      <w:pPr>
        <w:pStyle w:val="13"/>
        <w:shd w:val="clear"/>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12</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与本投标有关的一切正式往来信函请寄：</w:t>
      </w:r>
    </w:p>
    <w:p w14:paraId="4D2AB32F">
      <w:pPr>
        <w:pStyle w:val="13"/>
        <w:shd w:val="clear"/>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地址：</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p>
    <w:p w14:paraId="6D91E76E">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电话：</w:t>
      </w:r>
      <w:r>
        <w:rPr>
          <w:rFonts w:hint="eastAsia" w:ascii="宋体" w:hAnsi="宋体" w:eastAsia="宋体" w:cs="宋体"/>
          <w:color w:val="auto"/>
          <w:highlight w:val="none"/>
          <w:u w:val="single"/>
        </w:rPr>
        <w:t xml:space="preserve">                                      　　　　　　　　　</w:t>
      </w:r>
    </w:p>
    <w:p w14:paraId="485761E5">
      <w:pPr>
        <w:pStyle w:val="13"/>
        <w:shd w:val="clear"/>
        <w:wordWrap w:val="0"/>
        <w:spacing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传真：</w:t>
      </w:r>
      <w:r>
        <w:rPr>
          <w:rFonts w:hint="eastAsia" w:ascii="宋体" w:hAnsi="宋体" w:eastAsia="宋体" w:cs="宋体"/>
          <w:color w:val="auto"/>
          <w:highlight w:val="none"/>
          <w:u w:val="single"/>
        </w:rPr>
        <w:t>　　　　　　　　　　　　　　　　　　　　　　　　　　　　</w:t>
      </w:r>
    </w:p>
    <w:p w14:paraId="780E9F0B">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邮政编码：</w:t>
      </w:r>
      <w:r>
        <w:rPr>
          <w:rFonts w:hint="eastAsia" w:ascii="宋体" w:hAnsi="宋体" w:eastAsia="宋体" w:cs="宋体"/>
          <w:color w:val="auto"/>
          <w:highlight w:val="none"/>
          <w:u w:val="single"/>
        </w:rPr>
        <w:t xml:space="preserve">                                                    </w:t>
      </w:r>
    </w:p>
    <w:p w14:paraId="45289749">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开户名称：</w:t>
      </w:r>
      <w:r>
        <w:rPr>
          <w:rFonts w:hint="eastAsia" w:ascii="宋体" w:hAnsi="宋体" w:eastAsia="宋体" w:cs="宋体"/>
          <w:color w:val="auto"/>
          <w:highlight w:val="none"/>
          <w:u w:val="single"/>
        </w:rPr>
        <w:t xml:space="preserve">                                                    </w:t>
      </w:r>
    </w:p>
    <w:p w14:paraId="448C7782">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开户银行：</w:t>
      </w:r>
      <w:r>
        <w:rPr>
          <w:rFonts w:hint="eastAsia" w:ascii="宋体" w:hAnsi="宋体" w:eastAsia="宋体" w:cs="宋体"/>
          <w:color w:val="auto"/>
          <w:highlight w:val="none"/>
          <w:u w:val="single"/>
        </w:rPr>
        <w:t xml:space="preserve">                                                    </w:t>
      </w:r>
    </w:p>
    <w:p w14:paraId="3DB3985F">
      <w:pPr>
        <w:pStyle w:val="13"/>
        <w:shd w:val="clear"/>
        <w:wordWrap w:val="0"/>
        <w:spacing w:line="360" w:lineRule="auto"/>
        <w:ind w:firstLine="420"/>
        <w:rPr>
          <w:rFonts w:hint="eastAsia" w:ascii="宋体" w:hAnsi="宋体" w:eastAsia="宋体" w:cs="宋体"/>
          <w:color w:val="auto"/>
          <w:highlight w:val="none"/>
          <w:u w:val="single"/>
        </w:rPr>
      </w:pPr>
      <w:r>
        <w:rPr>
          <w:rFonts w:hint="eastAsia" w:ascii="宋体" w:hAnsi="宋体" w:eastAsia="宋体" w:cs="宋体"/>
          <w:color w:val="auto"/>
          <w:highlight w:val="none"/>
        </w:rPr>
        <w:t>银行账号：</w:t>
      </w:r>
      <w:r>
        <w:rPr>
          <w:rFonts w:hint="eastAsia" w:ascii="宋体" w:hAnsi="宋体" w:eastAsia="宋体" w:cs="宋体"/>
          <w:color w:val="auto"/>
          <w:highlight w:val="none"/>
          <w:u w:val="single"/>
        </w:rPr>
        <w:t xml:space="preserve">                                                    </w:t>
      </w:r>
    </w:p>
    <w:p w14:paraId="0B7AB747">
      <w:pPr>
        <w:shd w:val="clea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6C3A4B06">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4936CDF1">
      <w:pPr>
        <w:widowControl/>
        <w:shd w:val="clear"/>
        <w:wordWrap w:val="0"/>
        <w:spacing w:line="360" w:lineRule="auto"/>
        <w:jc w:val="left"/>
        <w:rPr>
          <w:rFonts w:hint="eastAsia" w:ascii="宋体" w:hAnsi="宋体" w:eastAsia="宋体" w:cs="宋体"/>
          <w:color w:val="auto"/>
          <w:kern w:val="0"/>
          <w:sz w:val="24"/>
          <w:highlight w:val="none"/>
          <w:lang w:val="zh-CN"/>
        </w:rPr>
        <w:sectPr>
          <w:pgSz w:w="11906" w:h="16838"/>
          <w:pgMar w:top="1440" w:right="1080" w:bottom="1440" w:left="1080" w:header="720" w:footer="720" w:gutter="0"/>
          <w:pgNumType w:fmt="decimal"/>
          <w:cols w:space="720" w:num="1"/>
          <w:docGrid w:type="lines" w:linePitch="331" w:charSpace="0"/>
        </w:sectPr>
      </w:pPr>
    </w:p>
    <w:p w14:paraId="4758DEBA">
      <w:pPr>
        <w:pStyle w:val="13"/>
        <w:shd w:val="clear"/>
        <w:wordWrap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二、开标一览表</w:t>
      </w:r>
      <w:r>
        <w:rPr>
          <w:rFonts w:hint="eastAsia" w:ascii="宋体" w:hAnsi="宋体" w:eastAsia="宋体" w:cs="宋体"/>
          <w:b/>
          <w:color w:val="auto"/>
          <w:sz w:val="30"/>
          <w:szCs w:val="30"/>
          <w:highlight w:val="none"/>
          <w:lang w:val="zh-CN"/>
        </w:rPr>
        <w:t>(单位均为人民币元)</w:t>
      </w:r>
    </w:p>
    <w:p w14:paraId="2FC87871">
      <w:pPr>
        <w:shd w:val="clear"/>
        <w:wordWrap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24A91E0D">
      <w:pPr>
        <w:shd w:val="clear"/>
        <w:wordWrap w:val="0"/>
        <w:snapToGrid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项目编号：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分标：</w:t>
      </w:r>
      <w:r>
        <w:rPr>
          <w:rFonts w:hint="eastAsia" w:ascii="宋体" w:hAnsi="宋体" w:eastAsia="宋体" w:cs="宋体"/>
          <w:color w:val="auto"/>
          <w:sz w:val="21"/>
          <w:szCs w:val="21"/>
          <w:highlight w:val="none"/>
          <w:u w:val="single"/>
        </w:rPr>
        <w:t xml:space="preserve">           </w:t>
      </w:r>
    </w:p>
    <w:p w14:paraId="1C6F42FB">
      <w:pPr>
        <w:pStyle w:val="13"/>
        <w:shd w:val="clear"/>
        <w:wordWrap w:val="0"/>
        <w:spacing w:line="360" w:lineRule="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投标人名称：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tbl>
      <w:tblPr>
        <w:tblStyle w:val="22"/>
        <w:tblW w:w="10395" w:type="dxa"/>
        <w:tblInd w:w="-2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897"/>
        <w:gridCol w:w="2497"/>
        <w:gridCol w:w="1068"/>
        <w:gridCol w:w="888"/>
        <w:gridCol w:w="2269"/>
        <w:gridCol w:w="1092"/>
      </w:tblGrid>
      <w:tr w14:paraId="23083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684" w:type="dxa"/>
            <w:tcBorders>
              <w:top w:val="single" w:color="auto" w:sz="4" w:space="0"/>
              <w:left w:val="single" w:color="auto" w:sz="4" w:space="0"/>
              <w:bottom w:val="single" w:color="auto" w:sz="4" w:space="0"/>
              <w:right w:val="single" w:color="auto" w:sz="4" w:space="0"/>
            </w:tcBorders>
            <w:noWrap w:val="0"/>
            <w:vAlign w:val="center"/>
          </w:tcPr>
          <w:p w14:paraId="170679E7">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897" w:type="dxa"/>
            <w:tcBorders>
              <w:top w:val="single" w:color="auto" w:sz="4" w:space="0"/>
              <w:left w:val="single" w:color="auto" w:sz="4" w:space="0"/>
              <w:bottom w:val="single" w:color="auto" w:sz="4" w:space="0"/>
              <w:right w:val="single" w:color="auto" w:sz="4" w:space="0"/>
            </w:tcBorders>
            <w:noWrap w:val="0"/>
            <w:vAlign w:val="center"/>
          </w:tcPr>
          <w:p w14:paraId="0338F0C6">
            <w:pPr>
              <w:shd w:val="clear"/>
              <w:wordWrap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服务名称</w:t>
            </w:r>
          </w:p>
        </w:tc>
        <w:tc>
          <w:tcPr>
            <w:tcW w:w="2497" w:type="dxa"/>
            <w:tcBorders>
              <w:top w:val="single" w:color="auto" w:sz="4" w:space="0"/>
              <w:left w:val="single" w:color="auto" w:sz="4" w:space="0"/>
              <w:bottom w:val="single" w:color="auto" w:sz="4" w:space="0"/>
              <w:right w:val="single" w:color="auto" w:sz="4" w:space="0"/>
            </w:tcBorders>
            <w:noWrap w:val="0"/>
            <w:vAlign w:val="center"/>
          </w:tcPr>
          <w:p w14:paraId="35CFB899">
            <w:pPr>
              <w:shd w:val="clear"/>
              <w:wordWrap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具体服务内容</w:t>
            </w:r>
          </w:p>
        </w:tc>
        <w:tc>
          <w:tcPr>
            <w:tcW w:w="1068" w:type="dxa"/>
            <w:tcBorders>
              <w:top w:val="single" w:color="auto" w:sz="4" w:space="0"/>
              <w:left w:val="single" w:color="auto" w:sz="4" w:space="0"/>
              <w:bottom w:val="single" w:color="auto" w:sz="4" w:space="0"/>
              <w:right w:val="single" w:color="auto" w:sz="4" w:space="0"/>
            </w:tcBorders>
            <w:noWrap w:val="0"/>
            <w:vAlign w:val="center"/>
          </w:tcPr>
          <w:p w14:paraId="4A35B2F3">
            <w:pPr>
              <w:shd w:val="clear"/>
              <w:wordWrap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数量①</w:t>
            </w:r>
          </w:p>
        </w:tc>
        <w:tc>
          <w:tcPr>
            <w:tcW w:w="888" w:type="dxa"/>
            <w:tcBorders>
              <w:top w:val="single" w:color="auto" w:sz="4" w:space="0"/>
              <w:left w:val="single" w:color="auto" w:sz="4" w:space="0"/>
              <w:bottom w:val="single" w:color="auto" w:sz="4" w:space="0"/>
              <w:right w:val="single" w:color="auto" w:sz="4" w:space="0"/>
            </w:tcBorders>
            <w:noWrap w:val="0"/>
            <w:vAlign w:val="center"/>
          </w:tcPr>
          <w:p w14:paraId="65315977">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单价(元)②</w:t>
            </w:r>
          </w:p>
        </w:tc>
        <w:tc>
          <w:tcPr>
            <w:tcW w:w="2269" w:type="dxa"/>
            <w:tcBorders>
              <w:top w:val="single" w:color="auto" w:sz="4" w:space="0"/>
              <w:left w:val="single" w:color="auto" w:sz="4" w:space="0"/>
              <w:bottom w:val="single" w:color="auto" w:sz="4" w:space="0"/>
              <w:right w:val="single" w:color="auto" w:sz="4" w:space="0"/>
            </w:tcBorders>
            <w:noWrap w:val="0"/>
            <w:vAlign w:val="center"/>
          </w:tcPr>
          <w:p w14:paraId="2EADC6AE">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单项合价（元）</w:t>
            </w:r>
          </w:p>
          <w:p w14:paraId="66816742">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③＝①×②</w:t>
            </w: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D25B943">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4EB2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84" w:type="dxa"/>
            <w:tcBorders>
              <w:top w:val="single" w:color="auto" w:sz="4" w:space="0"/>
              <w:left w:val="single" w:color="auto" w:sz="4" w:space="0"/>
              <w:bottom w:val="single" w:color="auto" w:sz="4" w:space="0"/>
              <w:right w:val="single" w:color="auto" w:sz="4" w:space="0"/>
            </w:tcBorders>
            <w:noWrap w:val="0"/>
            <w:vAlign w:val="center"/>
          </w:tcPr>
          <w:p w14:paraId="157A0314">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97" w:type="dxa"/>
            <w:tcBorders>
              <w:top w:val="single" w:color="auto" w:sz="4" w:space="0"/>
              <w:left w:val="single" w:color="auto" w:sz="4" w:space="0"/>
              <w:bottom w:val="single" w:color="auto" w:sz="4" w:space="0"/>
              <w:right w:val="single" w:color="auto" w:sz="4" w:space="0"/>
            </w:tcBorders>
            <w:noWrap w:val="0"/>
            <w:vAlign w:val="center"/>
          </w:tcPr>
          <w:p w14:paraId="5F441EE3">
            <w:pPr>
              <w:shd w:val="clear"/>
              <w:wordWrap w:val="0"/>
              <w:spacing w:line="360" w:lineRule="auto"/>
              <w:rPr>
                <w:rFonts w:hint="eastAsia" w:ascii="宋体" w:hAnsi="宋体" w:eastAsia="宋体" w:cs="宋体"/>
                <w:color w:val="auto"/>
                <w:sz w:val="21"/>
                <w:szCs w:val="21"/>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14:paraId="3BF57A70">
            <w:pPr>
              <w:shd w:val="clear"/>
              <w:wordWrap w:val="0"/>
              <w:spacing w:line="360" w:lineRule="auto"/>
              <w:rPr>
                <w:rFonts w:hint="eastAsia" w:ascii="宋体" w:hAnsi="宋体" w:eastAsia="宋体" w:cs="宋体"/>
                <w:color w:val="auto"/>
                <w:sz w:val="21"/>
                <w:szCs w:val="21"/>
                <w:highlight w:val="none"/>
              </w:rPr>
            </w:pPr>
          </w:p>
        </w:tc>
        <w:tc>
          <w:tcPr>
            <w:tcW w:w="1068" w:type="dxa"/>
            <w:tcBorders>
              <w:top w:val="single" w:color="auto" w:sz="4" w:space="0"/>
              <w:left w:val="single" w:color="auto" w:sz="4" w:space="0"/>
              <w:bottom w:val="single" w:color="auto" w:sz="4" w:space="0"/>
              <w:right w:val="single" w:color="auto" w:sz="4" w:space="0"/>
            </w:tcBorders>
            <w:noWrap w:val="0"/>
            <w:vAlign w:val="center"/>
          </w:tcPr>
          <w:p w14:paraId="1933342F">
            <w:pPr>
              <w:shd w:val="clear"/>
              <w:wordWrap w:val="0"/>
              <w:spacing w:line="360" w:lineRule="auto"/>
              <w:rPr>
                <w:rFonts w:hint="eastAsia" w:ascii="宋体" w:hAnsi="宋体" w:eastAsia="宋体" w:cs="宋体"/>
                <w:color w:val="auto"/>
                <w:sz w:val="21"/>
                <w:szCs w:val="21"/>
                <w:highlight w:val="none"/>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2F312302">
            <w:pPr>
              <w:shd w:val="clear"/>
              <w:wordWrap w:val="0"/>
              <w:spacing w:line="360" w:lineRule="auto"/>
              <w:rPr>
                <w:rFonts w:hint="eastAsia" w:ascii="宋体" w:hAnsi="宋体" w:eastAsia="宋体" w:cs="宋体"/>
                <w:color w:val="auto"/>
                <w:sz w:val="21"/>
                <w:szCs w:val="21"/>
                <w:highlight w:val="none"/>
              </w:rPr>
            </w:pPr>
          </w:p>
        </w:tc>
        <w:tc>
          <w:tcPr>
            <w:tcW w:w="2269" w:type="dxa"/>
            <w:tcBorders>
              <w:top w:val="single" w:color="auto" w:sz="4" w:space="0"/>
              <w:left w:val="single" w:color="auto" w:sz="4" w:space="0"/>
              <w:bottom w:val="single" w:color="auto" w:sz="4" w:space="0"/>
              <w:right w:val="single" w:color="auto" w:sz="4" w:space="0"/>
            </w:tcBorders>
            <w:noWrap w:val="0"/>
            <w:vAlign w:val="center"/>
          </w:tcPr>
          <w:p w14:paraId="444BABBF">
            <w:pPr>
              <w:shd w:val="clear"/>
              <w:wordWrap w:val="0"/>
              <w:spacing w:line="360" w:lineRule="auto"/>
              <w:rPr>
                <w:rFonts w:hint="eastAsia" w:ascii="宋体" w:hAnsi="宋体" w:eastAsia="宋体" w:cs="宋体"/>
                <w:color w:val="auto"/>
                <w:sz w:val="21"/>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6D9D12C6">
            <w:pPr>
              <w:shd w:val="clear"/>
              <w:wordWrap w:val="0"/>
              <w:spacing w:line="360" w:lineRule="auto"/>
              <w:rPr>
                <w:rFonts w:hint="eastAsia" w:ascii="宋体" w:hAnsi="宋体" w:eastAsia="宋体" w:cs="宋体"/>
                <w:color w:val="auto"/>
                <w:sz w:val="21"/>
                <w:szCs w:val="21"/>
                <w:highlight w:val="none"/>
              </w:rPr>
            </w:pPr>
          </w:p>
        </w:tc>
      </w:tr>
      <w:tr w14:paraId="406F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84" w:type="dxa"/>
            <w:tcBorders>
              <w:top w:val="single" w:color="auto" w:sz="4" w:space="0"/>
              <w:left w:val="single" w:color="auto" w:sz="4" w:space="0"/>
              <w:bottom w:val="single" w:color="auto" w:sz="4" w:space="0"/>
              <w:right w:val="single" w:color="auto" w:sz="4" w:space="0"/>
            </w:tcBorders>
            <w:noWrap w:val="0"/>
            <w:vAlign w:val="center"/>
          </w:tcPr>
          <w:p w14:paraId="1FDE8264">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97" w:type="dxa"/>
            <w:tcBorders>
              <w:top w:val="single" w:color="auto" w:sz="4" w:space="0"/>
              <w:left w:val="single" w:color="auto" w:sz="4" w:space="0"/>
              <w:bottom w:val="single" w:color="auto" w:sz="4" w:space="0"/>
              <w:right w:val="single" w:color="auto" w:sz="4" w:space="0"/>
            </w:tcBorders>
            <w:noWrap w:val="0"/>
            <w:vAlign w:val="center"/>
          </w:tcPr>
          <w:p w14:paraId="620A9EB3">
            <w:pPr>
              <w:shd w:val="clear"/>
              <w:wordWrap w:val="0"/>
              <w:spacing w:line="360" w:lineRule="auto"/>
              <w:rPr>
                <w:rFonts w:hint="eastAsia" w:ascii="宋体" w:hAnsi="宋体" w:eastAsia="宋体" w:cs="宋体"/>
                <w:color w:val="auto"/>
                <w:sz w:val="21"/>
                <w:szCs w:val="21"/>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14:paraId="34887A23">
            <w:pPr>
              <w:shd w:val="clear"/>
              <w:wordWrap w:val="0"/>
              <w:spacing w:line="360" w:lineRule="auto"/>
              <w:rPr>
                <w:rFonts w:hint="eastAsia" w:ascii="宋体" w:hAnsi="宋体" w:eastAsia="宋体" w:cs="宋体"/>
                <w:color w:val="auto"/>
                <w:sz w:val="21"/>
                <w:szCs w:val="21"/>
                <w:highlight w:val="none"/>
              </w:rPr>
            </w:pPr>
          </w:p>
        </w:tc>
        <w:tc>
          <w:tcPr>
            <w:tcW w:w="1068" w:type="dxa"/>
            <w:tcBorders>
              <w:top w:val="single" w:color="auto" w:sz="4" w:space="0"/>
              <w:left w:val="single" w:color="auto" w:sz="4" w:space="0"/>
              <w:bottom w:val="single" w:color="auto" w:sz="4" w:space="0"/>
              <w:right w:val="single" w:color="auto" w:sz="4" w:space="0"/>
            </w:tcBorders>
            <w:noWrap w:val="0"/>
            <w:vAlign w:val="center"/>
          </w:tcPr>
          <w:p w14:paraId="3A373192">
            <w:pPr>
              <w:shd w:val="clear"/>
              <w:wordWrap w:val="0"/>
              <w:spacing w:line="360" w:lineRule="auto"/>
              <w:rPr>
                <w:rFonts w:hint="eastAsia" w:ascii="宋体" w:hAnsi="宋体" w:eastAsia="宋体" w:cs="宋体"/>
                <w:color w:val="auto"/>
                <w:sz w:val="21"/>
                <w:szCs w:val="21"/>
                <w:highlight w:val="none"/>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4E54C401">
            <w:pPr>
              <w:shd w:val="clear"/>
              <w:wordWrap w:val="0"/>
              <w:spacing w:line="360" w:lineRule="auto"/>
              <w:rPr>
                <w:rFonts w:hint="eastAsia" w:ascii="宋体" w:hAnsi="宋体" w:eastAsia="宋体" w:cs="宋体"/>
                <w:color w:val="auto"/>
                <w:sz w:val="21"/>
                <w:szCs w:val="21"/>
                <w:highlight w:val="none"/>
              </w:rPr>
            </w:pPr>
          </w:p>
        </w:tc>
        <w:tc>
          <w:tcPr>
            <w:tcW w:w="2269" w:type="dxa"/>
            <w:tcBorders>
              <w:top w:val="single" w:color="auto" w:sz="4" w:space="0"/>
              <w:left w:val="single" w:color="auto" w:sz="4" w:space="0"/>
              <w:bottom w:val="single" w:color="auto" w:sz="4" w:space="0"/>
              <w:right w:val="single" w:color="auto" w:sz="4" w:space="0"/>
            </w:tcBorders>
            <w:noWrap w:val="0"/>
            <w:vAlign w:val="center"/>
          </w:tcPr>
          <w:p w14:paraId="6FDE476C">
            <w:pPr>
              <w:shd w:val="clear"/>
              <w:wordWrap w:val="0"/>
              <w:spacing w:line="360" w:lineRule="auto"/>
              <w:rPr>
                <w:rFonts w:hint="eastAsia" w:ascii="宋体" w:hAnsi="宋体" w:eastAsia="宋体" w:cs="宋体"/>
                <w:color w:val="auto"/>
                <w:sz w:val="21"/>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0E01183B">
            <w:pPr>
              <w:shd w:val="clear"/>
              <w:wordWrap w:val="0"/>
              <w:spacing w:line="360" w:lineRule="auto"/>
              <w:rPr>
                <w:rFonts w:hint="eastAsia" w:ascii="宋体" w:hAnsi="宋体" w:eastAsia="宋体" w:cs="宋体"/>
                <w:color w:val="auto"/>
                <w:sz w:val="21"/>
                <w:szCs w:val="21"/>
                <w:highlight w:val="none"/>
              </w:rPr>
            </w:pPr>
          </w:p>
        </w:tc>
      </w:tr>
      <w:tr w14:paraId="4C40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trPr>
        <w:tc>
          <w:tcPr>
            <w:tcW w:w="684" w:type="dxa"/>
            <w:tcBorders>
              <w:top w:val="single" w:color="auto" w:sz="4" w:space="0"/>
              <w:left w:val="single" w:color="auto" w:sz="4" w:space="0"/>
              <w:bottom w:val="single" w:color="auto" w:sz="4" w:space="0"/>
              <w:right w:val="single" w:color="auto" w:sz="4" w:space="0"/>
            </w:tcBorders>
            <w:noWrap w:val="0"/>
            <w:vAlign w:val="center"/>
          </w:tcPr>
          <w:p w14:paraId="1AFE9EAD">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897" w:type="dxa"/>
            <w:tcBorders>
              <w:top w:val="single" w:color="auto" w:sz="4" w:space="0"/>
              <w:left w:val="single" w:color="auto" w:sz="4" w:space="0"/>
              <w:bottom w:val="single" w:color="auto" w:sz="4" w:space="0"/>
              <w:right w:val="single" w:color="auto" w:sz="4" w:space="0"/>
            </w:tcBorders>
            <w:noWrap w:val="0"/>
            <w:vAlign w:val="center"/>
          </w:tcPr>
          <w:p w14:paraId="7D4D255F">
            <w:pPr>
              <w:shd w:val="clear"/>
              <w:wordWrap w:val="0"/>
              <w:spacing w:line="360" w:lineRule="auto"/>
              <w:rPr>
                <w:rFonts w:hint="eastAsia" w:ascii="宋体" w:hAnsi="宋体" w:eastAsia="宋体" w:cs="宋体"/>
                <w:color w:val="auto"/>
                <w:sz w:val="21"/>
                <w:szCs w:val="21"/>
                <w:highlight w:val="none"/>
              </w:rPr>
            </w:pPr>
          </w:p>
        </w:tc>
        <w:tc>
          <w:tcPr>
            <w:tcW w:w="2497" w:type="dxa"/>
            <w:tcBorders>
              <w:top w:val="single" w:color="auto" w:sz="4" w:space="0"/>
              <w:left w:val="single" w:color="auto" w:sz="4" w:space="0"/>
              <w:bottom w:val="single" w:color="auto" w:sz="4" w:space="0"/>
              <w:right w:val="single" w:color="auto" w:sz="4" w:space="0"/>
            </w:tcBorders>
            <w:noWrap w:val="0"/>
            <w:vAlign w:val="center"/>
          </w:tcPr>
          <w:p w14:paraId="1047ECC9">
            <w:pPr>
              <w:shd w:val="clear"/>
              <w:wordWrap w:val="0"/>
              <w:spacing w:line="360" w:lineRule="auto"/>
              <w:rPr>
                <w:rFonts w:hint="eastAsia" w:ascii="宋体" w:hAnsi="宋体" w:eastAsia="宋体" w:cs="宋体"/>
                <w:color w:val="auto"/>
                <w:sz w:val="21"/>
                <w:szCs w:val="21"/>
                <w:highlight w:val="none"/>
              </w:rPr>
            </w:pPr>
          </w:p>
        </w:tc>
        <w:tc>
          <w:tcPr>
            <w:tcW w:w="1068" w:type="dxa"/>
            <w:tcBorders>
              <w:top w:val="single" w:color="auto" w:sz="4" w:space="0"/>
              <w:left w:val="single" w:color="auto" w:sz="4" w:space="0"/>
              <w:bottom w:val="single" w:color="auto" w:sz="4" w:space="0"/>
              <w:right w:val="single" w:color="auto" w:sz="4" w:space="0"/>
            </w:tcBorders>
            <w:noWrap w:val="0"/>
            <w:vAlign w:val="center"/>
          </w:tcPr>
          <w:p w14:paraId="25290EF2">
            <w:pPr>
              <w:shd w:val="clear"/>
              <w:wordWrap w:val="0"/>
              <w:spacing w:line="360" w:lineRule="auto"/>
              <w:rPr>
                <w:rFonts w:hint="eastAsia" w:ascii="宋体" w:hAnsi="宋体" w:eastAsia="宋体" w:cs="宋体"/>
                <w:color w:val="auto"/>
                <w:sz w:val="21"/>
                <w:szCs w:val="21"/>
                <w:highlight w:val="none"/>
              </w:rPr>
            </w:pPr>
          </w:p>
        </w:tc>
        <w:tc>
          <w:tcPr>
            <w:tcW w:w="888" w:type="dxa"/>
            <w:tcBorders>
              <w:top w:val="single" w:color="auto" w:sz="4" w:space="0"/>
              <w:left w:val="single" w:color="auto" w:sz="4" w:space="0"/>
              <w:bottom w:val="single" w:color="auto" w:sz="4" w:space="0"/>
              <w:right w:val="single" w:color="auto" w:sz="4" w:space="0"/>
            </w:tcBorders>
            <w:noWrap w:val="0"/>
            <w:vAlign w:val="center"/>
          </w:tcPr>
          <w:p w14:paraId="3634C4A0">
            <w:pPr>
              <w:shd w:val="clear"/>
              <w:wordWrap w:val="0"/>
              <w:spacing w:line="360" w:lineRule="auto"/>
              <w:rPr>
                <w:rFonts w:hint="eastAsia" w:ascii="宋体" w:hAnsi="宋体" w:eastAsia="宋体" w:cs="宋体"/>
                <w:color w:val="auto"/>
                <w:sz w:val="21"/>
                <w:szCs w:val="21"/>
                <w:highlight w:val="none"/>
              </w:rPr>
            </w:pPr>
          </w:p>
        </w:tc>
        <w:tc>
          <w:tcPr>
            <w:tcW w:w="2269" w:type="dxa"/>
            <w:tcBorders>
              <w:top w:val="single" w:color="auto" w:sz="4" w:space="0"/>
              <w:left w:val="single" w:color="auto" w:sz="4" w:space="0"/>
              <w:bottom w:val="single" w:color="auto" w:sz="4" w:space="0"/>
              <w:right w:val="single" w:color="auto" w:sz="4" w:space="0"/>
            </w:tcBorders>
            <w:noWrap w:val="0"/>
            <w:vAlign w:val="center"/>
          </w:tcPr>
          <w:p w14:paraId="6E4F50F3">
            <w:pPr>
              <w:shd w:val="clear"/>
              <w:wordWrap w:val="0"/>
              <w:spacing w:line="360" w:lineRule="auto"/>
              <w:rPr>
                <w:rFonts w:hint="eastAsia" w:ascii="宋体" w:hAnsi="宋体" w:eastAsia="宋体" w:cs="宋体"/>
                <w:color w:val="auto"/>
                <w:sz w:val="21"/>
                <w:szCs w:val="21"/>
                <w:highlight w:val="none"/>
              </w:rPr>
            </w:pPr>
          </w:p>
        </w:tc>
        <w:tc>
          <w:tcPr>
            <w:tcW w:w="1092" w:type="dxa"/>
            <w:tcBorders>
              <w:top w:val="single" w:color="auto" w:sz="4" w:space="0"/>
              <w:left w:val="single" w:color="auto" w:sz="4" w:space="0"/>
              <w:bottom w:val="single" w:color="auto" w:sz="4" w:space="0"/>
              <w:right w:val="single" w:color="auto" w:sz="4" w:space="0"/>
            </w:tcBorders>
            <w:noWrap w:val="0"/>
            <w:vAlign w:val="center"/>
          </w:tcPr>
          <w:p w14:paraId="1661A16E">
            <w:pPr>
              <w:shd w:val="clear"/>
              <w:wordWrap w:val="0"/>
              <w:spacing w:line="360" w:lineRule="auto"/>
              <w:rPr>
                <w:rFonts w:hint="eastAsia" w:ascii="宋体" w:hAnsi="宋体" w:eastAsia="宋体" w:cs="宋体"/>
                <w:color w:val="auto"/>
                <w:sz w:val="21"/>
                <w:szCs w:val="21"/>
                <w:highlight w:val="none"/>
              </w:rPr>
            </w:pPr>
          </w:p>
        </w:tc>
      </w:tr>
      <w:tr w14:paraId="67FA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10395" w:type="dxa"/>
            <w:gridSpan w:val="7"/>
            <w:tcBorders>
              <w:top w:val="single" w:color="auto" w:sz="4" w:space="0"/>
              <w:left w:val="single" w:color="auto" w:sz="4" w:space="0"/>
              <w:bottom w:val="single" w:color="auto" w:sz="4" w:space="0"/>
              <w:right w:val="single" w:color="auto" w:sz="4" w:space="0"/>
            </w:tcBorders>
            <w:noWrap w:val="0"/>
            <w:vAlign w:val="top"/>
          </w:tcPr>
          <w:p w14:paraId="5C89CA82">
            <w:pPr>
              <w:shd w:val="clear"/>
              <w:wordWrap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w:t>
            </w:r>
          </w:p>
        </w:tc>
      </w:tr>
      <w:tr w14:paraId="2350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10395" w:type="dxa"/>
            <w:gridSpan w:val="7"/>
            <w:tcBorders>
              <w:top w:val="single" w:color="auto" w:sz="4" w:space="0"/>
              <w:left w:val="single" w:color="auto" w:sz="4" w:space="0"/>
              <w:bottom w:val="single" w:color="auto" w:sz="4" w:space="0"/>
              <w:right w:val="single" w:color="auto" w:sz="4" w:space="0"/>
            </w:tcBorders>
            <w:noWrap w:val="0"/>
            <w:vAlign w:val="top"/>
          </w:tcPr>
          <w:p w14:paraId="006E1BDA">
            <w:pPr>
              <w:shd w:val="clear"/>
              <w:wordWrap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分标（此处有分标时填写具体分标号，无分标时填写“无”）</w:t>
            </w:r>
          </w:p>
        </w:tc>
      </w:tr>
      <w:tr w14:paraId="318A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10395" w:type="dxa"/>
            <w:gridSpan w:val="7"/>
            <w:tcBorders>
              <w:top w:val="single" w:color="auto" w:sz="4" w:space="0"/>
              <w:left w:val="single" w:color="auto" w:sz="4" w:space="0"/>
              <w:bottom w:val="single" w:color="auto" w:sz="4" w:space="0"/>
              <w:right w:val="single" w:color="auto" w:sz="4" w:space="0"/>
            </w:tcBorders>
            <w:noWrap w:val="0"/>
            <w:vAlign w:val="top"/>
          </w:tcPr>
          <w:p w14:paraId="254F35C1">
            <w:pPr>
              <w:shd w:val="clear"/>
              <w:wordWrap w:val="0"/>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服务期限：</w:t>
            </w:r>
          </w:p>
        </w:tc>
      </w:tr>
      <w:tr w14:paraId="56AB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9" w:hRule="atLeast"/>
        </w:trPr>
        <w:tc>
          <w:tcPr>
            <w:tcW w:w="10395" w:type="dxa"/>
            <w:gridSpan w:val="7"/>
            <w:tcBorders>
              <w:top w:val="single" w:color="auto" w:sz="4" w:space="0"/>
              <w:left w:val="single" w:color="auto" w:sz="4" w:space="0"/>
              <w:bottom w:val="single" w:color="auto" w:sz="4" w:space="0"/>
              <w:right w:val="single" w:color="auto" w:sz="4" w:space="0"/>
            </w:tcBorders>
            <w:noWrap w:val="0"/>
            <w:vAlign w:val="top"/>
          </w:tcPr>
          <w:p w14:paraId="1AAD7974">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验收标准：</w:t>
            </w:r>
          </w:p>
        </w:tc>
      </w:tr>
      <w:tr w14:paraId="10A63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0395" w:type="dxa"/>
            <w:gridSpan w:val="7"/>
            <w:tcBorders>
              <w:top w:val="single" w:color="auto" w:sz="4" w:space="0"/>
              <w:left w:val="single" w:color="auto" w:sz="4" w:space="0"/>
              <w:bottom w:val="single" w:color="auto" w:sz="4" w:space="0"/>
              <w:right w:val="single" w:color="auto" w:sz="4" w:space="0"/>
            </w:tcBorders>
            <w:noWrap w:val="0"/>
            <w:vAlign w:val="top"/>
          </w:tcPr>
          <w:p w14:paraId="14AEE0CE">
            <w:pPr>
              <w:shd w:val="clear"/>
              <w:wordWrap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优惠及其它：</w:t>
            </w:r>
          </w:p>
        </w:tc>
      </w:tr>
    </w:tbl>
    <w:p w14:paraId="3071251D">
      <w:pPr>
        <w:shd w:val="clear"/>
        <w:rPr>
          <w:rFonts w:hint="eastAsia" w:ascii="宋体" w:hAnsi="宋体" w:eastAsia="宋体" w:cs="宋体"/>
          <w:b/>
          <w:color w:val="auto"/>
          <w:kern w:val="2"/>
          <w:sz w:val="30"/>
          <w:szCs w:val="30"/>
          <w:highlight w:val="none"/>
          <w:lang w:val="en-US" w:eastAsia="zh-CN" w:bidi="ar-SA"/>
        </w:rPr>
      </w:pPr>
    </w:p>
    <w:p w14:paraId="43CD5BC2">
      <w:pPr>
        <w:shd w:val="clear"/>
        <w:rPr>
          <w:rFonts w:hint="eastAsia" w:ascii="宋体" w:hAnsi="宋体" w:eastAsia="宋体" w:cs="宋体"/>
          <w:b/>
          <w:color w:val="auto"/>
          <w:kern w:val="2"/>
          <w:sz w:val="30"/>
          <w:szCs w:val="30"/>
          <w:highlight w:val="none"/>
          <w:lang w:val="en-US" w:eastAsia="zh-CN" w:bidi="ar-SA"/>
        </w:rPr>
      </w:pPr>
      <w:r>
        <w:rPr>
          <w:rFonts w:hint="eastAsia" w:ascii="宋体" w:hAnsi="宋体" w:cs="宋体"/>
          <w:b/>
          <w:color w:val="auto"/>
          <w:kern w:val="2"/>
          <w:sz w:val="30"/>
          <w:szCs w:val="30"/>
          <w:highlight w:val="none"/>
          <w:lang w:val="en-US" w:eastAsia="zh-CN" w:bidi="ar-SA"/>
        </w:rPr>
        <w:t>其中各公园</w:t>
      </w:r>
      <w:r>
        <w:rPr>
          <w:rFonts w:hint="eastAsia" w:ascii="宋体" w:hAnsi="宋体" w:eastAsia="宋体" w:cs="宋体"/>
          <w:b/>
          <w:color w:val="auto"/>
          <w:kern w:val="2"/>
          <w:sz w:val="30"/>
          <w:szCs w:val="30"/>
          <w:highlight w:val="none"/>
          <w:lang w:val="en-US" w:eastAsia="zh-CN" w:bidi="ar-SA"/>
        </w:rPr>
        <w:t>投标报价明细表</w:t>
      </w:r>
      <w:r>
        <w:rPr>
          <w:rFonts w:hint="eastAsia" w:ascii="宋体" w:hAnsi="宋体" w:cs="宋体"/>
          <w:b/>
          <w:color w:val="auto"/>
          <w:kern w:val="2"/>
          <w:sz w:val="30"/>
          <w:szCs w:val="30"/>
          <w:highlight w:val="none"/>
          <w:lang w:val="en-US" w:eastAsia="zh-CN" w:bidi="ar-SA"/>
        </w:rPr>
        <w:t>：</w:t>
      </w:r>
    </w:p>
    <w:tbl>
      <w:tblPr>
        <w:tblStyle w:val="22"/>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56"/>
        <w:gridCol w:w="3345"/>
        <w:gridCol w:w="1327"/>
        <w:gridCol w:w="1230"/>
        <w:gridCol w:w="2767"/>
      </w:tblGrid>
      <w:tr w14:paraId="27C4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blHeader/>
        </w:trPr>
        <w:tc>
          <w:tcPr>
            <w:tcW w:w="1056" w:type="dxa"/>
            <w:noWrap w:val="0"/>
            <w:tcMar>
              <w:top w:w="15" w:type="dxa"/>
              <w:left w:w="15" w:type="dxa"/>
              <w:right w:w="15" w:type="dxa"/>
            </w:tcMar>
            <w:vAlign w:val="center"/>
          </w:tcPr>
          <w:p w14:paraId="1F902E15">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序号</w:t>
            </w:r>
          </w:p>
        </w:tc>
        <w:tc>
          <w:tcPr>
            <w:tcW w:w="3345" w:type="dxa"/>
            <w:noWrap w:val="0"/>
            <w:tcMar>
              <w:top w:w="15" w:type="dxa"/>
              <w:left w:w="15" w:type="dxa"/>
              <w:right w:w="15" w:type="dxa"/>
            </w:tcMar>
            <w:vAlign w:val="center"/>
          </w:tcPr>
          <w:p w14:paraId="6CBD854A">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b/>
                <w:bCs/>
                <w:i w:val="0"/>
                <w:color w:val="auto"/>
                <w:sz w:val="21"/>
                <w:szCs w:val="21"/>
                <w:highlight w:val="none"/>
                <w:u w:val="none"/>
                <w:lang w:val="en-US"/>
              </w:rPr>
            </w:pPr>
            <w:r>
              <w:rPr>
                <w:rFonts w:hint="eastAsia" w:ascii="宋体" w:hAnsi="宋体" w:eastAsia="宋体" w:cs="宋体"/>
                <w:b/>
                <w:bCs/>
                <w:i w:val="0"/>
                <w:color w:val="auto"/>
                <w:kern w:val="0"/>
                <w:sz w:val="21"/>
                <w:szCs w:val="21"/>
                <w:highlight w:val="none"/>
                <w:u w:val="none"/>
                <w:lang w:val="en-US" w:eastAsia="zh-CN" w:bidi="ar"/>
              </w:rPr>
              <w:t>公园名称</w:t>
            </w:r>
          </w:p>
        </w:tc>
        <w:tc>
          <w:tcPr>
            <w:tcW w:w="1327" w:type="dxa"/>
            <w:noWrap w:val="0"/>
            <w:tcMar>
              <w:top w:w="15" w:type="dxa"/>
              <w:left w:w="15" w:type="dxa"/>
              <w:right w:w="15" w:type="dxa"/>
            </w:tcMar>
            <w:vAlign w:val="center"/>
          </w:tcPr>
          <w:p w14:paraId="117D39B2">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单位</w:t>
            </w:r>
          </w:p>
        </w:tc>
        <w:tc>
          <w:tcPr>
            <w:tcW w:w="1230" w:type="dxa"/>
            <w:noWrap w:val="0"/>
            <w:tcMar>
              <w:top w:w="15" w:type="dxa"/>
              <w:left w:w="15" w:type="dxa"/>
              <w:right w:w="15" w:type="dxa"/>
            </w:tcMar>
            <w:vAlign w:val="center"/>
          </w:tcPr>
          <w:p w14:paraId="0D0A70E8">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b/>
                <w:bCs/>
                <w:i w:val="0"/>
                <w:color w:val="auto"/>
                <w:sz w:val="21"/>
                <w:szCs w:val="21"/>
                <w:highlight w:val="none"/>
                <w:u w:val="none"/>
              </w:rPr>
            </w:pPr>
            <w:r>
              <w:rPr>
                <w:rFonts w:hint="eastAsia" w:ascii="宋体" w:hAnsi="宋体" w:eastAsia="宋体" w:cs="宋体"/>
                <w:b/>
                <w:bCs/>
                <w:i w:val="0"/>
                <w:color w:val="auto"/>
                <w:kern w:val="0"/>
                <w:sz w:val="21"/>
                <w:szCs w:val="21"/>
                <w:highlight w:val="none"/>
                <w:u w:val="none"/>
                <w:lang w:val="en-US" w:eastAsia="zh-CN" w:bidi="ar"/>
              </w:rPr>
              <w:t>数量</w:t>
            </w:r>
          </w:p>
        </w:tc>
        <w:tc>
          <w:tcPr>
            <w:tcW w:w="2767" w:type="dxa"/>
            <w:noWrap w:val="0"/>
            <w:tcMar>
              <w:top w:w="15" w:type="dxa"/>
              <w:left w:w="15" w:type="dxa"/>
              <w:right w:w="15" w:type="dxa"/>
            </w:tcMar>
            <w:vAlign w:val="center"/>
          </w:tcPr>
          <w:p w14:paraId="2C96D080">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eastAsia="宋体" w:cs="宋体"/>
                <w:b/>
                <w:bCs/>
                <w:i w:val="0"/>
                <w:color w:val="auto"/>
                <w:kern w:val="0"/>
                <w:sz w:val="21"/>
                <w:szCs w:val="21"/>
                <w:highlight w:val="none"/>
                <w:u w:val="none"/>
                <w:lang w:val="en-US" w:eastAsia="zh-CN" w:bidi="ar"/>
              </w:rPr>
              <w:t>单价（元）</w:t>
            </w:r>
          </w:p>
        </w:tc>
      </w:tr>
      <w:tr w14:paraId="69543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blHeader/>
        </w:trPr>
        <w:tc>
          <w:tcPr>
            <w:tcW w:w="1056" w:type="dxa"/>
            <w:noWrap w:val="0"/>
            <w:tcMar>
              <w:top w:w="15" w:type="dxa"/>
              <w:left w:w="15" w:type="dxa"/>
              <w:right w:w="15" w:type="dxa"/>
            </w:tcMar>
            <w:vAlign w:val="center"/>
          </w:tcPr>
          <w:p w14:paraId="5A36441A">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3345" w:type="dxa"/>
            <w:noWrap w:val="0"/>
            <w:tcMar>
              <w:top w:w="15" w:type="dxa"/>
              <w:left w:w="15" w:type="dxa"/>
              <w:right w:w="15" w:type="dxa"/>
            </w:tcMar>
            <w:vAlign w:val="center"/>
          </w:tcPr>
          <w:p w14:paraId="32B6AFE4">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lang w:val="en-US"/>
              </w:rPr>
            </w:pPr>
            <w:r>
              <w:rPr>
                <w:rFonts w:hint="eastAsia" w:ascii="宋体" w:hAnsi="宋体" w:eastAsia="宋体" w:cs="宋体"/>
                <w:color w:val="auto"/>
                <w:sz w:val="24"/>
                <w:szCs w:val="24"/>
                <w:highlight w:val="none"/>
                <w:lang w:val="en-US" w:eastAsia="zh-CN"/>
              </w:rPr>
              <w:t>南宁市南湖公园</w:t>
            </w:r>
          </w:p>
        </w:tc>
        <w:tc>
          <w:tcPr>
            <w:tcW w:w="1327" w:type="dxa"/>
            <w:noWrap w:val="0"/>
            <w:tcMar>
              <w:top w:w="15" w:type="dxa"/>
              <w:left w:w="15" w:type="dxa"/>
              <w:right w:w="15" w:type="dxa"/>
            </w:tcMar>
            <w:vAlign w:val="center"/>
          </w:tcPr>
          <w:p w14:paraId="7B4B09B8">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default"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项</w:t>
            </w:r>
          </w:p>
        </w:tc>
        <w:tc>
          <w:tcPr>
            <w:tcW w:w="1230" w:type="dxa"/>
            <w:noWrap w:val="0"/>
            <w:tcMar>
              <w:top w:w="15" w:type="dxa"/>
              <w:left w:w="15" w:type="dxa"/>
              <w:right w:w="15" w:type="dxa"/>
            </w:tcMar>
            <w:vAlign w:val="center"/>
          </w:tcPr>
          <w:p w14:paraId="0D94C403">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2767" w:type="dxa"/>
            <w:noWrap w:val="0"/>
            <w:tcMar>
              <w:top w:w="15" w:type="dxa"/>
              <w:left w:w="15" w:type="dxa"/>
              <w:right w:w="15" w:type="dxa"/>
            </w:tcMar>
            <w:vAlign w:val="center"/>
          </w:tcPr>
          <w:p w14:paraId="48D12DB0">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kern w:val="0"/>
                <w:sz w:val="21"/>
                <w:szCs w:val="21"/>
                <w:highlight w:val="none"/>
                <w:u w:val="none"/>
                <w:lang w:val="en-US" w:eastAsia="zh-CN" w:bidi="ar"/>
              </w:rPr>
            </w:pPr>
          </w:p>
        </w:tc>
      </w:tr>
      <w:tr w14:paraId="6CEA0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blHeader/>
        </w:trPr>
        <w:tc>
          <w:tcPr>
            <w:tcW w:w="1056" w:type="dxa"/>
            <w:noWrap w:val="0"/>
            <w:tcMar>
              <w:top w:w="15" w:type="dxa"/>
              <w:left w:w="15" w:type="dxa"/>
              <w:right w:w="15" w:type="dxa"/>
            </w:tcMar>
            <w:vAlign w:val="center"/>
          </w:tcPr>
          <w:p w14:paraId="79165F22">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2</w:t>
            </w:r>
          </w:p>
        </w:tc>
        <w:tc>
          <w:tcPr>
            <w:tcW w:w="3345" w:type="dxa"/>
            <w:noWrap w:val="0"/>
            <w:tcMar>
              <w:top w:w="15" w:type="dxa"/>
              <w:left w:w="15" w:type="dxa"/>
              <w:right w:w="15" w:type="dxa"/>
            </w:tcMar>
            <w:vAlign w:val="center"/>
          </w:tcPr>
          <w:p w14:paraId="5C8001F3">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lang w:val="en-US"/>
              </w:rPr>
            </w:pPr>
            <w:r>
              <w:rPr>
                <w:rFonts w:hint="eastAsia" w:ascii="宋体" w:hAnsi="宋体" w:eastAsia="宋体" w:cs="宋体"/>
                <w:color w:val="auto"/>
                <w:sz w:val="24"/>
                <w:szCs w:val="24"/>
                <w:highlight w:val="none"/>
                <w:lang w:val="en-US" w:eastAsia="zh-CN"/>
              </w:rPr>
              <w:t>南宁市人民公园</w:t>
            </w:r>
          </w:p>
        </w:tc>
        <w:tc>
          <w:tcPr>
            <w:tcW w:w="1327" w:type="dxa"/>
            <w:noWrap w:val="0"/>
            <w:tcMar>
              <w:top w:w="15" w:type="dxa"/>
              <w:left w:w="15" w:type="dxa"/>
              <w:right w:w="15" w:type="dxa"/>
            </w:tcMar>
            <w:vAlign w:val="center"/>
          </w:tcPr>
          <w:p w14:paraId="7FA5B292">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项</w:t>
            </w:r>
          </w:p>
        </w:tc>
        <w:tc>
          <w:tcPr>
            <w:tcW w:w="1230" w:type="dxa"/>
            <w:noWrap w:val="0"/>
            <w:tcMar>
              <w:top w:w="15" w:type="dxa"/>
              <w:left w:w="15" w:type="dxa"/>
              <w:right w:w="15" w:type="dxa"/>
            </w:tcMar>
            <w:vAlign w:val="center"/>
          </w:tcPr>
          <w:p w14:paraId="50301F45">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2767" w:type="dxa"/>
            <w:noWrap w:val="0"/>
            <w:tcMar>
              <w:top w:w="15" w:type="dxa"/>
              <w:left w:w="15" w:type="dxa"/>
              <w:right w:w="15" w:type="dxa"/>
            </w:tcMar>
            <w:vAlign w:val="center"/>
          </w:tcPr>
          <w:p w14:paraId="13D1E8F1">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kern w:val="0"/>
                <w:sz w:val="21"/>
                <w:szCs w:val="21"/>
                <w:highlight w:val="none"/>
                <w:u w:val="none"/>
                <w:lang w:val="en-US" w:eastAsia="zh-CN" w:bidi="ar"/>
              </w:rPr>
            </w:pPr>
          </w:p>
        </w:tc>
      </w:tr>
      <w:tr w14:paraId="680F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blHeader/>
        </w:trPr>
        <w:tc>
          <w:tcPr>
            <w:tcW w:w="1056" w:type="dxa"/>
            <w:noWrap w:val="0"/>
            <w:tcMar>
              <w:top w:w="15" w:type="dxa"/>
              <w:left w:w="15" w:type="dxa"/>
              <w:right w:w="15" w:type="dxa"/>
            </w:tcMar>
            <w:vAlign w:val="center"/>
          </w:tcPr>
          <w:p w14:paraId="0F752EBB">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3</w:t>
            </w:r>
          </w:p>
        </w:tc>
        <w:tc>
          <w:tcPr>
            <w:tcW w:w="3345" w:type="dxa"/>
            <w:noWrap w:val="0"/>
            <w:tcMar>
              <w:top w:w="15" w:type="dxa"/>
              <w:left w:w="15" w:type="dxa"/>
              <w:right w:w="15" w:type="dxa"/>
            </w:tcMar>
            <w:vAlign w:val="center"/>
          </w:tcPr>
          <w:p w14:paraId="224C1C8E">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color w:val="auto"/>
                <w:sz w:val="24"/>
                <w:szCs w:val="24"/>
                <w:highlight w:val="none"/>
                <w:lang w:val="en-US" w:eastAsia="zh-CN"/>
              </w:rPr>
              <w:t>南宁市</w:t>
            </w:r>
            <w:r>
              <w:rPr>
                <w:rFonts w:hint="eastAsia" w:ascii="宋体" w:hAnsi="宋体" w:cs="宋体"/>
                <w:color w:val="auto"/>
                <w:sz w:val="24"/>
                <w:szCs w:val="24"/>
                <w:highlight w:val="none"/>
                <w:lang w:val="en-US" w:eastAsia="zh-CN"/>
              </w:rPr>
              <w:t>金花茶</w:t>
            </w:r>
            <w:r>
              <w:rPr>
                <w:rFonts w:hint="eastAsia" w:ascii="宋体" w:hAnsi="宋体" w:eastAsia="宋体" w:cs="宋体"/>
                <w:color w:val="auto"/>
                <w:sz w:val="24"/>
                <w:szCs w:val="24"/>
                <w:highlight w:val="none"/>
                <w:lang w:val="en-US" w:eastAsia="zh-CN"/>
              </w:rPr>
              <w:t>公园</w:t>
            </w:r>
          </w:p>
        </w:tc>
        <w:tc>
          <w:tcPr>
            <w:tcW w:w="1327" w:type="dxa"/>
            <w:noWrap w:val="0"/>
            <w:tcMar>
              <w:top w:w="15" w:type="dxa"/>
              <w:left w:w="15" w:type="dxa"/>
              <w:right w:w="15" w:type="dxa"/>
            </w:tcMar>
            <w:vAlign w:val="center"/>
          </w:tcPr>
          <w:p w14:paraId="3F9DABE0">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项</w:t>
            </w:r>
          </w:p>
        </w:tc>
        <w:tc>
          <w:tcPr>
            <w:tcW w:w="1230" w:type="dxa"/>
            <w:noWrap w:val="0"/>
            <w:tcMar>
              <w:top w:w="15" w:type="dxa"/>
              <w:left w:w="15" w:type="dxa"/>
              <w:right w:w="15" w:type="dxa"/>
            </w:tcMar>
            <w:vAlign w:val="center"/>
          </w:tcPr>
          <w:p w14:paraId="3CD68619">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lang w:val="en-US" w:eastAsia="zh-CN"/>
              </w:rPr>
            </w:pPr>
            <w:r>
              <w:rPr>
                <w:rFonts w:hint="eastAsia" w:ascii="宋体" w:hAnsi="宋体" w:eastAsia="宋体" w:cs="宋体"/>
                <w:i w:val="0"/>
                <w:color w:val="auto"/>
                <w:sz w:val="21"/>
                <w:szCs w:val="21"/>
                <w:highlight w:val="none"/>
                <w:u w:val="none"/>
                <w:lang w:val="en-US" w:eastAsia="zh-CN"/>
              </w:rPr>
              <w:t>1</w:t>
            </w:r>
          </w:p>
        </w:tc>
        <w:tc>
          <w:tcPr>
            <w:tcW w:w="2767" w:type="dxa"/>
            <w:noWrap w:val="0"/>
            <w:tcMar>
              <w:top w:w="15" w:type="dxa"/>
              <w:left w:w="15" w:type="dxa"/>
              <w:right w:w="15" w:type="dxa"/>
            </w:tcMar>
            <w:vAlign w:val="center"/>
          </w:tcPr>
          <w:p w14:paraId="67E82C34">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kern w:val="0"/>
                <w:sz w:val="21"/>
                <w:szCs w:val="21"/>
                <w:highlight w:val="none"/>
                <w:u w:val="none"/>
                <w:lang w:val="en-US" w:eastAsia="zh-CN" w:bidi="ar"/>
              </w:rPr>
            </w:pPr>
          </w:p>
        </w:tc>
      </w:tr>
      <w:tr w14:paraId="3D33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blHeader/>
        </w:trPr>
        <w:tc>
          <w:tcPr>
            <w:tcW w:w="1056" w:type="dxa"/>
            <w:noWrap w:val="0"/>
            <w:tcMar>
              <w:top w:w="15" w:type="dxa"/>
              <w:left w:w="15" w:type="dxa"/>
              <w:right w:w="15" w:type="dxa"/>
            </w:tcMar>
            <w:vAlign w:val="center"/>
          </w:tcPr>
          <w:p w14:paraId="00A3AF77">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4</w:t>
            </w:r>
          </w:p>
        </w:tc>
        <w:tc>
          <w:tcPr>
            <w:tcW w:w="3345" w:type="dxa"/>
            <w:noWrap w:val="0"/>
            <w:tcMar>
              <w:top w:w="15" w:type="dxa"/>
              <w:left w:w="15" w:type="dxa"/>
              <w:right w:w="15" w:type="dxa"/>
            </w:tcMar>
            <w:vAlign w:val="center"/>
          </w:tcPr>
          <w:p w14:paraId="43410023">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color w:val="auto"/>
                <w:sz w:val="24"/>
                <w:szCs w:val="24"/>
                <w:highlight w:val="none"/>
                <w:lang w:val="en-US" w:eastAsia="zh-CN"/>
              </w:rPr>
              <w:t>南宁市石门公园</w:t>
            </w:r>
          </w:p>
        </w:tc>
        <w:tc>
          <w:tcPr>
            <w:tcW w:w="1327" w:type="dxa"/>
            <w:noWrap w:val="0"/>
            <w:tcMar>
              <w:top w:w="15" w:type="dxa"/>
              <w:left w:w="15" w:type="dxa"/>
              <w:right w:w="15" w:type="dxa"/>
            </w:tcMar>
            <w:vAlign w:val="center"/>
          </w:tcPr>
          <w:p w14:paraId="505A23AE">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kern w:val="0"/>
                <w:sz w:val="21"/>
                <w:szCs w:val="21"/>
                <w:highlight w:val="none"/>
                <w:u w:val="none"/>
                <w:lang w:val="en-US" w:eastAsia="zh-CN" w:bidi="ar"/>
              </w:rPr>
            </w:pPr>
            <w:r>
              <w:rPr>
                <w:rFonts w:hint="eastAsia" w:ascii="宋体" w:hAnsi="宋体" w:eastAsia="宋体" w:cs="宋体"/>
                <w:i w:val="0"/>
                <w:color w:val="auto"/>
                <w:kern w:val="0"/>
                <w:sz w:val="21"/>
                <w:szCs w:val="21"/>
                <w:highlight w:val="none"/>
                <w:u w:val="none"/>
                <w:lang w:val="en-US" w:eastAsia="zh-CN" w:bidi="ar"/>
              </w:rPr>
              <w:t>项</w:t>
            </w:r>
          </w:p>
        </w:tc>
        <w:tc>
          <w:tcPr>
            <w:tcW w:w="1230" w:type="dxa"/>
            <w:noWrap w:val="0"/>
            <w:tcMar>
              <w:top w:w="15" w:type="dxa"/>
              <w:left w:w="15" w:type="dxa"/>
              <w:right w:w="15" w:type="dxa"/>
            </w:tcMar>
            <w:vAlign w:val="center"/>
          </w:tcPr>
          <w:p w14:paraId="40A620A9">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1</w:t>
            </w:r>
          </w:p>
        </w:tc>
        <w:tc>
          <w:tcPr>
            <w:tcW w:w="2767" w:type="dxa"/>
            <w:noWrap w:val="0"/>
            <w:tcMar>
              <w:top w:w="15" w:type="dxa"/>
              <w:left w:w="15" w:type="dxa"/>
              <w:right w:w="15" w:type="dxa"/>
            </w:tcMar>
            <w:vAlign w:val="center"/>
          </w:tcPr>
          <w:p w14:paraId="047113D7">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kern w:val="0"/>
                <w:sz w:val="21"/>
                <w:szCs w:val="21"/>
                <w:highlight w:val="none"/>
                <w:u w:val="none"/>
                <w:lang w:val="en-US" w:eastAsia="zh-CN" w:bidi="ar"/>
              </w:rPr>
            </w:pPr>
          </w:p>
        </w:tc>
      </w:tr>
      <w:tr w14:paraId="2BA9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atLeast"/>
          <w:tblHeader/>
        </w:trPr>
        <w:tc>
          <w:tcPr>
            <w:tcW w:w="1056" w:type="dxa"/>
            <w:noWrap w:val="0"/>
            <w:tcMar>
              <w:top w:w="15" w:type="dxa"/>
              <w:left w:w="15" w:type="dxa"/>
              <w:right w:w="15" w:type="dxa"/>
            </w:tcMar>
            <w:vAlign w:val="center"/>
          </w:tcPr>
          <w:p w14:paraId="509598B8">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sz w:val="21"/>
                <w:szCs w:val="21"/>
                <w:highlight w:val="none"/>
                <w:u w:val="none"/>
              </w:rPr>
            </w:pPr>
            <w:r>
              <w:rPr>
                <w:rFonts w:hint="eastAsia" w:ascii="宋体" w:hAnsi="宋体" w:eastAsia="宋体" w:cs="宋体"/>
                <w:i w:val="0"/>
                <w:color w:val="auto"/>
                <w:kern w:val="0"/>
                <w:sz w:val="21"/>
                <w:szCs w:val="21"/>
                <w:highlight w:val="none"/>
                <w:u w:val="none"/>
                <w:lang w:val="en-US" w:eastAsia="zh-CN" w:bidi="ar"/>
              </w:rPr>
              <w:t>5</w:t>
            </w:r>
          </w:p>
        </w:tc>
        <w:tc>
          <w:tcPr>
            <w:tcW w:w="3345" w:type="dxa"/>
            <w:noWrap w:val="0"/>
            <w:tcMar>
              <w:top w:w="15" w:type="dxa"/>
              <w:left w:w="15" w:type="dxa"/>
              <w:right w:w="15" w:type="dxa"/>
            </w:tcMar>
            <w:vAlign w:val="center"/>
          </w:tcPr>
          <w:p w14:paraId="46391B0D">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color w:val="auto"/>
                <w:sz w:val="21"/>
                <w:szCs w:val="21"/>
                <w:highlight w:val="none"/>
                <w:u w:val="none"/>
              </w:rPr>
            </w:pPr>
            <w:r>
              <w:rPr>
                <w:rFonts w:hint="eastAsia" w:ascii="宋体" w:hAnsi="宋体" w:eastAsia="宋体" w:cs="宋体"/>
                <w:color w:val="auto"/>
                <w:sz w:val="24"/>
                <w:szCs w:val="24"/>
                <w:highlight w:val="none"/>
                <w:lang w:val="en-US" w:eastAsia="zh-CN"/>
              </w:rPr>
              <w:t>南宁市花卉公园</w:t>
            </w:r>
          </w:p>
        </w:tc>
        <w:tc>
          <w:tcPr>
            <w:tcW w:w="1327" w:type="dxa"/>
            <w:noWrap w:val="0"/>
            <w:tcMar>
              <w:top w:w="15" w:type="dxa"/>
              <w:left w:w="15" w:type="dxa"/>
              <w:right w:w="15" w:type="dxa"/>
            </w:tcMar>
            <w:vAlign w:val="center"/>
          </w:tcPr>
          <w:p w14:paraId="48B4F0C7">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eastAsia" w:ascii="宋体" w:hAnsi="宋体" w:eastAsia="宋体" w:cs="宋体"/>
                <w:color w:val="auto"/>
                <w:sz w:val="21"/>
                <w:szCs w:val="21"/>
                <w:highlight w:val="none"/>
                <w:u w:val="none"/>
                <w:lang w:val="en-US" w:eastAsia="zh-CN"/>
              </w:rPr>
            </w:pPr>
            <w:r>
              <w:rPr>
                <w:rFonts w:hint="eastAsia" w:ascii="宋体" w:hAnsi="宋体" w:eastAsia="宋体" w:cs="宋体"/>
                <w:i w:val="0"/>
                <w:color w:val="auto"/>
                <w:kern w:val="0"/>
                <w:sz w:val="21"/>
                <w:szCs w:val="21"/>
                <w:highlight w:val="none"/>
                <w:u w:val="none"/>
                <w:lang w:val="en-US" w:eastAsia="zh-CN" w:bidi="ar"/>
              </w:rPr>
              <w:t>项</w:t>
            </w:r>
          </w:p>
        </w:tc>
        <w:tc>
          <w:tcPr>
            <w:tcW w:w="1230" w:type="dxa"/>
            <w:noWrap w:val="0"/>
            <w:tcMar>
              <w:top w:w="15" w:type="dxa"/>
              <w:left w:w="15" w:type="dxa"/>
              <w:right w:w="15" w:type="dxa"/>
            </w:tcMar>
            <w:vAlign w:val="center"/>
          </w:tcPr>
          <w:p w14:paraId="3F2BE163">
            <w:pPr>
              <w:keepNext w:val="0"/>
              <w:keepLines w:val="0"/>
              <w:pageBreakBefore w:val="0"/>
              <w:widowControl/>
              <w:suppressLineNumbers w:val="0"/>
              <w:shd w:val="clear"/>
              <w:kinsoku/>
              <w:wordWrap/>
              <w:overflowPunct/>
              <w:topLinePunct w:val="0"/>
              <w:autoSpaceDE/>
              <w:autoSpaceDN/>
              <w:bidi w:val="0"/>
              <w:adjustRightInd/>
              <w:spacing w:line="360" w:lineRule="auto"/>
              <w:jc w:val="center"/>
              <w:textAlignment w:val="center"/>
              <w:rPr>
                <w:rFonts w:hint="default" w:ascii="宋体" w:hAnsi="宋体" w:eastAsia="宋体" w:cs="宋体"/>
                <w:i w:val="0"/>
                <w:color w:val="auto"/>
                <w:sz w:val="21"/>
                <w:szCs w:val="21"/>
                <w:highlight w:val="none"/>
                <w:u w:val="none"/>
                <w:lang w:val="en-US"/>
              </w:rPr>
            </w:pPr>
            <w:r>
              <w:rPr>
                <w:rFonts w:hint="eastAsia" w:ascii="宋体" w:hAnsi="宋体" w:eastAsia="宋体" w:cs="宋体"/>
                <w:i w:val="0"/>
                <w:color w:val="auto"/>
                <w:kern w:val="0"/>
                <w:sz w:val="21"/>
                <w:szCs w:val="21"/>
                <w:highlight w:val="none"/>
                <w:u w:val="none"/>
                <w:lang w:val="en-US" w:eastAsia="zh-CN" w:bidi="ar"/>
              </w:rPr>
              <w:t>1</w:t>
            </w:r>
          </w:p>
        </w:tc>
        <w:tc>
          <w:tcPr>
            <w:tcW w:w="2767" w:type="dxa"/>
            <w:noWrap w:val="0"/>
            <w:tcMar>
              <w:top w:w="15" w:type="dxa"/>
              <w:left w:w="15" w:type="dxa"/>
              <w:right w:w="15" w:type="dxa"/>
            </w:tcMar>
            <w:vAlign w:val="center"/>
          </w:tcPr>
          <w:p w14:paraId="15EC04D8">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kern w:val="0"/>
                <w:sz w:val="21"/>
                <w:szCs w:val="21"/>
                <w:highlight w:val="none"/>
                <w:u w:val="none"/>
                <w:lang w:val="en-US" w:eastAsia="zh-CN" w:bidi="ar"/>
              </w:rPr>
            </w:pPr>
          </w:p>
        </w:tc>
      </w:tr>
      <w:tr w14:paraId="6EBA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tblHeader/>
        </w:trPr>
        <w:tc>
          <w:tcPr>
            <w:tcW w:w="6958" w:type="dxa"/>
            <w:gridSpan w:val="4"/>
            <w:noWrap w:val="0"/>
            <w:tcMar>
              <w:top w:w="15" w:type="dxa"/>
              <w:left w:w="15" w:type="dxa"/>
              <w:right w:w="15" w:type="dxa"/>
            </w:tcMar>
            <w:vAlign w:val="center"/>
          </w:tcPr>
          <w:p w14:paraId="020D28A1">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b/>
                <w:bCs/>
                <w:i w:val="0"/>
                <w:color w:val="auto"/>
                <w:kern w:val="0"/>
                <w:sz w:val="21"/>
                <w:szCs w:val="21"/>
                <w:highlight w:val="none"/>
                <w:u w:val="none"/>
                <w:lang w:val="en-US" w:eastAsia="zh-CN" w:bidi="ar"/>
              </w:rPr>
            </w:pPr>
            <w:r>
              <w:rPr>
                <w:rFonts w:hint="eastAsia" w:ascii="宋体" w:hAnsi="宋体" w:cs="宋体"/>
                <w:b/>
                <w:bCs/>
                <w:i w:val="0"/>
                <w:color w:val="auto"/>
                <w:kern w:val="0"/>
                <w:sz w:val="21"/>
                <w:szCs w:val="21"/>
                <w:highlight w:val="none"/>
                <w:u w:val="none"/>
                <w:lang w:val="en-US" w:eastAsia="zh-CN" w:bidi="ar"/>
              </w:rPr>
              <w:t xml:space="preserve">                              </w:t>
            </w:r>
            <w:r>
              <w:rPr>
                <w:rFonts w:hint="eastAsia" w:ascii="宋体" w:hAnsi="宋体" w:eastAsia="宋体" w:cs="宋体"/>
                <w:b/>
                <w:bCs/>
                <w:i w:val="0"/>
                <w:color w:val="auto"/>
                <w:kern w:val="0"/>
                <w:sz w:val="21"/>
                <w:szCs w:val="21"/>
                <w:highlight w:val="none"/>
                <w:u w:val="none"/>
                <w:lang w:val="en-US" w:eastAsia="zh-CN" w:bidi="ar"/>
              </w:rPr>
              <w:t>单价合计（元）</w:t>
            </w:r>
          </w:p>
        </w:tc>
        <w:tc>
          <w:tcPr>
            <w:tcW w:w="2767" w:type="dxa"/>
            <w:noWrap/>
            <w:tcMar>
              <w:top w:w="15" w:type="dxa"/>
              <w:left w:w="15" w:type="dxa"/>
              <w:right w:w="15" w:type="dxa"/>
            </w:tcMar>
            <w:vAlign w:val="center"/>
          </w:tcPr>
          <w:p w14:paraId="7A9F5037">
            <w:pPr>
              <w:keepNext w:val="0"/>
              <w:keepLines w:val="0"/>
              <w:pageBreakBefore w:val="0"/>
              <w:widowControl/>
              <w:suppressLineNumbers w:val="0"/>
              <w:shd w:val="clear"/>
              <w:kinsoku/>
              <w:wordWrap/>
              <w:overflowPunct/>
              <w:topLinePunct w:val="0"/>
              <w:autoSpaceDE/>
              <w:autoSpaceDN/>
              <w:bidi w:val="0"/>
              <w:adjustRightInd/>
              <w:spacing w:line="560" w:lineRule="exact"/>
              <w:jc w:val="center"/>
              <w:textAlignment w:val="center"/>
              <w:rPr>
                <w:rFonts w:hint="eastAsia" w:ascii="宋体" w:hAnsi="宋体" w:eastAsia="宋体" w:cs="宋体"/>
                <w:i w:val="0"/>
                <w:color w:val="auto"/>
                <w:kern w:val="0"/>
                <w:sz w:val="21"/>
                <w:szCs w:val="21"/>
                <w:highlight w:val="none"/>
                <w:u w:val="none"/>
                <w:lang w:val="en-US" w:eastAsia="zh-CN" w:bidi="ar"/>
              </w:rPr>
            </w:pPr>
          </w:p>
        </w:tc>
      </w:tr>
    </w:tbl>
    <w:p w14:paraId="6F92D625">
      <w:pPr>
        <w:shd w:val="clear"/>
        <w:wordWrap w:val="0"/>
        <w:snapToGrid w:val="0"/>
        <w:spacing w:line="360" w:lineRule="auto"/>
        <w:ind w:firstLine="4620" w:firstLineChars="2100"/>
        <w:rPr>
          <w:rFonts w:hint="eastAsia" w:ascii="宋体" w:hAnsi="宋体" w:eastAsia="宋体" w:cs="宋体"/>
          <w:color w:val="auto"/>
          <w:kern w:val="0"/>
          <w:sz w:val="22"/>
          <w:szCs w:val="22"/>
          <w:highlight w:val="none"/>
          <w:lang w:val="zh-CN"/>
        </w:rPr>
      </w:pPr>
    </w:p>
    <w:p w14:paraId="21381E89">
      <w:pPr>
        <w:shd w:val="clear"/>
        <w:wordWrap w:val="0"/>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 xml:space="preserve">注： </w:t>
      </w:r>
    </w:p>
    <w:p w14:paraId="074CCA9B">
      <w:pPr>
        <w:shd w:val="clear"/>
        <w:wordWrap w:val="0"/>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zh-CN"/>
        </w:rPr>
        <w:t>投标人需按本表格式填写，不得自行更改，也不得留空（备注</w:t>
      </w:r>
      <w:r>
        <w:rPr>
          <w:rFonts w:hint="eastAsia" w:ascii="宋体" w:hAnsi="宋体" w:eastAsia="宋体" w:cs="宋体"/>
          <w:color w:val="auto"/>
          <w:kern w:val="0"/>
          <w:sz w:val="21"/>
          <w:szCs w:val="21"/>
          <w:highlight w:val="none"/>
          <w:lang w:val="en-US" w:eastAsia="zh-CN"/>
        </w:rPr>
        <w:t>除外</w:t>
      </w:r>
      <w:r>
        <w:rPr>
          <w:rFonts w:hint="eastAsia" w:ascii="宋体" w:hAnsi="宋体" w:eastAsia="宋体" w:cs="宋体"/>
          <w:color w:val="auto"/>
          <w:kern w:val="0"/>
          <w:sz w:val="21"/>
          <w:szCs w:val="21"/>
          <w:highlight w:val="none"/>
          <w:lang w:val="zh-CN"/>
        </w:rPr>
        <w:t>）, 如有多分标，按分标分别提供开标一览表，必须加盖投标人有效电子公章，</w:t>
      </w:r>
      <w:r>
        <w:rPr>
          <w:rFonts w:hint="eastAsia" w:ascii="宋体" w:hAnsi="宋体" w:eastAsia="宋体" w:cs="宋体"/>
          <w:b/>
          <w:color w:val="auto"/>
          <w:kern w:val="0"/>
          <w:sz w:val="21"/>
          <w:szCs w:val="21"/>
          <w:highlight w:val="none"/>
          <w:lang w:val="zh-CN"/>
        </w:rPr>
        <w:t>否则其投标作无效标处理。</w:t>
      </w:r>
    </w:p>
    <w:p w14:paraId="4462D33F">
      <w:pPr>
        <w:shd w:val="clear"/>
        <w:wordWrap w:val="0"/>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zh-CN"/>
        </w:rPr>
        <w:t>本表内容均不能涂改，</w:t>
      </w:r>
      <w:r>
        <w:rPr>
          <w:rFonts w:hint="eastAsia" w:ascii="宋体" w:hAnsi="宋体" w:eastAsia="宋体" w:cs="宋体"/>
          <w:b/>
          <w:color w:val="auto"/>
          <w:kern w:val="0"/>
          <w:sz w:val="21"/>
          <w:szCs w:val="21"/>
          <w:highlight w:val="none"/>
          <w:lang w:val="zh-CN"/>
        </w:rPr>
        <w:t>否则其投标作无效标处理。</w:t>
      </w:r>
    </w:p>
    <w:p w14:paraId="1E47BEA4">
      <w:pPr>
        <w:shd w:val="clear"/>
        <w:wordWrap w:val="0"/>
        <w:snapToGrid w:val="0"/>
        <w:spacing w:line="360" w:lineRule="auto"/>
        <w:ind w:firstLine="420" w:firstLineChars="200"/>
        <w:jc w:val="left"/>
        <w:rPr>
          <w:rFonts w:hint="eastAsia" w:ascii="宋体" w:hAnsi="宋体" w:eastAsia="宋体" w:cs="宋体"/>
          <w:b/>
          <w:color w:val="auto"/>
          <w:kern w:val="0"/>
          <w:sz w:val="21"/>
          <w:szCs w:val="21"/>
          <w:highlight w:val="none"/>
          <w:lang w:val="zh-CN"/>
        </w:rPr>
      </w:pPr>
      <w:r>
        <w:rPr>
          <w:rFonts w:hint="eastAsia" w:ascii="宋体" w:hAnsi="宋体" w:eastAsia="宋体" w:cs="宋体"/>
          <w:color w:val="auto"/>
          <w:kern w:val="0"/>
          <w:sz w:val="21"/>
          <w:szCs w:val="21"/>
          <w:highlight w:val="none"/>
          <w:lang w:val="zh-CN"/>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zh-CN"/>
        </w:rPr>
        <w:t>如为联合体投标，“投标人名称”处必须列明联合体各方名称，并标注联合体牵头人名称，且盖章处须加盖联合体各方公章，</w:t>
      </w:r>
      <w:r>
        <w:rPr>
          <w:rFonts w:hint="eastAsia" w:ascii="宋体" w:hAnsi="宋体" w:eastAsia="宋体" w:cs="宋体"/>
          <w:b/>
          <w:color w:val="auto"/>
          <w:kern w:val="0"/>
          <w:sz w:val="21"/>
          <w:szCs w:val="21"/>
          <w:highlight w:val="none"/>
          <w:lang w:val="zh-CN"/>
        </w:rPr>
        <w:t>否则其投标作无效标处理。</w:t>
      </w:r>
    </w:p>
    <w:p w14:paraId="41B93398">
      <w:pPr>
        <w:shd w:val="clear"/>
        <w:wordWrap w:val="0"/>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zh-CN"/>
        </w:rPr>
        <w:t>以上表格要求细分项目及报价，在“具体服务内容”一栏中，填写具体服务范围、服务时间、服务标准，</w:t>
      </w:r>
      <w:r>
        <w:rPr>
          <w:rFonts w:hint="eastAsia" w:ascii="宋体" w:hAnsi="宋体" w:eastAsia="宋体" w:cs="宋体"/>
          <w:b/>
          <w:color w:val="auto"/>
          <w:kern w:val="0"/>
          <w:sz w:val="21"/>
          <w:szCs w:val="21"/>
          <w:highlight w:val="none"/>
          <w:lang w:val="zh-CN"/>
        </w:rPr>
        <w:t>否则其投标作无效</w:t>
      </w:r>
      <w:r>
        <w:rPr>
          <w:rFonts w:hint="eastAsia" w:ascii="宋体" w:hAnsi="宋体" w:eastAsia="宋体" w:cs="宋体"/>
          <w:b/>
          <w:color w:val="auto"/>
          <w:kern w:val="0"/>
          <w:sz w:val="21"/>
          <w:szCs w:val="21"/>
          <w:highlight w:val="none"/>
          <w:lang w:val="en-US" w:eastAsia="zh-CN"/>
        </w:rPr>
        <w:t>投</w:t>
      </w:r>
      <w:r>
        <w:rPr>
          <w:rFonts w:hint="eastAsia" w:ascii="宋体" w:hAnsi="宋体" w:eastAsia="宋体" w:cs="宋体"/>
          <w:b/>
          <w:color w:val="auto"/>
          <w:kern w:val="0"/>
          <w:sz w:val="21"/>
          <w:szCs w:val="21"/>
          <w:highlight w:val="none"/>
          <w:lang w:val="zh-CN"/>
        </w:rPr>
        <w:t>标处理。</w:t>
      </w:r>
    </w:p>
    <w:p w14:paraId="3E11E96B">
      <w:pPr>
        <w:shd w:val="clear"/>
        <w:wordWrap w:val="0"/>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5</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zh-CN"/>
        </w:rPr>
        <w:t>特别提示：采购机构将对项目名称和项目编号，中标供应商名称、地址和中标金额，主要中标标的的名称、服务范围、服务要求、服务时间、服务标准等予以公示。</w:t>
      </w:r>
    </w:p>
    <w:p w14:paraId="523122A3">
      <w:pPr>
        <w:shd w:val="clear"/>
        <w:wordWrap w:val="0"/>
        <w:snapToGrid w:val="0"/>
        <w:spacing w:line="360" w:lineRule="auto"/>
        <w:ind w:firstLine="420" w:firstLineChars="200"/>
        <w:jc w:val="left"/>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zh-CN"/>
        </w:rPr>
        <w:t>符合招标文件中列明的可享受</w:t>
      </w:r>
      <w:r>
        <w:rPr>
          <w:rFonts w:hint="eastAsia" w:ascii="宋体" w:hAnsi="宋体" w:cs="宋体"/>
          <w:color w:val="auto"/>
          <w:kern w:val="0"/>
          <w:sz w:val="21"/>
          <w:szCs w:val="21"/>
          <w:highlight w:val="none"/>
          <w:lang w:val="en-US" w:eastAsia="zh-CN"/>
        </w:rPr>
        <w:t>中小</w:t>
      </w:r>
      <w:r>
        <w:rPr>
          <w:rFonts w:hint="eastAsia" w:ascii="宋体" w:hAnsi="宋体" w:eastAsia="宋体" w:cs="宋体"/>
          <w:color w:val="auto"/>
          <w:kern w:val="0"/>
          <w:sz w:val="21"/>
          <w:szCs w:val="21"/>
          <w:highlight w:val="none"/>
          <w:lang w:val="zh-CN"/>
        </w:rPr>
        <w:t>企业扶持政策的投标人，请填写《</w:t>
      </w:r>
      <w:r>
        <w:rPr>
          <w:rFonts w:hint="eastAsia" w:ascii="宋体" w:hAnsi="宋体" w:cs="宋体"/>
          <w:color w:val="auto"/>
          <w:kern w:val="0"/>
          <w:sz w:val="21"/>
          <w:szCs w:val="21"/>
          <w:highlight w:val="none"/>
          <w:lang w:val="zh-CN"/>
        </w:rPr>
        <w:t>中小</w:t>
      </w:r>
      <w:r>
        <w:rPr>
          <w:rFonts w:hint="eastAsia" w:ascii="宋体" w:hAnsi="宋体" w:eastAsia="宋体" w:cs="宋体"/>
          <w:color w:val="auto"/>
          <w:kern w:val="0"/>
          <w:sz w:val="21"/>
          <w:szCs w:val="21"/>
          <w:highlight w:val="none"/>
          <w:lang w:val="zh-CN"/>
        </w:rPr>
        <w:t>企业声明函》。注：投标人提供的《</w:t>
      </w:r>
      <w:r>
        <w:rPr>
          <w:rFonts w:hint="eastAsia" w:ascii="宋体" w:hAnsi="宋体" w:cs="宋体"/>
          <w:color w:val="auto"/>
          <w:kern w:val="0"/>
          <w:sz w:val="21"/>
          <w:szCs w:val="21"/>
          <w:highlight w:val="none"/>
          <w:lang w:val="zh-CN"/>
        </w:rPr>
        <w:t>中小</w:t>
      </w:r>
      <w:r>
        <w:rPr>
          <w:rFonts w:hint="eastAsia" w:ascii="宋体" w:hAnsi="宋体" w:eastAsia="宋体" w:cs="宋体"/>
          <w:color w:val="auto"/>
          <w:kern w:val="0"/>
          <w:sz w:val="21"/>
          <w:szCs w:val="21"/>
          <w:highlight w:val="none"/>
          <w:lang w:val="zh-CN"/>
        </w:rPr>
        <w:t>企业声明函》内容不实的，属于提供虚假材料谋取中标、成交，依照《中华人民共和国政府采购法》等国家有关规定追究相应责任。</w:t>
      </w:r>
    </w:p>
    <w:p w14:paraId="3597FAD9">
      <w:pPr>
        <w:shd w:val="clear"/>
        <w:wordWrap w:val="0"/>
        <w:snapToGrid w:val="0"/>
        <w:spacing w:line="360" w:lineRule="auto"/>
        <w:ind w:firstLine="4620" w:firstLineChars="21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zh-CN"/>
        </w:rPr>
        <w:t>投标人名称(电子签章)：</w:t>
      </w:r>
    </w:p>
    <w:p w14:paraId="583A6A05">
      <w:pPr>
        <w:shd w:val="clear"/>
        <w:wordWrap w:val="0"/>
        <w:snapToGrid w:val="0"/>
        <w:spacing w:line="360" w:lineRule="auto"/>
        <w:ind w:firstLine="473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2"/>
          <w:szCs w:val="22"/>
          <w:highlight w:val="none"/>
          <w:lang w:val="zh-CN"/>
        </w:rPr>
        <w:t>日期</w:t>
      </w:r>
      <w:r>
        <w:rPr>
          <w:rFonts w:hint="eastAsia" w:ascii="宋体" w:hAnsi="宋体" w:eastAsia="宋体" w:cs="宋体"/>
          <w:color w:val="auto"/>
          <w:kern w:val="0"/>
          <w:sz w:val="22"/>
          <w:szCs w:val="22"/>
          <w:highlight w:val="none"/>
        </w:rPr>
        <w:t xml:space="preserve">：  年  </w:t>
      </w:r>
      <w:r>
        <w:rPr>
          <w:rFonts w:hint="eastAsia" w:ascii="宋体" w:hAnsi="宋体" w:eastAsia="宋体" w:cs="宋体"/>
          <w:color w:val="auto"/>
          <w:kern w:val="0"/>
          <w:sz w:val="22"/>
          <w:szCs w:val="22"/>
          <w:highlight w:val="none"/>
          <w:lang w:val="zh-CN"/>
        </w:rPr>
        <w:t>月</w:t>
      </w:r>
      <w:r>
        <w:rPr>
          <w:rFonts w:hint="eastAsia" w:ascii="宋体" w:hAnsi="宋体" w:eastAsia="宋体" w:cs="宋体"/>
          <w:color w:val="auto"/>
          <w:kern w:val="0"/>
          <w:sz w:val="22"/>
          <w:szCs w:val="22"/>
          <w:highlight w:val="none"/>
        </w:rPr>
        <w:t xml:space="preserve">   </w:t>
      </w:r>
      <w:r>
        <w:rPr>
          <w:rFonts w:hint="eastAsia" w:ascii="宋体" w:hAnsi="宋体" w:eastAsia="宋体" w:cs="宋体"/>
          <w:color w:val="auto"/>
          <w:kern w:val="0"/>
          <w:sz w:val="22"/>
          <w:szCs w:val="22"/>
          <w:highlight w:val="none"/>
          <w:lang w:val="zh-CN"/>
        </w:rPr>
        <w:t>日</w:t>
      </w:r>
    </w:p>
    <w:p w14:paraId="08644A4B">
      <w:pPr>
        <w:rPr>
          <w:rFonts w:hint="eastAsia" w:ascii="宋体" w:hAnsi="宋体" w:eastAsia="宋体" w:cs="宋体"/>
          <w:color w:val="auto"/>
          <w:kern w:val="0"/>
          <w:sz w:val="22"/>
          <w:szCs w:val="22"/>
          <w:highlight w:val="none"/>
          <w:lang w:val="zh-CN"/>
        </w:rPr>
      </w:pPr>
      <w:r>
        <w:rPr>
          <w:rFonts w:hint="eastAsia" w:ascii="宋体" w:hAnsi="宋体" w:eastAsia="宋体" w:cs="宋体"/>
          <w:color w:val="auto"/>
          <w:kern w:val="0"/>
          <w:sz w:val="22"/>
          <w:szCs w:val="22"/>
          <w:highlight w:val="none"/>
          <w:lang w:val="zh-CN"/>
        </w:rPr>
        <w:br w:type="page"/>
      </w:r>
    </w:p>
    <w:p w14:paraId="411F1725">
      <w:pPr>
        <w:pStyle w:val="13"/>
        <w:shd w:val="clear"/>
        <w:wordWrap w:val="0"/>
        <w:spacing w:line="360" w:lineRule="auto"/>
        <w:jc w:val="center"/>
        <w:rPr>
          <w:rFonts w:hint="eastAsia" w:ascii="宋体" w:hAnsi="宋体" w:eastAsia="宋体" w:cs="宋体"/>
          <w:b/>
          <w:color w:val="auto"/>
          <w:sz w:val="30"/>
          <w:szCs w:val="30"/>
          <w:highlight w:val="none"/>
        </w:rPr>
      </w:pPr>
      <w:r>
        <w:rPr>
          <w:rFonts w:hint="eastAsia" w:hAnsi="宋体" w:cs="宋体"/>
          <w:b/>
          <w:color w:val="auto"/>
          <w:sz w:val="30"/>
          <w:szCs w:val="30"/>
          <w:highlight w:val="none"/>
          <w:lang w:val="en-US" w:eastAsia="zh-CN"/>
        </w:rPr>
        <w:t>三、中小</w:t>
      </w:r>
      <w:r>
        <w:rPr>
          <w:rFonts w:hint="eastAsia" w:ascii="宋体" w:hAnsi="宋体" w:eastAsia="宋体" w:cs="宋体"/>
          <w:b/>
          <w:color w:val="auto"/>
          <w:sz w:val="30"/>
          <w:szCs w:val="30"/>
          <w:highlight w:val="none"/>
        </w:rPr>
        <w:t>企业声明函</w:t>
      </w:r>
    </w:p>
    <w:p w14:paraId="7D22529C">
      <w:pPr>
        <w:pStyle w:val="11"/>
        <w:shd w:val="clear"/>
        <w:wordWrap w:val="0"/>
        <w:spacing w:line="360" w:lineRule="auto"/>
        <w:ind w:firstLine="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p w14:paraId="2DE2D76A">
      <w:pPr>
        <w:pStyle w:val="11"/>
        <w:shd w:val="clear"/>
        <w:wordWrap w:val="0"/>
        <w:spacing w:line="360" w:lineRule="auto"/>
        <w:ind w:firstLine="40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本声明函主要供参加政府采购活动的</w:t>
      </w:r>
      <w:r>
        <w:rPr>
          <w:rFonts w:hint="eastAsia" w:hAnsi="宋体" w:cs="宋体"/>
          <w:color w:val="auto"/>
          <w:sz w:val="21"/>
          <w:szCs w:val="21"/>
          <w:highlight w:val="none"/>
          <w:lang w:val="en-US" w:eastAsia="zh-CN"/>
        </w:rPr>
        <w:t>中小</w:t>
      </w:r>
      <w:r>
        <w:rPr>
          <w:rFonts w:hint="eastAsia" w:ascii="宋体" w:hAnsi="宋体" w:eastAsia="宋体" w:cs="宋体"/>
          <w:color w:val="auto"/>
          <w:sz w:val="21"/>
          <w:szCs w:val="21"/>
          <w:highlight w:val="none"/>
        </w:rPr>
        <w:t>企业填写，非</w:t>
      </w:r>
      <w:r>
        <w:rPr>
          <w:rFonts w:hint="eastAsia" w:hAnsi="宋体" w:cs="宋体"/>
          <w:color w:val="auto"/>
          <w:sz w:val="21"/>
          <w:szCs w:val="21"/>
          <w:highlight w:val="none"/>
          <w:lang w:val="en-US" w:eastAsia="zh-CN"/>
        </w:rPr>
        <w:t>中小</w:t>
      </w:r>
      <w:r>
        <w:rPr>
          <w:rFonts w:hint="eastAsia" w:ascii="宋体" w:hAnsi="宋体" w:eastAsia="宋体" w:cs="宋体"/>
          <w:color w:val="auto"/>
          <w:sz w:val="21"/>
          <w:szCs w:val="21"/>
          <w:highlight w:val="none"/>
        </w:rPr>
        <w:t>企业无需填写。</w:t>
      </w:r>
    </w:p>
    <w:p w14:paraId="05F5050C">
      <w:pPr>
        <w:pStyle w:val="11"/>
        <w:shd w:val="clear"/>
        <w:wordWrap w:val="0"/>
        <w:spacing w:line="360" w:lineRule="auto"/>
        <w:ind w:firstLine="40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小型、微型企业提供中型企业提供的服务的，视同为中型企业。</w:t>
      </w:r>
    </w:p>
    <w:p w14:paraId="77C8CA36">
      <w:pPr>
        <w:pStyle w:val="11"/>
        <w:shd w:val="clear"/>
        <w:wordWrap w:val="0"/>
        <w:spacing w:line="360" w:lineRule="auto"/>
        <w:ind w:firstLine="404" w:firstLineChars="200"/>
        <w:rPr>
          <w:rFonts w:hint="eastAsia" w:ascii="宋体" w:hAnsi="宋体" w:eastAsia="宋体" w:cs="宋体"/>
          <w:color w:val="auto"/>
          <w:sz w:val="21"/>
          <w:szCs w:val="21"/>
          <w:highlight w:val="none"/>
        </w:rPr>
      </w:pPr>
    </w:p>
    <w:p w14:paraId="2065324B">
      <w:pPr>
        <w:pStyle w:val="10"/>
        <w:shd w:val="clear"/>
        <w:wordWrap w:val="0"/>
        <w:spacing w:after="0" w:line="360" w:lineRule="auto"/>
        <w:ind w:right="142"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本公司（联合体）郑重声明，根据《政府采购促进中小企业发展管理办法》（财库﹝2020﹞46号）的规定，本公司（联合体）参加</w:t>
      </w:r>
      <w:r>
        <w:rPr>
          <w:rFonts w:hint="eastAsia" w:ascii="宋体" w:hAnsi="宋体" w:eastAsia="宋体" w:cs="宋体"/>
          <w:color w:val="auto"/>
          <w:highlight w:val="none"/>
          <w:u w:val="single"/>
        </w:rPr>
        <w:t xml:space="preserve">   （采购人名称）           </w:t>
      </w:r>
      <w:r>
        <w:rPr>
          <w:rFonts w:hint="eastAsia" w:ascii="宋体" w:hAnsi="宋体" w:eastAsia="宋体" w:cs="宋体"/>
          <w:color w:val="auto"/>
          <w:highlight w:val="none"/>
        </w:rPr>
        <w:t>的</w:t>
      </w:r>
      <w:r>
        <w:rPr>
          <w:rFonts w:hint="eastAsia" w:ascii="宋体" w:hAnsi="宋体" w:eastAsia="宋体" w:cs="宋体"/>
          <w:color w:val="auto"/>
          <w:highlight w:val="none"/>
          <w:u w:val="single"/>
        </w:rPr>
        <w:t>（项目名称）</w:t>
      </w:r>
      <w:r>
        <w:rPr>
          <w:rFonts w:hint="eastAsia" w:ascii="宋体" w:hAnsi="宋体" w:eastAsia="宋体" w:cs="宋体"/>
          <w:color w:val="auto"/>
          <w:highlight w:val="none"/>
        </w:rPr>
        <w:t>采购活动，服务全部由符合政策要求的</w:t>
      </w:r>
      <w:r>
        <w:rPr>
          <w:rFonts w:hint="eastAsia" w:ascii="宋体" w:hAnsi="宋体" w:cs="宋体"/>
          <w:color w:val="auto"/>
          <w:highlight w:val="none"/>
          <w:lang w:val="en-US" w:eastAsia="zh-CN"/>
        </w:rPr>
        <w:t>中小</w:t>
      </w:r>
      <w:r>
        <w:rPr>
          <w:rFonts w:hint="eastAsia" w:ascii="宋体" w:hAnsi="宋体" w:eastAsia="宋体" w:cs="宋体"/>
          <w:color w:val="auto"/>
          <w:highlight w:val="none"/>
        </w:rPr>
        <w:t>企业承接。相关企业（含联合体中的</w:t>
      </w:r>
      <w:r>
        <w:rPr>
          <w:rFonts w:hint="eastAsia" w:ascii="宋体" w:hAnsi="宋体" w:cs="宋体"/>
          <w:color w:val="auto"/>
          <w:highlight w:val="none"/>
          <w:lang w:val="en-US" w:eastAsia="zh-CN"/>
        </w:rPr>
        <w:t>中小</w:t>
      </w:r>
      <w:r>
        <w:rPr>
          <w:rFonts w:hint="eastAsia" w:ascii="宋体" w:hAnsi="宋体" w:eastAsia="宋体" w:cs="宋体"/>
          <w:color w:val="auto"/>
          <w:highlight w:val="none"/>
        </w:rPr>
        <w:t>企业、签订分包意向协议的</w:t>
      </w:r>
      <w:r>
        <w:rPr>
          <w:rFonts w:hint="eastAsia" w:ascii="宋体" w:hAnsi="宋体" w:cs="宋体"/>
          <w:color w:val="auto"/>
          <w:highlight w:val="none"/>
          <w:lang w:val="en-US" w:eastAsia="zh-CN"/>
        </w:rPr>
        <w:t>中小</w:t>
      </w:r>
      <w:r>
        <w:rPr>
          <w:rFonts w:hint="eastAsia" w:ascii="宋体" w:hAnsi="宋体" w:eastAsia="宋体" w:cs="宋体"/>
          <w:color w:val="auto"/>
          <w:highlight w:val="none"/>
        </w:rPr>
        <w:t>企业）的具体情况如下：</w:t>
      </w:r>
    </w:p>
    <w:p w14:paraId="707546D8">
      <w:pPr>
        <w:shd w:val="clear"/>
        <w:tabs>
          <w:tab w:val="left" w:pos="1384"/>
          <w:tab w:val="left" w:pos="4562"/>
          <w:tab w:val="left" w:pos="6803"/>
        </w:tabs>
        <w:wordWrap w:val="0"/>
        <w:spacing w:line="360" w:lineRule="auto"/>
        <w:ind w:right="142"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u w:val="single"/>
        </w:rPr>
        <w:t>（标的名称）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，属于</w:t>
      </w:r>
      <w:r>
        <w:rPr>
          <w:rFonts w:hint="eastAsia" w:ascii="宋体" w:hAnsi="宋体" w:eastAsia="宋体" w:cs="宋体"/>
          <w:color w:val="auto"/>
          <w:szCs w:val="21"/>
          <w:highlight w:val="none"/>
          <w:u w:val="single"/>
        </w:rPr>
        <w:t>（采购文件中明确的所属行业）</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；承接企业为</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中</w:t>
      </w:r>
      <w:r>
        <w:rPr>
          <w:rFonts w:hint="eastAsia" w:ascii="宋体" w:hAnsi="宋体" w:eastAsia="宋体" w:cs="宋体"/>
          <w:color w:val="auto"/>
          <w:szCs w:val="21"/>
          <w:highlight w:val="none"/>
          <w:u w:val="single"/>
        </w:rPr>
        <w:t>型企业、</w:t>
      </w:r>
      <w:r>
        <w:rPr>
          <w:rFonts w:hint="eastAsia" w:ascii="宋体" w:hAnsi="宋体" w:eastAsia="宋体" w:cs="宋体"/>
          <w:color w:val="auto"/>
          <w:szCs w:val="21"/>
          <w:highlight w:val="none"/>
          <w:u w:val="single"/>
          <w:lang w:val="en-US" w:eastAsia="zh-CN"/>
        </w:rPr>
        <w:t>小</w:t>
      </w:r>
      <w:r>
        <w:rPr>
          <w:rFonts w:hint="eastAsia" w:ascii="宋体" w:hAnsi="宋体" w:eastAsia="宋体" w:cs="宋体"/>
          <w:color w:val="auto"/>
          <w:szCs w:val="21"/>
          <w:highlight w:val="none"/>
          <w:u w:val="single"/>
        </w:rPr>
        <w:t>型企业</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lang w:val="en-US" w:eastAsia="zh-CN"/>
        </w:rPr>
        <w:t>微型企业</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w:t>
      </w:r>
    </w:p>
    <w:p w14:paraId="616ACC8F">
      <w:pPr>
        <w:shd w:val="clear"/>
        <w:tabs>
          <w:tab w:val="left" w:pos="1065"/>
          <w:tab w:val="left" w:pos="4262"/>
          <w:tab w:val="left" w:pos="6477"/>
        </w:tabs>
        <w:wordWrap w:val="0"/>
        <w:spacing w:line="360" w:lineRule="auto"/>
        <w:ind w:left="420" w:leftChars="200" w:right="84" w:firstLine="178" w:firstLineChars="85"/>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u w:val="single"/>
        </w:rPr>
        <w:t>（标的名称）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，属于</w:t>
      </w:r>
      <w:r>
        <w:rPr>
          <w:rFonts w:hint="eastAsia" w:ascii="宋体" w:hAnsi="宋体" w:eastAsia="宋体" w:cs="宋体"/>
          <w:color w:val="auto"/>
          <w:szCs w:val="21"/>
          <w:highlight w:val="none"/>
          <w:u w:val="single"/>
        </w:rPr>
        <w:t>（采购文件中明确的所属行业）</w:t>
      </w:r>
      <w:r>
        <w:rPr>
          <w:rFonts w:hint="eastAsia" w:ascii="宋体" w:hAnsi="宋体" w:eastAsia="宋体" w:cs="宋体"/>
          <w:color w:val="auto"/>
          <w:szCs w:val="21"/>
          <w:highlight w:val="none"/>
        </w:rPr>
        <w:t>；承接企业为</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万元，属于</w:t>
      </w:r>
      <w:r>
        <w:rPr>
          <w:rFonts w:hint="eastAsia" w:ascii="宋体" w:hAnsi="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u w:val="single"/>
          <w:lang w:val="en-US" w:eastAsia="zh-CN"/>
        </w:rPr>
        <w:t>中</w:t>
      </w:r>
      <w:r>
        <w:rPr>
          <w:rFonts w:hint="eastAsia" w:ascii="宋体" w:hAnsi="宋体" w:eastAsia="宋体" w:cs="宋体"/>
          <w:color w:val="auto"/>
          <w:szCs w:val="21"/>
          <w:highlight w:val="none"/>
          <w:u w:val="single"/>
        </w:rPr>
        <w:t>型企业、</w:t>
      </w:r>
      <w:r>
        <w:rPr>
          <w:rFonts w:hint="eastAsia" w:ascii="宋体" w:hAnsi="宋体" w:eastAsia="宋体" w:cs="宋体"/>
          <w:color w:val="auto"/>
          <w:szCs w:val="21"/>
          <w:highlight w:val="none"/>
          <w:u w:val="single"/>
          <w:lang w:val="en-US" w:eastAsia="zh-CN"/>
        </w:rPr>
        <w:t>小</w:t>
      </w:r>
      <w:r>
        <w:rPr>
          <w:rFonts w:hint="eastAsia" w:ascii="宋体" w:hAnsi="宋体" w:eastAsia="宋体" w:cs="宋体"/>
          <w:color w:val="auto"/>
          <w:szCs w:val="21"/>
          <w:highlight w:val="none"/>
          <w:u w:val="single"/>
        </w:rPr>
        <w:t>型企业</w:t>
      </w:r>
      <w:r>
        <w:rPr>
          <w:rFonts w:hint="eastAsia" w:ascii="宋体" w:hAnsi="宋体" w:eastAsia="宋体" w:cs="宋体"/>
          <w:color w:val="auto"/>
          <w:szCs w:val="21"/>
          <w:highlight w:val="none"/>
          <w:u w:val="single"/>
          <w:lang w:eastAsia="zh-CN"/>
        </w:rPr>
        <w:t>、</w:t>
      </w:r>
      <w:r>
        <w:rPr>
          <w:rFonts w:hint="eastAsia" w:ascii="宋体" w:hAnsi="宋体" w:eastAsia="宋体" w:cs="宋体"/>
          <w:color w:val="auto"/>
          <w:szCs w:val="21"/>
          <w:highlight w:val="none"/>
          <w:u w:val="single"/>
          <w:lang w:val="en-US" w:eastAsia="zh-CN"/>
        </w:rPr>
        <w:t>微型企业</w:t>
      </w:r>
      <w:r>
        <w:rPr>
          <w:rFonts w:hint="eastAsia" w:ascii="宋体" w:hAnsi="宋体" w:eastAsia="宋体" w:cs="宋体"/>
          <w:color w:val="auto"/>
          <w:szCs w:val="21"/>
          <w:highlight w:val="none"/>
          <w:u w:val="single"/>
        </w:rPr>
        <w:t>）</w:t>
      </w:r>
      <w:r>
        <w:rPr>
          <w:rFonts w:hint="eastAsia" w:ascii="宋体" w:hAnsi="宋体" w:eastAsia="宋体" w:cs="宋体"/>
          <w:color w:val="auto"/>
          <w:szCs w:val="21"/>
          <w:highlight w:val="none"/>
        </w:rPr>
        <w:t>；</w:t>
      </w:r>
    </w:p>
    <w:p w14:paraId="1128B37C">
      <w:pPr>
        <w:pStyle w:val="10"/>
        <w:shd w:val="clear"/>
        <w:wordWrap w:val="0"/>
        <w:spacing w:after="0" w:line="360" w:lineRule="auto"/>
        <w:ind w:left="765" w:right="142" w:hanging="5"/>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7FD18892">
      <w:pPr>
        <w:pStyle w:val="10"/>
        <w:shd w:val="clear"/>
        <w:wordWrap w:val="0"/>
        <w:spacing w:after="0" w:line="360" w:lineRule="auto"/>
        <w:ind w:right="142"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以上企业，不属于大企业的分支机构，不存在控股股东为大企业的情形，也不存在与大企业的负责人为同一人的情形。</w:t>
      </w:r>
    </w:p>
    <w:p w14:paraId="63090AB9">
      <w:pPr>
        <w:pStyle w:val="10"/>
        <w:shd w:val="clear"/>
        <w:wordWrap w:val="0"/>
        <w:spacing w:after="0" w:line="360" w:lineRule="auto"/>
        <w:ind w:right="142"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rPr>
        <w:t>本企业对上述声明内容的真实性负责。如有虚假，将依法承担相应责任。</w:t>
      </w:r>
    </w:p>
    <w:p w14:paraId="34ECFF2E">
      <w:pPr>
        <w:pStyle w:val="13"/>
        <w:shd w:val="clear"/>
        <w:wordWrap w:val="0"/>
        <w:spacing w:line="360" w:lineRule="auto"/>
        <w:ind w:firstLine="420" w:firstLineChars="200"/>
        <w:rPr>
          <w:rFonts w:hint="eastAsia" w:ascii="宋体" w:hAnsi="宋体" w:eastAsia="宋体" w:cs="宋体"/>
          <w:color w:val="auto"/>
          <w:szCs w:val="21"/>
          <w:highlight w:val="none"/>
        </w:rPr>
      </w:pPr>
    </w:p>
    <w:p w14:paraId="77C6D71E">
      <w:pPr>
        <w:shd w:val="clear"/>
        <w:wordWrap w:val="0"/>
        <w:snapToGrid w:val="0"/>
        <w:spacing w:line="360" w:lineRule="auto"/>
        <w:ind w:firstLine="5040" w:firstLineChars="2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投标人名称(电子签章)：</w:t>
      </w:r>
    </w:p>
    <w:p w14:paraId="5A24125E">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3068DC2C">
      <w:pPr>
        <w:pStyle w:val="13"/>
        <w:shd w:val="clear"/>
        <w:wordWrap w:val="0"/>
        <w:spacing w:line="360" w:lineRule="auto"/>
        <w:ind w:firstLine="420" w:firstLineChars="200"/>
        <w:rPr>
          <w:rFonts w:hint="eastAsia" w:ascii="宋体" w:hAnsi="宋体" w:eastAsia="宋体" w:cs="宋体"/>
          <w:color w:val="auto"/>
          <w:szCs w:val="21"/>
          <w:highlight w:val="none"/>
        </w:rPr>
      </w:pPr>
    </w:p>
    <w:p w14:paraId="59870A9D">
      <w:pPr>
        <w:shd w:val="clear"/>
        <w:wordWrap w:val="0"/>
        <w:snapToGrid w:val="0"/>
        <w:spacing w:line="360" w:lineRule="auto"/>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注：</w:t>
      </w:r>
    </w:p>
    <w:p w14:paraId="538E41A3">
      <w:pPr>
        <w:pStyle w:val="11"/>
        <w:shd w:val="clear"/>
        <w:wordWrap w:val="0"/>
        <w:spacing w:line="360" w:lineRule="auto"/>
        <w:ind w:firstLine="404"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从业人员、营业收入、资产总额填报上一年度数据，无上一年度数据的新成立企业可不填报。</w:t>
      </w:r>
    </w:p>
    <w:p w14:paraId="35D8921E">
      <w:pPr>
        <w:pStyle w:val="11"/>
        <w:shd w:val="clear"/>
        <w:wordWrap w:val="0"/>
        <w:spacing w:line="360" w:lineRule="auto"/>
        <w:ind w:firstLine="404" w:firstLineChars="200"/>
        <w:rPr>
          <w:rFonts w:hint="eastAsia" w:ascii="宋体" w:hAnsi="宋体" w:eastAsia="宋体" w:cs="宋体"/>
          <w:b/>
          <w:bCs/>
          <w:color w:val="auto"/>
          <w:sz w:val="28"/>
          <w:szCs w:val="28"/>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请根据自己的真实情况出具《</w:t>
      </w:r>
      <w:r>
        <w:rPr>
          <w:rFonts w:hint="eastAsia" w:hAnsi="宋体" w:cs="宋体"/>
          <w:color w:val="auto"/>
          <w:sz w:val="21"/>
          <w:szCs w:val="21"/>
          <w:highlight w:val="none"/>
          <w:lang w:eastAsia="zh-CN"/>
        </w:rPr>
        <w:t>中小</w:t>
      </w:r>
      <w:r>
        <w:rPr>
          <w:rFonts w:hint="eastAsia" w:ascii="宋体" w:hAnsi="宋体" w:eastAsia="宋体" w:cs="宋体"/>
          <w:color w:val="auto"/>
          <w:sz w:val="21"/>
          <w:szCs w:val="21"/>
          <w:highlight w:val="none"/>
          <w:lang w:eastAsia="zh-CN"/>
        </w:rPr>
        <w:t>企业声明函</w:t>
      </w:r>
      <w:r>
        <w:rPr>
          <w:rFonts w:hint="eastAsia" w:ascii="宋体" w:hAnsi="宋体" w:eastAsia="宋体" w:cs="宋体"/>
          <w:color w:val="auto"/>
          <w:sz w:val="21"/>
          <w:szCs w:val="21"/>
          <w:highlight w:val="none"/>
        </w:rPr>
        <w:t>》。依法享受</w:t>
      </w:r>
      <w:r>
        <w:rPr>
          <w:rFonts w:hint="eastAsia" w:hAnsi="宋体" w:cs="宋体"/>
          <w:color w:val="auto"/>
          <w:sz w:val="21"/>
          <w:szCs w:val="21"/>
          <w:highlight w:val="none"/>
          <w:lang w:eastAsia="zh-CN"/>
        </w:rPr>
        <w:t>中小</w:t>
      </w:r>
      <w:r>
        <w:rPr>
          <w:rFonts w:hint="eastAsia" w:ascii="宋体" w:hAnsi="宋体" w:eastAsia="宋体" w:cs="宋体"/>
          <w:color w:val="auto"/>
          <w:sz w:val="21"/>
          <w:szCs w:val="21"/>
          <w:highlight w:val="none"/>
        </w:rPr>
        <w:t>企业优惠政策的，采购人或者采购代理机构在公告中标结果时，同时公告其《</w:t>
      </w:r>
      <w:r>
        <w:rPr>
          <w:rFonts w:hint="eastAsia" w:hAnsi="宋体" w:cs="宋体"/>
          <w:color w:val="auto"/>
          <w:sz w:val="21"/>
          <w:szCs w:val="21"/>
          <w:highlight w:val="none"/>
          <w:lang w:eastAsia="zh-CN"/>
        </w:rPr>
        <w:t>中小</w:t>
      </w:r>
      <w:r>
        <w:rPr>
          <w:rFonts w:hint="eastAsia" w:ascii="宋体" w:hAnsi="宋体" w:eastAsia="宋体" w:cs="宋体"/>
          <w:color w:val="auto"/>
          <w:sz w:val="21"/>
          <w:szCs w:val="21"/>
          <w:highlight w:val="none"/>
          <w:lang w:eastAsia="zh-CN"/>
        </w:rPr>
        <w:t>企业声明函</w:t>
      </w:r>
      <w:r>
        <w:rPr>
          <w:rFonts w:hint="eastAsia" w:ascii="宋体" w:hAnsi="宋体" w:eastAsia="宋体" w:cs="宋体"/>
          <w:color w:val="auto"/>
          <w:sz w:val="21"/>
          <w:szCs w:val="21"/>
          <w:highlight w:val="none"/>
        </w:rPr>
        <w:t>》，接受社会监督。</w:t>
      </w:r>
      <w:r>
        <w:rPr>
          <w:rFonts w:hint="eastAsia" w:ascii="宋体" w:hAnsi="宋体" w:eastAsia="宋体" w:cs="宋体"/>
          <w:b/>
          <w:bCs/>
          <w:color w:val="auto"/>
          <w:sz w:val="28"/>
          <w:szCs w:val="28"/>
          <w:highlight w:val="none"/>
        </w:rPr>
        <w:br w:type="page"/>
      </w:r>
    </w:p>
    <w:p w14:paraId="2E9CFFB7">
      <w:pPr>
        <w:pageBreakBefore w:val="0"/>
        <w:widowControl/>
        <w:shd w:val="clear" w:color="auto"/>
        <w:kinsoku/>
        <w:overflowPunct/>
        <w:topLinePunct w:val="0"/>
        <w:bidi w:val="0"/>
        <w:spacing w:beforeAutospacing="0" w:afterAutospacing="0"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残疾人福利性单位声明函（格式）</w:t>
      </w:r>
    </w:p>
    <w:p w14:paraId="1DBF13A0">
      <w:pPr>
        <w:pageBreakBefore w:val="0"/>
        <w:widowControl/>
        <w:shd w:val="clear" w:color="auto"/>
        <w:kinsoku/>
        <w:overflowPunct/>
        <w:topLinePunct w:val="0"/>
        <w:bidi w:val="0"/>
        <w:spacing w:beforeAutospacing="0" w:afterAutospacing="0" w:line="360" w:lineRule="auto"/>
        <w:jc w:val="center"/>
        <w:rPr>
          <w:rFonts w:hint="eastAsia" w:ascii="宋体" w:hAnsi="宋体" w:eastAsia="宋体" w:cs="宋体"/>
          <w:b/>
          <w:color w:val="auto"/>
          <w:sz w:val="30"/>
          <w:szCs w:val="30"/>
          <w:highlight w:val="none"/>
        </w:rPr>
      </w:pPr>
    </w:p>
    <w:p w14:paraId="2129F719">
      <w:pPr>
        <w:pageBreakBefore w:val="0"/>
        <w:widowControl/>
        <w:shd w:val="clear" w:color="auto"/>
        <w:kinsoku/>
        <w:overflowPunct/>
        <w:topLinePunct w:val="0"/>
        <w:bidi w:val="0"/>
        <w:spacing w:beforeAutospacing="0" w:afterAutospacing="0"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30"/>
          <w:szCs w:val="30"/>
          <w:highlight w:val="none"/>
        </w:rPr>
        <w:t xml:space="preserve">  </w:t>
      </w:r>
      <w:r>
        <w:rPr>
          <w:rFonts w:hint="eastAsia" w:ascii="宋体" w:hAnsi="宋体" w:eastAsia="宋体" w:cs="宋体"/>
          <w:color w:val="auto"/>
          <w:sz w:val="21"/>
          <w:szCs w:val="21"/>
          <w:highlight w:val="none"/>
        </w:rPr>
        <w:t xml:space="preserve"> 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项目采购活动提供本单位制造的货物（由本单位承担工程/提供服务），或者提供其他残疾人福利性单位制造的货物（不包括使用非残疾人福利性单位注册商标的货物）。</w:t>
      </w:r>
    </w:p>
    <w:p w14:paraId="1B5E4FE2">
      <w:pPr>
        <w:pageBreakBefore w:val="0"/>
        <w:widowControl/>
        <w:shd w:val="clear" w:color="auto"/>
        <w:kinsoku/>
        <w:overflowPunct/>
        <w:topLinePunct w:val="0"/>
        <w:bidi w:val="0"/>
        <w:spacing w:beforeAutospacing="0" w:afterAutospacing="0" w:line="360" w:lineRule="auto"/>
        <w:jc w:val="lef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 xml:space="preserve">  </w:t>
      </w:r>
    </w:p>
    <w:p w14:paraId="12401712">
      <w:pPr>
        <w:pageBreakBefore w:val="0"/>
        <w:widowControl/>
        <w:shd w:val="clear" w:color="auto"/>
        <w:kinsoku/>
        <w:overflowPunct/>
        <w:topLinePunct w:val="0"/>
        <w:bidi w:val="0"/>
        <w:spacing w:beforeAutospacing="0" w:afterAutospacing="0" w:line="360" w:lineRule="auto"/>
        <w:jc w:val="left"/>
        <w:rPr>
          <w:rFonts w:hint="eastAsia" w:ascii="宋体" w:hAnsi="宋体" w:eastAsia="宋体" w:cs="宋体"/>
          <w:b/>
          <w:color w:val="auto"/>
          <w:sz w:val="21"/>
          <w:szCs w:val="21"/>
          <w:highlight w:val="none"/>
        </w:rPr>
      </w:pPr>
    </w:p>
    <w:p w14:paraId="638D8F54">
      <w:pPr>
        <w:pageBreakBefore w:val="0"/>
        <w:shd w:val="clear" w:color="auto"/>
        <w:kinsoku/>
        <w:overflowPunct/>
        <w:topLinePunct w:val="0"/>
        <w:bidi w:val="0"/>
        <w:snapToGrid w:val="0"/>
        <w:spacing w:beforeAutospacing="0" w:afterAutospacing="0" w:line="360" w:lineRule="auto"/>
        <w:ind w:left="5385" w:leftChars="1736" w:hanging="1739" w:hangingChars="825"/>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lang w:bidi="ar"/>
        </w:rPr>
        <w:t xml:space="preserve">                                                                    </w:t>
      </w:r>
      <w:r>
        <w:rPr>
          <w:rFonts w:hint="eastAsia" w:ascii="宋体" w:hAnsi="宋体" w:eastAsia="宋体" w:cs="宋体"/>
          <w:color w:val="auto"/>
          <w:kern w:val="0"/>
          <w:sz w:val="21"/>
          <w:szCs w:val="21"/>
          <w:highlight w:val="none"/>
          <w:lang w:val="zh-CN" w:bidi="ar"/>
        </w:rPr>
        <w:t>投标人名称（电子签章）：</w:t>
      </w:r>
    </w:p>
    <w:p w14:paraId="242BA464">
      <w:pPr>
        <w:pageBreakBefore w:val="0"/>
        <w:shd w:val="clear" w:color="auto"/>
        <w:kinsoku/>
        <w:overflowPunct/>
        <w:topLinePunct w:val="0"/>
        <w:bidi w:val="0"/>
        <w:snapToGrid w:val="0"/>
        <w:spacing w:beforeAutospacing="0" w:afterAutospacing="0" w:line="360" w:lineRule="auto"/>
        <w:ind w:firstLine="5985" w:firstLineChars="285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bidi="ar"/>
        </w:rPr>
        <w:t>日期</w:t>
      </w:r>
      <w:r>
        <w:rPr>
          <w:rFonts w:hint="eastAsia" w:ascii="宋体" w:hAnsi="宋体" w:eastAsia="宋体"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 xml:space="preserve">  年  </w:t>
      </w:r>
      <w:r>
        <w:rPr>
          <w:rFonts w:hint="eastAsia" w:ascii="宋体" w:hAnsi="宋体" w:eastAsia="宋体" w:cs="宋体"/>
          <w:color w:val="auto"/>
          <w:kern w:val="0"/>
          <w:sz w:val="21"/>
          <w:szCs w:val="21"/>
          <w:highlight w:val="none"/>
          <w:lang w:val="zh-CN" w:bidi="ar"/>
        </w:rPr>
        <w:t>月</w:t>
      </w:r>
      <w:r>
        <w:rPr>
          <w:rFonts w:hint="eastAsia" w:ascii="宋体" w:hAnsi="宋体" w:eastAsia="宋体" w:cs="宋体"/>
          <w:color w:val="auto"/>
          <w:kern w:val="0"/>
          <w:sz w:val="21"/>
          <w:szCs w:val="21"/>
          <w:highlight w:val="none"/>
          <w:lang w:bidi="ar"/>
        </w:rPr>
        <w:t xml:space="preserve">   </w:t>
      </w:r>
      <w:r>
        <w:rPr>
          <w:rFonts w:hint="eastAsia" w:ascii="宋体" w:hAnsi="宋体" w:eastAsia="宋体" w:cs="宋体"/>
          <w:color w:val="auto"/>
          <w:kern w:val="0"/>
          <w:sz w:val="21"/>
          <w:szCs w:val="21"/>
          <w:highlight w:val="none"/>
          <w:lang w:val="zh-CN" w:bidi="ar"/>
        </w:rPr>
        <w:t>日</w:t>
      </w:r>
    </w:p>
    <w:p w14:paraId="3AF297AF">
      <w:pPr>
        <w:pageBreakBefore w:val="0"/>
        <w:widowControl/>
        <w:shd w:val="clear" w:color="auto"/>
        <w:kinsoku/>
        <w:overflowPunct/>
        <w:topLinePunct w:val="0"/>
        <w:bidi w:val="0"/>
        <w:spacing w:beforeAutospacing="0" w:afterAutospacing="0" w:line="360" w:lineRule="auto"/>
        <w:ind w:left="5180" w:leftChars="1979" w:hanging="1024" w:hangingChars="488"/>
        <w:rPr>
          <w:rFonts w:hint="eastAsia" w:ascii="宋体" w:hAnsi="宋体" w:eastAsia="宋体" w:cs="宋体"/>
          <w:color w:val="auto"/>
          <w:sz w:val="21"/>
          <w:szCs w:val="21"/>
          <w:highlight w:val="none"/>
        </w:rPr>
      </w:pPr>
    </w:p>
    <w:p w14:paraId="3F379225">
      <w:pPr>
        <w:pageBreakBefore w:val="0"/>
        <w:shd w:val="clear" w:color="auto"/>
        <w:kinsoku/>
        <w:overflowPunct/>
        <w:topLinePunct w:val="0"/>
        <w:bidi w:val="0"/>
        <w:spacing w:beforeAutospacing="0" w:afterAutospacing="0" w:line="360" w:lineRule="auto"/>
        <w:ind w:right="42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注</w:t>
      </w:r>
      <w:r>
        <w:rPr>
          <w:rFonts w:hint="eastAsia" w:ascii="宋体" w:hAnsi="宋体" w:eastAsia="宋体" w:cs="宋体"/>
          <w:color w:val="auto"/>
          <w:sz w:val="21"/>
          <w:szCs w:val="21"/>
          <w:highlight w:val="none"/>
          <w:lang w:eastAsia="zh-CN" w:bidi="ar"/>
        </w:rPr>
        <w:t>：</w:t>
      </w:r>
      <w:r>
        <w:rPr>
          <w:rFonts w:hint="eastAsia" w:ascii="宋体" w:hAnsi="宋体" w:eastAsia="宋体" w:cs="宋体"/>
          <w:color w:val="auto"/>
          <w:sz w:val="21"/>
          <w:szCs w:val="21"/>
          <w:highlight w:val="none"/>
          <w:lang w:bidi="ar"/>
        </w:rPr>
        <w:t>请根据自己的真实情况出具《残疾人福利性单位声明函》。依法享受</w:t>
      </w:r>
      <w:r>
        <w:rPr>
          <w:rFonts w:hint="eastAsia" w:ascii="宋体" w:hAnsi="宋体" w:cs="宋体"/>
          <w:color w:val="auto"/>
          <w:sz w:val="21"/>
          <w:szCs w:val="21"/>
          <w:highlight w:val="none"/>
          <w:lang w:val="en-US" w:eastAsia="zh-CN" w:bidi="ar"/>
        </w:rPr>
        <w:t>中小</w:t>
      </w:r>
      <w:r>
        <w:rPr>
          <w:rFonts w:hint="eastAsia" w:ascii="宋体" w:hAnsi="宋体" w:eastAsia="宋体" w:cs="宋体"/>
          <w:color w:val="auto"/>
          <w:sz w:val="21"/>
          <w:szCs w:val="21"/>
          <w:highlight w:val="none"/>
          <w:lang w:bidi="ar"/>
        </w:rPr>
        <w:t>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62E160B9">
      <w:pPr>
        <w:shd w:val="clea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br w:type="page"/>
      </w:r>
    </w:p>
    <w:p w14:paraId="6028A49F">
      <w:pPr>
        <w:shd w:val="clear"/>
        <w:wordWrap w:val="0"/>
        <w:spacing w:line="360" w:lineRule="auto"/>
        <w:rPr>
          <w:rFonts w:hint="eastAsia" w:ascii="宋体" w:hAnsi="宋体" w:eastAsia="宋体" w:cs="宋体"/>
          <w:color w:val="auto"/>
          <w:sz w:val="30"/>
          <w:szCs w:val="20"/>
          <w:highlight w:val="none"/>
        </w:rPr>
      </w:pPr>
      <w:r>
        <w:rPr>
          <w:rFonts w:hint="eastAsia" w:ascii="宋体" w:hAnsi="宋体" w:cs="宋体"/>
          <w:b/>
          <w:color w:val="auto"/>
          <w:kern w:val="2"/>
          <w:sz w:val="30"/>
          <w:szCs w:val="30"/>
          <w:highlight w:val="none"/>
          <w:lang w:val="en-US" w:eastAsia="zh-CN" w:bidi="ar-SA"/>
        </w:rPr>
        <w:t>四、</w:t>
      </w:r>
      <w:r>
        <w:rPr>
          <w:rFonts w:hint="eastAsia" w:ascii="宋体" w:hAnsi="宋体" w:eastAsia="宋体" w:cs="宋体"/>
          <w:b/>
          <w:color w:val="auto"/>
          <w:kern w:val="2"/>
          <w:sz w:val="30"/>
          <w:szCs w:val="30"/>
          <w:highlight w:val="none"/>
          <w:lang w:val="en-US" w:eastAsia="zh-CN" w:bidi="ar-SA"/>
        </w:rPr>
        <w:t>投标人针对报价需要说明的其他文件和说明</w:t>
      </w:r>
    </w:p>
    <w:p w14:paraId="5D5D3905">
      <w:pPr>
        <w:pStyle w:val="10"/>
        <w:shd w:val="clear"/>
        <w:wordWrap w:val="0"/>
        <w:spacing w:after="0" w:line="360" w:lineRule="auto"/>
        <w:rPr>
          <w:rFonts w:hint="eastAsia" w:ascii="宋体" w:hAnsi="宋体" w:eastAsia="宋体" w:cs="宋体"/>
          <w:color w:val="auto"/>
          <w:highlight w:val="none"/>
        </w:rPr>
      </w:pPr>
    </w:p>
    <w:p w14:paraId="36B32262">
      <w:pPr>
        <w:shd w:val="clear"/>
        <w:rPr>
          <w:rFonts w:hint="eastAsia" w:ascii="宋体" w:hAnsi="宋体" w:eastAsia="宋体" w:cs="宋体"/>
          <w:b/>
          <w:bCs/>
          <w:color w:val="auto"/>
          <w:sz w:val="28"/>
          <w:szCs w:val="28"/>
          <w:highlight w:val="none"/>
        </w:rPr>
      </w:pPr>
      <w:bookmarkStart w:id="758" w:name="_Toc3237"/>
      <w:bookmarkStart w:id="759" w:name="_Toc19686840"/>
      <w:r>
        <w:rPr>
          <w:rFonts w:hint="eastAsia" w:ascii="宋体" w:hAnsi="宋体" w:eastAsia="宋体" w:cs="宋体"/>
          <w:b/>
          <w:bCs/>
          <w:color w:val="auto"/>
          <w:sz w:val="28"/>
          <w:szCs w:val="28"/>
          <w:highlight w:val="none"/>
        </w:rPr>
        <w:br w:type="page"/>
      </w:r>
    </w:p>
    <w:p w14:paraId="4C8A317D">
      <w:pPr>
        <w:shd w:val="clear"/>
        <w:wordWrap w:val="0"/>
        <w:snapToGrid w:val="0"/>
        <w:spacing w:line="360" w:lineRule="auto"/>
        <w:jc w:val="center"/>
        <w:outlineLvl w:val="1"/>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第六节 其他文书、文件格式</w:t>
      </w:r>
      <w:bookmarkEnd w:id="758"/>
      <w:bookmarkEnd w:id="759"/>
    </w:p>
    <w:p w14:paraId="0176F500">
      <w:pPr>
        <w:shd w:val="clear"/>
        <w:wordWrap w:val="0"/>
        <w:spacing w:line="360" w:lineRule="auto"/>
        <w:jc w:val="center"/>
        <w:rPr>
          <w:rFonts w:hint="eastAsia" w:ascii="宋体" w:hAnsi="宋体" w:eastAsia="宋体" w:cs="宋体"/>
          <w:b/>
          <w:bCs/>
          <w:color w:val="auto"/>
          <w:sz w:val="32"/>
          <w:szCs w:val="32"/>
          <w:highlight w:val="none"/>
          <w:lang w:val="en"/>
        </w:rPr>
      </w:pPr>
    </w:p>
    <w:p w14:paraId="557BE2B2">
      <w:pPr>
        <w:shd w:val="clear"/>
        <w:wordWrap w:val="0"/>
        <w:spacing w:line="360" w:lineRule="auto"/>
        <w:jc w:val="center"/>
        <w:rPr>
          <w:rFonts w:hint="eastAsia" w:ascii="宋体" w:hAnsi="宋体" w:eastAsia="宋体" w:cs="宋体"/>
          <w:b/>
          <w:bCs/>
          <w:color w:val="auto"/>
          <w:sz w:val="32"/>
          <w:szCs w:val="32"/>
          <w:highlight w:val="none"/>
          <w:lang w:val="en"/>
        </w:rPr>
      </w:pPr>
      <w:r>
        <w:rPr>
          <w:rFonts w:hint="eastAsia" w:ascii="宋体" w:hAnsi="宋体" w:eastAsia="宋体" w:cs="宋体"/>
          <w:b/>
          <w:bCs/>
          <w:color w:val="auto"/>
          <w:sz w:val="32"/>
          <w:szCs w:val="32"/>
          <w:highlight w:val="none"/>
          <w:lang w:val="en"/>
        </w:rPr>
        <w:t>知识产权合规性声明</w:t>
      </w:r>
    </w:p>
    <w:p w14:paraId="2632660D">
      <w:pPr>
        <w:shd w:val="clear"/>
        <w:wordWrap w:val="0"/>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w:t>
      </w:r>
    </w:p>
    <w:p w14:paraId="05ABF467">
      <w:pPr>
        <w:shd w:val="clear"/>
        <w:wordWrap w:val="0"/>
        <w:spacing w:line="360" w:lineRule="auto"/>
        <w:rPr>
          <w:rFonts w:hint="eastAsia" w:ascii="宋体" w:hAnsi="宋体" w:eastAsia="宋体" w:cs="宋体"/>
          <w:color w:val="auto"/>
          <w:sz w:val="30"/>
          <w:szCs w:val="30"/>
          <w:highlight w:val="none"/>
          <w:lang w:val="en"/>
        </w:rPr>
      </w:pPr>
      <w:r>
        <w:rPr>
          <w:rFonts w:hint="eastAsia" w:ascii="宋体" w:hAnsi="宋体" w:eastAsia="宋体" w:cs="宋体"/>
          <w:color w:val="auto"/>
          <w:sz w:val="30"/>
          <w:szCs w:val="30"/>
          <w:highlight w:val="none"/>
        </w:rPr>
        <w:t xml:space="preserve">    本</w:t>
      </w:r>
      <w:r>
        <w:rPr>
          <w:rFonts w:hint="eastAsia" w:ascii="宋体" w:hAnsi="宋体" w:eastAsia="宋体" w:cs="宋体"/>
          <w:color w:val="auto"/>
          <w:sz w:val="30"/>
          <w:szCs w:val="30"/>
          <w:highlight w:val="none"/>
          <w:lang w:val="en"/>
        </w:rPr>
        <w:t>企业自愿参与政府投资政府采购的</w:t>
      </w:r>
      <w:r>
        <w:rPr>
          <w:rFonts w:hint="eastAsia" w:ascii="宋体" w:hAnsi="宋体" w:eastAsia="宋体" w:cs="宋体"/>
          <w:color w:val="auto"/>
          <w:sz w:val="30"/>
          <w:szCs w:val="30"/>
          <w:highlight w:val="none"/>
          <w:u w:val="single"/>
          <w:lang w:val="en"/>
        </w:rPr>
        <w:t>（</w:t>
      </w:r>
      <w:r>
        <w:rPr>
          <w:rFonts w:hint="eastAsia" w:ascii="宋体" w:hAnsi="宋体" w:eastAsia="宋体" w:cs="宋体"/>
          <w:color w:val="auto"/>
          <w:sz w:val="30"/>
          <w:szCs w:val="30"/>
          <w:highlight w:val="none"/>
          <w:u w:val="single"/>
        </w:rPr>
        <w:t>项目名称</w:t>
      </w:r>
      <w:r>
        <w:rPr>
          <w:rFonts w:hint="eastAsia" w:ascii="宋体" w:hAnsi="宋体" w:eastAsia="宋体" w:cs="宋体"/>
          <w:color w:val="auto"/>
          <w:sz w:val="30"/>
          <w:szCs w:val="30"/>
          <w:highlight w:val="none"/>
          <w:u w:val="single"/>
          <w:lang w:val="en"/>
        </w:rPr>
        <w:t>）</w:t>
      </w:r>
      <w:r>
        <w:rPr>
          <w:rFonts w:hint="eastAsia" w:ascii="宋体" w:hAnsi="宋体" w:eastAsia="宋体" w:cs="宋体"/>
          <w:color w:val="auto"/>
          <w:sz w:val="30"/>
          <w:szCs w:val="30"/>
          <w:highlight w:val="none"/>
          <w:lang w:val="en"/>
        </w:rPr>
        <w:t>项目，</w:t>
      </w:r>
      <w:r>
        <w:rPr>
          <w:rFonts w:hint="eastAsia" w:ascii="宋体" w:hAnsi="宋体" w:eastAsia="宋体" w:cs="宋体"/>
          <w:b/>
          <w:bCs/>
          <w:color w:val="auto"/>
          <w:sz w:val="30"/>
          <w:szCs w:val="30"/>
          <w:highlight w:val="none"/>
          <w:lang w:val="en"/>
        </w:rPr>
        <w:t>在此郑重承诺：</w:t>
      </w:r>
      <w:r>
        <w:rPr>
          <w:rFonts w:hint="eastAsia" w:ascii="宋体" w:hAnsi="宋体" w:eastAsia="宋体" w:cs="宋体"/>
          <w:color w:val="auto"/>
          <w:sz w:val="30"/>
          <w:szCs w:val="30"/>
          <w:highlight w:val="none"/>
          <w:lang w:val="en"/>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4E454A7E">
      <w:pPr>
        <w:shd w:val="clea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r>
        <w:rPr>
          <w:rFonts w:hint="eastAsia" w:ascii="宋体" w:hAnsi="宋体" w:eastAsia="宋体" w:cs="宋体"/>
          <w:b/>
          <w:color w:val="auto"/>
          <w:sz w:val="18"/>
          <w:szCs w:val="18"/>
          <w:highlight w:val="none"/>
        </w:rPr>
        <w:t xml:space="preserve">           </w:t>
      </w:r>
    </w:p>
    <w:p w14:paraId="35D2FA73">
      <w:pPr>
        <w:shd w:val="clea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1FE217C3">
      <w:pPr>
        <w:shd w:val="clea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1C28D1EA">
      <w:pPr>
        <w:shd w:val="clear"/>
        <w:wordWrap w:val="0"/>
        <w:snapToGrid w:val="0"/>
        <w:spacing w:line="360" w:lineRule="auto"/>
        <w:ind w:left="5137" w:leftChars="1736" w:hanging="1491" w:hangingChars="825"/>
        <w:rPr>
          <w:rFonts w:hint="eastAsia" w:ascii="宋体" w:hAnsi="宋体" w:eastAsia="宋体" w:cs="宋体"/>
          <w:b/>
          <w:color w:val="auto"/>
          <w:sz w:val="18"/>
          <w:szCs w:val="18"/>
          <w:highlight w:val="none"/>
        </w:rPr>
      </w:pPr>
    </w:p>
    <w:p w14:paraId="74CBCC58">
      <w:pPr>
        <w:shd w:val="clear"/>
        <w:wordWrap w:val="0"/>
        <w:snapToGrid w:val="0"/>
        <w:spacing w:line="360" w:lineRule="auto"/>
        <w:ind w:left="5137" w:leftChars="1736" w:hanging="1491" w:hangingChars="825"/>
        <w:rPr>
          <w:rFonts w:hint="eastAsia" w:ascii="宋体" w:hAnsi="宋体" w:eastAsia="宋体" w:cs="宋体"/>
          <w:color w:val="auto"/>
          <w:kern w:val="0"/>
          <w:sz w:val="24"/>
          <w:highlight w:val="none"/>
        </w:rPr>
      </w:pPr>
      <w:r>
        <w:rPr>
          <w:rFonts w:hint="eastAsia" w:ascii="宋体" w:hAnsi="宋体" w:eastAsia="宋体" w:cs="宋体"/>
          <w:b/>
          <w:color w:val="auto"/>
          <w:sz w:val="18"/>
          <w:szCs w:val="18"/>
          <w:highlight w:val="none"/>
        </w:rPr>
        <w:t xml:space="preserve">      </w:t>
      </w:r>
      <w:r>
        <w:rPr>
          <w:rFonts w:hint="eastAsia" w:ascii="宋体" w:hAnsi="宋体" w:eastAsia="宋体" w:cs="宋体"/>
          <w:color w:val="auto"/>
          <w:kern w:val="0"/>
          <w:sz w:val="24"/>
          <w:highlight w:val="none"/>
          <w:lang w:val="zh-CN"/>
        </w:rPr>
        <w:t>投标人名称(电子签章)：</w:t>
      </w:r>
    </w:p>
    <w:p w14:paraId="6D3D7586">
      <w:pPr>
        <w:shd w:val="clear"/>
        <w:wordWrap w:val="0"/>
        <w:snapToGrid w:val="0"/>
        <w:spacing w:line="360" w:lineRule="auto"/>
        <w:ind w:firstLine="5160" w:firstLineChars="21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w:t>
      </w:r>
      <w:r>
        <w:rPr>
          <w:rFonts w:hint="eastAsia" w:ascii="宋体" w:hAnsi="宋体" w:eastAsia="宋体" w:cs="宋体"/>
          <w:color w:val="auto"/>
          <w:kern w:val="0"/>
          <w:sz w:val="24"/>
          <w:highlight w:val="none"/>
        </w:rPr>
        <w:t xml:space="preserve">：  年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lang w:val="zh-CN"/>
        </w:rPr>
        <w:t>日</w:t>
      </w:r>
    </w:p>
    <w:p w14:paraId="019DB749">
      <w:pPr>
        <w:shd w:val="clear"/>
        <w:wordWrap w:val="0"/>
        <w:spacing w:line="360" w:lineRule="auto"/>
        <w:ind w:right="420" w:firstLine="602" w:firstLineChars="200"/>
        <w:rPr>
          <w:rFonts w:hint="eastAsia" w:ascii="宋体" w:hAnsi="宋体" w:eastAsia="宋体" w:cs="宋体"/>
          <w:color w:val="auto"/>
          <w:sz w:val="20"/>
          <w:highlight w:val="none"/>
        </w:rPr>
        <w:sectPr>
          <w:pgSz w:w="11906" w:h="16838"/>
          <w:pgMar w:top="1440" w:right="1080" w:bottom="1440" w:left="1080" w:header="720" w:footer="720" w:gutter="0"/>
          <w:pgNumType w:fmt="decimal"/>
          <w:cols w:space="720" w:num="1"/>
          <w:docGrid w:type="lines" w:linePitch="331" w:charSpace="0"/>
        </w:sectPr>
      </w:pPr>
      <w:r>
        <w:rPr>
          <w:rFonts w:hint="eastAsia" w:ascii="宋体" w:hAnsi="宋体" w:eastAsia="宋体" w:cs="宋体"/>
          <w:b/>
          <w:color w:val="auto"/>
          <w:sz w:val="30"/>
          <w:szCs w:val="30"/>
          <w:highlight w:val="none"/>
        </w:rPr>
        <w:br w:type="page"/>
      </w:r>
    </w:p>
    <w:p w14:paraId="2CA115DA">
      <w:pPr>
        <w:pStyle w:val="13"/>
        <w:shd w:val="clear"/>
        <w:tabs>
          <w:tab w:val="left" w:pos="2472"/>
        </w:tabs>
        <w:wordWrap w:val="0"/>
        <w:spacing w:line="360" w:lineRule="auto"/>
        <w:jc w:val="both"/>
        <w:rPr>
          <w:rFonts w:hint="eastAsia" w:ascii="宋体" w:hAnsi="宋体" w:eastAsia="宋体" w:cs="宋体"/>
          <w:b/>
          <w:color w:val="auto"/>
          <w:sz w:val="36"/>
          <w:highlight w:val="none"/>
        </w:rPr>
      </w:pPr>
    </w:p>
    <w:p w14:paraId="69F205FD">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1BBA7340">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1A4203B1">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21929567">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28551EA5">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16DF663E">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4F639423">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0DEBF005">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7AF4DF6D">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7C8B0419">
      <w:pPr>
        <w:pStyle w:val="13"/>
        <w:shd w:val="clear"/>
        <w:tabs>
          <w:tab w:val="left" w:pos="2472"/>
        </w:tabs>
        <w:wordWrap w:val="0"/>
        <w:spacing w:line="360" w:lineRule="auto"/>
        <w:jc w:val="center"/>
        <w:rPr>
          <w:rFonts w:hint="eastAsia" w:ascii="宋体" w:hAnsi="宋体" w:eastAsia="宋体" w:cs="宋体"/>
          <w:b/>
          <w:color w:val="auto"/>
          <w:sz w:val="36"/>
          <w:highlight w:val="none"/>
        </w:rPr>
      </w:pPr>
    </w:p>
    <w:p w14:paraId="1E1359F1">
      <w:pPr>
        <w:pStyle w:val="13"/>
        <w:shd w:val="clear"/>
        <w:tabs>
          <w:tab w:val="left" w:pos="2472"/>
        </w:tabs>
        <w:wordWrap w:val="0"/>
        <w:spacing w:line="360" w:lineRule="auto"/>
        <w:jc w:val="center"/>
        <w:outlineLvl w:val="0"/>
        <w:rPr>
          <w:rFonts w:hint="eastAsia" w:ascii="宋体" w:hAnsi="宋体" w:eastAsia="宋体" w:cs="宋体"/>
          <w:b/>
          <w:color w:val="auto"/>
          <w:sz w:val="36"/>
          <w:highlight w:val="none"/>
        </w:rPr>
      </w:pPr>
      <w:bookmarkStart w:id="760" w:name="_Toc30072"/>
      <w:r>
        <w:rPr>
          <w:rFonts w:hint="eastAsia" w:ascii="宋体" w:hAnsi="宋体" w:eastAsia="宋体" w:cs="宋体"/>
          <w:b/>
          <w:color w:val="auto"/>
          <w:sz w:val="36"/>
          <w:highlight w:val="none"/>
        </w:rPr>
        <w:t>第七章 质疑、投诉证明材料格式</w:t>
      </w:r>
      <w:bookmarkEnd w:id="760"/>
    </w:p>
    <w:p w14:paraId="6FF3AC7A">
      <w:pPr>
        <w:widowControl/>
        <w:shd w:val="clear"/>
        <w:wordWrap w:val="0"/>
        <w:spacing w:line="360" w:lineRule="auto"/>
        <w:jc w:val="left"/>
        <w:rPr>
          <w:rFonts w:hint="eastAsia" w:ascii="宋体" w:hAnsi="宋体" w:eastAsia="宋体" w:cs="宋体"/>
          <w:color w:val="auto"/>
          <w:sz w:val="20"/>
          <w:highlight w:val="none"/>
        </w:rPr>
        <w:sectPr>
          <w:pgSz w:w="11906" w:h="16838"/>
          <w:pgMar w:top="1440" w:right="1080" w:bottom="1440" w:left="1080" w:header="720" w:footer="720" w:gutter="0"/>
          <w:pgNumType w:fmt="decimal"/>
          <w:cols w:space="720" w:num="1"/>
          <w:docGrid w:type="lines" w:linePitch="331" w:charSpace="0"/>
        </w:sectPr>
      </w:pPr>
    </w:p>
    <w:p w14:paraId="118EF2A1">
      <w:pPr>
        <w:widowControl/>
        <w:shd w:val="clear" w:color="auto"/>
        <w:wordWrap w:val="0"/>
        <w:spacing w:line="360" w:lineRule="auto"/>
        <w:jc w:val="left"/>
        <w:rPr>
          <w:rFonts w:hint="eastAsia" w:ascii="宋体" w:hAnsi="宋体" w:eastAsia="宋体" w:cs="宋体"/>
          <w:b/>
          <w:bCs/>
          <w:color w:val="auto"/>
          <w:sz w:val="28"/>
          <w:szCs w:val="28"/>
          <w:highlight w:val="none"/>
        </w:rPr>
      </w:pPr>
    </w:p>
    <w:p w14:paraId="00B750DD">
      <w:pPr>
        <w:pStyle w:val="3"/>
        <w:shd w:val="clear"/>
        <w:wordWrap w:val="0"/>
        <w:spacing w:before="0" w:after="0" w:line="360" w:lineRule="auto"/>
        <w:jc w:val="center"/>
        <w:rPr>
          <w:rFonts w:hint="eastAsia" w:ascii="宋体" w:hAnsi="宋体" w:eastAsia="宋体" w:cs="宋体"/>
          <w:b w:val="0"/>
          <w:bCs w:val="0"/>
          <w:color w:val="auto"/>
          <w:highlight w:val="none"/>
        </w:rPr>
      </w:pPr>
      <w:bookmarkStart w:id="761" w:name="_Toc23800"/>
      <w:r>
        <w:rPr>
          <w:rFonts w:hint="eastAsia" w:ascii="宋体" w:hAnsi="宋体" w:eastAsia="宋体" w:cs="宋体"/>
          <w:b w:val="0"/>
          <w:bCs w:val="0"/>
          <w:color w:val="auto"/>
          <w:highlight w:val="none"/>
        </w:rPr>
        <w:t>第一节 质疑函（格式）</w:t>
      </w:r>
      <w:bookmarkEnd w:id="761"/>
    </w:p>
    <w:p w14:paraId="4150F197">
      <w:pPr>
        <w:shd w:val="clear"/>
        <w:wordWrap w:val="0"/>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质疑函范本</w:t>
      </w:r>
    </w:p>
    <w:p w14:paraId="360C93DD">
      <w:pPr>
        <w:shd w:val="clea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一、质疑供应商基本信息</w:t>
      </w:r>
    </w:p>
    <w:p w14:paraId="7D3183D0">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质疑供应商：</w:t>
      </w:r>
      <w:r>
        <w:rPr>
          <w:rFonts w:hint="eastAsia" w:ascii="宋体" w:hAnsi="宋体" w:eastAsia="宋体" w:cs="宋体"/>
          <w:color w:val="auto"/>
          <w:sz w:val="32"/>
          <w:szCs w:val="32"/>
          <w:highlight w:val="none"/>
          <w:u w:val="dotted"/>
        </w:rPr>
        <w:t xml:space="preserve">                                        </w:t>
      </w:r>
    </w:p>
    <w:p w14:paraId="2C78BCDA">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地址：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p>
    <w:p w14:paraId="19AA4804">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联系人：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p>
    <w:p w14:paraId="5B4FD91E">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授权代表：</w:t>
      </w:r>
      <w:r>
        <w:rPr>
          <w:rFonts w:hint="eastAsia" w:ascii="宋体" w:hAnsi="宋体" w:eastAsia="宋体" w:cs="宋体"/>
          <w:color w:val="auto"/>
          <w:sz w:val="32"/>
          <w:szCs w:val="32"/>
          <w:highlight w:val="none"/>
          <w:u w:val="dotted"/>
        </w:rPr>
        <w:t xml:space="preserve">                                          </w:t>
      </w:r>
    </w:p>
    <w:p w14:paraId="207ECFD4">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35C878B9">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地址： </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p>
    <w:p w14:paraId="71D65D38">
      <w:pPr>
        <w:shd w:val="clea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二、质疑项目基本情况</w:t>
      </w:r>
    </w:p>
    <w:p w14:paraId="5078D813">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质疑项目的名称：</w:t>
      </w:r>
      <w:r>
        <w:rPr>
          <w:rFonts w:hint="eastAsia" w:ascii="宋体" w:hAnsi="宋体" w:eastAsia="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南宁市市管5个免费公园综合管养服务（绿化养护分项）采购</w:t>
      </w:r>
      <w:r>
        <w:rPr>
          <w:rFonts w:hint="eastAsia" w:ascii="宋体" w:hAnsi="宋体" w:eastAsia="宋体" w:cs="宋体"/>
          <w:color w:val="auto"/>
          <w:sz w:val="32"/>
          <w:szCs w:val="32"/>
          <w:highlight w:val="none"/>
          <w:u w:val="dotted"/>
          <w:lang w:eastAsia="zh-CN"/>
        </w:rPr>
        <w:t xml:space="preserve"> </w:t>
      </w:r>
      <w:r>
        <w:rPr>
          <w:rFonts w:hint="eastAsia" w:ascii="宋体" w:hAnsi="宋体" w:eastAsia="宋体" w:cs="宋体"/>
          <w:color w:val="auto"/>
          <w:sz w:val="32"/>
          <w:szCs w:val="32"/>
          <w:highlight w:val="none"/>
          <w:u w:val="dotted"/>
        </w:rPr>
        <w:t xml:space="preserve">     </w:t>
      </w:r>
    </w:p>
    <w:p w14:paraId="1E290451">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质疑项目的编号：</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包号：</w:t>
      </w:r>
      <w:r>
        <w:rPr>
          <w:rFonts w:hint="eastAsia" w:ascii="宋体" w:hAnsi="宋体" w:eastAsia="宋体" w:cs="宋体"/>
          <w:color w:val="auto"/>
          <w:sz w:val="32"/>
          <w:szCs w:val="32"/>
          <w:highlight w:val="none"/>
          <w:u w:val="dotted"/>
        </w:rPr>
        <w:t xml:space="preserve">                 </w:t>
      </w:r>
    </w:p>
    <w:p w14:paraId="28C4A064">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采购人名称：</w:t>
      </w:r>
      <w:r>
        <w:rPr>
          <w:rFonts w:hint="eastAsia" w:ascii="宋体" w:hAnsi="宋体" w:eastAsia="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南宁市南湖公园</w:t>
      </w:r>
      <w:r>
        <w:rPr>
          <w:rFonts w:hint="eastAsia" w:ascii="宋体" w:hAnsi="宋体" w:eastAsia="宋体" w:cs="宋体"/>
          <w:color w:val="auto"/>
          <w:sz w:val="32"/>
          <w:szCs w:val="32"/>
          <w:highlight w:val="none"/>
          <w:u w:val="dotted"/>
        </w:rPr>
        <w:t xml:space="preserve">  </w:t>
      </w:r>
    </w:p>
    <w:p w14:paraId="553B4993">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采购文件获取日期：</w:t>
      </w:r>
      <w:r>
        <w:rPr>
          <w:rFonts w:hint="eastAsia" w:ascii="宋体" w:hAnsi="宋体" w:eastAsia="宋体" w:cs="宋体"/>
          <w:color w:val="auto"/>
          <w:sz w:val="32"/>
          <w:szCs w:val="32"/>
          <w:highlight w:val="none"/>
          <w:u w:val="dotted"/>
        </w:rPr>
        <w:t xml:space="preserve">                                           </w:t>
      </w:r>
    </w:p>
    <w:p w14:paraId="6E2F279E">
      <w:pPr>
        <w:shd w:val="clea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三、质疑事项具体内容</w:t>
      </w:r>
    </w:p>
    <w:p w14:paraId="49FE3E3A">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质疑事项1：</w:t>
      </w:r>
      <w:r>
        <w:rPr>
          <w:rFonts w:hint="eastAsia" w:ascii="宋体" w:hAnsi="宋体" w:eastAsia="宋体" w:cs="宋体"/>
          <w:color w:val="auto"/>
          <w:sz w:val="32"/>
          <w:szCs w:val="32"/>
          <w:highlight w:val="none"/>
          <w:u w:val="dotted"/>
        </w:rPr>
        <w:t xml:space="preserve">                                         </w:t>
      </w:r>
    </w:p>
    <w:p w14:paraId="79A3A15B">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事实依据：</w:t>
      </w:r>
      <w:r>
        <w:rPr>
          <w:rFonts w:hint="eastAsia" w:ascii="宋体" w:hAnsi="宋体" w:eastAsia="宋体" w:cs="宋体"/>
          <w:color w:val="auto"/>
          <w:sz w:val="32"/>
          <w:szCs w:val="32"/>
          <w:highlight w:val="none"/>
          <w:u w:val="dotted"/>
        </w:rPr>
        <w:t xml:space="preserve">                                          </w:t>
      </w:r>
    </w:p>
    <w:p w14:paraId="43F54E54">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dotted"/>
        </w:rPr>
        <w:t xml:space="preserve">                                                       </w:t>
      </w:r>
    </w:p>
    <w:p w14:paraId="564B4C2D">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法律依据：</w:t>
      </w:r>
      <w:r>
        <w:rPr>
          <w:rFonts w:hint="eastAsia" w:ascii="宋体" w:hAnsi="宋体" w:eastAsia="宋体" w:cs="宋体"/>
          <w:color w:val="auto"/>
          <w:sz w:val="32"/>
          <w:szCs w:val="32"/>
          <w:highlight w:val="none"/>
          <w:u w:val="dotted"/>
        </w:rPr>
        <w:t xml:space="preserve">                                          </w:t>
      </w:r>
    </w:p>
    <w:p w14:paraId="6FC33169">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p>
    <w:p w14:paraId="3C86EEFE">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质疑事项2</w:t>
      </w:r>
    </w:p>
    <w:p w14:paraId="093A6306">
      <w:pPr>
        <w:shd w:val="clear"/>
        <w:wordWrap w:val="0"/>
        <w:adjustRightInd w:val="0"/>
        <w:snapToGrid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w:t>
      </w:r>
    </w:p>
    <w:p w14:paraId="77C56D8F">
      <w:pPr>
        <w:shd w:val="clear"/>
        <w:wordWrap w:val="0"/>
        <w:adjustRightInd w:val="0"/>
        <w:snapToGrid w:val="0"/>
        <w:spacing w:line="360" w:lineRule="auto"/>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四、与质疑事项相关的质疑请求</w:t>
      </w:r>
    </w:p>
    <w:p w14:paraId="678017FD">
      <w:pPr>
        <w:shd w:val="clear"/>
        <w:wordWrap w:val="0"/>
        <w:adjustRightInd w:val="0"/>
        <w:snapToGrid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请求：</w:t>
      </w:r>
      <w:r>
        <w:rPr>
          <w:rFonts w:hint="eastAsia" w:ascii="宋体" w:hAnsi="宋体" w:eastAsia="宋体" w:cs="宋体"/>
          <w:color w:val="auto"/>
          <w:sz w:val="32"/>
          <w:szCs w:val="32"/>
          <w:highlight w:val="none"/>
          <w:u w:val="dotted"/>
        </w:rPr>
        <w:t xml:space="preserve">                                               </w:t>
      </w:r>
    </w:p>
    <w:p w14:paraId="4DA42A96">
      <w:pPr>
        <w:shd w:val="clear"/>
        <w:wordWrap w:val="0"/>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签字(签章)：                   公章：                      </w:t>
      </w:r>
    </w:p>
    <w:p w14:paraId="2582E72A">
      <w:pPr>
        <w:shd w:val="clear"/>
        <w:wordWrap w:val="0"/>
        <w:spacing w:line="360" w:lineRule="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日期：    </w:t>
      </w:r>
    </w:p>
    <w:p w14:paraId="4414EB96">
      <w:pPr>
        <w:shd w:val="clear"/>
        <w:wordWrap w:val="0"/>
        <w:adjustRightInd w:val="0"/>
        <w:snapToGrid w:val="0"/>
        <w:spacing w:line="360" w:lineRule="auto"/>
        <w:rPr>
          <w:rFonts w:hint="eastAsia" w:ascii="宋体" w:hAnsi="宋体" w:eastAsia="宋体" w:cs="宋体"/>
          <w:color w:val="auto"/>
          <w:sz w:val="32"/>
          <w:szCs w:val="32"/>
          <w:highlight w:val="none"/>
        </w:rPr>
      </w:pPr>
    </w:p>
    <w:p w14:paraId="1DF86A3A">
      <w:pPr>
        <w:shd w:val="clear"/>
        <w:wordWrap w:val="0"/>
        <w:adjustRightInd w:val="0"/>
        <w:snapToGrid w:val="0"/>
        <w:spacing w:line="360" w:lineRule="auto"/>
        <w:rPr>
          <w:rFonts w:hint="eastAsia" w:ascii="宋体" w:hAnsi="宋体" w:eastAsia="宋体" w:cs="宋体"/>
          <w:color w:val="auto"/>
          <w:sz w:val="32"/>
          <w:szCs w:val="32"/>
          <w:highlight w:val="none"/>
        </w:rPr>
      </w:pPr>
    </w:p>
    <w:p w14:paraId="69DB1058">
      <w:pPr>
        <w:shd w:val="clear"/>
        <w:wordWrap w:val="0"/>
        <w:spacing w:line="360" w:lineRule="auto"/>
        <w:jc w:val="center"/>
        <w:rPr>
          <w:rFonts w:hint="eastAsia" w:ascii="宋体" w:hAnsi="宋体" w:eastAsia="宋体" w:cs="宋体"/>
          <w:b/>
          <w:bCs/>
          <w:color w:val="auto"/>
          <w:sz w:val="32"/>
          <w:szCs w:val="32"/>
          <w:highlight w:val="none"/>
        </w:rPr>
      </w:pPr>
    </w:p>
    <w:p w14:paraId="18565CA0">
      <w:pPr>
        <w:shd w:val="clear"/>
        <w:wordWrap w:val="0"/>
        <w:spacing w:line="360" w:lineRule="auto"/>
        <w:jc w:val="center"/>
        <w:rPr>
          <w:rFonts w:hint="eastAsia" w:ascii="宋体" w:hAnsi="宋体" w:eastAsia="宋体" w:cs="宋体"/>
          <w:b/>
          <w:bCs/>
          <w:color w:val="auto"/>
          <w:sz w:val="32"/>
          <w:szCs w:val="32"/>
          <w:highlight w:val="none"/>
        </w:rPr>
      </w:pPr>
    </w:p>
    <w:p w14:paraId="43DF8E03">
      <w:pPr>
        <w:shd w:val="clear"/>
        <w:wordWrap w:val="0"/>
        <w:spacing w:line="360" w:lineRule="auto"/>
        <w:jc w:val="center"/>
        <w:rPr>
          <w:rFonts w:hint="eastAsia" w:ascii="宋体" w:hAnsi="宋体" w:eastAsia="宋体" w:cs="宋体"/>
          <w:b/>
          <w:bCs/>
          <w:color w:val="auto"/>
          <w:sz w:val="32"/>
          <w:szCs w:val="32"/>
          <w:highlight w:val="none"/>
        </w:rPr>
      </w:pPr>
    </w:p>
    <w:p w14:paraId="7D31C3E2">
      <w:pPr>
        <w:shd w:val="clear"/>
        <w:wordWrap w:val="0"/>
        <w:spacing w:line="360" w:lineRule="auto"/>
        <w:jc w:val="center"/>
        <w:rPr>
          <w:rFonts w:hint="eastAsia" w:ascii="宋体" w:hAnsi="宋体" w:eastAsia="宋体" w:cs="宋体"/>
          <w:b/>
          <w:bCs/>
          <w:color w:val="auto"/>
          <w:sz w:val="32"/>
          <w:szCs w:val="32"/>
          <w:highlight w:val="none"/>
        </w:rPr>
      </w:pPr>
    </w:p>
    <w:p w14:paraId="1328AC08">
      <w:pPr>
        <w:shd w:val="clear"/>
        <w:wordWrap w:val="0"/>
        <w:spacing w:line="360" w:lineRule="auto"/>
        <w:jc w:val="center"/>
        <w:rPr>
          <w:rFonts w:hint="eastAsia" w:ascii="宋体" w:hAnsi="宋体" w:eastAsia="宋体" w:cs="宋体"/>
          <w:b/>
          <w:bCs/>
          <w:color w:val="auto"/>
          <w:sz w:val="32"/>
          <w:szCs w:val="32"/>
          <w:highlight w:val="none"/>
        </w:rPr>
      </w:pPr>
    </w:p>
    <w:p w14:paraId="49868EA4">
      <w:pPr>
        <w:shd w:val="clear"/>
        <w:wordWrap w:val="0"/>
        <w:spacing w:line="360" w:lineRule="auto"/>
        <w:jc w:val="center"/>
        <w:rPr>
          <w:rFonts w:hint="eastAsia" w:ascii="宋体" w:hAnsi="宋体" w:eastAsia="宋体" w:cs="宋体"/>
          <w:b/>
          <w:bCs/>
          <w:color w:val="auto"/>
          <w:sz w:val="32"/>
          <w:szCs w:val="32"/>
          <w:highlight w:val="none"/>
        </w:rPr>
      </w:pPr>
    </w:p>
    <w:p w14:paraId="57F1F50B">
      <w:pPr>
        <w:shd w:val="clear"/>
        <w:wordWrap w:val="0"/>
        <w:spacing w:line="360" w:lineRule="auto"/>
        <w:jc w:val="center"/>
        <w:rPr>
          <w:rFonts w:hint="eastAsia" w:ascii="宋体" w:hAnsi="宋体" w:eastAsia="宋体" w:cs="宋体"/>
          <w:b/>
          <w:bCs/>
          <w:color w:val="auto"/>
          <w:sz w:val="32"/>
          <w:szCs w:val="32"/>
          <w:highlight w:val="none"/>
        </w:rPr>
      </w:pPr>
    </w:p>
    <w:p w14:paraId="4748E554">
      <w:pPr>
        <w:shd w:val="clear"/>
        <w:wordWrap w:val="0"/>
        <w:spacing w:line="360" w:lineRule="auto"/>
        <w:rPr>
          <w:rFonts w:hint="eastAsia" w:ascii="宋体" w:hAnsi="宋体" w:eastAsia="宋体" w:cs="宋体"/>
          <w:b/>
          <w:color w:val="auto"/>
          <w:sz w:val="32"/>
          <w:szCs w:val="32"/>
          <w:highlight w:val="none"/>
        </w:rPr>
      </w:pPr>
    </w:p>
    <w:p w14:paraId="7B37F7E7">
      <w:pPr>
        <w:shd w:val="clear"/>
        <w:wordWrap w:val="0"/>
        <w:spacing w:line="360" w:lineRule="auto"/>
        <w:rPr>
          <w:rFonts w:hint="eastAsia" w:ascii="宋体" w:hAnsi="宋体" w:eastAsia="宋体" w:cs="宋体"/>
          <w:b/>
          <w:color w:val="auto"/>
          <w:sz w:val="32"/>
          <w:szCs w:val="32"/>
          <w:highlight w:val="none"/>
        </w:rPr>
      </w:pPr>
    </w:p>
    <w:p w14:paraId="3D509DC8">
      <w:pPr>
        <w:shd w:val="clear"/>
        <w:wordWrap w:val="0"/>
        <w:spacing w:line="360" w:lineRule="auto"/>
        <w:rPr>
          <w:rFonts w:hint="eastAsia" w:ascii="宋体" w:hAnsi="宋体" w:eastAsia="宋体" w:cs="宋体"/>
          <w:b/>
          <w:color w:val="auto"/>
          <w:sz w:val="32"/>
          <w:szCs w:val="32"/>
          <w:highlight w:val="none"/>
        </w:rPr>
      </w:pPr>
    </w:p>
    <w:p w14:paraId="11E0EEDC">
      <w:pPr>
        <w:shd w:val="clear"/>
        <w:wordWrap w:val="0"/>
        <w:spacing w:line="360" w:lineRule="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质疑函制作说明：</w:t>
      </w:r>
    </w:p>
    <w:p w14:paraId="7A289F62">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1.供应商提出质疑时，应提交质疑函和必要的证明材料。</w:t>
      </w:r>
    </w:p>
    <w:p w14:paraId="1BAE1B73">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32"/>
          <w:szCs w:val="32"/>
          <w:highlight w:val="none"/>
        </w:rPr>
        <w:t>供应商签署的授权委托书。授权委托书应载明代理人的姓名或者名称、代理事项、具体权限、期限和相关事项。</w:t>
      </w:r>
    </w:p>
    <w:p w14:paraId="2EA13724">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3.质疑供应商若对项目的某一分包进行质疑，质疑函中应列明具体分包号。</w:t>
      </w:r>
    </w:p>
    <w:p w14:paraId="00A157F7">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4.质疑函的质疑事项应具体、明确，并有必要的事实依据和法律依据。</w:t>
      </w:r>
    </w:p>
    <w:p w14:paraId="48565C32">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5.质疑函的质疑请求应与质疑事项相关。</w:t>
      </w:r>
    </w:p>
    <w:p w14:paraId="49693263">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14:paraId="0A68B142">
      <w:pPr>
        <w:widowControl/>
        <w:shd w:val="clear"/>
        <w:wordWrap w:val="0"/>
        <w:spacing w:line="360" w:lineRule="auto"/>
        <w:ind w:firstLine="600" w:firstLineChars="200"/>
        <w:jc w:val="left"/>
        <w:rPr>
          <w:rFonts w:hint="eastAsia" w:ascii="宋体" w:hAnsi="宋体" w:eastAsia="宋体" w:cs="宋体"/>
          <w:color w:val="auto"/>
          <w:sz w:val="30"/>
          <w:szCs w:val="30"/>
          <w:highlight w:val="none"/>
        </w:rPr>
      </w:pPr>
    </w:p>
    <w:p w14:paraId="353A750A">
      <w:pPr>
        <w:widowControl/>
        <w:shd w:val="clear"/>
        <w:wordWrap w:val="0"/>
        <w:spacing w:line="360" w:lineRule="auto"/>
        <w:jc w:val="left"/>
        <w:rPr>
          <w:rFonts w:hint="eastAsia" w:ascii="宋体" w:hAnsi="宋体" w:eastAsia="宋体" w:cs="宋体"/>
          <w:color w:val="auto"/>
          <w:kern w:val="0"/>
          <w:sz w:val="24"/>
          <w:highlight w:val="none"/>
        </w:rPr>
        <w:sectPr>
          <w:pgSz w:w="11906" w:h="16838"/>
          <w:pgMar w:top="1440" w:right="1080" w:bottom="1440" w:left="1080" w:header="720" w:footer="720" w:gutter="0"/>
          <w:pgNumType w:fmt="decimal"/>
          <w:cols w:space="720" w:num="1"/>
          <w:docGrid w:type="lines" w:linePitch="331" w:charSpace="0"/>
        </w:sectPr>
      </w:pPr>
    </w:p>
    <w:p w14:paraId="6F2ADDA0">
      <w:pPr>
        <w:pStyle w:val="3"/>
        <w:shd w:val="clear"/>
        <w:wordWrap w:val="0"/>
        <w:spacing w:before="0" w:after="0" w:line="360" w:lineRule="auto"/>
        <w:jc w:val="center"/>
        <w:rPr>
          <w:rFonts w:hint="eastAsia" w:ascii="宋体" w:hAnsi="宋体" w:eastAsia="宋体" w:cs="宋体"/>
          <w:b w:val="0"/>
          <w:bCs w:val="0"/>
          <w:color w:val="auto"/>
          <w:highlight w:val="none"/>
        </w:rPr>
      </w:pPr>
      <w:bookmarkStart w:id="762" w:name="_Toc18446"/>
      <w:r>
        <w:rPr>
          <w:rFonts w:hint="eastAsia" w:ascii="宋体" w:hAnsi="宋体" w:eastAsia="宋体" w:cs="宋体"/>
          <w:b w:val="0"/>
          <w:bCs w:val="0"/>
          <w:color w:val="auto"/>
          <w:highlight w:val="none"/>
        </w:rPr>
        <w:t>第二节 投诉书（格式）</w:t>
      </w:r>
      <w:bookmarkEnd w:id="762"/>
    </w:p>
    <w:p w14:paraId="4C12F27A">
      <w:pPr>
        <w:shd w:val="clear"/>
        <w:wordWrap w:val="0"/>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投诉书范本</w:t>
      </w:r>
    </w:p>
    <w:p w14:paraId="74CEFB36">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一、投诉相关主体基本情况</w:t>
      </w:r>
    </w:p>
    <w:p w14:paraId="54919A99">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投诉人：</w:t>
      </w:r>
      <w:r>
        <w:rPr>
          <w:rFonts w:hint="eastAsia" w:ascii="宋体" w:hAnsi="宋体" w:eastAsia="宋体" w:cs="宋体"/>
          <w:color w:val="auto"/>
          <w:sz w:val="32"/>
          <w:szCs w:val="32"/>
          <w:highlight w:val="none"/>
          <w:u w:val="dotted"/>
        </w:rPr>
        <w:t xml:space="preserve">                                               </w:t>
      </w:r>
    </w:p>
    <w:p w14:paraId="3DEC02B8">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1E5F53CD">
      <w:pPr>
        <w:shd w:val="clear"/>
        <w:tabs>
          <w:tab w:val="left" w:pos="6510"/>
        </w:tabs>
        <w:wordWrap w:val="0"/>
        <w:spacing w:line="360" w:lineRule="auto"/>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法定代表人/主要负责人：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30D1E2DB">
      <w:pPr>
        <w:shd w:val="clear"/>
        <w:tabs>
          <w:tab w:val="left" w:pos="6510"/>
        </w:tabs>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p>
    <w:p w14:paraId="7FA346EF">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授权代表：</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p>
    <w:p w14:paraId="01AF258E">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r>
        <w:rPr>
          <w:rFonts w:hint="eastAsia" w:ascii="宋体" w:hAnsi="宋体" w:eastAsia="宋体" w:cs="宋体"/>
          <w:color w:val="auto"/>
          <w:sz w:val="32"/>
          <w:szCs w:val="32"/>
          <w:highlight w:val="none"/>
          <w:u w:val="dotted"/>
        </w:rPr>
        <w:t xml:space="preserve">                   </w:t>
      </w:r>
    </w:p>
    <w:p w14:paraId="55EB3F65">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被投诉人1：</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3C2F5ECC">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43577828">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联系人：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0A2DCEB0">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被投诉人2</w:t>
      </w:r>
    </w:p>
    <w:p w14:paraId="536FDC93">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w:t>
      </w:r>
    </w:p>
    <w:p w14:paraId="31667F55">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相关供应商：</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5DBE6DAF">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地     址：</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邮编：</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4E654BF1">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联系人：</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联系电话：</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u w:val="single"/>
        </w:rPr>
        <w:t xml:space="preserve">      </w:t>
      </w:r>
    </w:p>
    <w:p w14:paraId="0E051E34">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二、投诉项目基本情况</w:t>
      </w:r>
    </w:p>
    <w:p w14:paraId="5EACBB88">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采购项目名称：</w:t>
      </w:r>
      <w:r>
        <w:rPr>
          <w:rFonts w:hint="eastAsia" w:ascii="宋体" w:hAnsi="宋体" w:eastAsia="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南宁市市管5个免费公园综合管养服务（绿化养护分项）采购</w:t>
      </w:r>
      <w:r>
        <w:rPr>
          <w:rFonts w:hint="eastAsia" w:ascii="宋体" w:hAnsi="宋体" w:eastAsia="宋体" w:cs="宋体"/>
          <w:color w:val="auto"/>
          <w:sz w:val="32"/>
          <w:szCs w:val="32"/>
          <w:highlight w:val="none"/>
          <w:u w:val="dotted"/>
          <w:lang w:eastAsia="zh-CN"/>
        </w:rPr>
        <w:t xml:space="preserve"> </w:t>
      </w:r>
      <w:r>
        <w:rPr>
          <w:rFonts w:hint="eastAsia" w:ascii="宋体" w:hAnsi="宋体" w:eastAsia="宋体" w:cs="宋体"/>
          <w:color w:val="auto"/>
          <w:sz w:val="32"/>
          <w:szCs w:val="32"/>
          <w:highlight w:val="none"/>
          <w:u w:val="dotted"/>
        </w:rPr>
        <w:t xml:space="preserve">   </w:t>
      </w:r>
    </w:p>
    <w:p w14:paraId="5BAADB41">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采购项目编号：</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包号：</w:t>
      </w:r>
      <w:r>
        <w:rPr>
          <w:rFonts w:hint="eastAsia" w:ascii="宋体" w:hAnsi="宋体" w:eastAsia="宋体" w:cs="宋体"/>
          <w:color w:val="auto"/>
          <w:sz w:val="32"/>
          <w:szCs w:val="32"/>
          <w:highlight w:val="none"/>
          <w:u w:val="dotted"/>
        </w:rPr>
        <w:t xml:space="preserve">              </w:t>
      </w:r>
    </w:p>
    <w:p w14:paraId="03EE8684">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采购人名称：</w:t>
      </w:r>
      <w:r>
        <w:rPr>
          <w:rFonts w:hint="eastAsia" w:ascii="宋体" w:hAnsi="宋体" w:eastAsia="宋体" w:cs="宋体"/>
          <w:color w:val="auto"/>
          <w:sz w:val="32"/>
          <w:szCs w:val="32"/>
          <w:highlight w:val="none"/>
          <w:u w:val="dotted"/>
        </w:rPr>
        <w:t xml:space="preserve">  </w:t>
      </w:r>
      <w:r>
        <w:rPr>
          <w:rFonts w:hint="eastAsia" w:ascii="宋体" w:hAnsi="宋体" w:cs="宋体"/>
          <w:color w:val="auto"/>
          <w:sz w:val="32"/>
          <w:szCs w:val="32"/>
          <w:highlight w:val="none"/>
          <w:u w:val="dotted"/>
          <w:lang w:eastAsia="zh-CN"/>
        </w:rPr>
        <w:t>南宁市南湖公园</w:t>
      </w:r>
      <w:r>
        <w:rPr>
          <w:rFonts w:hint="eastAsia" w:ascii="宋体" w:hAnsi="宋体" w:eastAsia="宋体" w:cs="宋体"/>
          <w:color w:val="auto"/>
          <w:sz w:val="32"/>
          <w:szCs w:val="32"/>
          <w:highlight w:val="none"/>
          <w:u w:val="single"/>
        </w:rPr>
        <w:t xml:space="preserve">  </w:t>
      </w:r>
    </w:p>
    <w:p w14:paraId="46E2CDDA">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代理机构名称：</w:t>
      </w:r>
      <w:r>
        <w:rPr>
          <w:rFonts w:hint="eastAsia" w:ascii="宋体" w:hAnsi="宋体" w:eastAsia="宋体" w:cs="宋体"/>
          <w:color w:val="auto"/>
          <w:sz w:val="32"/>
          <w:szCs w:val="32"/>
          <w:highlight w:val="none"/>
          <w:u w:val="dotted"/>
        </w:rPr>
        <w:t xml:space="preserve">                                         </w:t>
      </w:r>
    </w:p>
    <w:p w14:paraId="20AC25DB">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采购文件公告:</w:t>
      </w:r>
      <w:r>
        <w:rPr>
          <w:rFonts w:hint="eastAsia" w:ascii="宋体" w:hAnsi="宋体" w:eastAsia="宋体" w:cs="宋体"/>
          <w:color w:val="auto"/>
          <w:sz w:val="32"/>
          <w:szCs w:val="32"/>
          <w:highlight w:val="none"/>
          <w:u w:val="dotted"/>
        </w:rPr>
        <w:t xml:space="preserve">是/否 </w:t>
      </w:r>
      <w:r>
        <w:rPr>
          <w:rFonts w:hint="eastAsia" w:ascii="宋体" w:hAnsi="宋体" w:eastAsia="宋体" w:cs="宋体"/>
          <w:color w:val="auto"/>
          <w:sz w:val="32"/>
          <w:szCs w:val="32"/>
          <w:highlight w:val="none"/>
        </w:rPr>
        <w:t>公告期限：</w:t>
      </w:r>
      <w:r>
        <w:rPr>
          <w:rFonts w:hint="eastAsia" w:ascii="宋体" w:hAnsi="宋体" w:eastAsia="宋体" w:cs="宋体"/>
          <w:color w:val="auto"/>
          <w:sz w:val="32"/>
          <w:szCs w:val="32"/>
          <w:highlight w:val="none"/>
          <w:u w:val="dotted"/>
        </w:rPr>
        <w:t xml:space="preserve">                                 </w:t>
      </w:r>
    </w:p>
    <w:p w14:paraId="5361617C">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采购结果公告:</w:t>
      </w:r>
      <w:r>
        <w:rPr>
          <w:rFonts w:hint="eastAsia" w:ascii="宋体" w:hAnsi="宋体" w:eastAsia="宋体" w:cs="宋体"/>
          <w:color w:val="auto"/>
          <w:sz w:val="32"/>
          <w:szCs w:val="32"/>
          <w:highlight w:val="none"/>
          <w:u w:val="dotted"/>
        </w:rPr>
        <w:t xml:space="preserve">是/否 </w:t>
      </w:r>
      <w:r>
        <w:rPr>
          <w:rFonts w:hint="eastAsia" w:ascii="宋体" w:hAnsi="宋体" w:eastAsia="宋体" w:cs="宋体"/>
          <w:color w:val="auto"/>
          <w:sz w:val="32"/>
          <w:szCs w:val="32"/>
          <w:highlight w:val="none"/>
        </w:rPr>
        <w:t>公告期限：</w:t>
      </w:r>
      <w:r>
        <w:rPr>
          <w:rFonts w:hint="eastAsia" w:ascii="宋体" w:hAnsi="宋体" w:eastAsia="宋体" w:cs="宋体"/>
          <w:color w:val="auto"/>
          <w:sz w:val="32"/>
          <w:szCs w:val="32"/>
          <w:highlight w:val="none"/>
          <w:u w:val="dotted"/>
        </w:rPr>
        <w:t xml:space="preserve">                        </w:t>
      </w:r>
    </w:p>
    <w:p w14:paraId="02BE2336">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三、质疑基本情况</w:t>
      </w:r>
    </w:p>
    <w:p w14:paraId="7F2B203B">
      <w:pPr>
        <w:shd w:val="clear"/>
        <w:wordWrap w:val="0"/>
        <w:spacing w:line="360" w:lineRule="auto"/>
        <w:ind w:firstLine="640" w:firstLineChars="200"/>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投诉人于</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日,向</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提出质疑，质疑事项为：</w:t>
      </w:r>
      <w:r>
        <w:rPr>
          <w:rFonts w:hint="eastAsia" w:ascii="宋体" w:hAnsi="宋体" w:eastAsia="宋体" w:cs="宋体"/>
          <w:color w:val="auto"/>
          <w:sz w:val="32"/>
          <w:szCs w:val="32"/>
          <w:highlight w:val="none"/>
          <w:u w:val="dotted"/>
        </w:rPr>
        <w:t xml:space="preserve">                                </w:t>
      </w:r>
    </w:p>
    <w:p w14:paraId="2DD87594">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6345994A">
      <w:pPr>
        <w:shd w:val="clear"/>
        <w:wordWrap w:val="0"/>
        <w:spacing w:line="360" w:lineRule="auto"/>
        <w:ind w:firstLine="480" w:firstLineChars="15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u w:val="dotted"/>
        </w:rPr>
        <w:t>采购人/代理机构</w:t>
      </w:r>
      <w:r>
        <w:rPr>
          <w:rFonts w:hint="eastAsia" w:ascii="宋体" w:hAnsi="宋体" w:eastAsia="宋体" w:cs="宋体"/>
          <w:color w:val="auto"/>
          <w:sz w:val="32"/>
          <w:szCs w:val="32"/>
          <w:highlight w:val="none"/>
        </w:rPr>
        <w:t>于</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年</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月</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日,就质疑事项作出了答复/没有在法定期限内作出答复。</w:t>
      </w:r>
    </w:p>
    <w:p w14:paraId="0F6D7E93">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四、投诉事项具体内容</w:t>
      </w:r>
    </w:p>
    <w:p w14:paraId="7B010519">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投诉事项 1：</w:t>
      </w:r>
      <w:r>
        <w:rPr>
          <w:rFonts w:hint="eastAsia" w:ascii="宋体" w:hAnsi="宋体" w:eastAsia="宋体" w:cs="宋体"/>
          <w:color w:val="auto"/>
          <w:sz w:val="32"/>
          <w:szCs w:val="32"/>
          <w:highlight w:val="none"/>
          <w:u w:val="dotted"/>
        </w:rPr>
        <w:t xml:space="preserve">                                       </w:t>
      </w:r>
    </w:p>
    <w:p w14:paraId="0B35320C">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事实依据：</w:t>
      </w:r>
      <w:r>
        <w:rPr>
          <w:rFonts w:hint="eastAsia" w:ascii="宋体" w:hAnsi="宋体" w:eastAsia="宋体" w:cs="宋体"/>
          <w:color w:val="auto"/>
          <w:sz w:val="32"/>
          <w:szCs w:val="32"/>
          <w:highlight w:val="none"/>
          <w:u w:val="dotted"/>
        </w:rPr>
        <w:t xml:space="preserve">                                         </w:t>
      </w:r>
    </w:p>
    <w:p w14:paraId="02EF1EC6">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p>
    <w:p w14:paraId="528367B0">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法律依据：</w:t>
      </w:r>
      <w:r>
        <w:rPr>
          <w:rFonts w:hint="eastAsia" w:ascii="宋体" w:hAnsi="宋体" w:eastAsia="宋体" w:cs="宋体"/>
          <w:color w:val="auto"/>
          <w:sz w:val="32"/>
          <w:szCs w:val="32"/>
          <w:highlight w:val="none"/>
          <w:u w:val="dotted"/>
        </w:rPr>
        <w:t xml:space="preserve">                                          </w:t>
      </w:r>
    </w:p>
    <w:p w14:paraId="64F25EDE">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u w:val="dotted"/>
        </w:rPr>
        <w:t xml:space="preserve">                                                      </w:t>
      </w:r>
    </w:p>
    <w:p w14:paraId="57F3AD9A">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投诉事项2</w:t>
      </w:r>
    </w:p>
    <w:p w14:paraId="5672F3E9">
      <w:pPr>
        <w:shd w:val="clear"/>
        <w:wordWrap w:val="0"/>
        <w:spacing w:line="360" w:lineRule="auto"/>
        <w:rPr>
          <w:rFonts w:hint="eastAsia" w:ascii="宋体" w:hAnsi="宋体" w:eastAsia="宋体" w:cs="宋体"/>
          <w:color w:val="auto"/>
          <w:sz w:val="32"/>
          <w:szCs w:val="32"/>
          <w:highlight w:val="none"/>
          <w:u w:val="dotted"/>
        </w:rPr>
      </w:pPr>
      <w:r>
        <w:rPr>
          <w:rFonts w:hint="eastAsia" w:ascii="宋体" w:hAnsi="宋体" w:eastAsia="宋体" w:cs="宋体"/>
          <w:color w:val="auto"/>
          <w:sz w:val="32"/>
          <w:szCs w:val="32"/>
          <w:highlight w:val="none"/>
        </w:rPr>
        <w:t>……</w:t>
      </w:r>
    </w:p>
    <w:p w14:paraId="7D7B253A">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五、与投诉事项相关的投诉请求</w:t>
      </w:r>
    </w:p>
    <w:p w14:paraId="0BC5788E">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请求：</w:t>
      </w:r>
      <w:r>
        <w:rPr>
          <w:rFonts w:hint="eastAsia" w:ascii="宋体" w:hAnsi="宋体" w:eastAsia="宋体" w:cs="宋体"/>
          <w:color w:val="auto"/>
          <w:sz w:val="32"/>
          <w:szCs w:val="32"/>
          <w:highlight w:val="none"/>
          <w:u w:val="dotted"/>
        </w:rPr>
        <w:t xml:space="preserve">                                              </w:t>
      </w:r>
      <w:r>
        <w:rPr>
          <w:rFonts w:hint="eastAsia" w:ascii="宋体" w:hAnsi="宋体" w:eastAsia="宋体" w:cs="宋体"/>
          <w:color w:val="auto"/>
          <w:sz w:val="32"/>
          <w:szCs w:val="32"/>
          <w:highlight w:val="none"/>
        </w:rPr>
        <w:t xml:space="preserve"> </w:t>
      </w:r>
    </w:p>
    <w:p w14:paraId="3D802950">
      <w:pPr>
        <w:shd w:val="clear"/>
        <w:wordWrap w:val="0"/>
        <w:spacing w:line="360" w:lineRule="auto"/>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 xml:space="preserve">                                                                                                    </w:t>
      </w:r>
    </w:p>
    <w:p w14:paraId="6513ABBC">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签字(签章)：                   公章：                      </w:t>
      </w:r>
    </w:p>
    <w:p w14:paraId="6E55AFC3">
      <w:pPr>
        <w:shd w:val="clear"/>
        <w:wordWrap w:val="0"/>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日期：    </w:t>
      </w:r>
    </w:p>
    <w:p w14:paraId="5C4032C7">
      <w:pPr>
        <w:shd w:val="clear"/>
        <w:wordWrap w:val="0"/>
        <w:spacing w:line="360" w:lineRule="auto"/>
        <w:rPr>
          <w:rFonts w:hint="eastAsia" w:ascii="宋体" w:hAnsi="宋体" w:eastAsia="宋体" w:cs="宋体"/>
          <w:b/>
          <w:color w:val="auto"/>
          <w:sz w:val="32"/>
          <w:szCs w:val="32"/>
          <w:highlight w:val="none"/>
        </w:rPr>
      </w:pPr>
    </w:p>
    <w:p w14:paraId="14A70F3D">
      <w:pPr>
        <w:shd w:val="clear"/>
        <w:wordWrap w:val="0"/>
        <w:spacing w:line="360" w:lineRule="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投诉书制作说明：</w:t>
      </w:r>
    </w:p>
    <w:p w14:paraId="22E237E4">
      <w:pPr>
        <w:widowControl/>
        <w:shd w:val="clear"/>
        <w:wordWrap w:val="0"/>
        <w:spacing w:line="360" w:lineRule="auto"/>
        <w:ind w:firstLine="640" w:firstLineChars="200"/>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1.投诉人提起投诉时，应当提交投诉书和必要的证明材料，并按照被投诉人和与投诉事项有关的供应商数量提供投诉书副本。</w:t>
      </w:r>
    </w:p>
    <w:p w14:paraId="30A37589">
      <w:pPr>
        <w:widowControl/>
        <w:shd w:val="clear"/>
        <w:wordWrap w:val="0"/>
        <w:spacing w:line="360" w:lineRule="auto"/>
        <w:ind w:firstLine="640" w:firstLineChars="200"/>
        <w:jc w:val="left"/>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2.投诉人若委托代理人进行投诉的，投诉书应按照要求列明“授权代表”的有关内容，并在附件中提交由</w:t>
      </w:r>
      <w:r>
        <w:rPr>
          <w:rFonts w:hint="eastAsia" w:ascii="宋体" w:hAnsi="宋体" w:eastAsia="宋体" w:cs="宋体"/>
          <w:color w:val="auto"/>
          <w:kern w:val="0"/>
          <w:sz w:val="32"/>
          <w:szCs w:val="32"/>
          <w:highlight w:val="none"/>
        </w:rPr>
        <w:t>投诉人签署的授权委托书。授权委托书应当载明代理人的姓名或者名称、代理事项、具体权限、期限和相关事项。</w:t>
      </w:r>
    </w:p>
    <w:p w14:paraId="625915A3">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3.投诉人若对项目的某一分包进行投诉，投诉书应列明具体分包号。</w:t>
      </w:r>
    </w:p>
    <w:p w14:paraId="51ABC619">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4.投诉书应简要列明质疑事项，质疑函、质疑答复等作为附件材料提供。</w:t>
      </w:r>
    </w:p>
    <w:p w14:paraId="43035BA1">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5.投诉书的投诉事项应具体、明确，并有必要的事实依据和法律依据。</w:t>
      </w:r>
    </w:p>
    <w:p w14:paraId="28B83803">
      <w:pPr>
        <w:widowControl/>
        <w:shd w:val="clear"/>
        <w:wordWrap w:val="0"/>
        <w:spacing w:line="360" w:lineRule="auto"/>
        <w:ind w:firstLine="640" w:firstLineChars="200"/>
        <w:jc w:val="lef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6.投诉书的投诉请求应与投诉事项相关。</w:t>
      </w:r>
    </w:p>
    <w:p w14:paraId="7D96363C">
      <w:pPr>
        <w:widowControl/>
        <w:shd w:val="clear"/>
        <w:wordWrap w:val="0"/>
        <w:spacing w:line="360" w:lineRule="auto"/>
        <w:ind w:firstLine="640" w:firstLineChars="200"/>
        <w:jc w:val="left"/>
        <w:rPr>
          <w:rFonts w:hint="eastAsia" w:ascii="宋体" w:hAnsi="宋体" w:eastAsia="宋体" w:cs="宋体"/>
          <w:color w:val="auto"/>
          <w:kern w:val="0"/>
          <w:sz w:val="32"/>
          <w:szCs w:val="32"/>
          <w:highlight w:val="none"/>
        </w:rPr>
      </w:pPr>
      <w:r>
        <w:rPr>
          <w:rFonts w:hint="eastAsia" w:ascii="宋体" w:hAnsi="宋体" w:eastAsia="宋体" w:cs="宋体"/>
          <w:color w:val="auto"/>
          <w:sz w:val="32"/>
          <w:szCs w:val="32"/>
          <w:highlight w:val="none"/>
        </w:rPr>
        <w:t>7.投诉人为自然人的，投诉书应当由本人签字；投诉人为法人或者其他组织的，投诉书应当由法定代表人、主要负责人，或者其授权代表签字或者盖章，并加盖公章。</w:t>
      </w:r>
    </w:p>
    <w:p w14:paraId="678EFD52">
      <w:pPr>
        <w:shd w:val="clear"/>
        <w:wordWrap w:val="0"/>
        <w:spacing w:line="360" w:lineRule="auto"/>
        <w:rPr>
          <w:rFonts w:hint="eastAsia" w:ascii="宋体" w:hAnsi="宋体" w:eastAsia="宋体" w:cs="宋体"/>
          <w:color w:val="auto"/>
          <w:highlight w:val="none"/>
        </w:rPr>
      </w:pPr>
    </w:p>
    <w:p w14:paraId="19B42841">
      <w:pPr>
        <w:shd w:val="clear"/>
        <w:rPr>
          <w:rFonts w:hint="eastAsia" w:ascii="宋体" w:hAnsi="宋体" w:eastAsia="宋体" w:cs="宋体"/>
          <w:color w:val="auto"/>
          <w:highlight w:val="none"/>
        </w:rPr>
      </w:pPr>
    </w:p>
    <w:sectPr>
      <w:footerReference r:id="rId15" w:type="first"/>
      <w:headerReference r:id="rId12" w:type="default"/>
      <w:footerReference r:id="rId13" w:type="default"/>
      <w:footerReference r:id="rId14" w:type="even"/>
      <w:pgSz w:w="11906" w:h="16838"/>
      <w:pgMar w:top="1440" w:right="1080" w:bottom="1440" w:left="1080" w:header="720" w:footer="720" w:gutter="0"/>
      <w:pgNumType w:fmt="decimal"/>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D79E11-24CF-44A8-8A9D-18D209B23E53}"/>
  </w:font>
  <w:font w:name="Courier New">
    <w:panose1 w:val="02070309020205020404"/>
    <w:charset w:val="01"/>
    <w:family w:val="modern"/>
    <w:pitch w:val="default"/>
    <w:sig w:usb0="E0002EFF" w:usb1="C0007843" w:usb2="00000009" w:usb3="00000000" w:csb0="400001FF" w:csb1="FFFF0000"/>
    <w:embedRegular r:id="rId2" w:fontKey="{EB865D3C-E067-4F1A-98C7-6E31A7C4F87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8FD7F07-4B61-455D-9FFD-A52094AF72C0}"/>
  </w:font>
  <w:font w:name="等线 Light">
    <w:panose1 w:val="02010600030101010101"/>
    <w:charset w:val="86"/>
    <w:family w:val="auto"/>
    <w:pitch w:val="default"/>
    <w:sig w:usb0="A00002BF" w:usb1="38CF7CFA" w:usb2="00000016" w:usb3="00000000" w:csb0="0004000F" w:csb1="00000000"/>
    <w:embedRegular r:id="rId4" w:fontKey="{F04DE2E3-9B9B-4224-90AF-640649051F86}"/>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9BB286E6-7CF4-4CF4-A750-785F6BD8A880}"/>
  </w:font>
  <w:font w:name="仿宋">
    <w:panose1 w:val="02010609060101010101"/>
    <w:charset w:val="86"/>
    <w:family w:val="modern"/>
    <w:pitch w:val="default"/>
    <w:sig w:usb0="800002BF" w:usb1="38CF7CFA" w:usb2="00000016" w:usb3="00000000" w:csb0="00040001" w:csb1="00000000"/>
    <w:embedRegular r:id="rId6" w:fontKey="{5495EAEA-AAD4-4A4F-8C3F-78189047C033}"/>
  </w:font>
  <w:font w:name="Calibri Light">
    <w:panose1 w:val="020F0302020204030204"/>
    <w:charset w:val="00"/>
    <w:family w:val="auto"/>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ACF3C50" w:usb2="00000016" w:usb3="00000000" w:csb0="0004001F" w:csb1="00000000"/>
    <w:embedRegular r:id="rId7" w:fontKey="{0E41B554-3268-49C3-96B9-0F406C98717F}"/>
  </w:font>
  <w:font w:name="Segoe UI">
    <w:panose1 w:val="020B0502040204020203"/>
    <w:charset w:val="00"/>
    <w:family w:val="swiss"/>
    <w:pitch w:val="default"/>
    <w:sig w:usb0="E4002EFF" w:usb1="C000E47F" w:usb2="00000009" w:usb3="00000000" w:csb0="200001FF" w:csb1="00000000"/>
    <w:embedRegular r:id="rId8" w:fontKey="{49FA6146-0438-4433-B508-658A272EB606}"/>
  </w:font>
  <w:font w:name="??">
    <w:altName w:val="Times New Roman"/>
    <w:panose1 w:val="00000000000000000000"/>
    <w:charset w:val="00"/>
    <w:family w:val="roman"/>
    <w:pitch w:val="default"/>
    <w:sig w:usb0="00000000" w:usb1="00000000" w:usb2="00000000" w:usb3="00000000" w:csb0="00000001" w:csb1="00000000"/>
  </w:font>
  <w:font w:name="方正小标宋简体">
    <w:panose1 w:val="02000000000000000000"/>
    <w:charset w:val="86"/>
    <w:family w:val="script"/>
    <w:pitch w:val="default"/>
    <w:sig w:usb0="00000001" w:usb1="08000000" w:usb2="00000000" w:usb3="00000000" w:csb0="00040000" w:csb1="00000000"/>
    <w:embedRegular r:id="rId9" w:fontKey="{D714FBC5-C7C5-4287-901C-0BC39A64E8F1}"/>
  </w:font>
  <w:font w:name="WPSEMBED1">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039BC">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9C6F4">
    <w:pPr>
      <w:pStyle w:val="14"/>
      <w:tabs>
        <w:tab w:val="center" w:pos="4873"/>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4A5CE2">
                          <w:pPr>
                            <w:pStyle w:val="1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734A5CE2">
                    <w:pPr>
                      <w:pStyle w:val="14"/>
                    </w:pPr>
                    <w:r>
                      <w:fldChar w:fldCharType="begin"/>
                    </w:r>
                    <w:r>
                      <w:instrText xml:space="preserve"> PAGE  \* MERGEFORMAT </w:instrText>
                    </w:r>
                    <w:r>
                      <w:fldChar w:fldCharType="separate"/>
                    </w:r>
                    <w:r>
                      <w:t>47</w:t>
                    </w:r>
                    <w:r>
                      <w:fldChar w:fldCharType="end"/>
                    </w:r>
                  </w:p>
                </w:txbxContent>
              </v:textbox>
            </v:shape>
          </w:pict>
        </mc:Fallback>
      </mc:AlternateContent>
    </w:r>
    <w:r>
      <w:rPr>
        <w:rFonts w:hint="eastAsia"/>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D482B">
    <w:pPr>
      <w:pStyle w:val="14"/>
      <w:tabs>
        <w:tab w:val="center" w:pos="4873"/>
        <w:tab w:val="clear" w:pos="4153"/>
      </w:tabs>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860585">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73860585">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4F118">
    <w:pPr>
      <w:pStyle w:val="14"/>
      <w:tabs>
        <w:tab w:val="center" w:pos="4873"/>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7727CC">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14:paraId="227727CC">
                    <w:pPr>
                      <w:pStyle w:val="14"/>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76266">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F6F004">
                          <w:pPr>
                            <w:pStyle w:val="1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1CF6F004">
                    <w:pPr>
                      <w:pStyle w:val="1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2A295">
    <w:pPr>
      <w:pStyle w:val="14"/>
      <w:wordWrap w:val="0"/>
      <w:jc w:val="right"/>
      <w:rPr>
        <w:rFonts w:ascii="宋体" w:hAnsi="宋体"/>
        <w:sz w:val="28"/>
        <w:szCs w:val="28"/>
        <w:lang w:eastAsia="zh-CN"/>
      </w:rPr>
    </w:pPr>
    <w:r>
      <w:rPr>
        <w:sz w:val="2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190315">
                          <w:pPr>
                            <w:pStyle w:val="14"/>
                            <w:wordWrap w:val="0"/>
                            <w:jc w:val="right"/>
                          </w:pPr>
                          <w:r>
                            <w:t xml:space="preserve">— </w:t>
                          </w:r>
                          <w:r>
                            <w:fldChar w:fldCharType="begin"/>
                          </w:r>
                          <w:r>
                            <w:instrText xml:space="preserve"> PAGE  \* MERGEFORMAT </w:instrText>
                          </w:r>
                          <w:r>
                            <w:fldChar w:fldCharType="separate"/>
                          </w:r>
                          <w:r>
                            <w:t>27</w:t>
                          </w:r>
                          <w:r>
                            <w:fldChar w:fldCharType="end"/>
                          </w:r>
                          <w: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6D190315">
                    <w:pPr>
                      <w:pStyle w:val="14"/>
                      <w:wordWrap w:val="0"/>
                      <w:jc w:val="right"/>
                    </w:pPr>
                    <w:r>
                      <w:t xml:space="preserve">— </w:t>
                    </w:r>
                    <w:r>
                      <w:fldChar w:fldCharType="begin"/>
                    </w:r>
                    <w:r>
                      <w:instrText xml:space="preserve"> PAGE  \* MERGEFORMAT </w:instrText>
                    </w:r>
                    <w:r>
                      <w:fldChar w:fldCharType="separate"/>
                    </w:r>
                    <w:r>
                      <w:t>27</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9AE0C">
    <w:pPr>
      <w:pStyle w:val="14"/>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B3FB80">
                          <w:pPr>
                            <w:pStyle w:val="1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FB3FB80">
                    <w:pPr>
                      <w:pStyle w:val="14"/>
                    </w:pPr>
                    <w:r>
                      <w:fldChar w:fldCharType="begin"/>
                    </w:r>
                    <w:r>
                      <w:instrText xml:space="preserve"> PAGE  \* MERGEFORMAT </w:instrText>
                    </w:r>
                    <w:r>
                      <w:fldChar w:fldCharType="separate"/>
                    </w:r>
                    <w:r>
                      <w:t>145</w:t>
                    </w:r>
                    <w:r>
                      <w:fldChar w:fldCharType="end"/>
                    </w:r>
                  </w:p>
                </w:txbxContent>
              </v:textbox>
            </v:shape>
          </w:pict>
        </mc:Fallback>
      </mc:AlternateContent>
    </w:r>
  </w:p>
  <w:p w14:paraId="668F39CF">
    <w:pPr>
      <w:pStyle w:val="1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2ECAE">
    <w:pPr>
      <w:pStyle w:val="14"/>
      <w:framePr w:wrap="around" w:vAnchor="text" w:hAnchor="margin" w:xAlign="center" w:y="1"/>
      <w:rPr>
        <w:rStyle w:val="25"/>
      </w:rPr>
    </w:pPr>
    <w:r>
      <w:fldChar w:fldCharType="begin"/>
    </w:r>
    <w:r>
      <w:rPr>
        <w:rStyle w:val="25"/>
      </w:rPr>
      <w:instrText xml:space="preserve">PAGE  </w:instrText>
    </w:r>
    <w:r>
      <w:fldChar w:fldCharType="end"/>
    </w:r>
  </w:p>
  <w:p w14:paraId="1B8CC17F">
    <w:pPr>
      <w:pStyle w:val="1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9313C">
    <w:pPr>
      <w:pStyle w:val="14"/>
      <w:framePr w:wrap="around" w:vAnchor="text" w:hAnchor="margin" w:xAlign="right" w:y="1"/>
      <w:rPr>
        <w:rStyle w:val="25"/>
      </w:rPr>
    </w:pPr>
    <w:r>
      <w:fldChar w:fldCharType="begin"/>
    </w:r>
    <w:r>
      <w:rPr>
        <w:rStyle w:val="25"/>
      </w:rPr>
      <w:instrText xml:space="preserve">PAGE  </w:instrText>
    </w:r>
    <w:r>
      <w:fldChar w:fldCharType="separate"/>
    </w:r>
    <w:r>
      <w:rPr>
        <w:rStyle w:val="25"/>
      </w:rPr>
      <w:t>122</w:t>
    </w:r>
    <w:r>
      <w:fldChar w:fldCharType="end"/>
    </w:r>
  </w:p>
  <w:p w14:paraId="4389FDC8">
    <w:pPr>
      <w:pStyle w:val="14"/>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01E0F">
    <w:pPr>
      <w:widowControl/>
      <w:ind w:left="-360" w:right="360"/>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CBBEA">
    <w:pPr>
      <w:widowControl/>
      <w:ind w:left="-360" w:right="360"/>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9D8F9">
    <w:pPr>
      <w:widowControl/>
      <w:ind w:left="-360" w:right="360"/>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2C93">
    <w:pPr>
      <w:pStyle w:val="1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51E5CB"/>
    <w:multiLevelType w:val="singleLevel"/>
    <w:tmpl w:val="9851E5CB"/>
    <w:lvl w:ilvl="0" w:tentative="0">
      <w:start w:val="7"/>
      <w:numFmt w:val="chineseCounting"/>
      <w:suff w:val="nothing"/>
      <w:lvlText w:val="%1、"/>
      <w:lvlJc w:val="left"/>
      <w:rPr>
        <w:rFonts w:hint="eastAsia"/>
      </w:rPr>
    </w:lvl>
  </w:abstractNum>
  <w:abstractNum w:abstractNumId="1">
    <w:nsid w:val="B4C20C0C"/>
    <w:multiLevelType w:val="singleLevel"/>
    <w:tmpl w:val="B4C20C0C"/>
    <w:lvl w:ilvl="0" w:tentative="0">
      <w:start w:val="5"/>
      <w:numFmt w:val="chineseCounting"/>
      <w:suff w:val="nothing"/>
      <w:lvlText w:val="%1、"/>
      <w:lvlJc w:val="left"/>
      <w:rPr>
        <w:rFonts w:hint="eastAsia"/>
      </w:rPr>
    </w:lvl>
  </w:abstractNum>
  <w:abstractNum w:abstractNumId="2">
    <w:nsid w:val="D3E32876"/>
    <w:multiLevelType w:val="singleLevel"/>
    <w:tmpl w:val="D3E32876"/>
    <w:lvl w:ilvl="0" w:tentative="0">
      <w:start w:val="1"/>
      <w:numFmt w:val="decimal"/>
      <w:lvlText w:val="%1."/>
      <w:lvlJc w:val="left"/>
      <w:pPr>
        <w:tabs>
          <w:tab w:val="left" w:pos="312"/>
        </w:tabs>
      </w:pPr>
    </w:lvl>
  </w:abstractNum>
  <w:abstractNum w:abstractNumId="3">
    <w:nsid w:val="D64F6345"/>
    <w:multiLevelType w:val="singleLevel"/>
    <w:tmpl w:val="D64F6345"/>
    <w:lvl w:ilvl="0" w:tentative="0">
      <w:start w:val="1"/>
      <w:numFmt w:val="chineseCounting"/>
      <w:suff w:val="nothing"/>
      <w:lvlText w:val="%1、"/>
      <w:lvlJc w:val="left"/>
      <w:rPr>
        <w:rFonts w:hint="eastAsia"/>
      </w:rPr>
    </w:lvl>
  </w:abstractNum>
  <w:abstractNum w:abstractNumId="4">
    <w:nsid w:val="DC3C4FD3"/>
    <w:multiLevelType w:val="singleLevel"/>
    <w:tmpl w:val="DC3C4FD3"/>
    <w:lvl w:ilvl="0" w:tentative="0">
      <w:start w:val="1"/>
      <w:numFmt w:val="decimal"/>
      <w:suff w:val="nothing"/>
      <w:lvlText w:val="（%1）"/>
      <w:lvlJc w:val="left"/>
    </w:lvl>
  </w:abstractNum>
  <w:abstractNum w:abstractNumId="5">
    <w:nsid w:val="E6600D42"/>
    <w:multiLevelType w:val="singleLevel"/>
    <w:tmpl w:val="E6600D42"/>
    <w:lvl w:ilvl="0" w:tentative="0">
      <w:start w:val="1"/>
      <w:numFmt w:val="decimal"/>
      <w:lvlText w:val="%1."/>
      <w:lvlJc w:val="left"/>
      <w:pPr>
        <w:tabs>
          <w:tab w:val="left" w:pos="312"/>
        </w:tabs>
      </w:pPr>
    </w:lvl>
  </w:abstractNum>
  <w:abstractNum w:abstractNumId="6">
    <w:nsid w:val="FD87273D"/>
    <w:multiLevelType w:val="singleLevel"/>
    <w:tmpl w:val="FD87273D"/>
    <w:lvl w:ilvl="0" w:tentative="0">
      <w:start w:val="2"/>
      <w:numFmt w:val="chineseCounting"/>
      <w:suff w:val="nothing"/>
      <w:lvlText w:val="（%1）"/>
      <w:lvlJc w:val="left"/>
      <w:rPr>
        <w:rFonts w:hint="eastAsia"/>
      </w:rPr>
    </w:lvl>
  </w:abstractNum>
  <w:abstractNum w:abstractNumId="7">
    <w:nsid w:val="00000006"/>
    <w:multiLevelType w:val="multilevel"/>
    <w:tmpl w:val="00000006"/>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17DA3C14"/>
    <w:multiLevelType w:val="singleLevel"/>
    <w:tmpl w:val="17DA3C14"/>
    <w:lvl w:ilvl="0" w:tentative="0">
      <w:start w:val="8"/>
      <w:numFmt w:val="decimal"/>
      <w:suff w:val="nothing"/>
      <w:lvlText w:val="（%1）"/>
      <w:lvlJc w:val="left"/>
    </w:lvl>
  </w:abstractNum>
  <w:abstractNum w:abstractNumId="9">
    <w:nsid w:val="1D7956E1"/>
    <w:multiLevelType w:val="multilevel"/>
    <w:tmpl w:val="1D7956E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pStyle w:val="5"/>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0D8518B"/>
    <w:multiLevelType w:val="singleLevel"/>
    <w:tmpl w:val="20D8518B"/>
    <w:lvl w:ilvl="0" w:tentative="0">
      <w:start w:val="1"/>
      <w:numFmt w:val="chineseCounting"/>
      <w:suff w:val="nothing"/>
      <w:lvlText w:val="（%1）"/>
      <w:lvlJc w:val="left"/>
      <w:rPr>
        <w:rFonts w:hint="eastAsia"/>
      </w:rPr>
    </w:lvl>
  </w:abstractNum>
  <w:abstractNum w:abstractNumId="11">
    <w:nsid w:val="51536378"/>
    <w:multiLevelType w:val="singleLevel"/>
    <w:tmpl w:val="51536378"/>
    <w:lvl w:ilvl="0" w:tentative="0">
      <w:start w:val="1"/>
      <w:numFmt w:val="decimal"/>
      <w:suff w:val="nothing"/>
      <w:lvlText w:val="（%1）"/>
      <w:lvlJc w:val="left"/>
      <w:pPr>
        <w:ind w:left="0" w:firstLine="0"/>
      </w:pPr>
    </w:lvl>
  </w:abstractNum>
  <w:abstractNum w:abstractNumId="12">
    <w:nsid w:val="646260FA"/>
    <w:multiLevelType w:val="multilevel"/>
    <w:tmpl w:val="646260FA"/>
    <w:lvl w:ilvl="0" w:tentative="0">
      <w:start w:val="1"/>
      <w:numFmt w:val="decimal"/>
      <w:pStyle w:val="47"/>
      <w:suff w:val="nothing"/>
      <w:lvlText w:val="表%1　"/>
      <w:lvlJc w:val="left"/>
      <w:rPr>
        <w:rFonts w:hint="eastAsia" w:ascii="黑体" w:hAnsi="Times New Roman" w:eastAsia="黑体" w:cs="Times New Roman"/>
        <w:b w:val="0"/>
        <w:i w:val="0"/>
        <w:sz w:val="21"/>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418"/>
        </w:tabs>
        <w:ind w:left="1418" w:hanging="567"/>
      </w:pPr>
      <w:rPr>
        <w:rFonts w:cs="Times New Roman"/>
      </w:rPr>
    </w:lvl>
    <w:lvl w:ilvl="3" w:tentative="0">
      <w:start w:val="1"/>
      <w:numFmt w:val="decimal"/>
      <w:lvlText w:val="%1.%2.%3.%4"/>
      <w:lvlJc w:val="left"/>
      <w:pPr>
        <w:tabs>
          <w:tab w:val="left" w:pos="1984"/>
        </w:tabs>
        <w:ind w:left="1984" w:hanging="708"/>
      </w:pPr>
      <w:rPr>
        <w:rFonts w:cs="Times New Roman"/>
      </w:rPr>
    </w:lvl>
    <w:lvl w:ilvl="4" w:tentative="0">
      <w:start w:val="1"/>
      <w:numFmt w:val="decimal"/>
      <w:lvlText w:val="%1.%2.%3.%4.%5"/>
      <w:lvlJc w:val="left"/>
      <w:pPr>
        <w:tabs>
          <w:tab w:val="left" w:pos="2551"/>
        </w:tabs>
        <w:ind w:left="2551" w:hanging="850"/>
      </w:pPr>
      <w:rPr>
        <w:rFonts w:cs="Times New Roman"/>
      </w:rPr>
    </w:lvl>
    <w:lvl w:ilvl="5" w:tentative="0">
      <w:start w:val="1"/>
      <w:numFmt w:val="decimal"/>
      <w:lvlText w:val="%1.%2.%3.%4.%5.%6"/>
      <w:lvlJc w:val="left"/>
      <w:pPr>
        <w:tabs>
          <w:tab w:val="left" w:pos="3260"/>
        </w:tabs>
        <w:ind w:left="3260" w:hanging="1134"/>
      </w:pPr>
      <w:rPr>
        <w:rFonts w:cs="Times New Roman"/>
      </w:rPr>
    </w:lvl>
    <w:lvl w:ilvl="6" w:tentative="0">
      <w:start w:val="1"/>
      <w:numFmt w:val="decimal"/>
      <w:lvlText w:val="%1.%2.%3.%4.%5.%6.%7"/>
      <w:lvlJc w:val="left"/>
      <w:pPr>
        <w:tabs>
          <w:tab w:val="left" w:pos="3827"/>
        </w:tabs>
        <w:ind w:left="3827" w:hanging="1276"/>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abstractNum w:abstractNumId="13">
    <w:nsid w:val="6733B0E3"/>
    <w:multiLevelType w:val="singleLevel"/>
    <w:tmpl w:val="6733B0E3"/>
    <w:lvl w:ilvl="0" w:tentative="0">
      <w:start w:val="1"/>
      <w:numFmt w:val="chineseCounting"/>
      <w:suff w:val="nothing"/>
      <w:lvlText w:val="（%1）"/>
      <w:lvlJc w:val="left"/>
      <w:rPr>
        <w:rFonts w:hint="eastAsia"/>
      </w:rPr>
    </w:lvl>
  </w:abstractNum>
  <w:abstractNum w:abstractNumId="14">
    <w:nsid w:val="6CEA2025"/>
    <w:multiLevelType w:val="multilevel"/>
    <w:tmpl w:val="6CEA2025"/>
    <w:lvl w:ilvl="0" w:tentative="0">
      <w:start w:val="1"/>
      <w:numFmt w:val="none"/>
      <w:suff w:val="nothing"/>
      <w:lvlText w:val="%1"/>
      <w:lvlJc w:val="left"/>
      <w:rPr>
        <w:rFonts w:hint="default" w:ascii="Times New Roman" w:hAnsi="Times New Roman" w:cs="Times New Roman"/>
        <w:b/>
        <w:i w:val="0"/>
        <w:sz w:val="21"/>
      </w:rPr>
    </w:lvl>
    <w:lvl w:ilvl="1" w:tentative="0">
      <w:start w:val="1"/>
      <w:numFmt w:val="decimal"/>
      <w:pStyle w:val="45"/>
      <w:suff w:val="nothing"/>
      <w:lvlText w:val="%1%2　"/>
      <w:lvlJc w:val="left"/>
      <w:rPr>
        <w:rFonts w:hint="eastAsia" w:ascii="黑体" w:hAnsi="Times New Roman" w:eastAsia="黑体" w:cs="Times New Roman"/>
        <w:b w:val="0"/>
        <w:i w:val="0"/>
        <w:sz w:val="21"/>
      </w:rPr>
    </w:lvl>
    <w:lvl w:ilvl="2" w:tentative="0">
      <w:start w:val="1"/>
      <w:numFmt w:val="decimal"/>
      <w:pStyle w:val="46"/>
      <w:suff w:val="nothing"/>
      <w:lvlText w:val="%1%2.%3　"/>
      <w:lvlJc w:val="left"/>
      <w:rPr>
        <w:rFonts w:hint="eastAsia" w:ascii="黑体" w:hAnsi="Times New Roman" w:eastAsia="黑体" w:cs="Times New Roman"/>
        <w:b w:val="0"/>
        <w:i w:val="0"/>
        <w:sz w:val="21"/>
      </w:rPr>
    </w:lvl>
    <w:lvl w:ilvl="3" w:tentative="0">
      <w:start w:val="1"/>
      <w:numFmt w:val="decimal"/>
      <w:pStyle w:val="48"/>
      <w:suff w:val="nothing"/>
      <w:lvlText w:val="%1%2.%3.%4　"/>
      <w:lvlJc w:val="left"/>
      <w:rPr>
        <w:rFonts w:hint="eastAsia" w:ascii="黑体" w:hAnsi="Times New Roman" w:eastAsia="黑体" w:cs="Times New Roman"/>
        <w:b w:val="0"/>
        <w:i w:val="0"/>
        <w:sz w:val="21"/>
      </w:rPr>
    </w:lvl>
    <w:lvl w:ilvl="4" w:tentative="0">
      <w:start w:val="1"/>
      <w:numFmt w:val="decimal"/>
      <w:pStyle w:val="49"/>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cs="Times New Roman"/>
      </w:rPr>
    </w:lvl>
    <w:lvl w:ilvl="8" w:tentative="0">
      <w:start w:val="1"/>
      <w:numFmt w:val="decimal"/>
      <w:lvlText w:val="%1.%2.%3.%4.%5.%6.%7.%8.%9"/>
      <w:lvlJc w:val="left"/>
      <w:pPr>
        <w:tabs>
          <w:tab w:val="left" w:pos="4777"/>
        </w:tabs>
        <w:ind w:left="4677" w:hanging="1700"/>
      </w:pPr>
      <w:rPr>
        <w:rFonts w:cs="Times New Roman"/>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3"/>
  </w:num>
  <w:num w:numId="6">
    <w:abstractNumId w:val="1"/>
  </w:num>
  <w:num w:numId="7">
    <w:abstractNumId w:val="10"/>
  </w:num>
  <w:num w:numId="8">
    <w:abstractNumId w:val="3"/>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
  </w:num>
  <w:num w:numId="12">
    <w:abstractNumId w:val="5"/>
  </w:num>
  <w:num w:numId="13">
    <w:abstractNumId w:val="4"/>
  </w:num>
  <w:num w:numId="14">
    <w:abstractNumId w:val="11"/>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attachedTemplate r:id="rId1"/>
  <w:documentProtection w:edit="readOnly" w:enforcement="1" w:cryptProviderType="rsaFull" w:cryptAlgorithmClass="hash" w:cryptAlgorithmType="typeAny" w:cryptAlgorithmSid="4" w:cryptSpinCount="0" w:hash="PnKjH5a/oOnLggiQGo/RgU+YMwg=" w:salt="+f/NcGKSkTTaSwPPKOp43A=="/>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zYmU5MzQwMjY5MTlhZGU4ZDQ3NmM4ZGI0OTljN2QifQ=="/>
  </w:docVars>
  <w:rsids>
    <w:rsidRoot w:val="0188470C"/>
    <w:rsid w:val="0002310B"/>
    <w:rsid w:val="002A00D3"/>
    <w:rsid w:val="003A298A"/>
    <w:rsid w:val="005D46BC"/>
    <w:rsid w:val="009D0A65"/>
    <w:rsid w:val="00C54361"/>
    <w:rsid w:val="00D84DE7"/>
    <w:rsid w:val="00DC1D32"/>
    <w:rsid w:val="00F23FAD"/>
    <w:rsid w:val="00FB3BC7"/>
    <w:rsid w:val="010B405F"/>
    <w:rsid w:val="01374C0C"/>
    <w:rsid w:val="014B64CF"/>
    <w:rsid w:val="0188470C"/>
    <w:rsid w:val="01924B58"/>
    <w:rsid w:val="01E4100B"/>
    <w:rsid w:val="01E51A53"/>
    <w:rsid w:val="02535CBD"/>
    <w:rsid w:val="02835280"/>
    <w:rsid w:val="02A641F7"/>
    <w:rsid w:val="02C30A5F"/>
    <w:rsid w:val="02CB7B8F"/>
    <w:rsid w:val="03301238"/>
    <w:rsid w:val="03417761"/>
    <w:rsid w:val="037800D1"/>
    <w:rsid w:val="03D9108F"/>
    <w:rsid w:val="04583A5F"/>
    <w:rsid w:val="04590FB1"/>
    <w:rsid w:val="0461255F"/>
    <w:rsid w:val="0475638A"/>
    <w:rsid w:val="049578BB"/>
    <w:rsid w:val="049747D3"/>
    <w:rsid w:val="049B0F2A"/>
    <w:rsid w:val="04AB6DE7"/>
    <w:rsid w:val="04AE7599"/>
    <w:rsid w:val="04D806FC"/>
    <w:rsid w:val="05235E1B"/>
    <w:rsid w:val="053B7721"/>
    <w:rsid w:val="06527E51"/>
    <w:rsid w:val="06536E30"/>
    <w:rsid w:val="069D6DB7"/>
    <w:rsid w:val="06CB3C0E"/>
    <w:rsid w:val="06E272C3"/>
    <w:rsid w:val="06F90366"/>
    <w:rsid w:val="07416A2C"/>
    <w:rsid w:val="07754928"/>
    <w:rsid w:val="07EC702D"/>
    <w:rsid w:val="08042CA2"/>
    <w:rsid w:val="08065580"/>
    <w:rsid w:val="0844667A"/>
    <w:rsid w:val="085E740E"/>
    <w:rsid w:val="087275C8"/>
    <w:rsid w:val="09A514F4"/>
    <w:rsid w:val="09E13E08"/>
    <w:rsid w:val="09FD0E39"/>
    <w:rsid w:val="0A1F28E8"/>
    <w:rsid w:val="0AB62EA4"/>
    <w:rsid w:val="0ACB31DC"/>
    <w:rsid w:val="0AEB73DB"/>
    <w:rsid w:val="0B281A99"/>
    <w:rsid w:val="0B472137"/>
    <w:rsid w:val="0B4765DB"/>
    <w:rsid w:val="0B5C6DD5"/>
    <w:rsid w:val="0BF76AE1"/>
    <w:rsid w:val="0C5422CC"/>
    <w:rsid w:val="0C5F013D"/>
    <w:rsid w:val="0C6D6E67"/>
    <w:rsid w:val="0C776D00"/>
    <w:rsid w:val="0CAD69A1"/>
    <w:rsid w:val="0CAF2EF8"/>
    <w:rsid w:val="0CDE46B7"/>
    <w:rsid w:val="0D091A3B"/>
    <w:rsid w:val="0D2F3223"/>
    <w:rsid w:val="0D3C4BD9"/>
    <w:rsid w:val="0D456452"/>
    <w:rsid w:val="0D5F73AC"/>
    <w:rsid w:val="0D635C44"/>
    <w:rsid w:val="0D7105AB"/>
    <w:rsid w:val="0DD04666"/>
    <w:rsid w:val="0E7E313B"/>
    <w:rsid w:val="0E9E624C"/>
    <w:rsid w:val="0EA0419B"/>
    <w:rsid w:val="0ECA5069"/>
    <w:rsid w:val="0F0E1407"/>
    <w:rsid w:val="0F286369"/>
    <w:rsid w:val="0F5C4F59"/>
    <w:rsid w:val="0F6C03BE"/>
    <w:rsid w:val="10256CA9"/>
    <w:rsid w:val="10B417FE"/>
    <w:rsid w:val="10C13714"/>
    <w:rsid w:val="10D86EA2"/>
    <w:rsid w:val="10F13271"/>
    <w:rsid w:val="10FB7649"/>
    <w:rsid w:val="113B273E"/>
    <w:rsid w:val="11614FE1"/>
    <w:rsid w:val="11D62ECE"/>
    <w:rsid w:val="12290212"/>
    <w:rsid w:val="1298482E"/>
    <w:rsid w:val="12AE6B32"/>
    <w:rsid w:val="12D54C48"/>
    <w:rsid w:val="12FC114A"/>
    <w:rsid w:val="136844F9"/>
    <w:rsid w:val="1396735C"/>
    <w:rsid w:val="13973FF7"/>
    <w:rsid w:val="13AC4CD6"/>
    <w:rsid w:val="13D26D4A"/>
    <w:rsid w:val="13D84274"/>
    <w:rsid w:val="13E56991"/>
    <w:rsid w:val="144306E3"/>
    <w:rsid w:val="147065B5"/>
    <w:rsid w:val="148102A5"/>
    <w:rsid w:val="1494166A"/>
    <w:rsid w:val="14952165"/>
    <w:rsid w:val="151C2E71"/>
    <w:rsid w:val="15A74787"/>
    <w:rsid w:val="15A95000"/>
    <w:rsid w:val="15D60C87"/>
    <w:rsid w:val="15EA3790"/>
    <w:rsid w:val="164200CB"/>
    <w:rsid w:val="16A61E6E"/>
    <w:rsid w:val="16D215B1"/>
    <w:rsid w:val="16FE3FF2"/>
    <w:rsid w:val="170855CF"/>
    <w:rsid w:val="170A508C"/>
    <w:rsid w:val="173256AF"/>
    <w:rsid w:val="173E4D36"/>
    <w:rsid w:val="17481711"/>
    <w:rsid w:val="1763308C"/>
    <w:rsid w:val="177036EC"/>
    <w:rsid w:val="17CA1EE2"/>
    <w:rsid w:val="181A0B83"/>
    <w:rsid w:val="184E4B98"/>
    <w:rsid w:val="18DC04C2"/>
    <w:rsid w:val="19373188"/>
    <w:rsid w:val="196B22E9"/>
    <w:rsid w:val="1A113A55"/>
    <w:rsid w:val="1A241393"/>
    <w:rsid w:val="1A400DC5"/>
    <w:rsid w:val="1A6A3334"/>
    <w:rsid w:val="1A771E43"/>
    <w:rsid w:val="1AD75083"/>
    <w:rsid w:val="1AE73B92"/>
    <w:rsid w:val="1B4D70A9"/>
    <w:rsid w:val="1B504C07"/>
    <w:rsid w:val="1C233A75"/>
    <w:rsid w:val="1C7D2AF8"/>
    <w:rsid w:val="1CC7132A"/>
    <w:rsid w:val="1D5216F5"/>
    <w:rsid w:val="1D9E3073"/>
    <w:rsid w:val="1DB259A1"/>
    <w:rsid w:val="1DBC1F2F"/>
    <w:rsid w:val="1E0356D3"/>
    <w:rsid w:val="1EAB5D97"/>
    <w:rsid w:val="1F2B3EFC"/>
    <w:rsid w:val="1FB11588"/>
    <w:rsid w:val="1FBF6637"/>
    <w:rsid w:val="201605FE"/>
    <w:rsid w:val="2019774D"/>
    <w:rsid w:val="202A42E5"/>
    <w:rsid w:val="20511636"/>
    <w:rsid w:val="205B18E6"/>
    <w:rsid w:val="206E100E"/>
    <w:rsid w:val="20730B4D"/>
    <w:rsid w:val="20E22F26"/>
    <w:rsid w:val="2100255D"/>
    <w:rsid w:val="217668A9"/>
    <w:rsid w:val="218C4119"/>
    <w:rsid w:val="21937A2C"/>
    <w:rsid w:val="21F30EA9"/>
    <w:rsid w:val="223E60C8"/>
    <w:rsid w:val="226542C8"/>
    <w:rsid w:val="22D07FA7"/>
    <w:rsid w:val="22D54F99"/>
    <w:rsid w:val="230A5C9B"/>
    <w:rsid w:val="231525F7"/>
    <w:rsid w:val="23A646CA"/>
    <w:rsid w:val="240412B8"/>
    <w:rsid w:val="242D23BA"/>
    <w:rsid w:val="247E3D04"/>
    <w:rsid w:val="248B4999"/>
    <w:rsid w:val="24CF4668"/>
    <w:rsid w:val="24D203B7"/>
    <w:rsid w:val="24E136DE"/>
    <w:rsid w:val="25020756"/>
    <w:rsid w:val="252D4139"/>
    <w:rsid w:val="258673AF"/>
    <w:rsid w:val="25E151C3"/>
    <w:rsid w:val="25F76131"/>
    <w:rsid w:val="263D4CCB"/>
    <w:rsid w:val="26F956D7"/>
    <w:rsid w:val="270C7596"/>
    <w:rsid w:val="27781FCD"/>
    <w:rsid w:val="27C60B5C"/>
    <w:rsid w:val="27D03C55"/>
    <w:rsid w:val="27ED0459"/>
    <w:rsid w:val="29073475"/>
    <w:rsid w:val="29142E20"/>
    <w:rsid w:val="29B71655"/>
    <w:rsid w:val="29CF4AA4"/>
    <w:rsid w:val="29E4357A"/>
    <w:rsid w:val="29E51041"/>
    <w:rsid w:val="2A2E4796"/>
    <w:rsid w:val="2B0100FD"/>
    <w:rsid w:val="2B347D6C"/>
    <w:rsid w:val="2B394C1D"/>
    <w:rsid w:val="2B706D9A"/>
    <w:rsid w:val="2C6060FF"/>
    <w:rsid w:val="2CC05747"/>
    <w:rsid w:val="2CC44BD9"/>
    <w:rsid w:val="2D59768C"/>
    <w:rsid w:val="2D656721"/>
    <w:rsid w:val="2D676D48"/>
    <w:rsid w:val="2D7A37B8"/>
    <w:rsid w:val="2E39679C"/>
    <w:rsid w:val="2E8C55BF"/>
    <w:rsid w:val="2E942105"/>
    <w:rsid w:val="2ECE3C79"/>
    <w:rsid w:val="2F2E1A3A"/>
    <w:rsid w:val="2F72001C"/>
    <w:rsid w:val="2FDC5EDE"/>
    <w:rsid w:val="2FEC4ED7"/>
    <w:rsid w:val="305F2A01"/>
    <w:rsid w:val="30F25EC3"/>
    <w:rsid w:val="30F6008D"/>
    <w:rsid w:val="313F5A7E"/>
    <w:rsid w:val="31CE0078"/>
    <w:rsid w:val="325946B1"/>
    <w:rsid w:val="32B72C79"/>
    <w:rsid w:val="32F83FD3"/>
    <w:rsid w:val="330B24AF"/>
    <w:rsid w:val="331C7285"/>
    <w:rsid w:val="3411756B"/>
    <w:rsid w:val="34D10B40"/>
    <w:rsid w:val="35007746"/>
    <w:rsid w:val="354603DD"/>
    <w:rsid w:val="356318B3"/>
    <w:rsid w:val="35764B4E"/>
    <w:rsid w:val="359F1663"/>
    <w:rsid w:val="35B6752B"/>
    <w:rsid w:val="35BA1F83"/>
    <w:rsid w:val="35DB24F1"/>
    <w:rsid w:val="36280C33"/>
    <w:rsid w:val="36283F90"/>
    <w:rsid w:val="367A740F"/>
    <w:rsid w:val="36916441"/>
    <w:rsid w:val="36957375"/>
    <w:rsid w:val="36C009F2"/>
    <w:rsid w:val="36C27D81"/>
    <w:rsid w:val="37704A11"/>
    <w:rsid w:val="37893954"/>
    <w:rsid w:val="379E11AD"/>
    <w:rsid w:val="37DC7F27"/>
    <w:rsid w:val="380F5149"/>
    <w:rsid w:val="38242107"/>
    <w:rsid w:val="382C79BE"/>
    <w:rsid w:val="38B50391"/>
    <w:rsid w:val="38D032C8"/>
    <w:rsid w:val="38FB618B"/>
    <w:rsid w:val="393C6ED0"/>
    <w:rsid w:val="394219A2"/>
    <w:rsid w:val="394972CB"/>
    <w:rsid w:val="395F177B"/>
    <w:rsid w:val="398B72FE"/>
    <w:rsid w:val="39DB60F9"/>
    <w:rsid w:val="39F42153"/>
    <w:rsid w:val="3A197299"/>
    <w:rsid w:val="3A2E4B6E"/>
    <w:rsid w:val="3A4554C0"/>
    <w:rsid w:val="3A8B353F"/>
    <w:rsid w:val="3A8C5E8D"/>
    <w:rsid w:val="3AF86E26"/>
    <w:rsid w:val="3B984165"/>
    <w:rsid w:val="3C065573"/>
    <w:rsid w:val="3C090649"/>
    <w:rsid w:val="3C834F9D"/>
    <w:rsid w:val="3D3F3094"/>
    <w:rsid w:val="3D4F4CF8"/>
    <w:rsid w:val="3E3A6B33"/>
    <w:rsid w:val="3E754715"/>
    <w:rsid w:val="3E89334C"/>
    <w:rsid w:val="3EA37089"/>
    <w:rsid w:val="3ECE3C4F"/>
    <w:rsid w:val="3EF1417B"/>
    <w:rsid w:val="3F20694C"/>
    <w:rsid w:val="3F39767D"/>
    <w:rsid w:val="3F405F32"/>
    <w:rsid w:val="3F527F3F"/>
    <w:rsid w:val="3F5E7474"/>
    <w:rsid w:val="3FF47C39"/>
    <w:rsid w:val="406E1E3B"/>
    <w:rsid w:val="40A24A10"/>
    <w:rsid w:val="40E60E10"/>
    <w:rsid w:val="41240482"/>
    <w:rsid w:val="41713ED1"/>
    <w:rsid w:val="41952611"/>
    <w:rsid w:val="41B96D3A"/>
    <w:rsid w:val="41D163D1"/>
    <w:rsid w:val="42361C80"/>
    <w:rsid w:val="42510051"/>
    <w:rsid w:val="42A67168"/>
    <w:rsid w:val="430B346F"/>
    <w:rsid w:val="43120CA1"/>
    <w:rsid w:val="436775FC"/>
    <w:rsid w:val="436D4129"/>
    <w:rsid w:val="43841508"/>
    <w:rsid w:val="43941A77"/>
    <w:rsid w:val="43D13FE2"/>
    <w:rsid w:val="44485F2F"/>
    <w:rsid w:val="45050ABD"/>
    <w:rsid w:val="4550160D"/>
    <w:rsid w:val="4582210E"/>
    <w:rsid w:val="4588349D"/>
    <w:rsid w:val="45DC4A25"/>
    <w:rsid w:val="470E1780"/>
    <w:rsid w:val="47FB5992"/>
    <w:rsid w:val="480D2E86"/>
    <w:rsid w:val="482F7130"/>
    <w:rsid w:val="48C442FA"/>
    <w:rsid w:val="4A2B3BB0"/>
    <w:rsid w:val="4ACC5BD9"/>
    <w:rsid w:val="4B023413"/>
    <w:rsid w:val="4B120618"/>
    <w:rsid w:val="4B240C35"/>
    <w:rsid w:val="4B3F18B9"/>
    <w:rsid w:val="4B713CC9"/>
    <w:rsid w:val="4BB445F9"/>
    <w:rsid w:val="4BBA2895"/>
    <w:rsid w:val="4C4719BC"/>
    <w:rsid w:val="4D731CDE"/>
    <w:rsid w:val="4D891B60"/>
    <w:rsid w:val="4D8D6D7D"/>
    <w:rsid w:val="4DAE7392"/>
    <w:rsid w:val="4E2E4D6E"/>
    <w:rsid w:val="4E3F66C2"/>
    <w:rsid w:val="4E685A60"/>
    <w:rsid w:val="4EAE1FAD"/>
    <w:rsid w:val="4EEA1ADA"/>
    <w:rsid w:val="4F0168C6"/>
    <w:rsid w:val="4F0A1774"/>
    <w:rsid w:val="4F2A749F"/>
    <w:rsid w:val="4F8808D8"/>
    <w:rsid w:val="4F9A3B7A"/>
    <w:rsid w:val="4FC309CC"/>
    <w:rsid w:val="4FEC7842"/>
    <w:rsid w:val="502A587C"/>
    <w:rsid w:val="503564BC"/>
    <w:rsid w:val="505F2155"/>
    <w:rsid w:val="50E14E6A"/>
    <w:rsid w:val="5104336E"/>
    <w:rsid w:val="51B92C33"/>
    <w:rsid w:val="52384A5B"/>
    <w:rsid w:val="5264657E"/>
    <w:rsid w:val="527F6C47"/>
    <w:rsid w:val="52E066C6"/>
    <w:rsid w:val="53467178"/>
    <w:rsid w:val="53566CCB"/>
    <w:rsid w:val="5369156B"/>
    <w:rsid w:val="539A4AC7"/>
    <w:rsid w:val="53A019B1"/>
    <w:rsid w:val="54B74816"/>
    <w:rsid w:val="553D2A4A"/>
    <w:rsid w:val="55477B31"/>
    <w:rsid w:val="55496895"/>
    <w:rsid w:val="55567F3C"/>
    <w:rsid w:val="562831B9"/>
    <w:rsid w:val="56A354FB"/>
    <w:rsid w:val="56B00AA9"/>
    <w:rsid w:val="56D41B39"/>
    <w:rsid w:val="57080F55"/>
    <w:rsid w:val="571E77BD"/>
    <w:rsid w:val="57543F03"/>
    <w:rsid w:val="575A659C"/>
    <w:rsid w:val="57A54BA4"/>
    <w:rsid w:val="57DC2337"/>
    <w:rsid w:val="57FB365A"/>
    <w:rsid w:val="581806B0"/>
    <w:rsid w:val="586511A4"/>
    <w:rsid w:val="586A7801"/>
    <w:rsid w:val="587B1D88"/>
    <w:rsid w:val="58D00F8B"/>
    <w:rsid w:val="5919394F"/>
    <w:rsid w:val="59250EFE"/>
    <w:rsid w:val="594A3251"/>
    <w:rsid w:val="59642F62"/>
    <w:rsid w:val="597F7DE2"/>
    <w:rsid w:val="599831C4"/>
    <w:rsid w:val="59BE1654"/>
    <w:rsid w:val="59D625D1"/>
    <w:rsid w:val="5A341668"/>
    <w:rsid w:val="5B0F3F75"/>
    <w:rsid w:val="5C0D6A67"/>
    <w:rsid w:val="5C3D06E5"/>
    <w:rsid w:val="5C4E46A0"/>
    <w:rsid w:val="5C697891"/>
    <w:rsid w:val="5C901D3B"/>
    <w:rsid w:val="5CD60CB6"/>
    <w:rsid w:val="5CE744C7"/>
    <w:rsid w:val="5D1C02FB"/>
    <w:rsid w:val="5DD86807"/>
    <w:rsid w:val="5DF9688E"/>
    <w:rsid w:val="5DFD09F6"/>
    <w:rsid w:val="5E2B4120"/>
    <w:rsid w:val="5E794C7D"/>
    <w:rsid w:val="5EB17464"/>
    <w:rsid w:val="5EF41AEB"/>
    <w:rsid w:val="606E3563"/>
    <w:rsid w:val="60F03F78"/>
    <w:rsid w:val="61163B3D"/>
    <w:rsid w:val="6117377F"/>
    <w:rsid w:val="6173480C"/>
    <w:rsid w:val="617C3998"/>
    <w:rsid w:val="61C737FB"/>
    <w:rsid w:val="625B5D26"/>
    <w:rsid w:val="62624566"/>
    <w:rsid w:val="633A772C"/>
    <w:rsid w:val="6347693F"/>
    <w:rsid w:val="63542852"/>
    <w:rsid w:val="63591EA5"/>
    <w:rsid w:val="63877E5B"/>
    <w:rsid w:val="6391573D"/>
    <w:rsid w:val="63E72322"/>
    <w:rsid w:val="642539C9"/>
    <w:rsid w:val="642755DA"/>
    <w:rsid w:val="643D4406"/>
    <w:rsid w:val="64476667"/>
    <w:rsid w:val="646220EC"/>
    <w:rsid w:val="64BE0410"/>
    <w:rsid w:val="64E60B61"/>
    <w:rsid w:val="651B358E"/>
    <w:rsid w:val="65930BB3"/>
    <w:rsid w:val="65DE6804"/>
    <w:rsid w:val="660035B2"/>
    <w:rsid w:val="660A4316"/>
    <w:rsid w:val="66EA3218"/>
    <w:rsid w:val="67605BE9"/>
    <w:rsid w:val="6773114E"/>
    <w:rsid w:val="680539D0"/>
    <w:rsid w:val="685E5CDD"/>
    <w:rsid w:val="68906E4B"/>
    <w:rsid w:val="68F95F7D"/>
    <w:rsid w:val="691645AD"/>
    <w:rsid w:val="69383362"/>
    <w:rsid w:val="694A61EF"/>
    <w:rsid w:val="694F4B88"/>
    <w:rsid w:val="6A1B1356"/>
    <w:rsid w:val="6A3F63BD"/>
    <w:rsid w:val="6ABA22C6"/>
    <w:rsid w:val="6AC67157"/>
    <w:rsid w:val="6C627352"/>
    <w:rsid w:val="6C9C4FB4"/>
    <w:rsid w:val="6CB33834"/>
    <w:rsid w:val="6CCB3AEB"/>
    <w:rsid w:val="6CDE1F6E"/>
    <w:rsid w:val="6D27195F"/>
    <w:rsid w:val="6DB074BC"/>
    <w:rsid w:val="6DE309C1"/>
    <w:rsid w:val="6E05504F"/>
    <w:rsid w:val="6E5F5BC2"/>
    <w:rsid w:val="6FBD596D"/>
    <w:rsid w:val="70107CED"/>
    <w:rsid w:val="701D453F"/>
    <w:rsid w:val="70263260"/>
    <w:rsid w:val="70390E66"/>
    <w:rsid w:val="704A4D27"/>
    <w:rsid w:val="70C910C5"/>
    <w:rsid w:val="71066EA0"/>
    <w:rsid w:val="7118514F"/>
    <w:rsid w:val="714B0D57"/>
    <w:rsid w:val="715638B2"/>
    <w:rsid w:val="71FE42AC"/>
    <w:rsid w:val="727E1195"/>
    <w:rsid w:val="73194F3D"/>
    <w:rsid w:val="73387EC5"/>
    <w:rsid w:val="739755D2"/>
    <w:rsid w:val="741473C6"/>
    <w:rsid w:val="742E2774"/>
    <w:rsid w:val="74365925"/>
    <w:rsid w:val="745F79D2"/>
    <w:rsid w:val="749A6A7B"/>
    <w:rsid w:val="74A51180"/>
    <w:rsid w:val="74F57D2B"/>
    <w:rsid w:val="74F86EA8"/>
    <w:rsid w:val="74FF68B1"/>
    <w:rsid w:val="75722AC6"/>
    <w:rsid w:val="75F22F86"/>
    <w:rsid w:val="765E7A97"/>
    <w:rsid w:val="76CE04B7"/>
    <w:rsid w:val="775F37AE"/>
    <w:rsid w:val="77764E3D"/>
    <w:rsid w:val="77C80239"/>
    <w:rsid w:val="77D73344"/>
    <w:rsid w:val="77EF4B32"/>
    <w:rsid w:val="77FA34D6"/>
    <w:rsid w:val="782E0B97"/>
    <w:rsid w:val="78D742F6"/>
    <w:rsid w:val="78DE0702"/>
    <w:rsid w:val="7905662D"/>
    <w:rsid w:val="795E7C52"/>
    <w:rsid w:val="79850C5A"/>
    <w:rsid w:val="79955265"/>
    <w:rsid w:val="79B46D01"/>
    <w:rsid w:val="79BE2A0C"/>
    <w:rsid w:val="79D27FA4"/>
    <w:rsid w:val="79F24465"/>
    <w:rsid w:val="79FC5BCA"/>
    <w:rsid w:val="79FF6F80"/>
    <w:rsid w:val="7A1F4F52"/>
    <w:rsid w:val="7A256F2B"/>
    <w:rsid w:val="7A3A5756"/>
    <w:rsid w:val="7AD66C6A"/>
    <w:rsid w:val="7AEA5A84"/>
    <w:rsid w:val="7AED16C9"/>
    <w:rsid w:val="7B7B1B66"/>
    <w:rsid w:val="7B8E64B3"/>
    <w:rsid w:val="7BDC10B2"/>
    <w:rsid w:val="7C1F5B9B"/>
    <w:rsid w:val="7C6C37A9"/>
    <w:rsid w:val="7C9E0EE8"/>
    <w:rsid w:val="7CC25D32"/>
    <w:rsid w:val="7CD32867"/>
    <w:rsid w:val="7D8E7281"/>
    <w:rsid w:val="7DF107C4"/>
    <w:rsid w:val="7E6478FC"/>
    <w:rsid w:val="7E736BE6"/>
    <w:rsid w:val="7EA8478C"/>
    <w:rsid w:val="7F131FAA"/>
    <w:rsid w:val="7F5A0901"/>
    <w:rsid w:val="7F724B08"/>
    <w:rsid w:val="7F737D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0"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1"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unhideWhenUsed/>
    <w:qFormat/>
    <w:uiPriority w:val="9"/>
    <w:pPr>
      <w:keepNext/>
      <w:keepLines/>
      <w:spacing w:line="600" w:lineRule="exact"/>
      <w:ind w:firstLine="643" w:firstLineChars="200"/>
      <w:outlineLvl w:val="2"/>
    </w:pPr>
    <w:rPr>
      <w:b/>
      <w:bCs/>
      <w:sz w:val="32"/>
      <w:szCs w:val="32"/>
    </w:rPr>
  </w:style>
  <w:style w:type="paragraph" w:styleId="5">
    <w:name w:val="heading 4"/>
    <w:basedOn w:val="1"/>
    <w:next w:val="1"/>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6"/>
    <w:basedOn w:val="1"/>
    <w:next w:val="1"/>
    <w:qFormat/>
    <w:uiPriority w:val="9"/>
    <w:pPr>
      <w:keepNext/>
      <w:keepLines/>
      <w:spacing w:before="240" w:after="64" w:line="320" w:lineRule="auto"/>
      <w:outlineLvl w:val="5"/>
    </w:pPr>
    <w:rPr>
      <w:rFonts w:ascii="等线 Light" w:hAnsi="等线 Light" w:eastAsia="等线 Light" w:cs="Times New Roman"/>
      <w:b/>
      <w:bCs/>
      <w:sz w:val="24"/>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7">
    <w:name w:val="index 8"/>
    <w:basedOn w:val="1"/>
    <w:next w:val="1"/>
    <w:qFormat/>
    <w:uiPriority w:val="0"/>
    <w:pPr>
      <w:ind w:left="2940"/>
    </w:pPr>
  </w:style>
  <w:style w:type="paragraph" w:styleId="8">
    <w:name w:val="Normal Indent"/>
    <w:basedOn w:val="1"/>
    <w:next w:val="1"/>
    <w:unhideWhenUsed/>
    <w:qFormat/>
    <w:uiPriority w:val="99"/>
    <w:pPr>
      <w:ind w:firstLine="420"/>
    </w:pPr>
    <w:rPr>
      <w:szCs w:val="20"/>
    </w:rPr>
  </w:style>
  <w:style w:type="paragraph" w:styleId="9">
    <w:name w:val="annotation text"/>
    <w:basedOn w:val="1"/>
    <w:unhideWhenUsed/>
    <w:qFormat/>
    <w:uiPriority w:val="99"/>
    <w:pPr>
      <w:jc w:val="left"/>
    </w:pPr>
  </w:style>
  <w:style w:type="paragraph" w:styleId="10">
    <w:name w:val="Body Text"/>
    <w:basedOn w:val="1"/>
    <w:next w:val="1"/>
    <w:qFormat/>
    <w:uiPriority w:val="0"/>
    <w:pPr>
      <w:spacing w:after="120"/>
    </w:pPr>
  </w:style>
  <w:style w:type="paragraph" w:styleId="11">
    <w:name w:val="Body Text Indent"/>
    <w:basedOn w:val="1"/>
    <w:unhideWhenUsed/>
    <w:qFormat/>
    <w:uiPriority w:val="99"/>
    <w:pPr>
      <w:spacing w:line="200" w:lineRule="exact"/>
      <w:ind w:firstLine="301"/>
    </w:pPr>
    <w:rPr>
      <w:rFonts w:ascii="宋体" w:hAnsi="Courier New"/>
      <w:spacing w:val="-4"/>
      <w:sz w:val="18"/>
      <w:szCs w:val="20"/>
    </w:rPr>
  </w:style>
  <w:style w:type="paragraph" w:styleId="12">
    <w:name w:val="toc 3"/>
    <w:basedOn w:val="1"/>
    <w:next w:val="1"/>
    <w:unhideWhenUsed/>
    <w:qFormat/>
    <w:uiPriority w:val="39"/>
    <w:pPr>
      <w:jc w:val="left"/>
    </w:pPr>
    <w:rPr>
      <w:rFonts w:ascii="Calibri" w:hAnsi="Calibri"/>
      <w:smallCaps/>
      <w:sz w:val="22"/>
      <w:szCs w:val="22"/>
    </w:rPr>
  </w:style>
  <w:style w:type="paragraph" w:styleId="13">
    <w:name w:val="Plain Text"/>
    <w:basedOn w:val="1"/>
    <w:next w:val="5"/>
    <w:qFormat/>
    <w:uiPriority w:val="0"/>
    <w:rPr>
      <w:rFonts w:ascii="宋体" w:hAnsi="Courier New"/>
      <w:szCs w:val="20"/>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spacing w:before="360" w:after="360"/>
      <w:jc w:val="left"/>
    </w:pPr>
    <w:rPr>
      <w:rFonts w:ascii="Calibri" w:hAnsi="Calibri"/>
      <w:b/>
      <w:bCs/>
      <w:caps/>
      <w:sz w:val="22"/>
      <w:szCs w:val="22"/>
      <w:u w:val="single"/>
    </w:rPr>
  </w:style>
  <w:style w:type="paragraph" w:styleId="17">
    <w:name w:val="List"/>
    <w:basedOn w:val="1"/>
    <w:unhideWhenUsed/>
    <w:qFormat/>
    <w:uiPriority w:val="99"/>
    <w:pPr>
      <w:ind w:left="200" w:hanging="200" w:hangingChars="200"/>
    </w:pPr>
    <w:rPr>
      <w:sz w:val="28"/>
    </w:rPr>
  </w:style>
  <w:style w:type="paragraph" w:styleId="18">
    <w:name w:val="toc 2"/>
    <w:basedOn w:val="1"/>
    <w:next w:val="1"/>
    <w:unhideWhenUsed/>
    <w:qFormat/>
    <w:uiPriority w:val="39"/>
    <w:pPr>
      <w:jc w:val="left"/>
    </w:pPr>
    <w:rPr>
      <w:rFonts w:ascii="Calibri" w:hAnsi="Calibri"/>
      <w:b/>
      <w:bCs/>
      <w:smallCaps/>
      <w:sz w:val="22"/>
      <w:szCs w:val="22"/>
    </w:rPr>
  </w:style>
  <w:style w:type="paragraph" w:styleId="19">
    <w:name w:val="Title"/>
    <w:basedOn w:val="1"/>
    <w:next w:val="1"/>
    <w:qFormat/>
    <w:uiPriority w:val="10"/>
    <w:pPr>
      <w:spacing w:before="240" w:after="60"/>
      <w:jc w:val="center"/>
      <w:outlineLvl w:val="0"/>
    </w:pPr>
    <w:rPr>
      <w:rFonts w:ascii="Cambria" w:hAnsi="Cambria"/>
      <w:b/>
      <w:bCs/>
      <w:sz w:val="32"/>
      <w:szCs w:val="32"/>
    </w:rPr>
  </w:style>
  <w:style w:type="paragraph" w:styleId="20">
    <w:name w:val="Body Text First Indent"/>
    <w:basedOn w:val="10"/>
    <w:qFormat/>
    <w:uiPriority w:val="0"/>
    <w:pPr>
      <w:ind w:firstLine="420" w:firstLineChars="100"/>
    </w:pPr>
  </w:style>
  <w:style w:type="paragraph" w:styleId="21">
    <w:name w:val="Body Text First Indent 2"/>
    <w:basedOn w:val="1"/>
    <w:qFormat/>
    <w:uiPriority w:val="1"/>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unhideWhenUsed/>
    <w:qFormat/>
    <w:uiPriority w:val="99"/>
  </w:style>
  <w:style w:type="character" w:styleId="26">
    <w:name w:val="Hyperlink"/>
    <w:unhideWhenUsed/>
    <w:qFormat/>
    <w:uiPriority w:val="99"/>
    <w:rPr>
      <w:color w:val="0000FF"/>
      <w:u w:val="single"/>
    </w:rPr>
  </w:style>
  <w:style w:type="character" w:styleId="27">
    <w:name w:val="annotation reference"/>
    <w:basedOn w:val="24"/>
    <w:qFormat/>
    <w:uiPriority w:val="0"/>
    <w:rPr>
      <w:sz w:val="21"/>
      <w:szCs w:val="21"/>
    </w:rPr>
  </w:style>
  <w:style w:type="paragraph" w:customStyle="1" w:styleId="2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
    <w:name w:val="表格文字"/>
    <w:basedOn w:val="30"/>
    <w:next w:val="10"/>
    <w:qFormat/>
    <w:uiPriority w:val="99"/>
    <w:pPr>
      <w:spacing w:before="25" w:after="25"/>
    </w:pPr>
    <w:rPr>
      <w:bCs/>
      <w:spacing w:val="10"/>
      <w:sz w:val="24"/>
      <w:szCs w:val="20"/>
    </w:rPr>
  </w:style>
  <w:style w:type="paragraph" w:customStyle="1" w:styleId="30">
    <w:name w:val="正文 New"/>
    <w:qFormat/>
    <w:uiPriority w:val="0"/>
    <w:pPr>
      <w:widowControl w:val="0"/>
      <w:jc w:val="both"/>
    </w:pPr>
    <w:rPr>
      <w:rFonts w:ascii="Calibri" w:hAnsi="Calibri" w:eastAsia="宋体" w:cs="Times New Roman"/>
      <w:kern w:val="2"/>
      <w:sz w:val="21"/>
      <w:szCs w:val="24"/>
      <w:lang w:val="en-US" w:eastAsia="zh-CN" w:bidi="ar-SA"/>
    </w:rPr>
  </w:style>
  <w:style w:type="character" w:customStyle="1" w:styleId="31">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styleId="33">
    <w:name w:val="List Paragraph"/>
    <w:basedOn w:val="1"/>
    <w:qFormat/>
    <w:uiPriority w:val="34"/>
    <w:pPr>
      <w:ind w:firstLine="420" w:firstLineChars="200"/>
    </w:pPr>
  </w:style>
  <w:style w:type="paragraph" w:customStyle="1" w:styleId="34">
    <w:name w:val="正文缩进1"/>
    <w:basedOn w:val="1"/>
    <w:next w:val="11"/>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定义正文"/>
    <w:qFormat/>
    <w:uiPriority w:val="0"/>
    <w:pPr>
      <w:spacing w:line="360" w:lineRule="auto"/>
      <w:ind w:firstLine="420" w:firstLineChars="200"/>
    </w:pPr>
    <w:rPr>
      <w:rFonts w:ascii="宋体" w:hAnsi="宋体" w:eastAsia="宋体" w:cs="Times New Roman"/>
      <w:sz w:val="28"/>
      <w:lang w:val="en-US" w:eastAsia="zh-CN" w:bidi="ar-SA"/>
    </w:rPr>
  </w:style>
  <w:style w:type="paragraph" w:customStyle="1" w:styleId="37">
    <w:name w:val="表格"/>
    <w:basedOn w:val="1"/>
    <w:qFormat/>
    <w:uiPriority w:val="0"/>
    <w:pPr>
      <w:adjustRightInd w:val="0"/>
      <w:snapToGrid w:val="0"/>
      <w:spacing w:line="288" w:lineRule="auto"/>
      <w:jc w:val="center"/>
    </w:pPr>
    <w:rPr>
      <w:rFonts w:ascii="仿宋" w:hAnsi="仿宋" w:eastAsia="仿宋"/>
      <w:lang w:val="zh-CN"/>
    </w:rPr>
  </w:style>
  <w:style w:type="paragraph" w:customStyle="1" w:styleId="38">
    <w:name w:val="Title1"/>
    <w:basedOn w:val="1"/>
    <w:next w:val="1"/>
    <w:qFormat/>
    <w:uiPriority w:val="0"/>
    <w:pPr>
      <w:jc w:val="center"/>
      <w:outlineLvl w:val="0"/>
    </w:pPr>
    <w:rPr>
      <w:rFonts w:ascii="Calibri Light" w:hAnsi="Calibri Light" w:eastAsia="Arial Unicode MS" w:cs="Times New Roman"/>
      <w:b/>
    </w:rPr>
  </w:style>
  <w:style w:type="paragraph" w:customStyle="1" w:styleId="39">
    <w:name w:val="列出段落1"/>
    <w:basedOn w:val="1"/>
    <w:qFormat/>
    <w:uiPriority w:val="0"/>
    <w:pPr>
      <w:keepNext w:val="0"/>
      <w:keepLines w:val="0"/>
      <w:widowControl w:val="0"/>
      <w:suppressLineNumbers w:val="0"/>
      <w:spacing w:before="100" w:beforeAutospacing="1" w:after="100" w:afterAutospacing="1" w:line="36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character" w:customStyle="1" w:styleId="40">
    <w:name w:val="font01"/>
    <w:basedOn w:val="24"/>
    <w:qFormat/>
    <w:uiPriority w:val="0"/>
    <w:rPr>
      <w:rFonts w:hint="default" w:ascii="Times New Roman" w:hAnsi="Times New Roman" w:cs="Times New Roman"/>
      <w:color w:val="000000"/>
      <w:sz w:val="21"/>
      <w:szCs w:val="21"/>
      <w:u w:val="none"/>
    </w:rPr>
  </w:style>
  <w:style w:type="paragraph" w:customStyle="1" w:styleId="41">
    <w:name w:val="附录标识"/>
    <w:basedOn w:val="1"/>
    <w:qFormat/>
    <w:uiPriority w:val="0"/>
    <w:pPr>
      <w:widowControl/>
      <w:shd w:val="clear" w:color="auto" w:fill="FFFFFF"/>
      <w:spacing w:before="640" w:after="200"/>
      <w:ind w:left="1140" w:hanging="720"/>
      <w:jc w:val="center"/>
      <w:outlineLvl w:val="0"/>
    </w:pPr>
    <w:rPr>
      <w:rFonts w:ascii="黑体" w:hAnsi="Calibri" w:eastAsia="黑体" w:cs="宋体"/>
      <w:kern w:val="0"/>
      <w:szCs w:val="21"/>
    </w:rPr>
  </w:style>
  <w:style w:type="paragraph" w:customStyle="1" w:styleId="42">
    <w:name w:val="附录章标题"/>
    <w:basedOn w:val="1"/>
    <w:next w:val="43"/>
    <w:qFormat/>
    <w:uiPriority w:val="0"/>
    <w:pPr>
      <w:widowControl/>
      <w:wordWrap w:val="0"/>
      <w:overflowPunct w:val="0"/>
      <w:spacing w:beforeLines="50" w:after="100" w:afterAutospacing="1"/>
      <w:ind w:left="1260" w:hanging="420"/>
      <w:outlineLvl w:val="1"/>
    </w:pPr>
    <w:rPr>
      <w:rFonts w:ascii="黑体" w:hAnsi="宋体" w:eastAsia="黑体" w:cs="宋体"/>
      <w:kern w:val="21"/>
      <w:szCs w:val="21"/>
    </w:rPr>
  </w:style>
  <w:style w:type="paragraph" w:customStyle="1" w:styleId="43">
    <w:name w:val="段"/>
    <w:basedOn w:val="1"/>
    <w:qFormat/>
    <w:uiPriority w:val="0"/>
    <w:pPr>
      <w:widowControl/>
      <w:autoSpaceDE w:val="0"/>
      <w:autoSpaceDN w:val="0"/>
      <w:ind w:firstLine="200" w:firstLineChars="200"/>
    </w:pPr>
    <w:rPr>
      <w:rFonts w:ascii="宋体" w:hAnsi="宋体" w:cs="宋体"/>
      <w:kern w:val="0"/>
      <w:szCs w:val="21"/>
    </w:rPr>
  </w:style>
  <w:style w:type="paragraph" w:customStyle="1" w:styleId="44">
    <w:name w:val="封面标准文稿编辑信息"/>
    <w:basedOn w:val="1"/>
    <w:qFormat/>
    <w:uiPriority w:val="0"/>
    <w:pPr>
      <w:widowControl/>
      <w:spacing w:before="180" w:after="100" w:afterAutospacing="1" w:line="180" w:lineRule="exact"/>
      <w:jc w:val="center"/>
    </w:pPr>
    <w:rPr>
      <w:rFonts w:ascii="宋体" w:hAnsi="宋体" w:cs="宋体"/>
      <w:kern w:val="0"/>
      <w:szCs w:val="21"/>
    </w:rPr>
  </w:style>
  <w:style w:type="paragraph" w:customStyle="1" w:styleId="45">
    <w:name w:val="章标题"/>
    <w:next w:val="43"/>
    <w:qFormat/>
    <w:uiPriority w:val="99"/>
    <w:pPr>
      <w:numPr>
        <w:ilvl w:val="1"/>
        <w:numId w:val="2"/>
      </w:numPr>
      <w:spacing w:beforeLines="50" w:afterLines="50"/>
      <w:jc w:val="both"/>
      <w:outlineLvl w:val="1"/>
    </w:pPr>
    <w:rPr>
      <w:rFonts w:ascii="黑体" w:hAnsi="Calibri" w:eastAsia="黑体" w:cs="Times New Roman"/>
      <w:sz w:val="21"/>
      <w:lang w:val="en-US" w:eastAsia="zh-CN" w:bidi="ar-SA"/>
    </w:rPr>
  </w:style>
  <w:style w:type="paragraph" w:customStyle="1" w:styleId="46">
    <w:name w:val="一级条标题"/>
    <w:basedOn w:val="45"/>
    <w:next w:val="43"/>
    <w:qFormat/>
    <w:uiPriority w:val="99"/>
    <w:pPr>
      <w:numPr>
        <w:ilvl w:val="2"/>
      </w:numPr>
      <w:spacing w:beforeLines="0" w:afterLines="0"/>
      <w:outlineLvl w:val="2"/>
    </w:pPr>
  </w:style>
  <w:style w:type="paragraph" w:customStyle="1" w:styleId="47">
    <w:name w:val="正文表标题"/>
    <w:next w:val="43"/>
    <w:qFormat/>
    <w:uiPriority w:val="99"/>
    <w:pPr>
      <w:numPr>
        <w:ilvl w:val="0"/>
        <w:numId w:val="3"/>
      </w:numPr>
      <w:jc w:val="center"/>
    </w:pPr>
    <w:rPr>
      <w:rFonts w:ascii="黑体" w:hAnsi="Calibri" w:eastAsia="黑体" w:cs="Times New Roman"/>
      <w:sz w:val="21"/>
      <w:lang w:val="en-US" w:eastAsia="zh-CN" w:bidi="ar-SA"/>
    </w:rPr>
  </w:style>
  <w:style w:type="paragraph" w:customStyle="1" w:styleId="48">
    <w:name w:val="二级条标题"/>
    <w:basedOn w:val="46"/>
    <w:next w:val="43"/>
    <w:qFormat/>
    <w:uiPriority w:val="99"/>
    <w:pPr>
      <w:numPr>
        <w:ilvl w:val="3"/>
      </w:numPr>
      <w:outlineLvl w:val="3"/>
    </w:pPr>
  </w:style>
  <w:style w:type="paragraph" w:customStyle="1" w:styleId="49">
    <w:name w:val="三级条标题"/>
    <w:basedOn w:val="48"/>
    <w:next w:val="43"/>
    <w:qFormat/>
    <w:uiPriority w:val="99"/>
    <w:pPr>
      <w:numPr>
        <w:ilvl w:val="4"/>
      </w:numPr>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pn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ple\Desktop\&#35770;&#35777;&#31295;&#65288;&#19987;&#23478;&#24847;&#35265;&#65289;-2026&#24180;&#21335;&#23425;&#24066;&#39640;&#26657;&#27605;&#19994;&#29983;&#31561;&#38738;&#24180;&#31995;&#21015;&#25307;&#32856;&#27963;&#21160;&#29289;&#26009;&#37319;&#36141;&#12289;&#31199;&#36161;&#19982;&#24067;&#32622;&#39033;&#30446;.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55d34df0-b22e-4023-8b5b-e6e125c2f916</errorID>
      <errorWord>[2026]1105号</errorWord>
      <group>L1_Knowledge</group>
      <groupName>知识性问题</groupName>
      <ability>L2_Knowledge</ability>
      <abilityName>其他知识</abilityName>
      <candidateList>
        <item>〔2026〕1105号</item>
      </candidateList>
      <explain>发文字号格式错误。</explain>
      <paraID>7E79E7EF</paraID>
      <start>11</start>
      <end>22</end>
      <status>unmodified</status>
      <modifiedWord/>
      <trackRevisions>false</trackRevisions>
    </reviewItem>
    <reviewItem>
      <errorID>1b98729e-36b9-478c-bf79-3fb2b7c78836</errorID>
      <errorWord>[2026]1105号</errorWord>
      <group>L1_Knowledge</group>
      <groupName>知识性问题</groupName>
      <ability>L2_Knowledge</ability>
      <abilityName>其他知识</abilityName>
      <candidateList>
        <item>〔2026〕1105号</item>
      </candidateList>
      <explain>发文字号格式错误。</explain>
      <paraID>7E79E7EF</paraID>
      <start>31</start>
      <end>42</end>
      <status>unmodified</status>
      <modifiedWord/>
      <trackRevisions>false</trackRevisions>
    </reviewItem>
    <reviewItem>
      <errorID>5a0c5b38-12f2-41f8-9bac-7197b9513d65</errorID>
      <errorWord>[2026]1146号</errorWord>
      <group>L1_Knowledge</group>
      <groupName>知识性问题</groupName>
      <ability>L2_Knowledge</ability>
      <abilityName>其他知识</abilityName>
      <candidateList>
        <item>〔2026〕1146号</item>
      </candidateList>
      <explain>发文字号格式错误。</explain>
      <paraID>7E79E7EF</paraID>
      <start>273</start>
      <end>284</end>
      <status>unmodified</status>
      <modifiedWord/>
      <trackRevisions>false</trackRevisions>
    </reviewItem>
    <reviewItem>
      <errorID>9c17b01e-8924-4304-a121-dbf21726c2aa</errorID>
      <errorWord>[2026]1146号</errorWord>
      <group>L1_Knowledge</group>
      <groupName>知识性问题</groupName>
      <ability>L2_Knowledge</ability>
      <abilityName>其他知识</abilityName>
      <candidateList>
        <item>〔2026〕1146号</item>
      </candidateList>
      <explain>发文字号格式错误。</explain>
      <paraID>7E79E7EF</paraID>
      <start>516</start>
      <end>527</end>
      <status>unmodified</status>
      <modifiedWord/>
      <trackRevisions>false</trackRevisions>
    </reviewItem>
    <reviewItem>
      <errorID>6c847269-c402-4b09-96f9-3e7feba87f7a</errorID>
      <errorWord>[2026]1151号</errorWord>
      <group>L1_Knowledge</group>
      <groupName>知识性问题</groupName>
      <ability>L2_Knowledge</ability>
      <abilityName>其他知识</abilityName>
      <candidateList>
        <item>〔2026〕1151号</item>
      </candidateList>
      <explain>发文字号格式错误。</explain>
      <paraID>7E79E7EF</paraID>
      <start>759</start>
      <end>770</end>
      <status>unmodified</status>
      <modifiedWord/>
      <trackRevisions>false</trackRevisions>
    </reviewItem>
    <reviewItem>
      <errorID>42d4b800-a456-4fcd-88fc-7f95d0e9bf6e</errorID>
      <errorWord>[2026]1151号</errorWord>
      <group>L1_Knowledge</group>
      <groupName>知识性问题</groupName>
      <ability>L2_Knowledge</ability>
      <abilityName>其他知识</abilityName>
      <candidateList>
        <item>〔2026〕1151号</item>
      </candidateList>
      <explain>发文字号格式错误。</explain>
      <paraID>7E79E7EF</paraID>
      <start>1002</start>
      <end>1013</end>
      <status>unmodified</status>
      <modifiedWord/>
      <trackRevisions>false</trackRevisions>
    </reviewItem>
    <reviewItem>
      <errorID>4466ee43-5479-4d9b-be67-ac59d8108b1c</errorID>
      <errorWord>[2026]1154号</errorWord>
      <group>L1_Knowledge</group>
      <groupName>知识性问题</groupName>
      <ability>L2_Knowledge</ability>
      <abilityName>其他知识</abilityName>
      <candidateList>
        <item>〔2026〕1154号</item>
      </candidateList>
      <explain>发文字号格式错误。</explain>
      <paraID>7E79E7EF</paraID>
      <start>1245</start>
      <end>1256</end>
      <status>unmodified</status>
      <modifiedWord/>
      <trackRevisions>false</trackRevisions>
    </reviewItem>
    <reviewItem>
      <errorID>382ee5f6-e34f-4abe-9fb7-99f1bc36000c</errorID>
      <errorWord>[2026]1154号</errorWord>
      <group>L1_Knowledge</group>
      <groupName>知识性问题</groupName>
      <ability>L2_Knowledge</ability>
      <abilityName>其他知识</abilityName>
      <candidateList>
        <item>〔2026〕1154号</item>
      </candidateList>
      <explain>发文字号格式错误。</explain>
      <paraID>7E79E7EF</paraID>
      <start>1488</start>
      <end>1499</end>
      <status>unmodified</status>
      <modifiedWord/>
      <trackRevisions>false</trackRevisions>
    </reviewItem>
    <reviewItem>
      <errorID>d54a57b3-2a45-4ae7-8f20-3cbe09f894f1</errorID>
      <errorWord>[2026]1156号</errorWord>
      <group>L1_Knowledge</group>
      <groupName>知识性问题</groupName>
      <ability>L2_Knowledge</ability>
      <abilityName>其他知识</abilityName>
      <candidateList>
        <item>〔2026〕1156号</item>
      </candidateList>
      <explain>发文字号格式错误。</explain>
      <paraID>7E79E7EF</paraID>
      <start>1731</start>
      <end>1742</end>
      <status>unmodified</status>
      <modifiedWord/>
      <trackRevisions>false</trackRevisions>
    </reviewItem>
    <reviewItem>
      <errorID>62f4c9de-97b2-4811-87c2-61b8af96cbef</errorID>
      <errorWord>[2026]1156号</errorWord>
      <group>L1_Knowledge</group>
      <groupName>知识性问题</groupName>
      <ability>L2_Knowledge</ability>
      <abilityName>其他知识</abilityName>
      <candidateList>
        <item>〔2026〕1156号</item>
      </candidateList>
      <explain>发文字号格式错误。</explain>
      <paraID>7E79E7EF</paraID>
      <start>1974</start>
      <end>1985</end>
      <status>unmodified</status>
      <modifiedWord/>
      <trackRevisions>false</trackRevisions>
    </reviewItem>
    <reviewItem>
      <errorID>bb849114-d647-4007-9f7f-b5632976d0f9</errorID>
      <errorWord>00）、</errorWord>
      <group>L1_Punc</group>
      <groupName>标点问题</groupName>
      <ability>L2_Punc</ability>
      <abilityName>标点符号检查</abilityName>
      <candidateList>
        <item>00）</item>
      </candidateList>
      <explain>根据国标GB/T 15834-2011《标点符号用法》中的4.5.3.3节，带括号的汉字数字或阿拉伯数字表次序时，后面通常不加顿号。如“（一）指导思想”“（二）行动指南”。</explain>
      <paraID>13973DF9</paraID>
      <start>70</start>
      <end>74</end>
      <status>unmodified</status>
      <modifiedWord/>
      <trackRevisions>false</trackRevisions>
    </reviewItem>
    <reviewItem>
      <errorID>e936ef5f-00ac-454e-bb4b-e07cb7d9be30</errorID>
      <errorWord>00）、</errorWord>
      <group>L1_Punc</group>
      <groupName>标点问题</groupName>
      <ability>L2_Punc</ability>
      <abilityName>标点符号检查</abilityName>
      <candidateList>
        <item>00）</item>
      </candidateList>
      <explain>根据国标GB/T 15834-2011《标点符号用法》中的4.5.3.3节，带括号的汉字数字或阿拉伯数字表次序时，后面通常不加顿号。如“（一）指导思想”“（二）行动指南”。</explain>
      <paraID>13973DF9</paraID>
      <start>189</start>
      <end>193</end>
      <status>unmodified</status>
      <modifiedWord/>
      <trackRevisions>false</trackRevisions>
    </reviewItem>
    <reviewItem>
      <errorID>fd73480c-c9a6-4366-939f-3a58c1d2a4d6</errorID>
      <errorWord>00）、</errorWord>
      <group>L1_Punc</group>
      <groupName>标点问题</groupName>
      <ability>L2_Punc</ability>
      <abilityName>标点符号检查</abilityName>
      <candidateList>
        <item>00）</item>
      </candidateList>
      <explain>根据国标GB/T 15834-2011《标点符号用法》中的4.5.3.3节，带括号的汉字数字或阿拉伯数字表次序时，后面通常不加顿号。如“（一）指导思想”“（二）行动指南”。</explain>
      <paraID> 328B72D</paraID>
      <start>70</start>
      <end>74</end>
      <status>unmodified</status>
      <modifiedWord/>
      <trackRevisions>false</trackRevisions>
    </reviewItem>
    <reviewItem>
      <errorID>c907fbae-1858-415a-acfa-aa9db9639ffa</errorID>
      <errorWord>00）、</errorWord>
      <group>L1_Punc</group>
      <groupName>标点问题</groupName>
      <ability>L2_Punc</ability>
      <abilityName>标点符号检查</abilityName>
      <candidateList>
        <item>00）</item>
      </candidateList>
      <explain>根据国标GB/T 15834-2011《标点符号用法》中的4.5.3.3节，带括号的汉字数字或阿拉伯数字表次序时，后面通常不加顿号。如“（一）指导思想”“（二）行动指南”。</explain>
      <paraID> 328B72D</paraID>
      <start>189</start>
      <end>193</end>
      <status>unmodified</status>
      <modifiedWord/>
      <trackRevisions>false</trackRevisions>
    </reviewItem>
    <reviewItem>
      <errorID>2e476fa1-01f9-4bfb-81ce-94327cfb4a1d</errorID>
      <errorWord>)</errorWord>
      <group>L1_Format</group>
      <groupName>格式问题</groupName>
      <ability>L2_HalfPunc</ability>
      <abilityName>全半角检查</abilityName>
      <candidateList>
        <item>）</item>
      </candidateList>
      <explain>文本全半角错误。</explain>
      <paraID>5F230DD2</paraID>
      <start>38</start>
      <end>39</end>
      <status>unmodified</status>
      <modifiedWord/>
      <trackRevisions>false</trackRevisions>
    </reviewItem>
    <reviewItem>
      <errorID>81d66379-6357-43f4-bf17-a4a0cdbb9a03</errorID>
      <errorWord>(</errorWord>
      <group>L1_Format</group>
      <groupName>格式问题</groupName>
      <ability>L2_HalfPunc</ability>
      <abilityName>全半角检查</abilityName>
      <candidateList>
        <item>（</item>
      </candidateList>
      <explain>文本全半角错误。</explain>
      <paraID>4EACD18F</paraID>
      <start>12</start>
      <end>13</end>
      <status>unmodified</status>
      <modifiedWord/>
      <trackRevisions>false</trackRevisions>
    </reviewItem>
    <reviewItem>
      <errorID>be68541d-5d4e-4e02-8cf3-f885390b0672</errorID>
      <errorWord>)</errorWord>
      <group>L1_Format</group>
      <groupName>格式问题</groupName>
      <ability>L2_HalfPunc</ability>
      <abilityName>全半角检查</abilityName>
      <candidateList>
        <item>）</item>
      </candidateList>
      <explain>文本全半角错误。</explain>
      <paraID>4EACD18F</paraID>
      <start>35</start>
      <end>36</end>
      <status>unmodified</status>
      <modifiedWord/>
      <trackRevisions>false</trackRevisions>
    </reviewItem>
    <reviewItem>
      <errorID>d29adb1d-7c9b-45be-b1f1-c80647f452dd</errorID>
      <errorWord>(</errorWord>
      <group>L1_Format</group>
      <groupName>格式问题</groupName>
      <ability>L2_HalfPunc</ability>
      <abilityName>全半角检查</abilityName>
      <candidateList>
        <item>（</item>
      </candidateList>
      <explain>文本全半角错误。</explain>
      <paraID>4EACD18F</paraID>
      <start>45</start>
      <end>46</end>
      <status>unmodified</status>
      <modifiedWord/>
      <trackRevisions>false</trackRevisions>
    </reviewItem>
    <reviewItem>
      <errorID>30e01a27-6871-4f19-b1d2-a4831032c45c</errorID>
      <errorWord>)</errorWord>
      <group>L1_Format</group>
      <groupName>格式问题</groupName>
      <ability>L2_HalfPunc</ability>
      <abilityName>全半角检查</abilityName>
      <candidateList>
        <item>）</item>
      </candidateList>
      <explain>文本全半角错误。</explain>
      <paraID>4EACD18F</paraID>
      <start>61</start>
      <end>62</end>
      <status>unmodified</status>
      <modifiedWord/>
      <trackRevisions>false</trackRevisions>
    </reviewItem>
    <reviewItem>
      <errorID>f8b5d961-86f4-46a3-a880-eacbdba60bf7</errorID>
      <errorWord>-</errorWord>
      <group>L1_Format</group>
      <groupName>格式问题</groupName>
      <ability>L2_HalfPunc</ability>
      <abilityName>全半角检查</abilityName>
      <candidateList>
        <item>－</item>
      </candidateList>
      <explain>文本全半角错误。</explain>
      <paraID>2DB4A61A</paraID>
      <start>113</start>
      <end>114</end>
      <status>unmodified</status>
      <modifiedWord/>
      <trackRevisions>false</trackRevisions>
    </reviewItem>
    <reviewItem>
      <errorID>5e323d60-592b-468c-a22a-4c93896bc09f</errorID>
      <errorWord>-</errorWord>
      <group>L1_Format</group>
      <groupName>格式问题</groupName>
      <ability>L2_HalfPunc</ability>
      <abilityName>全半角检查</abilityName>
      <candidateList>
        <item>－</item>
      </candidateList>
      <explain>文本全半角错误。</explain>
      <paraID>2DB4A61A</paraID>
      <start>118</start>
      <end>119</end>
      <status>unmodified</status>
      <modifiedWord/>
      <trackRevisions>false</trackRevisions>
    </reviewItem>
    <reviewItem>
      <errorID>e99cb9ee-2a8c-40f7-923c-678711682d19</errorID>
      <errorWord>-</errorWord>
      <group>L1_Format</group>
      <groupName>格式问题</groupName>
      <ability>L2_HalfPunc</ability>
      <abilityName>全半角检查</abilityName>
      <candidateList>
        <item>－</item>
      </candidateList>
      <explain>文本全半角错误。</explain>
      <paraID>2DB4A61A</paraID>
      <start>125</start>
      <end>126</end>
      <status>unmodified</status>
      <modifiedWord/>
      <trackRevisions>false</trackRevisions>
    </reviewItem>
    <reviewItem>
      <errorID>cb544e39-dd62-4582-bffc-fd6e3cd99f81</errorID>
      <errorWord>-</errorWord>
      <group>L1_Format</group>
      <groupName>格式问题</groupName>
      <ability>L2_HalfPunc</ability>
      <abilityName>全半角检查</abilityName>
      <candidateList>
        <item>－</item>
      </candidateList>
      <explain>文本全半角错误。</explain>
      <paraID>2DB4A61A</paraID>
      <start>131</start>
      <end>132</end>
      <status>unmodified</status>
      <modifiedWord/>
      <trackRevisions>false</trackRevisions>
    </reviewItem>
    <reviewItem>
      <errorID>49eeeef2-365a-49f9-92ac-ff3f8fa3db09</errorID>
      <errorWord>操作合</errorWord>
      <group>L1_Word</group>
      <groupName>字词问题</groupName>
      <ability>L2_Typo</ability>
      <abilityName>字词错误</abilityName>
      <candidateList>
        <item>操作台</item>
      </candidateList>
      <explain/>
      <paraID>5EF22ADA</paraID>
      <start>8</start>
      <end>11</end>
      <status>unmodified</status>
      <modifiedWord/>
      <trackRevisions>false</trackRevisions>
    </reviewItem>
    <reviewItem>
      <errorID>a8aebfa3-27ce-44cd-a1c9-953a37eb034f</errorID>
      <errorWord>（</errorWord>
      <group>L1_Format</group>
      <groupName>格式问题</groupName>
      <ability>L2_HalfPunc</ability>
      <abilityName>全半角检查</abilityName>
      <candidateList>
        <item>(</item>
      </candidateList>
      <explain>文本全半角错误。</explain>
      <paraID>46D24CB2</paraID>
      <start>126</start>
      <end>127</end>
      <status>unmodified</status>
      <modifiedWord/>
      <trackRevisions>false</trackRevisions>
    </reviewItem>
    <reviewItem>
      <errorID>5b30b578-26a3-40a6-b3c5-e9f3c99fd8ba</errorID>
      <errorWord>）</errorWord>
      <group>L1_Format</group>
      <groupName>格式问题</groupName>
      <ability>L2_HalfPunc</ability>
      <abilityName>全半角检查</abilityName>
      <candidateList>
        <item>)</item>
      </candidateList>
      <explain>文本全半角错误。</explain>
      <paraID>46D24CB2</paraID>
      <start>132</start>
      <end>133</end>
      <status>unmodified</status>
      <modifiedWord/>
      <trackRevisions>false</trackRevisions>
    </reviewItem>
    <reviewItem>
      <errorID>c1e1f4f3-a6da-4198-b80e-ebf49faa3b5a</errorID>
      <errorWord>（</errorWord>
      <group>L1_Punc</group>
      <groupName>标点问题</groupName>
      <ability>L2_Punc</ability>
      <abilityName>标点符号检查</abilityName>
      <candidateList/>
      <explain>同一形式括号套用。</explain>
      <paraID>2CAF7A9D</paraID>
      <start>53</start>
      <end>54</end>
      <status>unmodified</status>
      <modifiedWord/>
      <trackRevisions>false</trackRevisions>
    </reviewItem>
    <reviewItem>
      <errorID>81d1c4cd-35ae-4917-a6ff-10f0054a73e2</errorID>
      <errorWord>）</errorWord>
      <group>L1_Punc</group>
      <groupName>标点问题</groupName>
      <ability>L2_Punc</ability>
      <abilityName>标点符号检查</abilityName>
      <candidateList/>
      <explain>同一形式括号套用。</explain>
      <paraID>2CAF7A9D</paraID>
      <start>62</start>
      <end>63</end>
      <status>unmodified</status>
      <modifiedWord/>
      <trackRevisions>false</trackRevisions>
    </reviewItem>
    <reviewItem>
      <errorID>930da9bf-31de-445e-a79a-64a53044881b</errorID>
      <errorWord>-</errorWord>
      <group>L1_Format</group>
      <groupName>格式问题</groupName>
      <ability>L2_HalfPunc</ability>
      <abilityName>全半角检查</abilityName>
      <candidateList>
        <item>－</item>
      </candidateList>
      <explain>文本全半角错误。</explain>
      <paraID>2CAF7A9D</paraID>
      <start>63</start>
      <end>64</end>
      <status>unmodified</status>
      <modifiedWord/>
      <trackRevisions>false</trackRevisions>
    </reviewItem>
    <reviewItem>
      <errorID>747807c1-0553-45f8-ad36-00d99b1a36c2</errorID>
      <errorWord>-</errorWord>
      <group>L1_Format</group>
      <groupName>格式问题</groupName>
      <ability>L2_HalfPunc</ability>
      <abilityName>全半角检查</abilityName>
      <candidateList>
        <item>－</item>
      </candidateList>
      <explain>文本全半角错误。</explain>
      <paraID>2CAF7A9D</paraID>
      <start>68</start>
      <end>69</end>
      <status>unmodified</status>
      <modifiedWord/>
      <trackRevisions>false</trackRevisions>
    </reviewItem>
    <reviewItem>
      <errorID>7fac319c-476a-4380-8fa4-cc5472785709</errorID>
      <errorWord>-</errorWord>
      <group>L1_Format</group>
      <groupName>格式问题</groupName>
      <ability>L2_HalfPunc</ability>
      <abilityName>全半角检查</abilityName>
      <candidateList>
        <item>－</item>
      </candidateList>
      <explain>文本全半角错误。</explain>
      <paraID>2CAF7A9D</paraID>
      <start>77</start>
      <end>78</end>
      <status>unmodified</status>
      <modifiedWord/>
      <trackRevisions>false</trackRevisions>
    </reviewItem>
    <reviewItem>
      <errorID>8498a758-b505-4424-8ad9-cc39fd3b792f</errorID>
      <errorWord>-</errorWord>
      <group>L1_Format</group>
      <groupName>格式问题</groupName>
      <ability>L2_HalfPunc</ability>
      <abilityName>全半角检查</abilityName>
      <candidateList>
        <item>－</item>
      </candidateList>
      <explain>文本全半角错误。</explain>
      <paraID>2CAF7A9D</paraID>
      <start>82</start>
      <end>83</end>
      <status>unmodified</status>
      <modifiedWord/>
      <trackRevisions>false</trackRevisions>
    </reviewItem>
    <reviewItem>
      <errorID>29c594f8-6345-45d6-a209-2e3086ddd9f4</errorID>
      <errorWord>（</errorWord>
      <group>L1_Punc</group>
      <groupName>标点问题</groupName>
      <ability>L2_Punc</ability>
      <abilityName>标点符号检查</abilityName>
      <candidateList/>
      <explain>同一形式括号套用。</explain>
      <paraID>79AF4745</paraID>
      <start>50</start>
      <end>51</end>
      <status>unmodified</status>
      <modifiedWord/>
      <trackRevisions>false</trackRevisions>
    </reviewItem>
    <reviewItem>
      <errorID>0819e0e7-d1ad-42e4-8817-8aa68636d406</errorID>
      <errorWord>）</errorWord>
      <group>L1_Punc</group>
      <groupName>标点问题</groupName>
      <ability>L2_Punc</ability>
      <abilityName>标点符号检查</abilityName>
      <candidateList/>
      <explain>同一形式括号套用。</explain>
      <paraID>79AF4745</paraID>
      <start>59</start>
      <end>60</end>
      <status>unmodified</status>
      <modifiedWord/>
      <trackRevisions>false</trackRevisions>
    </reviewItem>
    <reviewItem>
      <errorID>2f3f03d8-a07d-4627-b0df-f82f7321aeed</errorID>
      <errorWord>-</errorWord>
      <group>L1_Format</group>
      <groupName>格式问题</groupName>
      <ability>L2_HalfPunc</ability>
      <abilityName>全半角检查</abilityName>
      <candidateList>
        <item>－</item>
      </candidateList>
      <explain>文本全半角错误。</explain>
      <paraID>79AF4745</paraID>
      <start>60</start>
      <end>61</end>
      <status>unmodified</status>
      <modifiedWord/>
      <trackRevisions>false</trackRevisions>
    </reviewItem>
    <reviewItem>
      <errorID>72945da3-a9c8-4bd7-874f-bf593ef48c02</errorID>
      <errorWord>-</errorWord>
      <group>L1_Format</group>
      <groupName>格式问题</groupName>
      <ability>L2_HalfPunc</ability>
      <abilityName>全半角检查</abilityName>
      <candidateList>
        <item>－</item>
      </candidateList>
      <explain>文本全半角错误。</explain>
      <paraID>79AF4745</paraID>
      <start>65</start>
      <end>66</end>
      <status>unmodified</status>
      <modifiedWord/>
      <trackRevisions>false</trackRevisions>
    </reviewItem>
    <reviewItem>
      <errorID>5c761468-7f9d-4842-9fc9-387fedc58670</errorID>
      <errorWord>-</errorWord>
      <group>L1_Format</group>
      <groupName>格式问题</groupName>
      <ability>L2_HalfPunc</ability>
      <abilityName>全半角检查</abilityName>
      <candidateList>
        <item>－</item>
      </candidateList>
      <explain>文本全半角错误。</explain>
      <paraID>79AF4745</paraID>
      <start>74</start>
      <end>75</end>
      <status>unmodified</status>
      <modifiedWord/>
      <trackRevisions>false</trackRevisions>
    </reviewItem>
    <reviewItem>
      <errorID>60734486-7713-45b7-ac62-dc16dd684e8a</errorID>
      <errorWord>-</errorWord>
      <group>L1_Format</group>
      <groupName>格式问题</groupName>
      <ability>L2_HalfPunc</ability>
      <abilityName>全半角检查</abilityName>
      <candidateList>
        <item>－</item>
      </candidateList>
      <explain>文本全半角错误。</explain>
      <paraID>79AF4745</paraID>
      <start>79</start>
      <end>80</end>
      <status>unmodified</status>
      <modifiedWord/>
      <trackRevisions>false</trackRevisions>
    </reviewItem>
    <reviewItem>
      <errorID>8025db89-17e0-447b-b869-623976c0327a</errorID>
      <errorWord>(</errorWord>
      <group>L1_Format</group>
      <groupName>格式问题</groupName>
      <ability>L2_HalfPunc</ability>
      <abilityName>全半角检查</abilityName>
      <candidateList>
        <item>（</item>
      </candidateList>
      <explain>文本全半角错误。</explain>
      <paraID> 4B7AF7B</paraID>
      <start>118</start>
      <end>119</end>
      <status>unmodified</status>
      <modifiedWord/>
      <trackRevisions>false</trackRevisions>
    </reviewItem>
    <reviewItem>
      <errorID>aa93ab36-fccf-4ee6-9bca-ef114441549a</errorID>
      <errorWord>)</errorWord>
      <group>L1_Format</group>
      <groupName>格式问题</groupName>
      <ability>L2_HalfPunc</ability>
      <abilityName>全半角检查</abilityName>
      <candidateList>
        <item>）</item>
      </candidateList>
      <explain>文本全半角错误。</explain>
      <paraID> 4B7AF7B</paraID>
      <start>141</start>
      <end>142</end>
      <status>unmodified</status>
      <modifiedWord/>
      <trackRevisions>false</trackRevisions>
    </reviewItem>
    <reviewItem>
      <errorID>0e40a1d3-8b99-4d43-b45a-01deac7199b6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31D9F32A</paraID>
      <start>40</start>
      <end>41</end>
      <status>unmodified</status>
      <modifiedWord/>
      <trackRevisions>false</trackRevisions>
    </reviewItem>
    <reviewItem>
      <errorID>05684baa-5d04-49f7-8b8e-d1d2b4ebd498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31D9F32A</paraID>
      <start>45</start>
      <end>46</end>
      <status>unmodified</status>
      <modifiedWord/>
      <trackRevisions>false</trackRevisions>
    </reviewItem>
    <reviewItem>
      <errorID>d9f99ee6-fa44-479b-8757-d3bbfdabac0d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31D9F32A</paraID>
      <start>65</start>
      <end>66</end>
      <status>unmodified</status>
      <modifiedWord/>
      <trackRevisions>false</trackRevisions>
    </reviewItem>
    <reviewItem>
      <errorID>a0be6ed4-292b-4831-a503-993086ab3c66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31D9F32A</paraID>
      <start>85</start>
      <end>86</end>
      <status>unmodified</status>
      <modifiedWord/>
      <trackRevisions>false</trackRevisions>
    </reviewItem>
    <reviewItem>
      <errorID>110099a7-f3f6-4a8b-8920-3e0131102257</errorID>
      <errorWord>货厢</errorWord>
      <group>L1_Word</group>
      <groupName>字词问题</groupName>
      <ability>L2_Typo</ability>
      <abilityName>字词错误</abilityName>
      <candidateList>
        <item>货箱</item>
      </candidateList>
      <explain/>
      <paraID>5CD66E5C</paraID>
      <start>13</start>
      <end>15</end>
      <status>unmodified</status>
      <modifiedWord/>
      <trackRevisions>false</trackRevisions>
    </reviewItem>
    <reviewItem>
      <errorID>fcd12a76-16af-462d-8b22-828aed0df144</errorID>
      <errorWord>(</errorWord>
      <group>L1_Format</group>
      <groupName>格式问题</groupName>
      <ability>L2_HalfPunc</ability>
      <abilityName>全半角检查</abilityName>
      <candidateList>
        <item>（</item>
      </candidateList>
      <explain>文本全半角错误。</explain>
      <paraID>3E1EF1F5</paraID>
      <start>22</start>
      <end>23</end>
      <status>unmodified</status>
      <modifiedWord/>
      <trackRevisions>false</trackRevisions>
    </reviewItem>
    <reviewItem>
      <errorID>0c41ffa2-a2c7-4575-801d-e98ac45744ba</errorID>
      <errorWord>)</errorWord>
      <group>L1_Format</group>
      <groupName>格式问题</groupName>
      <ability>L2_HalfPunc</ability>
      <abilityName>全半角检查</abilityName>
      <candidateList>
        <item>）</item>
      </candidateList>
      <explain>文本全半角错误。</explain>
      <paraID>3E1EF1F5</paraID>
      <start>42</start>
      <end>43</end>
      <status>unmodified</status>
      <modifiedWord/>
      <trackRevisions>false</trackRevisions>
    </reviewItem>
    <reviewItem>
      <errorID>86849081-7db6-4c35-8084-a82266d35f11</errorID>
      <errorWord>:</errorWord>
      <group>L1_Format</group>
      <groupName>格式问题</groupName>
      <ability>L2_HalfPunc</ability>
      <abilityName>全半角检查</abilityName>
      <candidateList>
        <item>：</item>
      </candidateList>
      <explain>文本全半角错误。</explain>
      <paraID>722FC309</paraID>
      <start>33</start>
      <end>34</end>
      <status>unmodified</status>
      <modifiedWord/>
      <trackRevisions>false</trackRevisions>
    </reviewItem>
    <reviewItem>
      <errorID>ac9fa644-71fe-4279-a454-91a73168557d</errorID>
      <errorWord>-</errorWord>
      <group>L1_Format</group>
      <groupName>格式问题</groupName>
      <ability>L2_HalfPunc</ability>
      <abilityName>全半角检查</abilityName>
      <candidateList>
        <item>－</item>
      </candidateList>
      <explain>文本全半角错误。</explain>
      <paraID>722FC309</paraID>
      <start>88</start>
      <end>89</end>
      <status>unmodified</status>
      <modifiedWord/>
      <trackRevisions>false</trackRevisions>
    </reviewItem>
    <reviewItem>
      <errorID>dac26dfa-c846-4b88-8530-c0aedeae0613</errorID>
      <errorWord>-</errorWord>
      <group>L1_Format</group>
      <groupName>格式问题</groupName>
      <ability>L2_HalfPunc</ability>
      <abilityName>全半角检查</abilityName>
      <candidateList>
        <item>－</item>
      </candidateList>
      <explain>文本全半角错误。</explain>
      <paraID>722FC309</paraID>
      <start>91</start>
      <end>92</end>
      <status>unmodified</status>
      <modifiedWord/>
      <trackRevisions>false</trackRevisions>
    </reviewItem>
    <reviewItem>
      <errorID>9e7fcf72-81b0-405b-9c0d-45d2ff5c55b0</errorID>
      <errorWord>(</errorWord>
      <group>L1_Format</group>
      <groupName>格式问题</groupName>
      <ability>L2_HalfPunc</ability>
      <abilityName>全半角检查</abilityName>
      <candidateList>
        <item>（</item>
      </candidateList>
      <explain>文本全半角错误。</explain>
      <paraID>4848879C</paraID>
      <start>15</start>
      <end>16</end>
      <status>unmodified</status>
      <modifiedWord/>
      <trackRevisions>false</trackRevisions>
    </reviewItem>
    <reviewItem>
      <errorID>108b714b-3193-48ff-ae2a-a8bcf165afb6</errorID>
      <errorWord>)</errorWord>
      <group>L1_Format</group>
      <groupName>格式问题</groupName>
      <ability>L2_HalfPunc</ability>
      <abilityName>全半角检查</abilityName>
      <candidateList>
        <item>）</item>
      </candidateList>
      <explain>文本全半角错误。</explain>
      <paraID>4848879C</paraID>
      <start>18</start>
      <end>19</end>
      <status>unmodified</status>
      <modifiedWord/>
      <trackRevisions>false</trackRevisions>
    </reviewItem>
    <reviewItem>
      <errorID>2f8a7580-f25d-46e7-b0b0-dcbf073a2217</errorID>
      <errorWord>)</errorWord>
      <group>L1_Format</group>
      <groupName>格式问题</groupName>
      <ability>L2_HalfPunc</ability>
      <abilityName>全半角检查</abilityName>
      <candidateList>
        <item>）</item>
      </candidateList>
      <explain>文本全半角错误。</explain>
      <paraID>2F3A53CC</paraID>
      <start>346</start>
      <end>347</end>
      <status>unmodified</status>
      <modifiedWord/>
      <trackRevisions>false</trackRevisions>
    </reviewItem>
    <reviewItem>
      <errorID>6492f2d1-d530-45b2-a225-191e99bf258a</errorID>
      <errorWord>：</errorWord>
      <group>L1_Format</group>
      <groupName>格式问题</groupName>
      <ability>L2_HalfPunc</ability>
      <abilityName>全半角检查</abilityName>
      <candidateList>
        <item>:</item>
      </candidateList>
      <explain>文本全半角错误。</explain>
      <paraID>13AF88A8</paraID>
      <start>3</start>
      <end>4</end>
      <status>unmodified</status>
      <modifiedWord/>
      <trackRevisions>false</trackRevisions>
    </reviewItem>
    <reviewItem>
      <errorID>475cbd22-a504-41b8-bbfc-bd4f58b34b21</errorID>
      <errorWord>期</errorWord>
      <group>L1_Word</group>
      <groupName>字词问题</groupName>
      <ability>L2_Typo</ability>
      <abilityName>字词错误</abilityName>
      <candidateList>
        <item>期限</item>
      </candidateList>
      <explain/>
      <paraID>4FC7DCF8</paraID>
      <start>12</start>
      <end>13</end>
      <status>unmodified</status>
      <modifiedWord/>
      <trackRevisions>false</trackRevisions>
    </reviewItem>
    <reviewItem>
      <errorID>233e44e7-93a1-4252-92bb-425a81377c73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54589B5</paraID>
      <start>15</start>
      <end>16</end>
      <status>unmodified</status>
      <modifiedWord/>
      <trackRevisions>false</trackRevisions>
    </reviewItem>
    <reviewItem>
      <errorID>525b152c-4a40-4452-9216-67d6757a0ab5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5C4B08C</paraID>
      <start>16</start>
      <end>17</end>
      <status>unmodified</status>
      <modifiedWord/>
      <trackRevisions>false</trackRevisions>
    </reviewItem>
    <reviewItem>
      <errorID>ec23aa0a-60d1-476f-b97b-c3d2b5a9be49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341D399D</paraID>
      <start>12</start>
      <end>13</end>
      <status>unmodified</status>
      <modifiedWord/>
      <trackRevisions>false</trackRevisions>
    </reviewItem>
    <reviewItem>
      <errorID>439a6a03-6b05-4665-97c7-7a9a938452c4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5888FAE7</paraID>
      <start>21</start>
      <end>22</end>
      <status>unmodified</status>
      <modifiedWord/>
      <trackRevisions>false</trackRevisions>
    </reviewItem>
    <reviewItem>
      <errorID>79f483e6-d72c-44fb-b9ba-33d28e8a4a30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52810C51</paraID>
      <start>16</start>
      <end>17</end>
      <status>unmodified</status>
      <modifiedWord/>
      <trackRevisions>false</trackRevisions>
    </reviewItem>
    <reviewItem>
      <errorID>cdf0b6d9-1098-4509-9a5c-fa5cd1e99d54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7F9F90BF</paraID>
      <start>14</start>
      <end>15</end>
      <status>unmodified</status>
      <modifiedWord/>
      <trackRevisions>false</trackRevisions>
    </reviewItem>
    <reviewItem>
      <errorID>93b2c892-b318-4081-b42f-ed1f69d19c52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1D4C7371</paraID>
      <start>14</start>
      <end>15</end>
      <status>unmodified</status>
      <modifiedWord/>
      <trackRevisions>false</trackRevisions>
    </reviewItem>
    <reviewItem>
      <errorID>b6248457-999c-4665-856d-2efea873ace3</errorID>
      <errorWord>实行</errorWord>
      <group>L1_Word</group>
      <groupName>字词问题</groupName>
      <ability>L2_Typo</ability>
      <abilityName>字词错误</abilityName>
      <candidateList>
        <item>实现</item>
      </candidateList>
      <explain>〈动〉使成为事实：～理想。</explain>
      <paraID>6B70346A</paraID>
      <start>35</start>
      <end>37</end>
      <status>unmodified</status>
      <modifiedWord/>
      <trackRevisions>false</trackRevisions>
    </reviewItem>
    <reviewItem>
      <errorID>c49386fc-ea10-4bee-8e19-1ba00d20757f</errorID>
      <errorWord>,</errorWord>
      <group>L1_Format</group>
      <groupName>格式问题</groupName>
      <ability>L2_HalfPunc</ability>
      <abilityName>全半角检查</abilityName>
      <candidateList>
        <item>，</item>
      </candidateList>
      <explain>文本全半角错误。</explain>
      <paraID>6BBCC581</paraID>
      <start>50</start>
      <end>51</end>
      <status>unmodified</status>
      <modifiedWord/>
      <trackRevisions>false</trackRevisions>
    </reviewItem>
    <reviewItem>
      <errorID>e3c2ac31-ddc8-4fd9-a6d3-11181df61f21</errorID>
      <errorWord>遮阴</errorWord>
      <group>L1_Word</group>
      <groupName>字词问题</groupName>
      <ability>L2_Typo</ability>
      <abilityName>字词错误</abilityName>
      <candidateList>
        <item>遮荫</item>
      </candidateList>
      <explain>存在发音相同字词的误用。</explain>
      <paraID>7C288FCD</paraID>
      <start>145</start>
      <end>147</end>
      <status>unmodified</status>
      <modifiedWord/>
      <trackRevisions>false</trackRevisions>
    </reviewItem>
    <reviewItem>
      <errorID>0cec8564-b3a5-4972-b85f-eb379764aac0</errorID>
      <errorWord>设</errorWord>
      <group>L1_Word</group>
      <groupName>字词问题</groupName>
      <ability>L2_Typo</ability>
      <abilityName>字词错误</abilityName>
      <candidateList>
        <item>设置</item>
      </candidateList>
      <explain>〈动〉❶设立：这座剧院是为儿童～的。❷安放；安装：～障碍。</explain>
      <paraID>6CC92F59</paraID>
      <start>18</start>
      <end>19</end>
      <status>unmodified</status>
      <modifiedWord/>
      <trackRevisions>false</trackRevisions>
    </reviewItem>
    <reviewItem>
      <errorID>112d825e-03bb-47bc-8fda-015adef598c9</errorID>
      <errorWord>,</errorWord>
      <group>L1_Format</group>
      <groupName>格式问题</groupName>
      <ability>L2_HalfPunc</ability>
      <abilityName>全半角检查</abilityName>
      <candidateList>
        <item>，</item>
      </candidateList>
      <explain>文本全半角错误。</explain>
      <paraID>57669EEB</paraID>
      <start>19</start>
      <end>20</end>
      <status>unmodified</status>
      <modifiedWord/>
      <trackRevisions>false</trackRevisions>
    </reviewItem>
    <reviewItem>
      <errorID>aa1d3ea5-4c4c-415b-b062-7d0b014b1225</errorID>
      <errorWord>其它</errorWord>
      <group>L1_Word</group>
      <groupName>字词问题</groupName>
      <ability>L2_Alias</ability>
      <abilityName>也作/曾用词</abilityName>
      <candidateList>
        <item>其他</item>
      </candidateList>
      <explain>词汇[其它]为不规范表述或旧称，其规范书面表述为[其他]。</explain>
      <paraID>2AD06358</paraID>
      <start>22</start>
      <end>24</end>
      <status>unmodified</status>
      <modifiedWord/>
      <trackRevisions>false</trackRevisions>
    </reviewItem>
    <reviewItem>
      <errorID>69fa88bf-3e20-4e78-a28b-489036152216</errorID>
      <errorWord>,</errorWord>
      <group>L1_Format</group>
      <groupName>格式问题</groupName>
      <ability>L2_HalfPunc</ability>
      <abilityName>全半角检查</abilityName>
      <candidateList>
        <item>，</item>
      </candidateList>
      <explain>文本全半角错误。</explain>
      <paraID>5BEE92CD</paraID>
      <start>9</start>
      <end>10</end>
      <status>unmodified</status>
      <modifiedWord/>
      <trackRevisions>false</trackRevisions>
    </reviewItem>
    <reviewItem>
      <errorID>14000e0f-6fb8-40a6-8d01-8312fbc4e51c</errorID>
      <errorWord>其它</errorWord>
      <group>L1_Word</group>
      <groupName>字词问题</groupName>
      <ability>L2_Alias</ability>
      <abilityName>也作/曾用词</abilityName>
      <candidateList>
        <item>其他</item>
      </candidateList>
      <explain>词汇[其它]为不规范表述或旧称，其规范书面表述为[其他]。</explain>
      <paraID> D124023</paraID>
      <start>20</start>
      <end>22</end>
      <status>unmodified</status>
      <modifiedWord/>
      <trackRevisions>false</trackRevisions>
    </reviewItem>
    <reviewItem>
      <errorID>22edc055-64c1-4ac3-a44a-c65e2d7f2567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55A0700E</paraID>
      <start>35</start>
      <end>36</end>
      <status>unmodified</status>
      <modifiedWord/>
      <trackRevisions>false</trackRevisions>
    </reviewItem>
    <reviewItem>
      <errorID>b3109bc4-2445-47ee-aeaf-68394a5523a3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53B4FFF4</paraID>
      <start>27</start>
      <end>28</end>
      <status>unmodified</status>
      <modifiedWord/>
      <trackRevisions>false</trackRevisions>
    </reviewItem>
    <reviewItem>
      <errorID>b7ff58cc-9666-4380-bad0-ccd2516749fd</errorID>
      <errorWord>侵延</errorWord>
      <group>L1_Word</group>
      <groupName>字词问题</groupName>
      <ability>L2_Typo</ability>
      <abilityName>字词错误</abilityName>
      <candidateList>
        <item>蔓延</item>
      </candidateList>
      <explain>〈动〉像蔓草一样不断向周围扩展：～滋长｜火势～。</explain>
      <paraID>78D1325D</paraID>
      <start>22</start>
      <end>24</end>
      <status>unmodified</status>
      <modifiedWord/>
      <trackRevisions>false</trackRevisions>
    </reviewItem>
    <reviewItem>
      <errorID>5b917bbc-c0d8-4d70-9213-e446d1682ed2</errorID>
      <errorWord>(</errorWord>
      <group>L1_Format</group>
      <groupName>格式问题</groupName>
      <ability>L2_HalfPunc</ability>
      <abilityName>全半角检查</abilityName>
      <candidateList>
        <item>（</item>
      </candidateList>
      <explain>文本全半角错误。</explain>
      <paraID> B6BC321</paraID>
      <start>9</start>
      <end>10</end>
      <status>unmodified</status>
      <modifiedWord/>
      <trackRevisions>false</trackRevisions>
    </reviewItem>
    <reviewItem>
      <errorID>b2384ca0-be2d-4202-81c8-6c338d068c94</errorID>
      <errorWord>)</errorWord>
      <group>L1_Format</group>
      <groupName>格式问题</groupName>
      <ability>L2_HalfPunc</ability>
      <abilityName>全半角检查</abilityName>
      <candidateList>
        <item>）</item>
      </candidateList>
      <explain>文本全半角错误。</explain>
      <paraID> B6BC321</paraID>
      <start>19</start>
      <end>20</end>
      <status>unmodified</status>
      <modifiedWord/>
      <trackRevisions>false</trackRevisions>
    </reviewItem>
    <reviewItem>
      <errorID>ef08d39a-3963-4313-980c-dafdc08cc36a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16060154</paraID>
      <start>55</start>
      <end>56</end>
      <status>unmodified</status>
      <modifiedWord/>
      <trackRevisions>false</trackRevisions>
    </reviewItem>
    <reviewItem>
      <errorID>876a58f8-9388-4a56-804b-98cd70b94862</errorID>
      <errorWord>(</errorWord>
      <group>L1_Format</group>
      <groupName>格式问题</groupName>
      <ability>L2_HalfPunc</ability>
      <abilityName>全半角检查</abilityName>
      <candidateList>
        <item>（</item>
      </candidateList>
      <explain>文本全半角错误。</explain>
      <paraID> E20797C</paraID>
      <start>6</start>
      <end>7</end>
      <status>unmodified</status>
      <modifiedWord/>
      <trackRevisions>false</trackRevisions>
    </reviewItem>
    <reviewItem>
      <errorID>4477dec3-e98f-4c9d-a938-dc7e69714042</errorID>
      <errorWord>)</errorWord>
      <group>L1_Format</group>
      <groupName>格式问题</groupName>
      <ability>L2_HalfPunc</ability>
      <abilityName>全半角检查</abilityName>
      <candidateList>
        <item>）</item>
      </candidateList>
      <explain>文本全半角错误。</explain>
      <paraID> E20797C</paraID>
      <start>12</start>
      <end>13</end>
      <status>unmodified</status>
      <modifiedWord/>
      <trackRevisions>false</trackRevisions>
    </reviewItem>
    <reviewItem>
      <errorID>477281ab-0f85-43ef-a7fd-7fb81619a9bd</errorID>
      <errorWord>具</errorWord>
      <group>L1_Word</group>
      <groupName>字词问题</groupName>
      <ability>L2_Typo</ability>
      <abilityName>字词错误</abilityName>
      <candidateList>
        <item>具有</item>
      </candidateList>
      <explain>〈动〉有（多用于抽象事物）：～信心｜～伟大的意义。</explain>
      <paraID> 8B42CA4</paraID>
      <start>34</start>
      <end>35</end>
      <status>unmodified</status>
      <modifiedWord/>
      <trackRevisions>false</trackRevisions>
    </reviewItem>
    <reviewItem>
      <errorID>1bd17adb-5640-4c04-a9ce-1cb854d668bd</errorID>
      <errorWord>脚叶</errorWord>
      <group>L1_Word</group>
      <groupName>字词问题</groupName>
      <ability>L2_Typo</ability>
      <abilityName>字词错误</abilityName>
      <candidateList>
        <item>枝叶</item>
      </candidateList>
      <explain/>
      <paraID>2C5883A8</paraID>
      <start>62</start>
      <end>64</end>
      <status>unmodified</status>
      <modifiedWord/>
      <trackRevisions>false</trackRevisions>
    </reviewItem>
    <reviewItem>
      <errorID>49e62b65-5b75-4d5f-b763-64de0ce836c5</errorID>
      <errorWord>桩头</errorWord>
      <group>L1_Word</group>
      <groupName>字词问题</groupName>
      <ability>L2_Typo</ability>
      <abilityName>字词错误</abilityName>
      <candidateList>
        <item>桩</item>
      </candidateList>
      <explain/>
      <paraID> 63A4D9A</paraID>
      <start>31</start>
      <end>33</end>
      <status>unmodified</status>
      <modifiedWord/>
      <trackRevisions>false</trackRevisions>
    </reviewItem>
    <reviewItem>
      <errorID>a6420c7d-c838-4834-b10b-e4c4c962c14b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33D33042</paraID>
      <start>32</start>
      <end>33</end>
      <status>unmodified</status>
      <modifiedWord/>
      <trackRevisions>false</trackRevisions>
    </reviewItem>
    <reviewItem>
      <errorID>51ff6e73-4feb-4714-a5f0-0be2f9e1c284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7B915A67</paraID>
      <start>23</start>
      <end>24</end>
      <status>unmodified</status>
      <modifiedWord/>
      <trackRevisions>false</trackRevisions>
    </reviewItem>
    <reviewItem>
      <errorID>1ecda31c-c5c3-4c73-b07e-69006da25f95</errorID>
      <errorWord>；</errorWord>
      <group>L1_Word</group>
      <groupName>字词问题</groupName>
      <ability>L2_Typo</ability>
      <abilityName>字词错误</abilityName>
      <candidateList>
        <item>；在</item>
      </candidateList>
      <explain/>
      <paraID>7B915A67</paraID>
      <start>31</start>
      <end>32</end>
      <status>unmodified</status>
      <modifiedWord/>
      <trackRevisions>false</trackRevisions>
    </reviewItem>
    <reviewItem>
      <errorID>339f2d1b-5785-4deb-ac9c-4fd2e29d8ae6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7B915A67</paraID>
      <start>73</start>
      <end>74</end>
      <status>unmodified</status>
      <modifiedWord/>
      <trackRevisions>false</trackRevisions>
    </reviewItem>
    <reviewItem>
      <errorID>40b0b3c9-1beb-492d-bec4-59c7139eb025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119EB703</paraID>
      <start>18</start>
      <end>19</end>
      <status>unmodified</status>
      <modifiedWord/>
      <trackRevisions>false</trackRevisions>
    </reviewItem>
    <reviewItem>
      <errorID>05d35147-da54-429c-9800-c1d91a113ac4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119EB703</paraID>
      <start>34</start>
      <end>35</end>
      <status>unmodified</status>
      <modifiedWord/>
      <trackRevisions>false</trackRevisions>
    </reviewItem>
    <reviewItem>
      <errorID>35dd2728-7502-4bda-8968-669143bbf09f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112DDCC9</paraID>
      <start>19</start>
      <end>20</end>
      <status>unmodified</status>
      <modifiedWord/>
      <trackRevisions>false</trackRevisions>
    </reviewItem>
    <reviewItem>
      <errorID>4aeb35b4-f3ae-471f-aa5e-fe6b1969e1bf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112DDCC9</paraID>
      <start>40</start>
      <end>41</end>
      <status>unmodified</status>
      <modifiedWord/>
      <trackRevisions>false</trackRevisions>
    </reviewItem>
    <reviewItem>
      <errorID>9ce3a32e-dfba-46bd-90e8-1e4b0f0fb160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112DDCC9</paraID>
      <start>69</start>
      <end>70</end>
      <status>unmodified</status>
      <modifiedWord/>
      <trackRevisions>false</trackRevisions>
    </reviewItem>
    <reviewItem>
      <errorID>7172379b-f85d-4739-9ee6-14526d7d6390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3708B1EC</paraID>
      <start>17</start>
      <end>18</end>
      <status>unmodified</status>
      <modifiedWord/>
      <trackRevisions>false</trackRevisions>
    </reviewItem>
    <reviewItem>
      <errorID>1d1c5ac3-a6bd-4f8d-b64d-74ea2b5a5185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3708B1EC</paraID>
      <start>37</start>
      <end>38</end>
      <status>unmodified</status>
      <modifiedWord/>
      <trackRevisions>false</trackRevisions>
    </reviewItem>
    <reviewItem>
      <errorID>934414ed-6932-4779-a0de-32349ea5c196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3708B1EC</paraID>
      <start>67</start>
      <end>68</end>
      <status>unmodified</status>
      <modifiedWord/>
      <trackRevisions>false</trackRevisions>
    </reviewItem>
    <reviewItem>
      <errorID>ba52f84c-a855-4b56-aef4-ce88e51593c8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36C0EAC6</paraID>
      <start>18</start>
      <end>19</end>
      <status>unmodified</status>
      <modifiedWord/>
      <trackRevisions>false</trackRevisions>
    </reviewItem>
    <reviewItem>
      <errorID>42c0c0d5-d931-452a-b2e1-85b1fb1de38a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36C0EAC6</paraID>
      <start>40</start>
      <end>41</end>
      <status>unmodified</status>
      <modifiedWord/>
      <trackRevisions>false</trackRevisions>
    </reviewItem>
    <reviewItem>
      <errorID>a794f30f-a8e9-4c5b-a518-e52bc823071b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3B965C0D</paraID>
      <start>19</start>
      <end>20</end>
      <status>unmodified</status>
      <modifiedWord/>
      <trackRevisions>false</trackRevisions>
    </reviewItem>
    <reviewItem>
      <errorID>60257870-0ec7-40f3-b68b-71a3ef75ce2d</errorID>
      <errorWord>病虫害爆发</errorWord>
      <group>L1_Word</group>
      <groupName>字词问题</groupName>
      <ability>L2_Typo</ability>
      <abilityName>字词错误</abilityName>
      <candidateList>
        <item>病虫害暴发</item>
      </candidateList>
      <explain/>
      <paraID>3B965C0D</paraID>
      <start>28</start>
      <end>33</end>
      <status>unmodified</status>
      <modifiedWord/>
      <trackRevisions>false</trackRevisions>
    </reviewItem>
    <reviewItem>
      <errorID>20ad27df-0c27-4b38-9171-15a36e953d30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3B965C0D</paraID>
      <start>39</start>
      <end>40</end>
      <status>unmodified</status>
      <modifiedWord/>
      <trackRevisions>false</trackRevisions>
    </reviewItem>
    <reviewItem>
      <errorID>c0cd1e3a-6945-42ae-9c02-194908975a66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2F0062A6</paraID>
      <start>35</start>
      <end>36</end>
      <status>unmodified</status>
      <modifiedWord/>
      <trackRevisions>false</trackRevisions>
    </reviewItem>
    <reviewItem>
      <errorID>e9fa1277-cf7e-4b6a-8bca-7903ab0aad8f</errorID>
      <errorWord>,</errorWord>
      <group>L1_Format</group>
      <groupName>格式问题</groupName>
      <ability>L2_HalfPunc</ability>
      <abilityName>全半角检查</abilityName>
      <candidateList>
        <item>，</item>
      </candidateList>
      <explain>文本全半角错误。</explain>
      <paraID>3A18C752</paraID>
      <start>12</start>
      <end>13</end>
      <status>unmodified</status>
      <modifiedWord/>
      <trackRevisions>false</trackRevisions>
    </reviewItem>
    <reviewItem>
      <errorID>10361359-50e8-40eb-8315-29347f442207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3A18C752</paraID>
      <start>17</start>
      <end>18</end>
      <status>unmodified</status>
      <modifiedWord/>
      <trackRevisions>false</trackRevisions>
    </reviewItem>
    <reviewItem>
      <errorID>74b59d87-58d8-46e7-9434-a7569b495252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3A18C752</paraID>
      <start>42</start>
      <end>43</end>
      <status>unmodified</status>
      <modifiedWord/>
      <trackRevisions>false</trackRevisions>
    </reviewItem>
    <reviewItem>
      <errorID>07a4f4cd-75eb-42ac-a96a-4765167718ef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3A18C752</paraID>
      <start>65</start>
      <end>66</end>
      <status>unmodified</status>
      <modifiedWord/>
      <trackRevisions>false</trackRevisions>
    </reviewItem>
    <reviewItem>
      <errorID>d52440a5-ffdd-4fa3-b5d0-50d2f9013084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3A18C752</paraID>
      <start>91</start>
      <end>92</end>
      <status>unmodified</status>
      <modifiedWord/>
      <trackRevisions>false</trackRevisions>
    </reviewItem>
    <reviewItem>
      <errorID>02aca2c8-13f9-46c3-81af-53368d08e30f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1668D1EC</paraID>
      <start>22</start>
      <end>23</end>
      <status>unmodified</status>
      <modifiedWord/>
      <trackRevisions>false</trackRevisions>
    </reviewItem>
    <reviewItem>
      <errorID>7915179d-256b-479e-9258-92e3431836b0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1668D1EC</paraID>
      <start>43</start>
      <end>44</end>
      <status>unmodified</status>
      <modifiedWord/>
      <trackRevisions>false</trackRevisions>
    </reviewItem>
    <reviewItem>
      <errorID>1afa4a88-00d4-425d-87ee-088574d852c7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1668D1EC</paraID>
      <start>66</start>
      <end>67</end>
      <status>unmodified</status>
      <modifiedWord/>
      <trackRevisions>false</trackRevisions>
    </reviewItem>
    <reviewItem>
      <errorID>c50cbf1e-1f10-483d-b937-7d41aaab17a1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2951C121</paraID>
      <start>14</start>
      <end>15</end>
      <status>unmodified</status>
      <modifiedWord/>
      <trackRevisions>false</trackRevisions>
    </reviewItem>
    <reviewItem>
      <errorID>25326cfc-2d84-4b51-9413-b94e1b569b7f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3A085B35</paraID>
      <start>34</start>
      <end>35</end>
      <status>unmodified</status>
      <modifiedWord/>
      <trackRevisions>false</trackRevisions>
    </reviewItem>
    <reviewItem>
      <errorID>d575047c-bf29-407e-9b54-8ad66ff86c98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3A085B35</paraID>
      <start>63</start>
      <end>64</end>
      <status>unmodified</status>
      <modifiedWord/>
      <trackRevisions>false</trackRevisions>
    </reviewItem>
    <reviewItem>
      <errorID>42ff965f-42b8-4c0d-bb95-b48ede52727c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3A085B35</paraID>
      <start>100</start>
      <end>101</end>
      <status>unmodified</status>
      <modifiedWord/>
      <trackRevisions>false</trackRevisions>
    </reviewItem>
    <reviewItem>
      <errorID>46feef4d-a059-4c67-a1ca-5bc541571cd1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3A085B35</paraID>
      <start>119</start>
      <end>120</end>
      <status>unmodified</status>
      <modifiedWord/>
      <trackRevisions>false</trackRevisions>
    </reviewItem>
    <reviewItem>
      <errorID>c53a4064-75b5-4770-b14f-f6f2af113216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3A085B35</paraID>
      <start>143</start>
      <end>144</end>
      <status>unmodified</status>
      <modifiedWord/>
      <trackRevisions>false</trackRevisions>
    </reviewItem>
    <reviewItem>
      <errorID>55dc0774-d6b4-49a6-9ece-f1445aecce82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31422B84</paraID>
      <start>18</start>
      <end>19</end>
      <status>unmodified</status>
      <modifiedWord/>
      <trackRevisions>false</trackRevisions>
    </reviewItem>
    <reviewItem>
      <errorID>9df5cf87-b0b4-4fcd-a421-a9b4e390984c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52E27194</paraID>
      <start>39</start>
      <end>40</end>
      <status>unmodified</status>
      <modifiedWord/>
      <trackRevisions>false</trackRevisions>
    </reviewItem>
    <reviewItem>
      <errorID>6df027b0-580c-444d-bd45-5b6f1860aaf7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79E547F2</paraID>
      <start>22</start>
      <end>23</end>
      <status>unmodified</status>
      <modifiedWord/>
      <trackRevisions>false</trackRevisions>
    </reviewItem>
    <reviewItem>
      <errorID>52f652ca-fd72-4a2f-9cff-eb5fcba0e894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79E547F2</paraID>
      <start>66</start>
      <end>67</end>
      <status>unmodified</status>
      <modifiedWord/>
      <trackRevisions>false</trackRevisions>
    </reviewItem>
    <reviewItem>
      <errorID>0aec2127-0870-481c-80e3-f47de718351d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79E547F2</paraID>
      <start>113</start>
      <end>114</end>
      <status>unmodified</status>
      <modifiedWord/>
      <trackRevisions>false</trackRevisions>
    </reviewItem>
    <reviewItem>
      <errorID>f78de2d9-1dd6-4553-a820-3c98694ea6bb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79E547F2</paraID>
      <start>199</start>
      <end>200</end>
      <status>unmodified</status>
      <modifiedWord/>
      <trackRevisions>false</trackRevisions>
    </reviewItem>
    <reviewItem>
      <errorID>8e49e668-36a4-4486-b54f-0d3901602b1e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546BD593</paraID>
      <start>19</start>
      <end>20</end>
      <status>unmodified</status>
      <modifiedWord/>
      <trackRevisions>false</trackRevisions>
    </reviewItem>
    <reviewItem>
      <errorID>0e2de72d-8cf8-4fec-b685-bff38cc46a63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55F2859B</paraID>
      <start>18</start>
      <end>19</end>
      <status>unmodified</status>
      <modifiedWord/>
      <trackRevisions>false</trackRevisions>
    </reviewItem>
    <reviewItem>
      <errorID>8b0c9324-b634-4be3-8dbf-2fa95f3e281e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407ED20E</paraID>
      <start>13</start>
      <end>14</end>
      <status>unmodified</status>
      <modifiedWord/>
      <trackRevisions>false</trackRevisions>
    </reviewItem>
    <reviewItem>
      <errorID>d287336f-d159-4a2a-92d5-b91c09d1efb2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62A92108</paraID>
      <start>20</start>
      <end>21</end>
      <status>unmodified</status>
      <modifiedWord/>
      <trackRevisions>false</trackRevisions>
    </reviewItem>
    <reviewItem>
      <errorID>7e046f27-efd1-4652-9866-ccf82f752826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7190FFB8</paraID>
      <start>24</start>
      <end>25</end>
      <status>unmodified</status>
      <modifiedWord/>
      <trackRevisions>false</trackRevisions>
    </reviewItem>
    <reviewItem>
      <errorID>5b852f19-976b-4856-9126-de16956be480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1A16318C</paraID>
      <start>22</start>
      <end>23</end>
      <status>unmodified</status>
      <modifiedWord/>
      <trackRevisions>false</trackRevisions>
    </reviewItem>
    <reviewItem>
      <errorID>da76b494-6902-4549-853e-ee0c40d3ee02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1A16318C</paraID>
      <start>39</start>
      <end>40</end>
      <status>unmodified</status>
      <modifiedWord/>
      <trackRevisions>false</trackRevisions>
    </reviewItem>
    <reviewItem>
      <errorID>fef56cdd-ff14-4bca-8f37-98f6d1070e1b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1348F30F</paraID>
      <start>30</start>
      <end>31</end>
      <status>unmodified</status>
      <modifiedWord/>
      <trackRevisions>false</trackRevisions>
    </reviewItem>
    <reviewItem>
      <errorID>25b4e854-b366-4f53-96fd-3bc3fe817b6b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3EA88074</paraID>
      <start>20</start>
      <end>21</end>
      <status>unmodified</status>
      <modifiedWord/>
      <trackRevisions>false</trackRevisions>
    </reviewItem>
    <reviewItem>
      <errorID>a12d8078-bb43-4282-a8c1-34782f5fba33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7D3CDFA3</paraID>
      <start>20</start>
      <end>21</end>
      <status>unmodified</status>
      <modifiedWord/>
      <trackRevisions>false</trackRevisions>
    </reviewItem>
    <reviewItem>
      <errorID>a2913914-454a-480e-bd75-81ce45cc0ffe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52CD7B3C</paraID>
      <start>28</start>
      <end>29</end>
      <status>unmodified</status>
      <modifiedWord/>
      <trackRevisions>false</trackRevisions>
    </reviewItem>
    <reviewItem>
      <errorID>1e13c3a1-4bd4-49da-92cf-fd719323d19c</errorID>
      <errorWord>噪音</errorWord>
      <group>L1_Word</group>
      <groupName>字词问题</groupName>
      <ability>L2_Alias</ability>
      <abilityName>也作/曾用词</abilityName>
      <candidateList>
        <item>噪声</item>
      </candidateList>
      <explain>词汇[噪音]为不规范表述或旧称，其规范书面表述为[噪声]。</explain>
      <paraID>570390CB</paraID>
      <start>5</start>
      <end>7</end>
      <status>unmodified</status>
      <modifiedWord/>
      <trackRevisions>false</trackRevisions>
    </reviewItem>
    <reviewItem>
      <errorID>bbbdaf14-94bf-43d3-8eb5-f472d57cd62e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570390CB</paraID>
      <start>19</start>
      <end>20</end>
      <status>unmodified</status>
      <modifiedWord/>
      <trackRevisions>false</trackRevisions>
    </reviewItem>
    <reviewItem>
      <errorID>2129f8f1-fabb-4953-92d0-24a76143cfe1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570390CB</paraID>
      <start>41</start>
      <end>42</end>
      <status>unmodified</status>
      <modifiedWord/>
      <trackRevisions>false</trackRevisions>
    </reviewItem>
    <reviewItem>
      <errorID>42ecb937-4610-43ef-b830-2945e24e942b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50B95B20</paraID>
      <start>39</start>
      <end>40</end>
      <status>unmodified</status>
      <modifiedWord/>
      <trackRevisions>false</trackRevisions>
    </reviewItem>
    <reviewItem>
      <errorID>87af5a10-375c-49d4-96b2-18c68bb2ad12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50B95B20</paraID>
      <start>71</start>
      <end>72</end>
      <status>unmodified</status>
      <modifiedWord/>
      <trackRevisions>false</trackRevisions>
    </reviewItem>
    <reviewItem>
      <errorID>9439139f-a124-40dd-b902-7097d513abfd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1699BFEC</paraID>
      <start>15</start>
      <end>16</end>
      <status>unmodified</status>
      <modifiedWord/>
      <trackRevisions>false</trackRevisions>
    </reviewItem>
    <reviewItem>
      <errorID>daa81776-3014-44a9-9ce9-7d9dfe809c73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74E227C9</paraID>
      <start>16</start>
      <end>17</end>
      <status>unmodified</status>
      <modifiedWord/>
      <trackRevisions>false</trackRevisions>
    </reviewItem>
    <reviewItem>
      <errorID>33f32475-d0f1-48be-ac41-0e49fcb00104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D69450C</paraID>
      <start>12</start>
      <end>13</end>
      <status>unmodified</status>
      <modifiedWord/>
      <trackRevisions>false</trackRevisions>
    </reviewItem>
    <reviewItem>
      <errorID>00f26413-53be-4a59-8769-ea232f000e74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4504C92E</paraID>
      <start>21</start>
      <end>22</end>
      <status>unmodified</status>
      <modifiedWord/>
      <trackRevisions>false</trackRevisions>
    </reviewItem>
    <reviewItem>
      <errorID>1ead2db7-1579-437e-9a99-e1c4f85c3292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C1CB53E</paraID>
      <start>16</start>
      <end>17</end>
      <status>unmodified</status>
      <modifiedWord/>
      <trackRevisions>false</trackRevisions>
    </reviewItem>
    <reviewItem>
      <errorID>16ecc703-15a8-421a-9dac-94e77768e079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63DA8773</paraID>
      <start>14</start>
      <end>15</end>
      <status>unmodified</status>
      <modifiedWord/>
      <trackRevisions>false</trackRevisions>
    </reviewItem>
    <reviewItem>
      <errorID>1f805e1a-19fd-43e1-aa7d-575ec690995e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588ACE94</paraID>
      <start>18</start>
      <end>19</end>
      <status>unmodified</status>
      <modifiedWord/>
      <trackRevisions>false</trackRevisions>
    </reviewItem>
    <reviewItem>
      <errorID>e162e94e-2847-43c5-abb8-c27f4221f8f3</errorID>
      <errorWord>强</errorWord>
      <group>L1_Word</group>
      <groupName>字词问题</groupName>
      <ability>L2_Typo</ability>
      <abilityName>字词错误</abilityName>
      <candidateList>
        <item>强对</item>
      </candidateList>
      <explain/>
      <paraID>66865109</paraID>
      <start>2</start>
      <end>3</end>
      <status>unmodified</status>
      <modifiedWord/>
      <trackRevisions>false</trackRevisions>
    </reviewItem>
    <reviewItem>
      <errorID>37640ca2-e12b-45ef-b56e-f6fc85476fa2</errorID>
      <errorWord>其它</errorWord>
      <group>L1_Word</group>
      <groupName>字词问题</groupName>
      <ability>L2_Alias</ability>
      <abilityName>也作/曾用词</abilityName>
      <candidateList>
        <item>其他</item>
      </candidateList>
      <explain>词汇[其它]为不规范表述或旧称，其规范书面表述为[其他]。</explain>
      <paraID>3F04DE70</paraID>
      <start>57</start>
      <end>59</end>
      <status>unmodified</status>
      <modifiedWord/>
      <trackRevisions>false</trackRevisions>
    </reviewItem>
    <reviewItem>
      <errorID>b82f586d-8c2e-429d-ba52-980fe498eb7f</errorID>
      <errorWord>相结合办法</errorWord>
      <group>L1_Word</group>
      <groupName>字词问题</groupName>
      <ability>L2_Typo</ability>
      <abilityName>字词错误</abilityName>
      <candidateList>
        <item>相结合的办法</item>
      </candidateList>
      <explain/>
      <paraID>67A945DA</paraID>
      <start>20</start>
      <end>25</end>
      <status>unmodified</status>
      <modifiedWord/>
      <trackRevisions>false</trackRevisions>
    </reviewItem>
    <reviewItem>
      <errorID>bb45f4ba-3f47-4a88-8aaa-e08dc0bc9730</errorID>
      <errorWord>下午15:00</errorWord>
      <group>L1_Knowledge</group>
      <groupName>知识性问题</groupName>
      <ability>L2_Time</ability>
      <abilityName>日期时间</abilityName>
      <candidateList>
        <item>15:00</item>
      </candidateList>
      <explain>24小时制的时间，不需要强调“下午”。</explain>
      <paraID>5871D0FF</paraID>
      <start>23</start>
      <end>30</end>
      <status>unmodified</status>
      <modifiedWord/>
      <trackRevisions>false</trackRevisions>
    </reviewItem>
    <reviewItem>
      <errorID>68a046b3-6c95-40c4-af9d-5ac5801e2410</errorID>
      <errorWord>其它</errorWord>
      <group>L1_Word</group>
      <groupName>字词问题</groupName>
      <ability>L2_Alias</ability>
      <abilityName>也作/曾用词</abilityName>
      <candidateList>
        <item>其他</item>
      </candidateList>
      <explain>词汇[其它]为不规范表述或旧称，其规范书面表述为[其他]。</explain>
      <paraID>5E19FD84</paraID>
      <start>48</start>
      <end>50</end>
      <status>unmodified</status>
      <modifiedWord/>
      <trackRevisions>false</trackRevisions>
    </reviewItem>
    <reviewItem>
      <errorID>45841ab5-3abf-41e7-94fe-0f6865fdae67</errorID>
      <errorWord>&gt;</errorWord>
      <group>L1_Format</group>
      <groupName>格式问题</groupName>
      <ability>L2_HalfPunc</ability>
      <abilityName>全半角检查</abilityName>
      <candidateList>
        <item>〉</item>
      </candidateList>
      <explain>文本全半角错误。</explain>
      <paraID>58080C89</paraID>
      <start>54</start>
      <end>55</end>
      <status>unmodified</status>
      <modifiedWord/>
      <trackRevisions>false</trackRevisions>
    </reviewItem>
    <reviewItem>
      <errorID>c6d2f46a-b72e-40cf-a647-b05e477d6005</errorID>
      <errorWord>其它</errorWord>
      <group>L1_Word</group>
      <groupName>字词问题</groupName>
      <ability>L2_Alias</ability>
      <abilityName>也作/曾用词</abilityName>
      <candidateList>
        <item>其他</item>
      </candidateList>
      <explain>词汇[其它]为不规范表述或旧称，其规范书面表述为[其他]。</explain>
      <paraID>2E7D52D1</paraID>
      <start>61</start>
      <end>63</end>
      <status>unmodified</status>
      <modifiedWord/>
      <trackRevisions>false</trackRevisions>
    </reviewItem>
    <reviewItem>
      <errorID>7b1aec05-cc73-46ce-96b8-e954dbe55dd9</errorID>
      <errorWord>-</errorWord>
      <group>L1_Format</group>
      <groupName>格式问题</groupName>
      <ability>L2_HalfPunc</ability>
      <abilityName>全半角检查</abilityName>
      <candidateList>
        <item>－</item>
      </candidateList>
      <explain>文本全半角错误。</explain>
      <paraID>1A506403</paraID>
      <start>18</start>
      <end>19</end>
      <status>unmodified</status>
      <modifiedWord/>
      <trackRevisions>false</trackRevisions>
    </reviewItem>
    <reviewItem>
      <errorID>f2d3c1f1-b64d-4098-92b2-d7a061a803c0</errorID>
      <errorWord>-</errorWord>
      <group>L1_Format</group>
      <groupName>格式问题</groupName>
      <ability>L2_HalfPunc</ability>
      <abilityName>全半角检查</abilityName>
      <candidateList>
        <item>－</item>
      </candidateList>
      <explain>文本全半角错误。</explain>
      <paraID>3C56EFB4</paraID>
      <start>19</start>
      <end>20</end>
      <status>unmodified</status>
      <modifiedWord/>
      <trackRevisions>false</trackRevisions>
    </reviewItem>
    <reviewItem>
      <errorID>4c5d0f8a-0219-4a17-bbaa-24b9750e75b2</errorID>
      <errorWord>-</errorWord>
      <group>L1_Format</group>
      <groupName>格式问题</groupName>
      <ability>L2_HalfPunc</ability>
      <abilityName>全半角检查</abilityName>
      <candidateList>
        <item>－</item>
      </candidateList>
      <explain>文本全半角错误。</explain>
      <paraID>3C56EFB4</paraID>
      <start>23</start>
      <end>24</end>
      <status>unmodified</status>
      <modifiedWord/>
      <trackRevisions>false</trackRevisions>
    </reviewItem>
    <reviewItem>
      <errorID>f5da7fd9-ebbe-4cb4-9226-cabff4d5b8dc</errorID>
      <errorWord>-</errorWord>
      <group>L1_Format</group>
      <groupName>格式问题</groupName>
      <ability>L2_HalfPunc</ability>
      <abilityName>全半角检查</abilityName>
      <candidateList>
        <item>－</item>
      </candidateList>
      <explain>文本全半角错误。</explain>
      <paraID>3C56EFB4</paraID>
      <start>38</start>
      <end>39</end>
      <status>unmodified</status>
      <modifiedWord/>
      <trackRevisions>false</trackRevisions>
    </reviewItem>
    <reviewItem>
      <errorID>ee8d5916-8394-4ac0-b182-35420c3e1282</errorID>
      <errorWord>(</errorWord>
      <group>L1_Format</group>
      <groupName>格式问题</groupName>
      <ability>L2_HalfPunc</ability>
      <abilityName>全半角检查</abilityName>
      <candidateList>
        <item>（</item>
      </candidateList>
      <explain>文本全半角错误。</explain>
      <paraID>64DC69FD</paraID>
      <start>0</start>
      <end>1</end>
      <status>unmodified</status>
      <modifiedWord/>
      <trackRevisions>false</trackRevisions>
    </reviewItem>
    <reviewItem>
      <errorID>155f8343-70f0-4eb2-ba9d-e9d73559c83e</errorID>
      <errorWord>(</errorWord>
      <group>L1_Format</group>
      <groupName>格式问题</groupName>
      <ability>L2_HalfPunc</ability>
      <abilityName>全半角检查</abilityName>
      <candidateList>
        <item>（</item>
      </candidateList>
      <explain>文本全半角错误。</explain>
      <paraID>486EDEF4</paraID>
      <start>0</start>
      <end>1</end>
      <status>unmodified</status>
      <modifiedWord/>
      <trackRevisions>false</trackRevisions>
    </reviewItem>
    <reviewItem>
      <errorID>6fea3273-869b-4818-a1c6-2d9f0af72746</errorID>
      <errorWord>、以及</errorWord>
      <group>L1_Punc</group>
      <groupName>标点问题</groupName>
      <ability>L2_Punc</ability>
      <abilityName>标点符号检查</abilityName>
      <candidateList>
        <item>，以及</item>
      </candidateList>
      <explain>连接词前后不宜使用顿号，建议使用逗号。</explain>
      <paraID>66966C30</paraID>
      <start>50</start>
      <end>53</end>
      <status>unmodified</status>
      <modifiedWord/>
      <trackRevisions>false</trackRevisions>
    </reviewItem>
    <reviewItem>
      <errorID>0334a9d9-abf6-4cee-8a77-8af24e9decc0</errorID>
      <errorWord>无其它</errorWord>
      <group>L1_Word</group>
      <groupName>字词问题</groupName>
      <ability>L2_Alias</ability>
      <abilityName>也作/曾用词</abilityName>
      <candidateList>
        <item>无其他</item>
      </candidateList>
      <explain>词汇[无其它]为不规范表述或旧称，其规范书面表述为[无其他]。</explain>
      <paraID>723DE404</paraID>
      <start>12</start>
      <end>15</end>
      <status>unmodified</status>
      <modifiedWord/>
      <trackRevisions>false</trackRevisions>
    </reviewItem>
    <reviewItem>
      <errorID>cf85eb66-be60-444d-94bf-7ce45fc58340</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34CC1DBC</paraID>
      <start>0</start>
      <end>3</end>
      <status>unmodified</status>
      <modifiedWord/>
      <trackRevisions>false</trackRevisions>
    </reviewItem>
    <reviewItem>
      <errorID>c5e382cc-06de-4978-bcf9-8093e64dc67c</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71224128</paraID>
      <start>0</start>
      <end>3</end>
      <status>unmodified</status>
      <modifiedWord/>
      <trackRevisions>false</trackRevisions>
    </reviewItem>
    <reviewItem>
      <errorID>0af285ca-3e63-4dd7-9c79-6a1db3934f4b</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525B0291</paraID>
      <start>0</start>
      <end>3</end>
      <status>unmodified</status>
      <modifiedWord/>
      <trackRevisions>false</trackRevisions>
    </reviewItem>
    <reviewItem>
      <errorID>6469865b-c8ac-49e0-a5b9-9854bc31d56f</errorID>
      <errorWord>(</errorWord>
      <group>L1_Format</group>
      <groupName>格式问题</groupName>
      <ability>L2_HalfPunc</ability>
      <abilityName>全半角检查</abilityName>
      <candidateList>
        <item>（</item>
      </candidateList>
      <explain>文本全半角错误。</explain>
      <paraID>7A0F80F4</paraID>
      <start>0</start>
      <end>1</end>
      <status>unmodified</status>
      <modifiedWord/>
      <trackRevisions>false</trackRevisions>
    </reviewItem>
    <reviewItem>
      <errorID>d5da06b2-3f51-40a7-baee-ea146a2d0c7b</errorID>
      <errorWord>)</errorWord>
      <group>L1_Format</group>
      <groupName>格式问题</groupName>
      <ability>L2_HalfPunc</ability>
      <abilityName>全半角检查</abilityName>
      <candidateList>
        <item>）</item>
      </candidateList>
      <explain>文本全半角错误。</explain>
      <paraID>3E1B774D</paraID>
      <start>2</start>
      <end>3</end>
      <status>unmodified</status>
      <modifiedWord/>
      <trackRevisions>false</trackRevisions>
    </reviewItem>
    <reviewItem>
      <errorID>f8e07e9e-3195-4d7d-8d2b-b4c4ab654d7a</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46A1841D</paraID>
      <start>0</start>
      <end>3</end>
      <status>unmodified</status>
      <modifiedWord/>
      <trackRevisions>false</trackRevisions>
    </reviewItem>
    <reviewItem>
      <errorID>91877e2c-a6fb-452e-8c2c-c5c27ffb2a11</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5000D670</paraID>
      <start>0</start>
      <end>3</end>
      <status>unmodified</status>
      <modifiedWord/>
      <trackRevisions>false</trackRevisions>
    </reviewItem>
    <reviewItem>
      <errorID>72047c03-73b2-4c99-99f1-2b3ed2295890</errorID>
      <errorWord>(</errorWord>
      <group>L1_Format</group>
      <groupName>格式问题</groupName>
      <ability>L2_HalfPunc</ability>
      <abilityName>全半角检查</abilityName>
      <candidateList>
        <item>（</item>
      </candidateList>
      <explain>文本全半角错误。</explain>
      <paraID>78E692ED</paraID>
      <start>0</start>
      <end>1</end>
      <status>unmodified</status>
      <modifiedWord/>
      <trackRevisions>false</trackRevisions>
    </reviewItem>
    <reviewItem>
      <errorID>e3af08fd-4c35-498e-93d3-0563caed69e7</errorID>
      <errorWord>(</errorWord>
      <group>L1_Format</group>
      <groupName>格式问题</groupName>
      <ability>L2_HalfPunc</ability>
      <abilityName>全半角检查</abilityName>
      <candidateList>
        <item>（</item>
      </candidateList>
      <explain>文本全半角错误。</explain>
      <paraID>14ECF5B5</paraID>
      <start>0</start>
      <end>1</end>
      <status>unmodified</status>
      <modifiedWord/>
      <trackRevisions>false</trackRevisions>
    </reviewItem>
    <reviewItem>
      <errorID>537f77aa-8f73-447d-a5b7-e9a384c52d65</errorID>
      <errorWord>(</errorWord>
      <group>L1_Format</group>
      <groupName>格式问题</groupName>
      <ability>L2_HalfPunc</ability>
      <abilityName>全半角检查</abilityName>
      <candidateList>
        <item>（</item>
      </candidateList>
      <explain>文本全半角错误。</explain>
      <paraID>5EEBDD2B</paraID>
      <start>0</start>
      <end>1</end>
      <status>unmodified</status>
      <modifiedWord/>
      <trackRevisions>false</trackRevisions>
    </reviewItem>
    <reviewItem>
      <errorID>b33575a8-db7c-4ac9-b193-448e1e259131</errorID>
      <errorWord>.</errorWord>
      <group>L1_Format</group>
      <groupName>格式问题</groupName>
      <ability>L2_HalfPunc</ability>
      <abilityName>全半角检查</abilityName>
      <candidateList>
        <item>。</item>
      </candidateList>
      <explain>文本全半角错误。</explain>
      <paraID>785505AF</paraID>
      <start>58</start>
      <end>59</end>
      <status>unmodified</status>
      <modifiedWord/>
      <trackRevisions>false</trackRevisions>
    </reviewItem>
    <reviewItem>
      <errorID>e296c47f-84e0-4ea5-acf8-48f99dee7d44</errorID>
      <errorWord>、以及</errorWord>
      <group>L1_Punc</group>
      <groupName>标点问题</groupName>
      <ability>L2_Punc</ability>
      <abilityName>标点符号检查</abilityName>
      <candidateList>
        <item>，以及</item>
      </candidateList>
      <explain>连接词前后不宜使用顿号，建议使用逗号。</explain>
      <paraID>638D6292</paraID>
      <start>41</start>
      <end>44</end>
      <status>unmodified</status>
      <modifiedWord/>
      <trackRevisions>false</trackRevisions>
    </reviewItem>
    <reviewItem>
      <errorID>e55dd967-9875-40ef-ada4-d621b8bfedca</errorID>
      <errorWord>，</errorWord>
      <group>L1_Punc</group>
      <groupName>标点问题</groupName>
      <ability>L2_Punc</ability>
      <abilityName>标点符号检查</abilityName>
      <candidateList/>
      <explain/>
      <paraID>65DAAE71</paraID>
      <start>0</start>
      <end>1</end>
      <status>unmodified</status>
      <modifiedWord/>
      <trackRevisions>false</trackRevisions>
    </reviewItem>
    <reviewItem>
      <errorID>7a524215-dc37-4e49-b8fb-acc5323010bb</errorID>
      <errorWord>其它不</errorWord>
      <group>L1_Word</group>
      <groupName>字词问题</groupName>
      <ability>L2_Alias</ability>
      <abilityName>也作/曾用词</abilityName>
      <candidateList>
        <item>其他不</item>
      </candidateList>
      <explain>词汇[其它不]为不规范表述或旧称，其规范书面表述为[其他不]。</explain>
      <paraID>65DAAE71</paraID>
      <start>50</start>
      <end>53</end>
      <status>unmodified</status>
      <modifiedWord/>
      <trackRevisions>false</trackRevisions>
    </reviewItem>
    <reviewItem>
      <errorID>a24e3d6f-2101-4519-9889-1199ab6016ac</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4AF52855</paraID>
      <start>0</start>
      <end>3</end>
      <status>unmodified</status>
      <modifiedWord/>
      <trackRevisions>false</trackRevisions>
    </reviewItem>
    <reviewItem>
      <errorID>aedc7dbd-485a-4c8c-9d11-560747664757</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54502CD1</paraID>
      <start>41</start>
      <end>43</end>
      <status>unmodified</status>
      <modifiedWord/>
      <trackRevisions>false</trackRevisions>
    </reviewItem>
    <reviewItem>
      <errorID>6ae444e6-20a1-444a-a22b-10a186eb73f8</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12311C15</paraID>
      <start>0</start>
      <end>3</end>
      <status>unmodified</status>
      <modifiedWord/>
      <trackRevisions>false</trackRevisions>
    </reviewItem>
    <reviewItem>
      <errorID>a52b9f9e-b6f7-4872-bbd4-e93e313e85b3</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291029C7</paraID>
      <start>0</start>
      <end>3</end>
      <status>unmodified</status>
      <modifiedWord/>
      <trackRevisions>false</trackRevisions>
    </reviewItem>
    <reviewItem>
      <errorID>7f3b252b-8e6e-488d-ab91-8874c3c85b0f</errorID>
      <errorWord>,</errorWord>
      <group>L1_Format</group>
      <groupName>格式问题</groupName>
      <ability>L2_HalfPunc</ability>
      <abilityName>全半角检查</abilityName>
      <candidateList>
        <item>，</item>
      </candidateList>
      <explain>文本全半角错误。</explain>
      <paraID>31734E58</paraID>
      <start>56</start>
      <end>57</end>
      <status>unmodified</status>
      <modifiedWord/>
      <trackRevisions>false</trackRevisions>
    </reviewItem>
    <reviewItem>
      <errorID>a9ff512b-ae24-480b-ba04-6bf19b269504</errorID>
      <errorWord>其它</errorWord>
      <group>L1_Word</group>
      <groupName>字词问题</groupName>
      <ability>L2_Alias</ability>
      <abilityName>也作/曾用词</abilityName>
      <candidateList>
        <item>其他</item>
      </candidateList>
      <explain>词汇[其它]为不规范表述或旧称，其规范书面表述为[其他]。</explain>
      <paraID>31734E58</paraID>
      <start>58</start>
      <end>60</end>
      <status>unmodified</status>
      <modifiedWord/>
      <trackRevisions>false</trackRevisions>
    </reviewItem>
    <reviewItem>
      <errorID>90b25c5b-471f-43c1-b87d-ddddd5c0f5d6</errorID>
      <errorWord>(</errorWord>
      <group>L1_Format</group>
      <groupName>格式问题</groupName>
      <ability>L2_HalfPunc</ability>
      <abilityName>全半角检查</abilityName>
      <candidateList>
        <item>（</item>
      </candidateList>
      <explain>文本全半角错误。</explain>
      <paraID>5C5245FE</paraID>
      <start>0</start>
      <end>1</end>
      <status>unmodified</status>
      <modifiedWord/>
      <trackRevisions>false</trackRevisions>
    </reviewItem>
    <reviewItem>
      <errorID>a8c3ad9d-0893-4aa1-a26b-cfe74ae7527d</errorID>
      <errorWord>)</errorWord>
      <group>L1_Format</group>
      <groupName>格式问题</groupName>
      <ability>L2_HalfPunc</ability>
      <abilityName>全半角检查</abilityName>
      <candidateList>
        <item>）</item>
      </candidateList>
      <explain>文本全半角错误。</explain>
      <paraID>7D6D434F</paraID>
      <start>2</start>
      <end>3</end>
      <status>unmodified</status>
      <modifiedWord/>
      <trackRevisions>false</trackRevisions>
    </reviewItem>
    <reviewItem>
      <errorID>d29e6759-3de2-45dd-b0f8-37e9a063f754</errorID>
      <errorWord>(七)</errorWord>
      <group>L1_Format</group>
      <groupName>格式问题</groupName>
      <ability>L2_Ordinal</ability>
      <abilityName>序号格式</abilityName>
      <candidateList>
        <item>（七）</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7FE96149</paraID>
      <start>0</start>
      <end>3</end>
      <status>unmodified</status>
      <modifiedWord/>
      <trackRevisions>false</trackRevisions>
    </reviewItem>
    <reviewItem>
      <errorID>c6dc8950-8465-46d8-a8f4-f190afde56a5</errorID>
      <errorWord>，</errorWord>
      <group>L1_Punc</group>
      <groupName>标点问题</groupName>
      <ability>L2_Punc</ability>
      <abilityName>标点符号检查</abilityName>
      <candidateList/>
      <explain/>
      <paraID>34B2A90A</paraID>
      <start>0</start>
      <end>1</end>
      <status>unmodified</status>
      <modifiedWord/>
      <trackRevisions>false</trackRevisions>
    </reviewItem>
    <reviewItem>
      <errorID>9575b297-47b0-43fd-9f3c-3552767d8d43</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35FBC608</paraID>
      <start>0</start>
      <end>3</end>
      <status>unmodified</status>
      <modifiedWord/>
      <trackRevisions>false</trackRevisions>
    </reviewItem>
    <reviewItem>
      <errorID>f643ab62-af29-455d-be58-3b03d93966b5</errorID>
      <errorWord>涉及到</errorWord>
      <group>L1_Grammar</group>
      <groupName>语法问题</groupName>
      <ability>L2_Grammar</ability>
      <abilityName>语法错误</abilityName>
      <candidateList>
        <item>涉及</item>
      </candidateList>
      <explain>〈动〉牵涉到；关联到：案子～好几个人｜这个问题～面很广。</explain>
      <paraID>7AE95049</paraID>
      <start>6</start>
      <end>9</end>
      <status>unmodified</status>
      <modifiedWord/>
      <trackRevisions>false</trackRevisions>
    </reviewItem>
    <reviewItem>
      <errorID>10a6aa6f-3d42-45b6-a227-a4bf880f64b4</errorID>
      <errorWord>1-2天</errorWord>
      <group>L1_Word</group>
      <groupName>字词问题</groupName>
      <ability>L2_Typo</ability>
      <abilityName>字词错误</abilityName>
      <candidateList>
        <item>1～2天</item>
      </candidateList>
      <explain/>
      <paraID>7FB1F610</paraID>
      <start>14</start>
      <end>18</end>
      <status>unmodified</status>
      <modifiedWord/>
      <trackRevisions>false</trackRevisions>
    </reviewItem>
    <reviewItem>
      <errorID>6f0cf4a5-28ea-4dec-8541-38edb9d0a186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67058400</paraID>
      <start>11</start>
      <end>12</end>
      <status>unmodified</status>
      <modifiedWord/>
      <trackRevisions>false</trackRevisions>
    </reviewItem>
    <reviewItem>
      <errorID>3dc3b3c6-cc3f-490f-8179-310a63aab9db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612E4222</paraID>
      <start>20</start>
      <end>21</end>
      <status>unmodified</status>
      <modifiedWord/>
      <trackRevisions>false</trackRevisions>
    </reviewItem>
    <reviewItem>
      <errorID>2c973f13-c61f-4d0a-b875-c29f95722714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2759B6B5</paraID>
      <start>15</start>
      <end>16</end>
      <status>unmodified</status>
      <modifiedWord/>
      <trackRevisions>false</trackRevisions>
    </reviewItem>
    <reviewItem>
      <errorID>cf4b4c45-d7d3-4e6a-b674-103d767927ea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57649001</paraID>
      <start>13</start>
      <end>14</end>
      <status>unmodified</status>
      <modifiedWord/>
      <trackRevisions>false</trackRevisions>
    </reviewItem>
    <reviewItem>
      <errorID>61a01c96-264e-48db-b90c-79c0e91eca7f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20A1398B</paraID>
      <start>13</start>
      <end>14</end>
      <status>unmodified</status>
      <modifiedWord/>
      <trackRevisions>false</trackRevisions>
    </reviewItem>
    <reviewItem>
      <errorID>0887b99a-6a48-450b-8e05-fe31d05925ca</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1E4B727</paraID>
      <start>7</start>
      <end>9</end>
      <status>unmodified</status>
      <modifiedWord/>
      <trackRevisions>false</trackRevisions>
    </reviewItem>
    <reviewItem>
      <errorID>cf5dbb4f-5da9-45ef-a210-b6784bb665bd</errorID>
      <errorWord>*</errorWord>
      <group>L1_Punc</group>
      <groupName>标点问题</groupName>
      <ability>L2_Punc</ability>
      <abilityName>标点符号检查</abilityName>
      <candidateList/>
      <explain/>
      <paraID>4469722E</paraID>
      <start>0</start>
      <end>1</end>
      <status>unmodified</status>
      <modifiedWord/>
      <trackRevisions>false</trackRevisions>
    </reviewItem>
    <reviewItem>
      <errorID>5d88c87c-e7ce-46e4-a356-c1fbd1129166</errorID>
      <errorWord>*</errorWord>
      <group>L1_Punc</group>
      <groupName>标点问题</groupName>
      <ability>L2_Punc</ability>
      <abilityName>标点符号检查</abilityName>
      <candidateList/>
      <explain/>
      <paraID>62905ABB</paraID>
      <start>0</start>
      <end>1</end>
      <status>unmodified</status>
      <modifiedWord/>
      <trackRevisions>false</trackRevisions>
    </reviewItem>
    <reviewItem>
      <errorID>7f265a09-cbb2-4183-bf9e-74dde445276f</errorID>
      <errorWord>*</errorWord>
      <group>L1_Punc</group>
      <groupName>标点问题</groupName>
      <ability>L2_Punc</ability>
      <abilityName>标点符号检查</abilityName>
      <candidateList/>
      <explain/>
      <paraID>4B5B7A36</paraID>
      <start>0</start>
      <end>1</end>
      <status>unmodified</status>
      <modifiedWord/>
      <trackRevisions>false</trackRevisions>
    </reviewItem>
    <reviewItem>
      <errorID>dd6afda9-0b1c-41cf-bc6c-c4889485a9d2</errorID>
      <errorWord>*</errorWord>
      <group>L1_Punc</group>
      <groupName>标点问题</groupName>
      <ability>L2_Punc</ability>
      <abilityName>标点符号检查</abilityName>
      <candidateList/>
      <explain/>
      <paraID>4CD774F9</paraID>
      <start>0</start>
      <end>1</end>
      <status>unmodified</status>
      <modifiedWord/>
      <trackRevisions>false</trackRevisions>
    </reviewItem>
    <reviewItem>
      <errorID>e54961a0-fa79-4189-bd44-a44155d0bdd2</errorID>
      <errorWord>其它</errorWord>
      <group>L1_Word</group>
      <groupName>字词问题</groupName>
      <ability>L2_Alias</ability>
      <abilityName>也作/曾用词</abilityName>
      <candidateList>
        <item>其他</item>
      </candidateList>
      <explain>词汇[其它]为不规范表述或旧称，其规范书面表述为[其他]。</explain>
      <paraID>75335B26</paraID>
      <start>9</start>
      <end>11</end>
      <status>unmodified</status>
      <modifiedWord/>
      <trackRevisions>false</trackRevisions>
    </reviewItem>
    <reviewItem>
      <errorID>3d663f60-956b-4fa8-8586-dad7010f911c</errorID>
      <errorWord>*</errorWord>
      <group>L1_Punc</group>
      <groupName>标点问题</groupName>
      <ability>L2_Punc</ability>
      <abilityName>标点符号检查</abilityName>
      <candidateList/>
      <explain/>
      <paraID>29A98A94</paraID>
      <start>0</start>
      <end>1</end>
      <status>unmodified</status>
      <modifiedWord/>
      <trackRevisions>false</trackRevisions>
    </reviewItem>
    <reviewItem>
      <errorID>1abfefc9-0b86-40aa-83df-8efe8018ae69</errorID>
      <errorWord>其它</errorWord>
      <group>L1_Word</group>
      <groupName>字词问题</groupName>
      <ability>L2_Alias</ability>
      <abilityName>也作/曾用词</abilityName>
      <candidateList>
        <item>其他</item>
      </candidateList>
      <explain>词汇[其它]为不规范表述或旧称，其规范书面表述为[其他]。</explain>
      <paraID>1998A633</paraID>
      <start>0</start>
      <end>2</end>
      <status>unmodified</status>
      <modifiedWord/>
      <trackRevisions>false</trackRevisions>
    </reviewItem>
    <reviewItem>
      <errorID>3c652f10-7a3a-4a54-a82d-f967e022982d</errorID>
      <errorWord>*</errorWord>
      <group>L1_Punc</group>
      <groupName>标点问题</groupName>
      <ability>L2_Punc</ability>
      <abilityName>标点符号检查</abilityName>
      <candidateList/>
      <explain/>
      <paraID>6A42A448</paraID>
      <start>0</start>
      <end>1</end>
      <status>unmodified</status>
      <modifiedWord/>
      <trackRevisions>false</trackRevisions>
    </reviewItem>
    <reviewItem>
      <errorID>b7115ba8-efcd-443a-ac77-4a1e7a1ce9ee</errorID>
      <errorWord>-</errorWord>
      <group>L1_Format</group>
      <groupName>格式问题</groupName>
      <ability>L2_HalfPunc</ability>
      <abilityName>全半角检查</abilityName>
      <candidateList>
        <item>－</item>
      </candidateList>
      <explain>文本全半角错误。</explain>
      <paraID>31F9AA01</paraID>
      <start>10</start>
      <end>11</end>
      <status>unmodified</status>
      <modifiedWord/>
      <trackRevisions>false</trackRevisions>
    </reviewItem>
    <reviewItem>
      <errorID>f60d3ba7-7284-4ebc-be34-e5f769e609a5</errorID>
      <errorWord>-</errorWord>
      <group>L1_Format</group>
      <groupName>格式问题</groupName>
      <ability>L2_HalfPunc</ability>
      <abilityName>全半角检查</abilityName>
      <candidateList>
        <item>－</item>
      </candidateList>
      <explain>文本全半角错误。</explain>
      <paraID>6A605F16</paraID>
      <start>95</start>
      <end>96</end>
      <status>unmodified</status>
      <modifiedWord/>
      <trackRevisions>false</trackRevisions>
    </reviewItem>
    <reviewItem>
      <errorID>8e0cc568-dd7f-48d9-b558-54d4067f2c5e</errorID>
      <errorWord>-</errorWord>
      <group>L1_Format</group>
      <groupName>格式问题</groupName>
      <ability>L2_HalfPunc</ability>
      <abilityName>全半角检查</abilityName>
      <candidateList>
        <item>－</item>
      </candidateList>
      <explain>文本全半角错误。</explain>
      <paraID>20305366</paraID>
      <start>13</start>
      <end>14</end>
      <status>unmodified</status>
      <modifiedWord/>
      <trackRevisions>false</trackRevisions>
    </reviewItem>
    <reviewItem>
      <errorID>203c1618-8646-4050-ace2-805083c21477</errorID>
      <errorWord>-</errorWord>
      <group>L1_Format</group>
      <groupName>格式问题</groupName>
      <ability>L2_HalfPunc</ability>
      <abilityName>全半角检查</abilityName>
      <candidateList>
        <item>－</item>
      </candidateList>
      <explain>文本全半角错误。</explain>
      <paraID>1273E58D</paraID>
      <start>10</start>
      <end>11</end>
      <status>unmodified</status>
      <modifiedWord/>
      <trackRevisions>false</trackRevisions>
    </reviewItem>
    <reviewItem>
      <errorID>c30a78ac-5657-46e3-9ff5-362f9c6e063f</errorID>
      <errorWord>-</errorWord>
      <group>L1_Format</group>
      <groupName>格式问题</groupName>
      <ability>L2_HalfPunc</ability>
      <abilityName>全半角检查</abilityName>
      <candidateList>
        <item>－</item>
      </candidateList>
      <explain>文本全半角错误。</explain>
      <paraID>7E663A57</paraID>
      <start>71</start>
      <end>72</end>
      <status>unmodified</status>
      <modifiedWord/>
      <trackRevisions>false</trackRevisions>
    </reviewItem>
    <reviewItem>
      <errorID>c079ad9d-6714-40b0-a679-f8d5cfa401a1</errorID>
      <errorWord>-</errorWord>
      <group>L1_Format</group>
      <groupName>格式问题</groupName>
      <ability>L2_HalfPunc</ability>
      <abilityName>全半角检查</abilityName>
      <candidateList>
        <item>－</item>
      </candidateList>
      <explain>文本全半角错误。</explain>
      <paraID>7E663A57</paraID>
      <start>75</start>
      <end>76</end>
      <status>unmodified</status>
      <modifiedWord/>
      <trackRevisions>false</trackRevisions>
    </reviewItem>
    <reviewItem>
      <errorID>dc2076ba-6152-4726-b8af-61c81f1b3c2e</errorID>
      <errorWord>-</errorWord>
      <group>L1_Format</group>
      <groupName>格式问题</groupName>
      <ability>L2_HalfPunc</ability>
      <abilityName>全半角检查</abilityName>
      <candidateList>
        <item>－</item>
      </candidateList>
      <explain>文本全半角错误。</explain>
      <paraID>7E663A57</paraID>
      <start>92</start>
      <end>93</end>
      <status>unmodified</status>
      <modifiedWord/>
      <trackRevisions>false</trackRevisions>
    </reviewItem>
    <reviewItem>
      <errorID>c2197f30-081d-4a78-ba1d-625e0a8f1068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8C38D5D</paraID>
      <start>0</start>
      <end>2</end>
      <status>unmodified</status>
      <modifiedWord/>
      <trackRevisions>false</trackRevisions>
    </reviewItem>
    <reviewItem>
      <errorID>103333c1-def1-4b24-b165-4ca9e3665c92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4EC404EA</paraID>
      <start>0</start>
      <end>2</end>
      <status>unmodified</status>
      <modifiedWord/>
      <trackRevisions>false</trackRevisions>
    </reviewItem>
    <reviewItem>
      <errorID>51d2346a-f268-4de4-a6ea-1f276df8aaec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59AEBF0B</paraID>
      <start>0</start>
      <end>2</end>
      <status>unmodified</status>
      <modifiedWord/>
      <trackRevisions>false</trackRevisions>
    </reviewItem>
    <reviewItem>
      <errorID>cdb75012-21ce-45f6-b3d9-d4ecd8f42050</errorID>
      <errorWord>其它</errorWord>
      <group>L1_Word</group>
      <groupName>字词问题</groupName>
      <ability>L2_Alias</ability>
      <abilityName>也作/曾用词</abilityName>
      <candidateList>
        <item>其他</item>
      </candidateList>
      <explain>词汇[其它]为不规范表述或旧称，其规范书面表述为[其他]。</explain>
      <paraID>59AEBF0B</paraID>
      <start>61</start>
      <end>63</end>
      <status>unmodified</status>
      <modifiedWord/>
      <trackRevisions>false</trackRevisions>
    </reviewItem>
    <reviewItem>
      <errorID>4415e477-8038-4ac6-b66b-f9cf0a45a7ba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718FD1DF</paraID>
      <start>0</start>
      <end>2</end>
      <status>unmodified</status>
      <modifiedWord/>
      <trackRevisions>false</trackRevisions>
    </reviewItem>
    <reviewItem>
      <errorID>d9336ea9-7a41-4c1a-bff2-0a42004e0087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7592DB3C</paraID>
      <start>0</start>
      <end>2</end>
      <status>unmodified</status>
      <modifiedWord/>
      <trackRevisions>false</trackRevisions>
    </reviewItem>
    <reviewItem>
      <errorID>b9d30af8-97af-418e-a350-61ad6b7a69b8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218AC564</paraID>
      <start>0</start>
      <end>2</end>
      <status>unmodified</status>
      <modifiedWord/>
      <trackRevisions>false</trackRevisions>
    </reviewItem>
    <reviewItem>
      <errorID>ac8ba397-9ad4-4e9b-b214-62bc955fb0e9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19999644</paraID>
      <start>0</start>
      <end>2</end>
      <status>unmodified</status>
      <modifiedWord/>
      <trackRevisions>false</trackRevisions>
    </reviewItem>
    <reviewItem>
      <errorID>a4e82f6b-a844-4fb2-b789-e08d26cbb8ed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16DDF208</paraID>
      <start>4</start>
      <end>6</end>
      <status>unmodified</status>
      <modifiedWord/>
      <trackRevisions>false</trackRevisions>
    </reviewItem>
    <reviewItem>
      <errorID>f8cf22c6-8d7e-48ce-8243-69f34f69f65b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16DDF208</paraID>
      <start>18</start>
      <end>21</end>
      <status>unmodified</status>
      <modifiedWord/>
      <trackRevisions>false</trackRevisions>
    </reviewItem>
    <reviewItem>
      <errorID>7bb31e62-f913-4488-bda5-7376202b359e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16DDF208</paraID>
      <start>30</start>
      <end>33</end>
      <status>unmodified</status>
      <modifiedWord/>
      <trackRevisions>false</trackRevisions>
    </reviewItem>
    <reviewItem>
      <errorID>c2e2bc33-675f-45dc-88ce-9264a3452824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16DDF208</paraID>
      <start>44</start>
      <end>47</end>
      <status>unmodified</status>
      <modifiedWord/>
      <trackRevisions>false</trackRevisions>
    </reviewItem>
    <reviewItem>
      <errorID>73474605-b32e-4e3d-b555-ef8bfb638cd9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1049C6B6</paraID>
      <start>0</start>
      <end>2</end>
      <status>unmodified</status>
      <modifiedWord/>
      <trackRevisions>false</trackRevisions>
    </reviewItem>
    <reviewItem>
      <errorID>7b4384a9-7266-40be-8192-3b961eaee054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487657A5</paraID>
      <start>0</start>
      <end>2</end>
      <status>unmodified</status>
      <modifiedWord/>
      <trackRevisions>false</trackRevisions>
    </reviewItem>
    <reviewItem>
      <errorID>5da2ca23-b24d-4962-95fd-2d3f82688663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10578E45</paraID>
      <start>0</start>
      <end>2</end>
      <status>unmodified</status>
      <modifiedWord/>
      <trackRevisions>false</trackRevisions>
    </reviewItem>
    <reviewItem>
      <errorID>caa6f4d5-bfcc-4a48-ad85-70f69f399559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7F3B47A4</paraID>
      <start>0</start>
      <end>2</end>
      <status>unmodified</status>
      <modifiedWord/>
      <trackRevisions>false</trackRevisions>
    </reviewItem>
    <reviewItem>
      <errorID>fc2a9be2-9817-4034-bceb-406c69c5912b</errorID>
      <errorWord>要</errorWord>
      <group>L1_Word</group>
      <groupName>字词问题</groupName>
      <ability>L2_Typo</ability>
      <abilityName>字词错误</abilityName>
      <candidateList>
        <item>要在</item>
      </candidateList>
      <explain/>
      <paraID>21545458</paraID>
      <start>9</start>
      <end>10</end>
      <status>unmodified</status>
      <modifiedWord/>
      <trackRevisions>false</trackRevisions>
    </reviewItem>
    <reviewItem>
      <errorID>f0447e63-4b88-4ff4-974c-a16cd07ec0e9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16F81D55</paraID>
      <start>0</start>
      <end>2</end>
      <status>unmodified</status>
      <modifiedWord/>
      <trackRevisions>false</trackRevisions>
    </reviewItem>
    <reviewItem>
      <errorID>15b9f304-815f-4941-8a66-b57cba45cb68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786C6D7E</paraID>
      <start>0</start>
      <end>2</end>
      <status>unmodified</status>
      <modifiedWord/>
      <trackRevisions>false</trackRevisions>
    </reviewItem>
    <reviewItem>
      <errorID>d6a34989-b715-4011-ac3a-030acd21e544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502BFE80</paraID>
      <start>0</start>
      <end>2</end>
      <status>unmodified</status>
      <modifiedWord/>
      <trackRevisions>false</trackRevisions>
    </reviewItem>
    <reviewItem>
      <errorID>5fcfba62-d594-433d-851b-9fe47ceb760f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3BD9FC49</paraID>
      <start>0</start>
      <end>2</end>
      <status>unmodified</status>
      <modifiedWord/>
      <trackRevisions>false</trackRevisions>
    </reviewItem>
    <reviewItem>
      <errorID>5c3b8a50-f265-422e-9d1b-1e0d6b270cd3</errorID>
      <errorWord>检査</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45D86CBD</paraID>
      <start>305</start>
      <end>307</end>
      <status>unmodified</status>
      <modifiedWord/>
      <trackRevisions>false</trackRevisions>
    </reviewItem>
    <reviewItem>
      <errorID>d586ecd3-084d-4c66-9ecf-42130176e59c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293BA24A</paraID>
      <start>0</start>
      <end>2</end>
      <status>unmodified</status>
      <modifiedWord/>
      <trackRevisions>false</trackRevisions>
    </reviewItem>
    <reviewItem>
      <errorID>ffcde935-8f67-4908-aaed-525a85a44922</errorID>
      <errorWord>顺推</errorWord>
      <group>L1_Word</group>
      <groupName>字词问题</groupName>
      <ability>L2_Typo</ability>
      <abilityName>字词错误</abilityName>
      <candidateList>
        <item>顺延</item>
      </candidateList>
      <explain/>
      <paraID>6ACC894F</paraID>
      <start>19</start>
      <end>21</end>
      <status>unmodified</status>
      <modifiedWord/>
      <trackRevisions>false</trackRevisions>
    </reviewItem>
    <reviewItem>
      <errorID>4f84952c-7aad-4bc8-b1a5-52e92389cfb1</errorID>
      <errorWord>:</errorWord>
      <group>L1_Format</group>
      <groupName>格式问题</groupName>
      <ability>L2_HalfPunc</ability>
      <abilityName>全半角检查</abilityName>
      <candidateList>
        <item>：</item>
      </candidateList>
      <explain>文本全半角错误。</explain>
      <paraID>298C704D</paraID>
      <start>2</start>
      <end>3</end>
      <status>unmodified</status>
      <modifiedWord/>
      <trackRevisions>false</trackRevisions>
    </reviewItem>
    <reviewItem>
      <errorID>4a8cf8c2-6e65-428b-854e-0530a4c34a9a</errorID>
      <errorWord>，</errorWord>
      <group>L1_Word</group>
      <groupName>字词问题</groupName>
      <ability>L2_Typo</ability>
      <abilityName>字词错误</abilityName>
      <candidateList>
        <item>，以</item>
      </candidateList>
      <explain/>
      <paraID> 5BC918E</paraID>
      <start>92</start>
      <end>93</end>
      <status>unmodified</status>
      <modifiedWord/>
      <trackRevisions>false</trackRevisions>
    </reviewItem>
    <reviewItem>
      <errorID>7a4a8cc5-1498-4840-87f9-186c76f08b86</errorID>
      <errorWord>＜</errorWord>
      <group>L1_Format</group>
      <groupName>格式问题</groupName>
      <ability>L2_HalfPunc</ability>
      <abilityName>全半角检查</abilityName>
      <candidateList>
        <item>&lt;</item>
      </candidateList>
      <explain>文本全半角错误。</explain>
      <paraID>642B8FEF</paraID>
      <start>0</start>
      <end>1</end>
      <status>unmodified</status>
      <modifiedWord/>
      <trackRevisions>false</trackRevisions>
    </reviewItem>
    <reviewItem>
      <errorID>21b31cdd-fbac-4096-9e7d-1e29af62e36b</errorID>
      <errorWord>、</errorWord>
      <group>L1_Punc</group>
      <groupName>标点问题</groupName>
      <ability>L2_Punc</ability>
      <abilityName>标点符号检查</abilityName>
      <candidateList>
        <item>.</item>
      </candidateList>
      <explain/>
      <paraID>6174B054</paraID>
      <start>1</start>
      <end>2</end>
      <status>unmodified</status>
      <modifiedWord/>
      <trackRevisions>false</trackRevisions>
    </reviewItem>
    <reviewItem>
      <errorID>3993dc33-dbc0-4dda-8aee-e06734a42eab</errorID>
      <errorWord>、</errorWord>
      <group>L1_Punc</group>
      <groupName>标点问题</groupName>
      <ability>L2_Punc</ability>
      <abilityName>标点符号检查</abilityName>
      <candidateList>
        <item>.</item>
      </candidateList>
      <explain/>
      <paraID>56AF0992</paraID>
      <start>1</start>
      <end>2</end>
      <status>unmodified</status>
      <modifiedWord/>
      <trackRevisions>false</trackRevisions>
    </reviewItem>
    <reviewItem>
      <errorID>891aab47-e14a-4863-b7db-9b6144ce62a0</errorID>
      <errorWord>、</errorWord>
      <group>L1_Punc</group>
      <groupName>标点问题</groupName>
      <ability>L2_Punc</ability>
      <abilityName>标点符号检查</abilityName>
      <candidateList>
        <item>.</item>
      </candidateList>
      <explain/>
      <paraID>473A0E10</paraID>
      <start>1</start>
      <end>2</end>
      <status>unmodified</status>
      <modifiedWord/>
      <trackRevisions>false</trackRevisions>
    </reviewItem>
    <reviewItem>
      <errorID>e6201745-3a0b-4941-9edb-82cd53c3d496</errorID>
      <errorWord>、</errorWord>
      <group>L1_Punc</group>
      <groupName>标点问题</groupName>
      <ability>L2_Punc</ability>
      <abilityName>标点符号检查</abilityName>
      <candidateList>
        <item>.</item>
      </candidateList>
      <explain/>
      <paraID>6505D070</paraID>
      <start>1</start>
      <end>2</end>
      <status>unmodified</status>
      <modifiedWord/>
      <trackRevisions>false</trackRevisions>
    </reviewItem>
    <reviewItem>
      <errorID>728cd171-9a0f-4f13-83fb-f53181386fca</errorID>
      <errorWord>、</errorWord>
      <group>L1_Punc</group>
      <groupName>标点问题</groupName>
      <ability>L2_Punc</ability>
      <abilityName>标点符号检查</abilityName>
      <candidateList>
        <item>.</item>
      </candidateList>
      <explain/>
      <paraID>551BD3EC</paraID>
      <start>1</start>
      <end>2</end>
      <status>unmodified</status>
      <modifiedWord/>
      <trackRevisions>false</trackRevisions>
    </reviewItem>
    <reviewItem>
      <errorID>d73b9f8e-1a72-4bf9-b143-c588ca8de3a8</errorID>
      <errorWord>扣</errorWord>
      <group>L1_Word</group>
      <groupName>字词问题</groupName>
      <ability>L2_Typo</ability>
      <abilityName>字词错误</abilityName>
      <candidateList>
        <item>扣除</item>
      </candidateList>
      <explain/>
      <paraID>68D4FFE1</paraID>
      <start>36</start>
      <end>37</end>
      <status>unmodified</status>
      <modifiedWord/>
      <trackRevisions>false</trackRevisions>
    </reviewItem>
    <reviewItem>
      <errorID>e8c70c60-30c6-45bb-8589-544a9d3253f9</errorID>
      <errorWord>脚叶</errorWord>
      <group>L1_Word</group>
      <groupName>字词问题</groupName>
      <ability>L2_Typo</ability>
      <abilityName>字词错误</abilityName>
      <candidateList>
        <item>枝叶</item>
      </candidateList>
      <explain/>
      <paraID>6FCCC2ED</paraID>
      <start>62</start>
      <end>64</end>
      <status>unmodified</status>
      <modifiedWord/>
      <trackRevisions>false</trackRevisions>
    </reviewItem>
    <reviewItem>
      <errorID>def5806c-f10d-42d8-a898-d7e498b5eb36</errorID>
      <errorWord>桩头</errorWord>
      <group>L1_Word</group>
      <groupName>字词问题</groupName>
      <ability>L2_Typo</ability>
      <abilityName>字词错误</abilityName>
      <candidateList>
        <item>桩</item>
      </candidateList>
      <explain/>
      <paraID>2050329C</paraID>
      <start>31</start>
      <end>33</end>
      <status>unmodified</status>
      <modifiedWord/>
      <trackRevisions>false</trackRevisions>
    </reviewItem>
    <reviewItem>
      <errorID>d0468690-c89e-4560-91eb-7300be44d8f5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73845DD9</paraID>
      <start>28</start>
      <end>29</end>
      <status>unmodified</status>
      <modifiedWord/>
      <trackRevisions>false</trackRevisions>
    </reviewItem>
    <reviewItem>
      <errorID>a453a7dd-7015-4a22-9957-9a44014518d8</errorID>
      <errorWord>，，</errorWord>
      <group>L1_Punc</group>
      <groupName>标点问题</groupName>
      <ability>L2_Punc</ability>
      <abilityName>标点符号检查</abilityName>
      <candidateList>
        <item>，</item>
      </candidateList>
      <explain/>
      <paraID>31313088</paraID>
      <start>44</start>
      <end>46</end>
      <status>unmodified</status>
      <modifiedWord/>
      <trackRevisions>false</trackRevisions>
    </reviewItem>
    <reviewItem>
      <errorID>de4b9586-474f-462a-96c0-30748816895b</errorID>
      <errorWord>，，</errorWord>
      <group>L1_Punc</group>
      <groupName>标点问题</groupName>
      <ability>L2_Punc</ability>
      <abilityName>标点符号检查</abilityName>
      <candidateList>
        <item>，</item>
      </candidateList>
      <explain/>
      <paraID>31313088</paraID>
      <start>56</start>
      <end>58</end>
      <status>unmodified</status>
      <modifiedWord/>
      <trackRevisions>false</trackRevisions>
    </reviewItem>
    <reviewItem>
      <errorID>edc3c331-3d03-464f-89cf-140fd5c98758</errorID>
      <errorWord>埋施</errorWord>
      <group>L1_Word</group>
      <groupName>字词问题</groupName>
      <ability>L2_Typo</ability>
      <abilityName>字词错误</abilityName>
      <candidateList>
        <item>埋置</item>
      </candidateList>
      <explain>存在发音相近字词的误用。</explain>
      <paraID>77384BB2</paraID>
      <start>114</start>
      <end>116</end>
      <status>unmodified</status>
      <modifiedWord/>
      <trackRevisions>false</trackRevisions>
    </reviewItem>
    <reviewItem>
      <errorID>466288f3-87f0-40df-b84b-45dd3e8d0b67</errorID>
      <errorWord>达至</errorWord>
      <group>L1_Word</group>
      <groupName>字词问题</groupName>
      <ability>L2_Typo</ability>
      <abilityName>字词错误</abilityName>
      <candidateList>
        <item>达到</item>
      </candidateList>
      <explain>〈动〉到（多指抽象事物或程度）：达得到｜达不到｜目的没有～｜～国际水平。</explain>
      <paraID>4867DB2E</paraID>
      <start>36</start>
      <end>38</end>
      <status>unmodified</status>
      <modifiedWord/>
      <trackRevisions>false</trackRevisions>
    </reviewItem>
    <reviewItem>
      <errorID>5fdbb70c-7836-4581-ae2e-4ece57c73307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779239D3</paraID>
      <start>44</start>
      <end>45</end>
      <status>unmodified</status>
      <modifiedWord/>
      <trackRevisions>false</trackRevisions>
    </reviewItem>
    <reviewItem>
      <errorID>ef668d2f-0b79-43a2-b15d-a56771d4fc4e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779239D3</paraID>
      <start>85</start>
      <end>86</end>
      <status>unmodified</status>
      <modifiedWord/>
      <trackRevisions>false</trackRevisions>
    </reviewItem>
    <reviewItem>
      <errorID>1b0e966d-389b-4d1d-a976-ad5839e4a240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23144946</paraID>
      <start>17</start>
      <end>18</end>
      <status>unmodified</status>
      <modifiedWord/>
      <trackRevisions>false</trackRevisions>
    </reviewItem>
    <reviewItem>
      <errorID>240dd57e-3d67-4558-aa58-e9ec9a0f36a2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27470582</paraID>
      <start>20</start>
      <end>21</end>
      <status>unmodified</status>
      <modifiedWord/>
      <trackRevisions>false</trackRevisions>
    </reviewItem>
    <reviewItem>
      <errorID>52221f7a-13b6-4ba1-bc6a-99d880e0c5dc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27470582</paraID>
      <start>42</start>
      <end>43</end>
      <status>unmodified</status>
      <modifiedWord/>
      <trackRevisions>false</trackRevisions>
    </reviewItem>
    <reviewItem>
      <errorID>9d6304c4-f55b-416b-9375-ebf347a65169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27470582</paraID>
      <start>69</start>
      <end>70</end>
      <status>unmodified</status>
      <modifiedWord/>
      <trackRevisions>false</trackRevisions>
    </reviewItem>
    <reviewItem>
      <errorID>b47565d6-076a-4069-9c57-a28255cbe16f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31A72B39</paraID>
      <start>11</start>
      <end>12</end>
      <status>unmodified</status>
      <modifiedWord/>
      <trackRevisions>false</trackRevisions>
    </reviewItem>
    <reviewItem>
      <errorID>f21b330c-acbf-496a-aa14-90bca78ef31f</errorID>
      <errorWord>。</errorWord>
      <group>L1_Punc</group>
      <groupName>标点问题</groupName>
      <ability>L2_Punc</ability>
      <abilityName>标点符号检查</abilityName>
      <candidateList/>
      <explain/>
      <paraID>  A88346</paraID>
      <start>0</start>
      <end>1</end>
      <status>unmodified</status>
      <modifiedWord/>
      <trackRevisions>false</trackRevisions>
    </reviewItem>
    <reviewItem>
      <errorID>465a4d10-b7cf-447e-a0d9-6a8de37740a9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1126E2C</paraID>
      <start>31</start>
      <end>32</end>
      <status>unmodified</status>
      <modifiedWord/>
      <trackRevisions>false</trackRevisions>
    </reviewItem>
    <reviewItem>
      <errorID>52803e45-af92-4997-9bf1-265c0c068991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56D66A3B</paraID>
      <start>25</start>
      <end>26</end>
      <status>unmodified</status>
      <modifiedWord/>
      <trackRevisions>false</trackRevisions>
    </reviewItem>
    <reviewItem>
      <errorID>9c8472c5-9bbc-41d0-a7c7-0a18be29f0ab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207D14F0</paraID>
      <start>17</start>
      <end>18</end>
      <status>unmodified</status>
      <modifiedWord/>
      <trackRevisions>false</trackRevisions>
    </reviewItem>
    <reviewItem>
      <errorID>ee6306cb-c0fe-4805-b3a7-d7b61c00d9a4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1A07FC62</paraID>
      <start>14</start>
      <end>15</end>
      <status>unmodified</status>
      <modifiedWord/>
      <trackRevisions>false</trackRevisions>
    </reviewItem>
    <reviewItem>
      <errorID>f2326cc7-9397-444a-86cd-153f960be996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53E09A9C</paraID>
      <start>12</start>
      <end>13</end>
      <status>unmodified</status>
      <modifiedWord/>
      <trackRevisions>false</trackRevisions>
    </reviewItem>
    <reviewItem>
      <errorID>bcf02e3c-9797-4c8b-a834-115509903ef0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53E09A9C</paraID>
      <start>43</start>
      <end>44</end>
      <status>unmodified</status>
      <modifiedWord/>
      <trackRevisions>false</trackRevisions>
    </reviewItem>
    <reviewItem>
      <errorID>5460ec05-f5ec-4343-9028-659d1807286f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2245AA5F</paraID>
      <start>22</start>
      <end>23</end>
      <status>unmodified</status>
      <modifiedWord/>
      <trackRevisions>false</trackRevisions>
    </reviewItem>
    <reviewItem>
      <errorID>c9ea7c27-ef31-45f2-bb3b-6180d4b93d5a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6FDE7A09</paraID>
      <start>18</start>
      <end>19</end>
      <status>unmodified</status>
      <modifiedWord/>
      <trackRevisions>false</trackRevisions>
    </reviewItem>
    <reviewItem>
      <errorID>72123bd7-7558-42e1-b562-2ebabc13e1b6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68264891</paraID>
      <start>27</start>
      <end>28</end>
      <status>unmodified</status>
      <modifiedWord/>
      <trackRevisions>false</trackRevisions>
    </reviewItem>
    <reviewItem>
      <errorID>d9f05e26-65c1-4097-b4e1-90ae61c9097c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41373EAE</paraID>
      <start>12</start>
      <end>13</end>
      <status>unmodified</status>
      <modifiedWord/>
      <trackRevisions>false</trackRevisions>
    </reviewItem>
    <reviewItem>
      <errorID>aa86d312-465e-478f-a889-9e91eac066fc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16C7B9C0</paraID>
      <start>23</start>
      <end>24</end>
      <status>unmodified</status>
      <modifiedWord/>
      <trackRevisions>false</trackRevisions>
    </reviewItem>
    <reviewItem>
      <errorID>d9759d57-1c4e-4dbb-aac9-dcbb4cd321a5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19A7B1C3</paraID>
      <start>24</start>
      <end>25</end>
      <status>unmodified</status>
      <modifiedWord/>
      <trackRevisions>false</trackRevisions>
    </reviewItem>
    <reviewItem>
      <errorID>34c12bdc-dd7b-497b-ab72-f3c046b87d8b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7E2583D2</paraID>
      <start>45</start>
      <end>46</end>
      <status>unmodified</status>
      <modifiedWord/>
      <trackRevisions>false</trackRevisions>
    </reviewItem>
    <reviewItem>
      <errorID>a3ffadd6-a6cf-4d29-af5c-173053d6ca13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7E2583D2</paraID>
      <start>67</start>
      <end>68</end>
      <status>unmodified</status>
      <modifiedWord/>
      <trackRevisions>false</trackRevisions>
    </reviewItem>
    <reviewItem>
      <errorID>e21bc249-e08e-444d-ab88-3b7f5d11950c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6123F306</paraID>
      <start>19</start>
      <end>20</end>
      <status>unmodified</status>
      <modifiedWord/>
      <trackRevisions>false</trackRevisions>
    </reviewItem>
    <reviewItem>
      <errorID>8e34a529-dc4f-49f0-bc19-018ca2213593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66AFF805</paraID>
      <start>9</start>
      <end>10</end>
      <status>unmodified</status>
      <modifiedWord/>
      <trackRevisions>false</trackRevisions>
    </reviewItem>
    <reviewItem>
      <errorID>0b3b919e-6e4b-4e6a-ab6e-f8a179ed4fd2</errorID>
      <errorWord>或是</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26946E9</paraID>
      <start>15</start>
      <end>17</end>
      <status>unmodified</status>
      <modifiedWord/>
      <trackRevisions>false</trackRevisions>
    </reviewItem>
    <reviewItem>
      <errorID>ca49e2d0-f80b-4a39-ac89-525cb09bc5db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77EBB71D</paraID>
      <start>41</start>
      <end>42</end>
      <status>unmodified</status>
      <modifiedWord/>
      <trackRevisions>false</trackRevisions>
    </reviewItem>
    <reviewItem>
      <errorID>e7fb4065-d793-48c9-8678-a9890dd12e21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77EBB71D</paraID>
      <start>66</start>
      <end>67</end>
      <status>unmodified</status>
      <modifiedWord/>
      <trackRevisions>false</trackRevisions>
    </reviewItem>
    <reviewItem>
      <errorID>96c829dc-0c7b-43b2-b668-9a5c59bee895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60A86830</paraID>
      <start>12</start>
      <end>13</end>
      <status>unmodified</status>
      <modifiedWord/>
      <trackRevisions>false</trackRevisions>
    </reviewItem>
    <reviewItem>
      <errorID>4509300a-969a-46a5-a20e-4c26ae401323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49B49421</paraID>
      <start>19</start>
      <end>20</end>
      <status>unmodified</status>
      <modifiedWord/>
      <trackRevisions>false</trackRevisions>
    </reviewItem>
    <reviewItem>
      <errorID>c34bcf97-e330-4f9a-8353-142848ba8d8e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679744B0</paraID>
      <start>18</start>
      <end>19</end>
      <status>unmodified</status>
      <modifiedWord/>
      <trackRevisions>false</trackRevisions>
    </reviewItem>
    <reviewItem>
      <errorID>39db5e0a-993f-4cd6-972c-243ade6ec136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62D6A41D</paraID>
      <start>19</start>
      <end>20</end>
      <status>unmodified</status>
      <modifiedWord/>
      <trackRevisions>false</trackRevisions>
    </reviewItem>
    <reviewItem>
      <errorID>f1a3b5e0-d7ef-4b07-a508-c9ff6f00a1da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62D6A41D</paraID>
      <start>44</start>
      <end>45</end>
      <status>unmodified</status>
      <modifiedWord/>
      <trackRevisions>false</trackRevisions>
    </reviewItem>
    <reviewItem>
      <errorID>470cbe11-bf17-41b5-a41c-29ab8c7889e1</errorID>
      <errorWord>.</errorWord>
      <group>L1_Format</group>
      <groupName>格式问题</groupName>
      <ability>L2_HalfPunc</ability>
      <abilityName>全半角检查</abilityName>
      <candidateList>
        <item>。</item>
      </candidateList>
      <explain>文本全半角错误。</explain>
      <paraID>62D6A41D</paraID>
      <start>49</start>
      <end>50</end>
      <status>unmodified</status>
      <modifiedWord/>
      <trackRevisions>false</trackRevisions>
    </reviewItem>
    <reviewItem>
      <errorID>87095ed0-5fda-4425-bf9b-d389a63d3a26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FA465C9</paraID>
      <start>27</start>
      <end>28</end>
      <status>unmodified</status>
      <modifiedWord/>
      <trackRevisions>false</trackRevisions>
    </reviewItem>
    <reviewItem>
      <errorID>2f8135c0-49a0-4ab7-8ae9-cd82a827fd23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FA465C9</paraID>
      <start>62</start>
      <end>63</end>
      <status>unmodified</status>
      <modifiedWord/>
      <trackRevisions>false</trackRevisions>
    </reviewItem>
    <reviewItem>
      <errorID>0e5e7fae-9606-4b7e-8f21-f11d5db85be7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FA465C9</paraID>
      <start>84</start>
      <end>85</end>
      <status>unmodified</status>
      <modifiedWord/>
      <trackRevisions>false</trackRevisions>
    </reviewItem>
    <reviewItem>
      <errorID>bb8e639b-9a87-4ad8-ba85-186ce01a9d00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626D4869</paraID>
      <start>35</start>
      <end>36</end>
      <status>unmodified</status>
      <modifiedWord/>
      <trackRevisions>false</trackRevisions>
    </reviewItem>
    <reviewItem>
      <errorID>279b7794-c114-470a-bf4d-ad898c7b1e28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DCD932B</paraID>
      <start>44</start>
      <end>45</end>
      <status>unmodified</status>
      <modifiedWord/>
      <trackRevisions>false</trackRevisions>
    </reviewItem>
    <reviewItem>
      <errorID>6399baa3-ca89-4351-8685-29379a172341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DCD932B</paraID>
      <start>76</start>
      <end>77</end>
      <status>unmodified</status>
      <modifiedWord/>
      <trackRevisions>false</trackRevisions>
    </reviewItem>
    <reviewItem>
      <errorID>2779fe26-0265-4377-af2b-5118407b3ba9</errorID>
      <errorWord>(</errorWord>
      <group>L1_Format</group>
      <groupName>格式问题</groupName>
      <ability>L2_HalfPunc</ability>
      <abilityName>全半角检查</abilityName>
      <candidateList>
        <item>（</item>
      </candidateList>
      <explain>文本全半角错误。</explain>
      <paraID>6F75B2DB</paraID>
      <start>63</start>
      <end>64</end>
      <status>unmodified</status>
      <modifiedWord/>
      <trackRevisions>false</trackRevisions>
    </reviewItem>
    <reviewItem>
      <errorID>f90144fb-b51f-4f4e-8f16-6bfa52554934</errorID>
      <errorWord>)</errorWord>
      <group>L1_Format</group>
      <groupName>格式问题</groupName>
      <ability>L2_HalfPunc</ability>
      <abilityName>全半角检查</abilityName>
      <candidateList>
        <item>）</item>
      </candidateList>
      <explain>文本全半角错误。</explain>
      <paraID>6F75B2DB</paraID>
      <start>81</start>
      <end>82</end>
      <status>unmodified</status>
      <modifiedWord/>
      <trackRevisions>false</trackRevisions>
    </reviewItem>
    <reviewItem>
      <errorID>b391c5a4-2cc2-4f86-b809-979a5d43b406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520A448A</paraID>
      <start>22</start>
      <end>23</end>
      <status>unmodified</status>
      <modifiedWord/>
      <trackRevisions>false</trackRevisions>
    </reviewItem>
    <reviewItem>
      <errorID>024433f0-0151-44e1-8b13-64c47eb71eb8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147A2501</paraID>
      <start>20</start>
      <end>21</end>
      <status>unmodified</status>
      <modifiedWord/>
      <trackRevisions>false</trackRevisions>
    </reviewItem>
    <reviewItem>
      <errorID>93789061-16b0-4ce1-9b01-869306721c86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2AE4765C</paraID>
      <start>26</start>
      <end>27</end>
      <status>unmodified</status>
      <modifiedWord/>
      <trackRevisions>false</trackRevisions>
    </reviewItem>
    <reviewItem>
      <errorID>c9108859-9073-4c4a-ad47-39c09f437985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2AE4765C</paraID>
      <start>55</start>
      <end>56</end>
      <status>unmodified</status>
      <modifiedWord/>
      <trackRevisions>false</trackRevisions>
    </reviewItem>
    <reviewItem>
      <errorID>60c42d46-8089-42d8-9baf-4e6bbbd200b3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CA2B826</paraID>
      <start>12</start>
      <end>13</end>
      <status>unmodified</status>
      <modifiedWord/>
      <trackRevisions>false</trackRevisions>
    </reviewItem>
    <reviewItem>
      <errorID>3ba1c55f-53c7-4bc5-b75b-b18561e0b9b3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CA2B826</paraID>
      <start>35</start>
      <end>36</end>
      <status>unmodified</status>
      <modifiedWord/>
      <trackRevisions>false</trackRevisions>
    </reviewItem>
    <reviewItem>
      <errorID>57c2a65a-ab6d-42d8-a253-1deafc9060d3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605A61AB</paraID>
      <start>23</start>
      <end>24</end>
      <status>unmodified</status>
      <modifiedWord/>
      <trackRevisions>false</trackRevisions>
    </reviewItem>
    <reviewItem>
      <errorID>d4264fae-af80-4958-b85d-18d0a5306e5a</errorID>
      <errorWord>发</errorWord>
      <group>L1_Word</group>
      <groupName>字词问题</groupName>
      <ability>L2_Typo</ability>
      <abilityName>字词错误</abilityName>
      <candidateList>
        <item>发现</item>
      </candidateList>
      <explain/>
      <paraID>70A7F44C</paraID>
      <start>14</start>
      <end>15</end>
      <status>unmodified</status>
      <modifiedWord/>
      <trackRevisions>false</trackRevisions>
    </reviewItem>
    <reviewItem>
      <errorID>8f7a0450-5960-4a15-bec5-518651480376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7CF97E74</paraID>
      <start>16</start>
      <end>17</end>
      <status>unmodified</status>
      <modifiedWord/>
      <trackRevisions>false</trackRevisions>
    </reviewItem>
    <reviewItem>
      <errorID>6ecfe1a3-05b1-4a53-a46a-dd4378814162</errorID>
      <errorWord>涉及到</errorWord>
      <group>L1_Grammar</group>
      <groupName>语法问题</groupName>
      <ability>L2_Grammar</ability>
      <abilityName>语法错误</abilityName>
      <candidateList>
        <item>涉及</item>
      </candidateList>
      <explain>〈动〉牵涉到；关联到：案子～好几个人｜这个问题～面很广。</explain>
      <paraID>38026ACB</paraID>
      <start>6</start>
      <end>9</end>
      <status>unmodified</status>
      <modifiedWord/>
      <trackRevisions>false</trackRevisions>
    </reviewItem>
    <reviewItem>
      <errorID>9247c211-4097-4beb-b7df-f543654ff733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21AB3580</paraID>
      <start>16</start>
      <end>17</end>
      <status>unmodified</status>
      <modifiedWord/>
      <trackRevisions>false</trackRevisions>
    </reviewItem>
    <reviewItem>
      <errorID>5ac76430-1ed6-4b54-8e3c-412ce2ecbd4f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7A0D5816</paraID>
      <start>17</start>
      <end>18</end>
      <status>unmodified</status>
      <modifiedWord/>
      <trackRevisions>false</trackRevisions>
    </reviewItem>
    <reviewItem>
      <errorID>361c2322-8ea6-449a-b2ca-031006fcae62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2DDE6331</paraID>
      <start>13</start>
      <end>14</end>
      <status>unmodified</status>
      <modifiedWord/>
      <trackRevisions>false</trackRevisions>
    </reviewItem>
    <reviewItem>
      <errorID>f65cd504-8b15-404e-89f6-244a7ce66d18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8ED4DE1</paraID>
      <start>22</start>
      <end>23</end>
      <status>unmodified</status>
      <modifiedWord/>
      <trackRevisions>false</trackRevisions>
    </reviewItem>
    <reviewItem>
      <errorID>fc662dac-0599-4feb-9c88-eae9950d0e84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26EFA4DC</paraID>
      <start>17</start>
      <end>18</end>
      <status>unmodified</status>
      <modifiedWord/>
      <trackRevisions>false</trackRevisions>
    </reviewItem>
    <reviewItem>
      <errorID>307cefd8-ba51-4f23-b892-1b9c0f9abb9c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25E5970C</paraID>
      <start>15</start>
      <end>16</end>
      <status>unmodified</status>
      <modifiedWord/>
      <trackRevisions>false</trackRevisions>
    </reviewItem>
    <reviewItem>
      <errorID>edf65a92-5a8f-42e4-aa05-002dceca2fbb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43CE139C</paraID>
      <start>19</start>
      <end>20</end>
      <status>unmodified</status>
      <modifiedWord/>
      <trackRevisions>false</trackRevisions>
    </reviewItem>
    <reviewItem>
      <errorID>985d17de-3638-4200-9342-1a9f7ba57511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7E56D888</paraID>
      <start>4</start>
      <end>5</end>
      <status>unmodified</status>
      <modifiedWord/>
      <trackRevisions>false</trackRevisions>
    </reviewItem>
    <reviewItem>
      <errorID>50d334de-9cbc-4cba-a1a4-6d5a74073acd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3498CE75</paraID>
      <start>4</start>
      <end>5</end>
      <status>unmodified</status>
      <modifiedWord/>
      <trackRevisions>false</trackRevisions>
    </reviewItem>
    <reviewItem>
      <errorID>51f15be9-40d6-462e-abdd-b4965a1f2bc9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3498CE75</paraID>
      <start>31</start>
      <end>32</end>
      <status>unmodified</status>
      <modifiedWord/>
      <trackRevisions>false</trackRevisions>
    </reviewItem>
    <reviewItem>
      <errorID>abc87966-69e7-4dff-89dd-cfec52d0590e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2EAF6DD7</paraID>
      <start>4</start>
      <end>5</end>
      <status>unmodified</status>
      <modifiedWord/>
      <trackRevisions>false</trackRevisions>
    </reviewItem>
    <reviewItem>
      <errorID>0fa8b968-8b0b-4834-83ac-8afb8431f1a1</errorID>
      <errorWord>、以及</errorWord>
      <group>L1_Punc</group>
      <groupName>标点问题</groupName>
      <ability>L2_Punc</ability>
      <abilityName>标点符号检查</abilityName>
      <candidateList>
        <item>，以及</item>
      </candidateList>
      <explain>连接词前后不宜使用顿号，建议使用逗号。</explain>
      <paraID>43F8731E</paraID>
      <start>28</start>
      <end>31</end>
      <status>unmodified</status>
      <modifiedWord/>
      <trackRevisions>false</trackRevisions>
    </reviewItem>
    <reviewItem>
      <errorID>67c0e8e1-1e91-4f6b-a429-77fc36bf33f2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59541F87</paraID>
      <start>4</start>
      <end>5</end>
      <status>unmodified</status>
      <modifiedWord/>
      <trackRevisions>false</trackRevisions>
    </reviewItem>
    <reviewItem>
      <errorID>454c819b-a50c-4513-8f44-f3cb50f1808f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3B16966C</paraID>
      <start>1</start>
      <end>2</end>
      <status>unmodified</status>
      <modifiedWord/>
      <trackRevisions>false</trackRevisions>
    </reviewItem>
    <reviewItem>
      <errorID>99c6cf54-9119-42a0-8d0e-1498d6a13e86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34E5BA32</paraID>
      <start>2</start>
      <end>3</end>
      <status>unmodified</status>
      <modifiedWord/>
      <trackRevisions>false</trackRevisions>
    </reviewItem>
    <reviewItem>
      <errorID>a8c61a18-9a0f-4342-80c5-2838243b7e5a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4A9F18F3</paraID>
      <start>4</start>
      <end>5</end>
      <status>unmodified</status>
      <modifiedWord/>
      <trackRevisions>false</trackRevisions>
    </reviewItem>
    <reviewItem>
      <errorID>c7303ef6-0923-4aa1-a829-cb3ed7ce76cc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2A9E9299</paraID>
      <start>4</start>
      <end>5</end>
      <status>unmodified</status>
      <modifiedWord/>
      <trackRevisions>false</trackRevisions>
    </reviewItem>
    <reviewItem>
      <errorID>6cbb835c-1a1f-4a5e-8016-6186f5789469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793FE190</paraID>
      <start>4</start>
      <end>5</end>
      <status>unmodified</status>
      <modifiedWord/>
      <trackRevisions>false</trackRevisions>
    </reviewItem>
    <reviewItem>
      <errorID>e44c5f09-a679-4cfe-a8fe-3e1ce71b3653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37792F44</paraID>
      <start>4</start>
      <end>5</end>
      <status>unmodified</status>
      <modifiedWord/>
      <trackRevisions>false</trackRevisions>
    </reviewItem>
    <reviewItem>
      <errorID>76ff96c4-80bc-41c3-8268-952f97af65b0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4C2F703A</paraID>
      <start>2</start>
      <end>3</end>
      <status>unmodified</status>
      <modifiedWord/>
      <trackRevisions>false</trackRevisions>
    </reviewItem>
    <reviewItem>
      <errorID>563bec5a-3708-4b71-a7d5-b6348560c8e0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220E6156</paraID>
      <start>2</start>
      <end>3</end>
      <status>unmodified</status>
      <modifiedWord/>
      <trackRevisions>false</trackRevisions>
    </reviewItem>
    <reviewItem>
      <errorID>688c3fbb-8e77-40de-8915-147ae5eba809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7770898D</paraID>
      <start>4</start>
      <end>5</end>
      <status>unmodified</status>
      <modifiedWord/>
      <trackRevisions>false</trackRevisions>
    </reviewItem>
    <reviewItem>
      <errorID>8ea0ea06-c047-4803-96b6-7c9f0e84df3d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3377CA45</paraID>
      <start>4</start>
      <end>5</end>
      <status>unmodified</status>
      <modifiedWord/>
      <trackRevisions>false</trackRevisions>
    </reviewItem>
    <reviewItem>
      <errorID>560b0133-7e52-4624-a769-846ae7546a4e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9F70380</paraID>
      <start>2</start>
      <end>3</end>
      <status>unmodified</status>
      <modifiedWord/>
      <trackRevisions>false</trackRevisions>
    </reviewItem>
    <reviewItem>
      <errorID>d4833fca-2b0b-4447-98bf-67392a95cc16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72AE9477</paraID>
      <start>4</start>
      <end>5</end>
      <status>unmodified</status>
      <modifiedWord/>
      <trackRevisions>false</trackRevisions>
    </reviewItem>
    <reviewItem>
      <errorID>1fd0a81d-4eab-449f-85ef-cf66a9cfa2ea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31D36031</paraID>
      <start>2</start>
      <end>3</end>
      <status>unmodified</status>
      <modifiedWord/>
      <trackRevisions>false</trackRevisions>
    </reviewItem>
    <reviewItem>
      <errorID>5d4fc217-9119-48c3-b424-9fa6cc90fd06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3E293131</paraID>
      <start>4</start>
      <end>5</end>
      <status>unmodified</status>
      <modifiedWord/>
      <trackRevisions>false</trackRevisions>
    </reviewItem>
    <reviewItem>
      <errorID>855da438-0c10-42b2-990b-0d475b93203b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2FE0D92C</paraID>
      <start>4</start>
      <end>5</end>
      <status>unmodified</status>
      <modifiedWord/>
      <trackRevisions>false</trackRevisions>
    </reviewItem>
    <reviewItem>
      <errorID>bcb168b4-fb30-4cf8-82d2-4847cbcea4ac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7FCCF029</paraID>
      <start>4</start>
      <end>5</end>
      <status>unmodified</status>
      <modifiedWord/>
      <trackRevisions>false</trackRevisions>
    </reviewItem>
    <reviewItem>
      <errorID>c29340de-726b-411e-9db3-63a81812ffc6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6ACAF210</paraID>
      <start>4</start>
      <end>5</end>
      <status>unmodified</status>
      <modifiedWord/>
      <trackRevisions>false</trackRevisions>
    </reviewItem>
    <reviewItem>
      <errorID>2bbd58f7-80be-4bc4-bcd8-e8d1c4d88a38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14100D4B</paraID>
      <start>4</start>
      <end>5</end>
      <status>unmodified</status>
      <modifiedWord/>
      <trackRevisions>false</trackRevisions>
    </reviewItem>
    <reviewItem>
      <errorID>2638d9ef-bb63-4d96-9b72-5b4eb70f407d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2C10E19F</paraID>
      <start>2</start>
      <end>3</end>
      <status>unmodified</status>
      <modifiedWord/>
      <trackRevisions>false</trackRevisions>
    </reviewItem>
    <reviewItem>
      <errorID>3448f5a5-5718-41b5-9783-f6f341d2c053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3958D366</paraID>
      <start>2</start>
      <end>3</end>
      <status>unmodified</status>
      <modifiedWord/>
      <trackRevisions>false</trackRevisions>
    </reviewItem>
    <reviewItem>
      <errorID>26a46b9e-e057-478e-9067-19a78e8c4012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742A7769</paraID>
      <start>2</start>
      <end>3</end>
      <status>unmodified</status>
      <modifiedWord/>
      <trackRevisions>false</trackRevisions>
    </reviewItem>
    <reviewItem>
      <errorID>935ea175-98f4-4eba-83f6-d40cad70ab62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27AE3D60</paraID>
      <start>4</start>
      <end>5</end>
      <status>unmodified</status>
      <modifiedWord/>
      <trackRevisions>false</trackRevisions>
    </reviewItem>
    <reviewItem>
      <errorID>2412f6c3-39e6-43b2-a948-d3659a4ce0de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72351803</paraID>
      <start>2</start>
      <end>3</end>
      <status>unmodified</status>
      <modifiedWord/>
      <trackRevisions>false</trackRevisions>
    </reviewItem>
    <reviewItem>
      <errorID>47a7c004-d123-47f8-a9ac-3d6646d37361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43ED14F8</paraID>
      <start>2</start>
      <end>3</end>
      <status>unmodified</status>
      <modifiedWord/>
      <trackRevisions>false</trackRevisions>
    </reviewItem>
    <reviewItem>
      <errorID>0e5ef5c4-056e-4779-b8ef-1fd465773397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1CC598A7</paraID>
      <start>2</start>
      <end>3</end>
      <status>unmodified</status>
      <modifiedWord/>
      <trackRevisions>false</trackRevisions>
    </reviewItem>
    <reviewItem>
      <errorID>479669a3-4199-4a23-a23a-5558ce32c55e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C075697</paraID>
      <start>4</start>
      <end>5</end>
      <status>unmodified</status>
      <modifiedWord/>
      <trackRevisions>false</trackRevisions>
    </reviewItem>
    <reviewItem>
      <errorID>eaa20539-3d13-42c8-aa75-1900011950f0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673BF4CB</paraID>
      <start>4</start>
      <end>5</end>
      <status>unmodified</status>
      <modifiedWord/>
      <trackRevisions>false</trackRevisions>
    </reviewItem>
    <reviewItem>
      <errorID>26ff0687-5252-474c-ad33-77861155ffec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2E8870AB</paraID>
      <start>5</start>
      <end>6</end>
      <status>unmodified</status>
      <modifiedWord/>
      <trackRevisions>false</trackRevisions>
    </reviewItem>
    <reviewItem>
      <errorID>c250881e-27e0-4391-aff7-553138ae3e9f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7F503757</paraID>
      <start>4</start>
      <end>5</end>
      <status>unmodified</status>
      <modifiedWord/>
      <trackRevisions>false</trackRevisions>
    </reviewItem>
    <reviewItem>
      <errorID>4a96e5b4-5cb8-46d5-95a7-c3de3a6c88b8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2D7E7486</paraID>
      <start>4</start>
      <end>5</end>
      <status>unmodified</status>
      <modifiedWord/>
      <trackRevisions>false</trackRevisions>
    </reviewItem>
    <reviewItem>
      <errorID>c03291bf-3cda-4794-b27f-acd62ad79334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455EE146</paraID>
      <start>4</start>
      <end>5</end>
      <status>unmodified</status>
      <modifiedWord/>
      <trackRevisions>false</trackRevisions>
    </reviewItem>
    <reviewItem>
      <errorID>e2503628-4e77-4e3e-aec2-dc42220ea3dc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291FD58</paraID>
      <start>4</start>
      <end>5</end>
      <status>unmodified</status>
      <modifiedWord/>
      <trackRevisions>false</trackRevisions>
    </reviewItem>
    <reviewItem>
      <errorID>4e8482a4-97b1-4fbb-9332-53038940814d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138DBFDF</paraID>
      <start>2</start>
      <end>3</end>
      <status>unmodified</status>
      <modifiedWord/>
      <trackRevisions>false</trackRevisions>
    </reviewItem>
    <reviewItem>
      <errorID>ed1aa4a6-7bcf-4dc0-a929-77a4c9db9824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544F2375</paraID>
      <start>2</start>
      <end>3</end>
      <status>unmodified</status>
      <modifiedWord/>
      <trackRevisions>false</trackRevisions>
    </reviewItem>
    <reviewItem>
      <errorID>46cb3203-8c5f-45ee-b3c5-0189be92c20f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68A6233</paraID>
      <start>4</start>
      <end>5</end>
      <status>unmodified</status>
      <modifiedWord/>
      <trackRevisions>false</trackRevisions>
    </reviewItem>
    <reviewItem>
      <errorID>4571d8fd-8331-4e01-b008-f69280357b06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7EF6F2E1</paraID>
      <start>2</start>
      <end>3</end>
      <status>unmodified</status>
      <modifiedWord/>
      <trackRevisions>false</trackRevisions>
    </reviewItem>
    <reviewItem>
      <errorID>8a32324b-b87b-4d08-946f-5d926316f16b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5CFC0B7A</paraID>
      <start>2</start>
      <end>3</end>
      <status>unmodified</status>
      <modifiedWord/>
      <trackRevisions>false</trackRevisions>
    </reviewItem>
    <reviewItem>
      <errorID>9fbcfc7e-cfe7-4bd0-b80a-20913bb11d07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53CDEEAF</paraID>
      <start>4</start>
      <end>5</end>
      <status>unmodified</status>
      <modifiedWord/>
      <trackRevisions>false</trackRevisions>
    </reviewItem>
    <reviewItem>
      <errorID>52e21992-8665-499f-a9a1-a3d35eb3de2c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644102DD</paraID>
      <start>4</start>
      <end>5</end>
      <status>unmodified</status>
      <modifiedWord/>
      <trackRevisions>false</trackRevisions>
    </reviewItem>
    <reviewItem>
      <errorID>da9bdd84-5fcc-43e3-ad98-ebfb9f8c518a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31A583B2</paraID>
      <start>4</start>
      <end>5</end>
      <status>unmodified</status>
      <modifiedWord/>
      <trackRevisions>false</trackRevisions>
    </reviewItem>
    <reviewItem>
      <errorID>021ea490-c22d-474a-b428-e2911d434f91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13276A7A</paraID>
      <start>4</start>
      <end>5</end>
      <status>unmodified</status>
      <modifiedWord/>
      <trackRevisions>false</trackRevisions>
    </reviewItem>
    <reviewItem>
      <errorID>f0d28765-301d-4c53-837b-4e7e330bacb2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235DC66</paraID>
      <start>4</start>
      <end>5</end>
      <status>unmodified</status>
      <modifiedWord/>
      <trackRevisions>false</trackRevisions>
    </reviewItem>
    <reviewItem>
      <errorID>9c704eae-706c-449b-9a86-9d09f8646c34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6EA67992</paraID>
      <start>4</start>
      <end>5</end>
      <status>unmodified</status>
      <modifiedWord/>
      <trackRevisions>false</trackRevisions>
    </reviewItem>
    <reviewItem>
      <errorID>f905387c-d297-4d33-8b25-f7c23035ec2c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3FB288B0</paraID>
      <start>4</start>
      <end>5</end>
      <status>unmodified</status>
      <modifiedWord/>
      <trackRevisions>false</trackRevisions>
    </reviewItem>
    <reviewItem>
      <errorID>b3115839-66ed-4ced-8f84-caaee5cdeecf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1C01C670</paraID>
      <start>4</start>
      <end>5</end>
      <status>unmodified</status>
      <modifiedWord/>
      <trackRevisions>false</trackRevisions>
    </reviewItem>
    <reviewItem>
      <errorID>ae1de72b-c3bc-495b-a9ee-9289d49f635e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63FAEA56</paraID>
      <start>4</start>
      <end>5</end>
      <status>unmodified</status>
      <modifiedWord/>
      <trackRevisions>false</trackRevisions>
    </reviewItem>
    <reviewItem>
      <errorID>7e071597-55d4-44c4-a675-307adea37d09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68626A94</paraID>
      <start>2</start>
      <end>3</end>
      <status>unmodified</status>
      <modifiedWord/>
      <trackRevisions>false</trackRevisions>
    </reviewItem>
    <reviewItem>
      <errorID>7ebd1c1a-258e-4f0e-a49b-cb0b2ae8cc33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73247536</paraID>
      <start>3</start>
      <end>4</end>
      <status>unmodified</status>
      <modifiedWord/>
      <trackRevisions>false</trackRevisions>
    </reviewItem>
    <reviewItem>
      <errorID>baf0d8e5-31a2-4225-8d60-094b7c005b89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29D64456</paraID>
      <start>4</start>
      <end>5</end>
      <status>unmodified</status>
      <modifiedWord/>
      <trackRevisions>false</trackRevisions>
    </reviewItem>
    <reviewItem>
      <errorID>acbaece0-a211-481d-b80a-85baa33a5cb8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66C75D9C</paraID>
      <start>5</start>
      <end>6</end>
      <status>unmodified</status>
      <modifiedWord/>
      <trackRevisions>false</trackRevisions>
    </reviewItem>
    <reviewItem>
      <errorID>e7842d0b-4adb-460e-9324-b8e4eee90f63</errorID>
      <errorWord>涉及到</errorWord>
      <group>L1_Grammar</group>
      <groupName>语法问题</groupName>
      <ability>L2_Grammar</ability>
      <abilityName>语法错误</abilityName>
      <candidateList>
        <item>涉及</item>
      </candidateList>
      <explain>〈动〉牵涉到；关联到：案子～好几个人｜这个问题～面很广。</explain>
      <paraID>5A2236C1</paraID>
      <start>6</start>
      <end>9</end>
      <status>unmodified</status>
      <modifiedWord/>
      <trackRevisions>false</trackRevisions>
    </reviewItem>
    <reviewItem>
      <errorID>f52af104-e327-421f-bec9-f05d6833a2d5</errorID>
      <errorWord>其它</errorWord>
      <group>L1_Word</group>
      <groupName>字词问题</groupName>
      <ability>L2_Alias</ability>
      <abilityName>也作/曾用词</abilityName>
      <candidateList>
        <item>其他</item>
      </candidateList>
      <explain>词汇[其它]为不规范表述或旧称，其规范书面表述为[其他]。</explain>
      <paraID>541B8ED1</paraID>
      <start>0</start>
      <end>2</end>
      <status>unmodified</status>
      <modifiedWord/>
      <trackRevisions>false</trackRevisions>
    </reviewItem>
    <reviewItem>
      <errorID>990a65ab-a269-42e6-873f-3b989b7e5fb8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566B80B1</paraID>
      <start>0</start>
      <end>2</end>
      <status>unmodified</status>
      <modifiedWord/>
      <trackRevisions>false</trackRevisions>
    </reviewItem>
    <reviewItem>
      <errorID>9e8ad7a1-b67e-4144-923c-3100523a121f</errorID>
      <errorWord>-</errorWord>
      <group>L1_Format</group>
      <groupName>格式问题</groupName>
      <ability>L2_HalfPunc</ability>
      <abilityName>全半角检查</abilityName>
      <candidateList>
        <item>－</item>
      </candidateList>
      <explain>文本全半角错误。</explain>
      <paraID>555293DD</paraID>
      <start>47</start>
      <end>48</end>
      <status>unmodified</status>
      <modifiedWord/>
      <trackRevisions>false</trackRevisions>
    </reviewItem>
    <reviewItem>
      <errorID>f26cf160-45e2-4e09-843b-89cad8bb4db0</errorID>
      <errorWord>强</errorWord>
      <group>L1_Word</group>
      <groupName>字词问题</groupName>
      <ability>L2_Typo</ability>
      <abilityName>字词错误</abilityName>
      <candidateList>
        <item>强对</item>
      </candidateList>
      <explain/>
      <paraID>675DB9C3</paraID>
      <start>2</start>
      <end>3</end>
      <status>unmodified</status>
      <modifiedWord/>
      <trackRevisions>false</trackRevisions>
    </reviewItem>
    <reviewItem>
      <errorID>44396037-84d6-4e9e-87aa-3212657c4f28</errorID>
      <errorWord>其它</errorWord>
      <group>L1_Word</group>
      <groupName>字词问题</groupName>
      <ability>L2_Alias</ability>
      <abilityName>也作/曾用词</abilityName>
      <candidateList>
        <item>其他</item>
      </candidateList>
      <explain>词汇[其它]为不规范表述或旧称，其规范书面表述为[其他]。</explain>
      <paraID>2382AB58</paraID>
      <start>340</start>
      <end>342</end>
      <status>unmodified</status>
      <modifiedWord/>
      <trackRevisions>false</trackRevisions>
    </reviewItem>
    <reviewItem>
      <errorID>b6cb151b-23f7-4193-809b-51e582bf4722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6B33773</paraID>
      <start>1333</start>
      <end>1336</end>
      <status>unmodified</status>
      <modifiedWord/>
      <trackRevisions>false</trackRevisions>
    </reviewItem>
    <reviewItem>
      <errorID>c4be3fe3-ec73-4fe1-86af-754c03068315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6B33773</paraID>
      <start>1340</start>
      <end>1343</end>
      <status>unmodified</status>
      <modifiedWord/>
      <trackRevisions>false</trackRevisions>
    </reviewItem>
    <reviewItem>
      <errorID>08ba7ac1-393a-4def-85d7-fdbada855228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6B33773</paraID>
      <start>1417</start>
      <end>1420</end>
      <status>unmodified</status>
      <modifiedWord/>
      <trackRevisions>false</trackRevisions>
    </reviewItem>
    <reviewItem>
      <errorID>23e19f08-45bb-499d-84c9-9ba58678dbe1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6B33773</paraID>
      <start>1424</start>
      <end>1427</end>
      <status>unmodified</status>
      <modifiedWord/>
      <trackRevisions>false</trackRevisions>
    </reviewItem>
    <reviewItem>
      <errorID>665072f4-35fa-44f2-b952-af1e92dbdbea</errorID>
      <errorWord>顺推</errorWord>
      <group>L1_Word</group>
      <groupName>字词问题</groupName>
      <ability>L2_Typo</ability>
      <abilityName>字词错误</abilityName>
      <candidateList>
        <item>顺延</item>
      </candidateList>
      <explain/>
      <paraID>285898B4</paraID>
      <start>16</start>
      <end>18</end>
      <status>unmodified</status>
      <modifiedWord/>
      <trackRevisions>false</trackRevisions>
    </reviewItem>
    <reviewItem>
      <errorID>f9781f97-66d2-43b5-95df-60c027c1fc21</errorID>
      <errorWord>扣</errorWord>
      <group>L1_Word</group>
      <groupName>字词问题</groupName>
      <ability>L2_Typo</ability>
      <abilityName>字词错误</abilityName>
      <candidateList>
        <item>扣除</item>
      </candidateList>
      <explain/>
      <paraID>42C30633</paraID>
      <start>35</start>
      <end>36</end>
      <status>unmodified</status>
      <modifiedWord/>
      <trackRevisions>false</trackRevisions>
    </reviewItem>
    <reviewItem>
      <errorID>b682a083-d602-41fd-a15e-e34f577b5096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56E59C41</paraID>
      <start>5</start>
      <end>8</end>
      <status>unmodified</status>
      <modifiedWord/>
      <trackRevisions>false</trackRevisions>
    </reviewItem>
    <reviewItem>
      <errorID>bb2d8115-bbe2-4a8b-a5d3-e95508c75ef5</errorID>
      <errorWord>强</errorWord>
      <group>L1_Word</group>
      <groupName>字词问题</groupName>
      <ability>L2_Typo</ability>
      <abilityName>字词错误</abilityName>
      <candidateList>
        <item>强对</item>
      </candidateList>
      <explain/>
      <paraID>58004EC8</paraID>
      <start>2</start>
      <end>3</end>
      <status>unmodified</status>
      <modifiedWord/>
      <trackRevisions>false</trackRevisions>
    </reviewItem>
    <reviewItem>
      <errorID>3d56163c-bc2b-4a9e-99b5-95ba20aed532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5DC41AB8</paraID>
      <start>45</start>
      <end>46</end>
      <status>unmodified</status>
      <modifiedWord/>
      <trackRevisions>false</trackRevisions>
    </reviewItem>
    <reviewItem>
      <errorID>bc6f1337-2f18-45f5-9731-d11330990e62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5DC41AB8</paraID>
      <start>86</start>
      <end>87</end>
      <status>unmodified</status>
      <modifiedWord/>
      <trackRevisions>false</trackRevisions>
    </reviewItem>
    <reviewItem>
      <errorID>f9da8919-f4a1-43ed-b7b9-31d4045ed589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756E9DE6</paraID>
      <start>17</start>
      <end>18</end>
      <status>unmodified</status>
      <modifiedWord/>
      <trackRevisions>false</trackRevisions>
    </reviewItem>
    <reviewItem>
      <errorID>3ba111d6-1109-49de-a836-f35e0665453e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68AB7136</paraID>
      <start>20</start>
      <end>21</end>
      <status>unmodified</status>
      <modifiedWord/>
      <trackRevisions>false</trackRevisions>
    </reviewItem>
    <reviewItem>
      <errorID>65535c04-ca19-45c4-a166-029e00c9991f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68AB7136</paraID>
      <start>42</start>
      <end>43</end>
      <status>unmodified</status>
      <modifiedWord/>
      <trackRevisions>false</trackRevisions>
    </reviewItem>
    <reviewItem>
      <errorID>cddfad99-c1cf-4b35-a46f-67169d7c4eb5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68AB7136</paraID>
      <start>69</start>
      <end>70</end>
      <status>unmodified</status>
      <modifiedWord/>
      <trackRevisions>false</trackRevisions>
    </reviewItem>
    <reviewItem>
      <errorID>5ffe3aa8-7a5b-4722-96d0-ccc2a677155c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572D571</paraID>
      <start>11</start>
      <end>12</end>
      <status>unmodified</status>
      <modifiedWord/>
      <trackRevisions>false</trackRevisions>
    </reviewItem>
    <reviewItem>
      <errorID>3706f419-2992-404a-b453-89f3f069d75a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1753823E</paraID>
      <start>31</start>
      <end>32</end>
      <status>unmodified</status>
      <modifiedWord/>
      <trackRevisions>false</trackRevisions>
    </reviewItem>
    <reviewItem>
      <errorID>7a205d16-0556-46e0-ac3d-c2ab1c79b64e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61D0C4CB</paraID>
      <start>25</start>
      <end>26</end>
      <status>unmodified</status>
      <modifiedWord/>
      <trackRevisions>false</trackRevisions>
    </reviewItem>
    <reviewItem>
      <errorID>814eb4fe-eb45-4365-96a6-5df8578f7e25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3F48BB98</paraID>
      <start>17</start>
      <end>18</end>
      <status>unmodified</status>
      <modifiedWord/>
      <trackRevisions>false</trackRevisions>
    </reviewItem>
    <reviewItem>
      <errorID>c25d1ba9-0fc7-429b-b222-1dbb565393cf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902AEF3</paraID>
      <start>14</start>
      <end>15</end>
      <status>unmodified</status>
      <modifiedWord/>
      <trackRevisions>false</trackRevisions>
    </reviewItem>
    <reviewItem>
      <errorID>ff901239-01b4-4a0e-82bc-ca3e325237b7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10B9251A</paraID>
      <start>12</start>
      <end>13</end>
      <status>unmodified</status>
      <modifiedWord/>
      <trackRevisions>false</trackRevisions>
    </reviewItem>
    <reviewItem>
      <errorID>745c6609-85f2-42ab-ae2b-4211ea1d4e83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10B9251A</paraID>
      <start>43</start>
      <end>44</end>
      <status>unmodified</status>
      <modifiedWord/>
      <trackRevisions>false</trackRevisions>
    </reviewItem>
    <reviewItem>
      <errorID>944e1e13-cc97-45af-a7eb-74c5f639ceb2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599BCBCA</paraID>
      <start>22</start>
      <end>23</end>
      <status>unmodified</status>
      <modifiedWord/>
      <trackRevisions>false</trackRevisions>
    </reviewItem>
    <reviewItem>
      <errorID>c97a7912-3998-4c19-8138-46b39fc7074e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44E03A0E</paraID>
      <start>18</start>
      <end>19</end>
      <status>unmodified</status>
      <modifiedWord/>
      <trackRevisions>false</trackRevisions>
    </reviewItem>
    <reviewItem>
      <errorID>9ff41d3c-af9f-4378-8a04-4638916e0ffe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1314D61F</paraID>
      <start>41</start>
      <end>42</end>
      <status>unmodified</status>
      <modifiedWord/>
      <trackRevisions>false</trackRevisions>
    </reviewItem>
    <reviewItem>
      <errorID>8ee4f483-5532-4a84-97f0-716e702a8c57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1314D61F</paraID>
      <start>66</start>
      <end>67</end>
      <status>unmodified</status>
      <modifiedWord/>
      <trackRevisions>false</trackRevisions>
    </reviewItem>
    <reviewItem>
      <errorID>6a2954fe-4af1-4c10-b6ca-db0fe27b4b44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49689384</paraID>
      <start>12</start>
      <end>13</end>
      <status>unmodified</status>
      <modifiedWord/>
      <trackRevisions>false</trackRevisions>
    </reviewItem>
    <reviewItem>
      <errorID>bf8f3ef0-ae79-4181-ad44-8619df1dddc1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41F28E0F</paraID>
      <start>19</start>
      <end>20</end>
      <status>unmodified</status>
      <modifiedWord/>
      <trackRevisions>false</trackRevisions>
    </reviewItem>
    <reviewItem>
      <errorID>d7ab09bb-a43b-4aad-8ba6-02922ef91a2f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1D540A69</paraID>
      <start>12</start>
      <end>13</end>
      <status>unmodified</status>
      <modifiedWord/>
      <trackRevisions>false</trackRevisions>
    </reviewItem>
    <reviewItem>
      <errorID>7260306c-a230-4e4f-a0cb-0cf2c0386799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1C99456A</paraID>
      <start>12</start>
      <end>13</end>
      <status>unmodified</status>
      <modifiedWord/>
      <trackRevisions>false</trackRevisions>
    </reviewItem>
    <reviewItem>
      <errorID>3c061fbc-55b9-4c45-8631-12a565928634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156C9890</paraID>
      <start>27</start>
      <end>28</end>
      <status>unmodified</status>
      <modifiedWord/>
      <trackRevisions>false</trackRevisions>
    </reviewItem>
    <reviewItem>
      <errorID>a699d3aa-d973-4256-b137-8eb3c7d5d3d1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156C9890</paraID>
      <start>59</start>
      <end>60</end>
      <status>unmodified</status>
      <modifiedWord/>
      <trackRevisions>false</trackRevisions>
    </reviewItem>
    <reviewItem>
      <errorID>96d7afc6-d0cf-4ff5-8481-94d359f8fba6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156C9890</paraID>
      <start>81</start>
      <end>82</end>
      <status>unmodified</status>
      <modifiedWord/>
      <trackRevisions>false</trackRevisions>
    </reviewItem>
    <reviewItem>
      <errorID>a81fd862-1c7f-4216-b42f-ed4db95f21e1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78FC612B</paraID>
      <start>35</start>
      <end>36</end>
      <status>unmodified</status>
      <modifiedWord/>
      <trackRevisions>false</trackRevisions>
    </reviewItem>
    <reviewItem>
      <errorID>6a0ee734-9020-4552-bd1e-032c5304f57b</errorID>
      <errorWord>树立警示牌</errorWord>
      <group>L1_Word</group>
      <groupName>字词问题</groupName>
      <ability>L2_Typo</ability>
      <abilityName>字词错误</abilityName>
      <candidateList>
        <item>竖立警示牌</item>
      </candidateList>
      <explain/>
      <paraID>6B2DD299</paraID>
      <start>52</start>
      <end>57</end>
      <status>unmodified</status>
      <modifiedWord/>
      <trackRevisions>false</trackRevisions>
    </reviewItem>
    <reviewItem>
      <errorID>95471fc2-e120-406a-8c76-5277dc33b60d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6CF51A42</paraID>
      <start>44</start>
      <end>45</end>
      <status>unmodified</status>
      <modifiedWord/>
      <trackRevisions>false</trackRevisions>
    </reviewItem>
    <reviewItem>
      <errorID>3faab782-5d62-47c8-bcc8-9bb3cf497583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6CF51A42</paraID>
      <start>76</start>
      <end>77</end>
      <status>unmodified</status>
      <modifiedWord/>
      <trackRevisions>false</trackRevisions>
    </reviewItem>
    <reviewItem>
      <errorID>3f85152b-d042-492e-a35c-1fb11d487a2b</errorID>
      <errorWord>(</errorWord>
      <group>L1_Format</group>
      <groupName>格式问题</groupName>
      <ability>L2_HalfPunc</ability>
      <abilityName>全半角检查</abilityName>
      <candidateList>
        <item>（</item>
      </candidateList>
      <explain>文本全半角错误。</explain>
      <paraID>550A5679</paraID>
      <start>74</start>
      <end>75</end>
      <status>unmodified</status>
      <modifiedWord/>
      <trackRevisions>false</trackRevisions>
    </reviewItem>
    <reviewItem>
      <errorID>8122e4c1-327b-4936-ab14-2abc96f3335e</errorID>
      <errorWord>)</errorWord>
      <group>L1_Format</group>
      <groupName>格式问题</groupName>
      <ability>L2_HalfPunc</ability>
      <abilityName>全半角检查</abilityName>
      <candidateList>
        <item>）</item>
      </candidateList>
      <explain>文本全半角错误。</explain>
      <paraID>550A5679</paraID>
      <start>92</start>
      <end>93</end>
      <status>unmodified</status>
      <modifiedWord/>
      <trackRevisions>false</trackRevisions>
    </reviewItem>
    <reviewItem>
      <errorID>4907cdd6-fbea-49cb-a255-1b83b13067de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5000642F</paraID>
      <start>22</start>
      <end>23</end>
      <status>unmodified</status>
      <modifiedWord/>
      <trackRevisions>false</trackRevisions>
    </reviewItem>
    <reviewItem>
      <errorID>7e4d956c-5c47-4fac-b99a-d38ca0f8df4c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6E963E73</paraID>
      <start>20</start>
      <end>21</end>
      <status>unmodified</status>
      <modifiedWord/>
      <trackRevisions>false</trackRevisions>
    </reviewItem>
    <reviewItem>
      <errorID>070287a6-ddf3-4cd8-8e38-8e0b4481d3a0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7DDBCCFC</paraID>
      <start>26</start>
      <end>27</end>
      <status>unmodified</status>
      <modifiedWord/>
      <trackRevisions>false</trackRevisions>
    </reviewItem>
    <reviewItem>
      <errorID>0998549a-28cf-43f5-904a-3d4620bd0f8b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6DAEE82B</paraID>
      <start>12</start>
      <end>13</end>
      <status>unmodified</status>
      <modifiedWord/>
      <trackRevisions>false</trackRevisions>
    </reviewItem>
    <reviewItem>
      <errorID>5d35d206-c902-4dd6-98f6-266f1a4585a3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6DAEE82B</paraID>
      <start>35</start>
      <end>36</end>
      <status>unmodified</status>
      <modifiedWord/>
      <trackRevisions>false</trackRevisions>
    </reviewItem>
    <reviewItem>
      <errorID>d9d5911f-402c-4594-8baa-2f1ce7b682b0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17432129</paraID>
      <start>23</start>
      <end>24</end>
      <status>unmodified</status>
      <modifiedWord/>
      <trackRevisions>false</trackRevisions>
    </reviewItem>
    <reviewItem>
      <errorID>57749707-46c1-405e-87cb-4dc2f9a12ac3</errorID>
      <errorWord>发</errorWord>
      <group>L1_Word</group>
      <groupName>字词问题</groupName>
      <ability>L2_Typo</ability>
      <abilityName>字词错误</abilityName>
      <candidateList>
        <item>发现</item>
      </candidateList>
      <explain/>
      <paraID>3F59EB23</paraID>
      <start>14</start>
      <end>15</end>
      <status>unmodified</status>
      <modifiedWord/>
      <trackRevisions>false</trackRevisions>
    </reviewItem>
    <reviewItem>
      <errorID>3e9fad0b-1ddc-47e0-88f5-10ed346dde65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3B078D57</paraID>
      <start>16</start>
      <end>17</end>
      <status>unmodified</status>
      <modifiedWord/>
      <trackRevisions>false</trackRevisions>
    </reviewItem>
    <reviewItem>
      <errorID>a133d34d-c32f-4a36-98f5-b8004f0f73e5</errorID>
      <errorWord>做</errorWord>
      <group>L1_Word</group>
      <groupName>字词问题</groupName>
      <ability>L2_Typo</ability>
      <abilityName>字词错误</abilityName>
      <candidateList>
        <item>作</item>
      </candidateList>
      <explain>存在发音相同字词的误用。</explain>
      <paraID>742DD45B</paraID>
      <start>20</start>
      <end>21</end>
      <status>unmodified</status>
      <modifiedWord/>
      <trackRevisions>false</trackRevisions>
    </reviewItem>
    <reviewItem>
      <errorID>5bbfdee0-2ad5-4675-a7ce-ad71531e7272</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3129A8DD</paraID>
      <start>9</start>
      <end>11</end>
      <status>unmodified</status>
      <modifiedWord/>
      <trackRevisions>false</trackRevisions>
    </reviewItem>
    <reviewItem>
      <errorID>1908d3b4-6c18-41f8-90da-bc809d6758e0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542F7386</paraID>
      <start>13</start>
      <end>14</end>
      <status>unmodified</status>
      <modifiedWord/>
      <trackRevisions>false</trackRevisions>
    </reviewItem>
    <reviewItem>
      <errorID>2d99e0fb-9c4c-4eb2-9716-b04d742906e1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2AD34E97</paraID>
      <start>20</start>
      <end>21</end>
      <status>unmodified</status>
      <modifiedWord/>
      <trackRevisions>false</trackRevisions>
    </reviewItem>
    <reviewItem>
      <errorID>63e4e30c-b503-4a7b-9e2c-86a38fc01685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25243635</paraID>
      <start>11</start>
      <end>12</end>
      <status>unmodified</status>
      <modifiedWord/>
      <trackRevisions>false</trackRevisions>
    </reviewItem>
    <reviewItem>
      <errorID>aec42cdb-feaa-4eb2-9a18-5f27ac1391ae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23F6E702</paraID>
      <start>15</start>
      <end>16</end>
      <status>unmodified</status>
      <modifiedWord/>
      <trackRevisions>false</trackRevisions>
    </reviewItem>
    <reviewItem>
      <errorID>453e7aa5-18a5-415d-b2bc-e860f126beb8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3F652658</paraID>
      <start>15</start>
      <end>16</end>
      <status>unmodified</status>
      <modifiedWord/>
      <trackRevisions>false</trackRevisions>
    </reviewItem>
    <reviewItem>
      <errorID>e7258291-967a-4244-8510-b9718493c33d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54EA8609</paraID>
      <start>4</start>
      <end>5</end>
      <status>unmodified</status>
      <modifiedWord/>
      <trackRevisions>false</trackRevisions>
    </reviewItem>
    <reviewItem>
      <errorID>a90bb28b-6db0-416e-aea0-d891aa815636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3BCC086D</paraID>
      <start>4</start>
      <end>5</end>
      <status>unmodified</status>
      <modifiedWord/>
      <trackRevisions>false</trackRevisions>
    </reviewItem>
    <reviewItem>
      <errorID>f3a78352-05d6-41dc-b66e-5df70f7a668d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3BCC086D</paraID>
      <start>31</start>
      <end>32</end>
      <status>unmodified</status>
      <modifiedWord/>
      <trackRevisions>false</trackRevisions>
    </reviewItem>
    <reviewItem>
      <errorID>3e6888bc-3313-4e20-8be0-1815bbfe38c3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9881C31</paraID>
      <start>4</start>
      <end>5</end>
      <status>unmodified</status>
      <modifiedWord/>
      <trackRevisions>false</trackRevisions>
    </reviewItem>
    <reviewItem>
      <errorID>d7729877-603d-4273-b986-9a01fc8c8d66</errorID>
      <errorWord>、以及</errorWord>
      <group>L1_Punc</group>
      <groupName>标点问题</groupName>
      <ability>L2_Punc</ability>
      <abilityName>标点符号检查</abilityName>
      <candidateList>
        <item>，以及</item>
      </candidateList>
      <explain>连接词前后不宜使用顿号，建议使用逗号。</explain>
      <paraID> B4B3E4E</paraID>
      <start>28</start>
      <end>31</end>
      <status>unmodified</status>
      <modifiedWord/>
      <trackRevisions>false</trackRevisions>
    </reviewItem>
    <reviewItem>
      <errorID>014a3d4c-09df-4b50-8411-80dd806fb998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3D5B11A4</paraID>
      <start>4</start>
      <end>5</end>
      <status>unmodified</status>
      <modifiedWord/>
      <trackRevisions>false</trackRevisions>
    </reviewItem>
    <reviewItem>
      <errorID>a526cc27-757a-4f08-b6b3-4a25ca0a75b4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564ED9F2</paraID>
      <start>1</start>
      <end>2</end>
      <status>unmodified</status>
      <modifiedWord/>
      <trackRevisions>false</trackRevisions>
    </reviewItem>
    <reviewItem>
      <errorID>31ce05c8-830e-4d1c-a779-bd746b966246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6F70C73E</paraID>
      <start>2</start>
      <end>3</end>
      <status>unmodified</status>
      <modifiedWord/>
      <trackRevisions>false</trackRevisions>
    </reviewItem>
    <reviewItem>
      <errorID>c6942528-592c-4216-8ce5-a8d9dccfd9f3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14756868</paraID>
      <start>4</start>
      <end>5</end>
      <status>unmodified</status>
      <modifiedWord/>
      <trackRevisions>false</trackRevisions>
    </reviewItem>
    <reviewItem>
      <errorID>4e0f2434-aeac-4e52-ac86-5042309bef09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5E74C1D7</paraID>
      <start>4</start>
      <end>5</end>
      <status>unmodified</status>
      <modifiedWord/>
      <trackRevisions>false</trackRevisions>
    </reviewItem>
    <reviewItem>
      <errorID>6dcf8745-13a9-4bab-8703-a8189c128cfe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1A00E563</paraID>
      <start>4</start>
      <end>5</end>
      <status>unmodified</status>
      <modifiedWord/>
      <trackRevisions>false</trackRevisions>
    </reviewItem>
    <reviewItem>
      <errorID>7e064aaf-922f-4c8c-afcb-2190c49a16ca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1A8D6527</paraID>
      <start>4</start>
      <end>5</end>
      <status>unmodified</status>
      <modifiedWord/>
      <trackRevisions>false</trackRevisions>
    </reviewItem>
    <reviewItem>
      <errorID>8df41408-dcd1-4bca-b381-4852879fd52f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4C64C307</paraID>
      <start>4</start>
      <end>5</end>
      <status>unmodified</status>
      <modifiedWord/>
      <trackRevisions>false</trackRevisions>
    </reviewItem>
    <reviewItem>
      <errorID>5d04482b-2fda-4a99-bfcf-610cacd6f6c1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5EC0D207</paraID>
      <start>4</start>
      <end>5</end>
      <status>unmodified</status>
      <modifiedWord/>
      <trackRevisions>false</trackRevisions>
    </reviewItem>
    <reviewItem>
      <errorID>697e0fec-9b8e-415d-b824-c0d630a9a563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724626C8</paraID>
      <start>2</start>
      <end>3</end>
      <status>unmodified</status>
      <modifiedWord/>
      <trackRevisions>false</trackRevisions>
    </reviewItem>
    <reviewItem>
      <errorID>d2852597-6ca1-4037-b34d-4ae0d55f6524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3C7192D4</paraID>
      <start>4</start>
      <end>5</end>
      <status>unmodified</status>
      <modifiedWord/>
      <trackRevisions>false</trackRevisions>
    </reviewItem>
    <reviewItem>
      <errorID>90d20006-e85e-49cb-bf33-6123530553a8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1F501A88</paraID>
      <start>4</start>
      <end>5</end>
      <status>unmodified</status>
      <modifiedWord/>
      <trackRevisions>false</trackRevisions>
    </reviewItem>
    <reviewItem>
      <errorID>f4949329-4a71-46d8-9c41-23ea73c3b264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60FB3529</paraID>
      <start>2</start>
      <end>3</end>
      <status>unmodified</status>
      <modifiedWord/>
      <trackRevisions>false</trackRevisions>
    </reviewItem>
    <reviewItem>
      <errorID>051e7a58-85b8-4f88-a945-9382ad6c651e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32480E4C</paraID>
      <start>2</start>
      <end>3</end>
      <status>unmodified</status>
      <modifiedWord/>
      <trackRevisions>false</trackRevisions>
    </reviewItem>
    <reviewItem>
      <errorID>f2644e1d-5f93-434f-bd81-6d47df763253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2A7BE2BE</paraID>
      <start>4</start>
      <end>5</end>
      <status>unmodified</status>
      <modifiedWord/>
      <trackRevisions>false</trackRevisions>
    </reviewItem>
    <reviewItem>
      <errorID>c20a0ded-967d-4dfa-8ac7-8303e485f016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3E17C761</paraID>
      <start>4</start>
      <end>5</end>
      <status>unmodified</status>
      <modifiedWord/>
      <trackRevisions>false</trackRevisions>
    </reviewItem>
    <reviewItem>
      <errorID>544984b1-f213-47d0-9678-88545dafdcbf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4B7E5215</paraID>
      <start>4</start>
      <end>5</end>
      <status>unmodified</status>
      <modifiedWord/>
      <trackRevisions>false</trackRevisions>
    </reviewItem>
    <reviewItem>
      <errorID>ff4860da-4841-4b27-b9b6-6777103197cb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231BC4CF</paraID>
      <start>2</start>
      <end>3</end>
      <status>unmodified</status>
      <modifiedWord/>
      <trackRevisions>false</trackRevisions>
    </reviewItem>
    <reviewItem>
      <errorID>93714f22-7b8a-4f43-9ba4-5cfea6eec6a6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3EF77245</paraID>
      <start>4</start>
      <end>5</end>
      <status>unmodified</status>
      <modifiedWord/>
      <trackRevisions>false</trackRevisions>
    </reviewItem>
    <reviewItem>
      <errorID>bf5e2f44-faac-4b50-bdd4-b224ba3bbc81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13097BAA</paraID>
      <start>2</start>
      <end>3</end>
      <status>unmodified</status>
      <modifiedWord/>
      <trackRevisions>false</trackRevisions>
    </reviewItem>
    <reviewItem>
      <errorID>ff7eac20-86ad-462f-a1a1-57e94bd44868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163692E0</paraID>
      <start>4</start>
      <end>5</end>
      <status>unmodified</status>
      <modifiedWord/>
      <trackRevisions>false</trackRevisions>
    </reviewItem>
    <reviewItem>
      <errorID>7c0c3eee-c726-42aa-b708-5d08504e9c10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61F4FA3E</paraID>
      <start>4</start>
      <end>5</end>
      <status>unmodified</status>
      <modifiedWord/>
      <trackRevisions>false</trackRevisions>
    </reviewItem>
    <reviewItem>
      <errorID>bb312658-377d-435e-8914-e356ea0f6dca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6C6B94E3</paraID>
      <start>4</start>
      <end>5</end>
      <status>unmodified</status>
      <modifiedWord/>
      <trackRevisions>false</trackRevisions>
    </reviewItem>
    <reviewItem>
      <errorID>5234190e-26f9-4084-9192-0cfd24d87b29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4F839061</paraID>
      <start>4</start>
      <end>5</end>
      <status>unmodified</status>
      <modifiedWord/>
      <trackRevisions>false</trackRevisions>
    </reviewItem>
    <reviewItem>
      <errorID>c80750bf-9b9e-4e3c-99b9-47c33119aaa9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6941B471</paraID>
      <start>4</start>
      <end>5</end>
      <status>unmodified</status>
      <modifiedWord/>
      <trackRevisions>false</trackRevisions>
    </reviewItem>
    <reviewItem>
      <errorID>8457830e-b9db-4fcc-962e-320b521a5802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1FE49C29</paraID>
      <start>2</start>
      <end>3</end>
      <status>unmodified</status>
      <modifiedWord/>
      <trackRevisions>false</trackRevisions>
    </reviewItem>
    <reviewItem>
      <errorID>e71caf6c-6a1f-4fd8-8069-53d6cbdeb28f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25C70C4E</paraID>
      <start>2</start>
      <end>3</end>
      <status>unmodified</status>
      <modifiedWord/>
      <trackRevisions>false</trackRevisions>
    </reviewItem>
    <reviewItem>
      <errorID>d6a72abe-5ff4-4565-ac90-7b5207adda94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144EAF41</paraID>
      <start>2</start>
      <end>3</end>
      <status>unmodified</status>
      <modifiedWord/>
      <trackRevisions>false</trackRevisions>
    </reviewItem>
    <reviewItem>
      <errorID>48c28817-736f-4ae8-abe3-35599edd3b14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501818AE</paraID>
      <start>4</start>
      <end>5</end>
      <status>unmodified</status>
      <modifiedWord/>
      <trackRevisions>false</trackRevisions>
    </reviewItem>
    <reviewItem>
      <errorID>5ecfbb61-a82e-47ce-8dac-9c05e6bf43d1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28DB54B3</paraID>
      <start>2</start>
      <end>3</end>
      <status>unmodified</status>
      <modifiedWord/>
      <trackRevisions>false</trackRevisions>
    </reviewItem>
    <reviewItem>
      <errorID>5cae5589-a918-45ee-a41d-288e05c69bc9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2785B1C2</paraID>
      <start>2</start>
      <end>3</end>
      <status>unmodified</status>
      <modifiedWord/>
      <trackRevisions>false</trackRevisions>
    </reviewItem>
    <reviewItem>
      <errorID>c3e0ba99-2dae-4623-9d6c-c47ad86dc569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699539C4</paraID>
      <start>2</start>
      <end>3</end>
      <status>unmodified</status>
      <modifiedWord/>
      <trackRevisions>false</trackRevisions>
    </reviewItem>
    <reviewItem>
      <errorID>82cd61ea-732e-476c-81bf-ec0fcd874fba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579BC66A</paraID>
      <start>4</start>
      <end>5</end>
      <status>unmodified</status>
      <modifiedWord/>
      <trackRevisions>false</trackRevisions>
    </reviewItem>
    <reviewItem>
      <errorID>63558808-3b89-4c7b-a9f8-66d411d5fe1e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5C94C673</paraID>
      <start>4</start>
      <end>5</end>
      <status>unmodified</status>
      <modifiedWord/>
      <trackRevisions>false</trackRevisions>
    </reviewItem>
    <reviewItem>
      <errorID>2f122bae-e668-4130-a67b-43c644baf014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77E4BE5</paraID>
      <start>5</start>
      <end>6</end>
      <status>unmodified</status>
      <modifiedWord/>
      <trackRevisions>false</trackRevisions>
    </reviewItem>
    <reviewItem>
      <errorID>31302121-6fdf-45b9-acd4-6ca7dad3b5fc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1455B669</paraID>
      <start>4</start>
      <end>5</end>
      <status>unmodified</status>
      <modifiedWord/>
      <trackRevisions>false</trackRevisions>
    </reviewItem>
    <reviewItem>
      <errorID>5a8d03f7-9777-4562-be82-52375dd86312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75A97CDF</paraID>
      <start>4</start>
      <end>5</end>
      <status>unmodified</status>
      <modifiedWord/>
      <trackRevisions>false</trackRevisions>
    </reviewItem>
    <reviewItem>
      <errorID>582d7edc-bfa7-46cc-a9c8-36f977f59149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77895CF4</paraID>
      <start>4</start>
      <end>5</end>
      <status>unmodified</status>
      <modifiedWord/>
      <trackRevisions>false</trackRevisions>
    </reviewItem>
    <reviewItem>
      <errorID>c5c16110-6b09-4c44-a5f5-5ae11c478ed4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351F82A6</paraID>
      <start>4</start>
      <end>5</end>
      <status>unmodified</status>
      <modifiedWord/>
      <trackRevisions>false</trackRevisions>
    </reviewItem>
    <reviewItem>
      <errorID>fb8acf64-b263-4b20-beb3-18826631c210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18127AE</paraID>
      <start>4</start>
      <end>5</end>
      <status>unmodified</status>
      <modifiedWord/>
      <trackRevisions>false</trackRevisions>
    </reviewItem>
    <reviewItem>
      <errorID>d2d215e1-b8a2-4594-bd18-eb192e28a9ac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329B299B</paraID>
      <start>4</start>
      <end>5</end>
      <status>unmodified</status>
      <modifiedWord/>
      <trackRevisions>false</trackRevisions>
    </reviewItem>
    <reviewItem>
      <errorID>19d8d116-d744-475e-8b06-2ddc2ae68191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180FF811</paraID>
      <start>4</start>
      <end>5</end>
      <status>unmodified</status>
      <modifiedWord/>
      <trackRevisions>false</trackRevisions>
    </reviewItem>
    <reviewItem>
      <errorID>cc2428a7-2c53-485f-a6fe-ced7f63ab2c9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7DFA031</paraID>
      <start>4</start>
      <end>5</end>
      <status>unmodified</status>
      <modifiedWord/>
      <trackRevisions>false</trackRevisions>
    </reviewItem>
    <reviewItem>
      <errorID>3884962e-7766-4441-a47e-03c3f6612a77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7279B34E</paraID>
      <start>4</start>
      <end>5</end>
      <status>unmodified</status>
      <modifiedWord/>
      <trackRevisions>false</trackRevisions>
    </reviewItem>
    <reviewItem>
      <errorID>3895d8a2-ef0c-40d7-a797-02e3804624cd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241D0699</paraID>
      <start>4</start>
      <end>5</end>
      <status>unmodified</status>
      <modifiedWord/>
      <trackRevisions>false</trackRevisions>
    </reviewItem>
    <reviewItem>
      <errorID>5f5b8749-1016-4f21-ba7d-5b08658d0a03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1B685F91</paraID>
      <start>4</start>
      <end>5</end>
      <status>unmodified</status>
      <modifiedWord/>
      <trackRevisions>false</trackRevisions>
    </reviewItem>
    <reviewItem>
      <errorID>ed55977a-9c7c-4d95-ad7a-afe0054e2302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59F6F14C</paraID>
      <start>2</start>
      <end>3</end>
      <status>unmodified</status>
      <modifiedWord/>
      <trackRevisions>false</trackRevisions>
    </reviewItem>
    <reviewItem>
      <errorID>c3aff137-7815-4706-bd45-bc6763d6ddec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5BDD3F0</paraID>
      <start>4</start>
      <end>5</end>
      <status>unmodified</status>
      <modifiedWord/>
      <trackRevisions>false</trackRevisions>
    </reviewItem>
    <reviewItem>
      <errorID>87b0781d-2a54-49d3-996b-9b60897f670a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4CB7EB32</paraID>
      <start>5</start>
      <end>6</end>
      <status>unmodified</status>
      <modifiedWord/>
      <trackRevisions>false</trackRevisions>
    </reviewItem>
    <reviewItem>
      <errorID>6b01a3e1-ab7b-411e-8d10-2c4fad83fe93</errorID>
      <errorWord>涉及到</errorWord>
      <group>L1_Grammar</group>
      <groupName>语法问题</groupName>
      <ability>L2_Grammar</ability>
      <abilityName>语法错误</abilityName>
      <candidateList>
        <item>涉及</item>
      </candidateList>
      <explain>〈动〉牵涉到；关联到：案子～好几个人｜这个问题～面很广。</explain>
      <paraID>3BBD1AA5</paraID>
      <start>6</start>
      <end>9</end>
      <status>unmodified</status>
      <modifiedWord/>
      <trackRevisions>false</trackRevisions>
    </reviewItem>
    <reviewItem>
      <errorID>9230e95d-4403-4e64-bdc1-6125f1f7dbfc</errorID>
      <errorWord>其它</errorWord>
      <group>L1_Word</group>
      <groupName>字词问题</groupName>
      <ability>L2_Alias</ability>
      <abilityName>也作/曾用词</abilityName>
      <candidateList>
        <item>其他</item>
      </candidateList>
      <explain>词汇[其它]为不规范表述或旧称，其规范书面表述为[其他]。</explain>
      <paraID> 54D6536</paraID>
      <start>0</start>
      <end>2</end>
      <status>unmodified</status>
      <modifiedWord/>
      <trackRevisions>false</trackRevisions>
    </reviewItem>
    <reviewItem>
      <errorID>699c23e3-2c00-4b46-91d9-9baf076a5e20</errorID>
      <errorWord>;</errorWord>
      <group>L1_Format</group>
      <groupName>格式问题</groupName>
      <ability>L2_HalfPunc</ability>
      <abilityName>全半角检查</abilityName>
      <candidateList>
        <item>；</item>
      </candidateList>
      <explain>文本全半角错误。</explain>
      <paraID>3344652E</paraID>
      <start>21</start>
      <end>22</end>
      <status>unmodified</status>
      <modifiedWord/>
      <trackRevisions>false</trackRevisions>
    </reviewItem>
    <reviewItem>
      <errorID>db671101-3703-4ee1-98c3-1adac24aafae</errorID>
      <errorWord>进行实施</errorWord>
      <group>L1_Word</group>
      <groupName>字词问题</groupName>
      <ability>L2_Typo</ability>
      <abilityName>字词错误</abilityName>
      <candidateList>
        <item>实施</item>
      </candidateList>
      <explain>〈动〉实行（法令、政策等）：付诸～｜～细则｜～新的办法。</explain>
      <paraID>5AD4A6D8</paraID>
      <start>56</start>
      <end>60</end>
      <status>unmodified</status>
      <modifiedWord/>
      <trackRevisions>false</trackRevisions>
    </reviewItem>
    <reviewItem>
      <errorID>b6490c39-86f3-42d5-8a96-419c0df5c436</errorID>
      <errorWord>（</errorWord>
      <group>L1_Format</group>
      <groupName>格式问题</groupName>
      <ability>L2_HalfPunc</ability>
      <abilityName>全半角检查</abilityName>
      <candidateList>
        <item>(</item>
      </candidateList>
      <explain>文本全半角错误。</explain>
      <paraID>5BCFBA6E</paraID>
      <start>0</start>
      <end>1</end>
      <status>unmodified</status>
      <modifiedWord/>
      <trackRevisions>false</trackRevisions>
    </reviewItem>
    <reviewItem>
      <errorID>f292f524-367a-4baa-a22a-608903813fb2</errorID>
      <errorWord>）</errorWord>
      <group>L1_Format</group>
      <groupName>格式问题</groupName>
      <ability>L2_HalfPunc</ability>
      <abilityName>全半角检查</abilityName>
      <candidateList>
        <item>)</item>
      </candidateList>
      <explain>文本全半角错误。</explain>
      <paraID>5BCFBA6E</paraID>
      <start>16</start>
      <end>17</end>
      <status>unmodified</status>
      <modifiedWord/>
      <trackRevisions>false</trackRevisions>
    </reviewItem>
    <reviewItem>
      <errorID>40f6ffc7-3915-4119-9af6-8089359fed91</errorID>
      <errorWord>,</errorWord>
      <group>L1_Format</group>
      <groupName>格式问题</groupName>
      <ability>L2_HalfPunc</ability>
      <abilityName>全半角检查</abilityName>
      <candidateList>
        <item>，</item>
      </candidateList>
      <explain>文本全半角错误。</explain>
      <paraID>7D2E835C</paraID>
      <start>13</start>
      <end>14</end>
      <status>unmodified</status>
      <modifiedWord/>
      <trackRevisions>false</trackRevisions>
    </reviewItem>
    <reviewItem>
      <errorID>8c63dfe7-ebc4-42a4-8591-91a3dfc985e7</errorID>
      <errorWord>遮阴</errorWord>
      <group>L1_Word</group>
      <groupName>字词问题</groupName>
      <ability>L2_Typo</ability>
      <abilityName>字词错误</abilityName>
      <candidateList>
        <item>遮荫</item>
      </candidateList>
      <explain>存在发音相同字词的误用。</explain>
      <paraID>74289301</paraID>
      <start>146</start>
      <end>148</end>
      <status>unmodified</status>
      <modifiedWord/>
      <trackRevisions>false</trackRevisions>
    </reviewItem>
    <reviewItem>
      <errorID>f594f6f1-9d52-47c6-bcc1-928a570aaa56</errorID>
      <errorWord>在</errorWord>
      <group>L1_Word</group>
      <groupName>字词问题</groupName>
      <ability>L2_Typo</ability>
      <abilityName>字词错误</abilityName>
      <candidateList>
        <item>有</item>
      </candidateList>
      <explain>存在字形相近字词的误用。</explain>
      <paraID>70F874E4</paraID>
      <start>30</start>
      <end>31</end>
      <status>unmodified</status>
      <modifiedWord/>
      <trackRevisions>false</trackRevisions>
    </reviewItem>
    <reviewItem>
      <errorID>2fbbfaf4-425f-41e9-931b-52652f35c733</errorID>
      <errorWord>(</errorWord>
      <group>L1_Format</group>
      <groupName>格式问题</groupName>
      <ability>L2_HalfPunc</ability>
      <abilityName>全半角检查</abilityName>
      <candidateList>
        <item>（</item>
      </candidateList>
      <explain>文本全半角错误。</explain>
      <paraID> 4E0AF81</paraID>
      <start>16</start>
      <end>17</end>
      <status>unmodified</status>
      <modifiedWord/>
      <trackRevisions>false</trackRevisions>
    </reviewItem>
    <reviewItem>
      <errorID>64228883-c289-44c9-bb66-6f9d98d3e286</errorID>
      <errorWord>)</errorWord>
      <group>L1_Format</group>
      <groupName>格式问题</groupName>
      <ability>L2_HalfPunc</ability>
      <abilityName>全半角检查</abilityName>
      <candidateList>
        <item>）</item>
      </candidateList>
      <explain>文本全半角错误。</explain>
      <paraID> 4E0AF81</paraID>
      <start>20</start>
      <end>21</end>
      <status>unmodified</status>
      <modifiedWord/>
      <trackRevisions>false</trackRevisions>
    </reviewItem>
    <reviewItem>
      <errorID>42957e52-6e77-4bce-ae7c-24bca71d8b06</errorID>
      <errorWord>PH值</errorWord>
      <group>L1_Word</group>
      <groupName>字词问题</groupName>
      <ability>L2_Typo</ability>
      <abilityName>字词错误</abilityName>
      <candidateList>
        <item>pH值</item>
      </candidateList>
      <explain/>
      <paraID>402CB169</paraID>
      <start>0</start>
      <end>3</end>
      <status>unmodified</status>
      <modifiedWord/>
      <trackRevisions>false</trackRevisions>
    </reviewItem>
    <reviewItem>
      <errorID>15b1a01b-ec1d-4e92-a9cf-51ec1baacf4c</errorID>
      <errorWord>～</errorWord>
      <group>L1_Format</group>
      <groupName>格式问题</groupName>
      <ability>L2_HalfPunc</ability>
      <abilityName>全半角检查</abilityName>
      <candidateList>
        <item>~</item>
      </candidateList>
      <explain>文本全半角错误。</explain>
      <paraID>6BBC2389</paraID>
      <start>3</start>
      <end>4</end>
      <status>unmodified</status>
      <modifiedWord/>
      <trackRevisions>false</trackRevisions>
    </reviewItem>
    <reviewItem>
      <errorID>7f8742bc-67e5-4af3-8759-7c3a2bb94cfe</errorID>
      <errorWord>～</errorWord>
      <group>L1_Format</group>
      <groupName>格式问题</groupName>
      <ability>L2_HalfPunc</ability>
      <abilityName>全半角检查</abilityName>
      <candidateList>
        <item>~</item>
      </candidateList>
      <explain>文本全半角错误。</explain>
      <paraID> CCDEFBE</paraID>
      <start>3</start>
      <end>4</end>
      <status>unmodified</status>
      <modifiedWord/>
      <trackRevisions>false</trackRevisions>
    </reviewItem>
    <reviewItem>
      <errorID>f2901ffc-576a-4e77-bea0-9bbd96bfd7ad</errorID>
      <errorWord>～</errorWord>
      <group>L1_Format</group>
      <groupName>格式问题</groupName>
      <ability>L2_HalfPunc</ability>
      <abilityName>全半角检查</abilityName>
      <candidateList>
        <item>~</item>
      </candidateList>
      <explain>文本全半角错误。</explain>
      <paraID>629B6991</paraID>
      <start>3</start>
      <end>4</end>
      <status>unmodified</status>
      <modifiedWord/>
      <trackRevisions>false</trackRevisions>
    </reviewItem>
    <reviewItem>
      <errorID>6caf0997-36c4-40e0-b507-eddf17760a0d</errorID>
      <errorWord>～</errorWord>
      <group>L1_Format</group>
      <groupName>格式问题</groupName>
      <ability>L2_HalfPunc</ability>
      <abilityName>全半角检查</abilityName>
      <candidateList>
        <item>~</item>
      </candidateList>
      <explain>文本全半角错误。</explain>
      <paraID>28E57E49</paraID>
      <start>3</start>
      <end>4</end>
      <status>unmodified</status>
      <modifiedWord/>
      <trackRevisions>false</trackRevisions>
    </reviewItem>
    <reviewItem>
      <errorID>67e1fecd-49ce-440a-89bb-4c79ccefdf6d</errorID>
      <errorWord>～</errorWord>
      <group>L1_Format</group>
      <groupName>格式问题</groupName>
      <ability>L2_HalfPunc</ability>
      <abilityName>全半角检查</abilityName>
      <candidateList>
        <item>~</item>
      </candidateList>
      <explain>文本全半角错误。</explain>
      <paraID> 19641AA</paraID>
      <start>3</start>
      <end>4</end>
      <status>unmodified</status>
      <modifiedWord/>
      <trackRevisions>false</trackRevisions>
    </reviewItem>
    <reviewItem>
      <errorID>521ffd84-2289-4f18-acaf-e69aa1568663</errorID>
      <errorWord>通气空隙度</errorWord>
      <group>L1_Knowledge</group>
      <groupName>知识性问题</groupName>
      <ability>L2_Term</ability>
      <abilityName>专业术语</abilityName>
      <candidateList>
        <item>通气孔隙度</item>
      </candidateList>
      <explain/>
      <paraID>3E3909D2</paraID>
      <start>0</start>
      <end>5</end>
      <status>unmodified</status>
      <modifiedWord/>
      <trackRevisions>false</trackRevisions>
    </reviewItem>
    <reviewItem>
      <errorID>fc9ede77-7fc0-42a0-8286-d53a2e7d3899</errorID>
      <errorWord>(</errorWord>
      <group>L1_Format</group>
      <groupName>格式问题</groupName>
      <ability>L2_HalfPunc</ability>
      <abilityName>全半角检查</abilityName>
      <candidateList>
        <item>（</item>
      </candidateList>
      <explain>文本全半角错误。</explain>
      <paraID>3E3909D2</paraID>
      <start>5</start>
      <end>6</end>
      <status>unmodified</status>
      <modifiedWord/>
      <trackRevisions>false</trackRevisions>
    </reviewItem>
    <reviewItem>
      <errorID>db17f3bf-f880-4a67-b584-c10311ea0828</errorID>
      <errorWord>)</errorWord>
      <group>L1_Format</group>
      <groupName>格式问题</groupName>
      <ability>L2_HalfPunc</ability>
      <abilityName>全半角检查</abilityName>
      <candidateList>
        <item>）</item>
      </candidateList>
      <explain>文本全半角错误。</explain>
      <paraID>3E3909D2</paraID>
      <start>7</start>
      <end>8</end>
      <status>unmodified</status>
      <modifiedWord/>
      <trackRevisions>false</trackRevisions>
    </reviewItem>
    <reviewItem>
      <errorID>49d3b664-4997-4a55-89eb-00a72521d4d0</errorID>
      <errorWord>(</errorWord>
      <group>L1_Format</group>
      <groupName>格式问题</groupName>
      <ability>L2_HalfPunc</ability>
      <abilityName>全半角检查</abilityName>
      <candidateList>
        <item>（</item>
      </candidateList>
      <explain>文本全半角错误。</explain>
      <paraID> B1E8B7F</paraID>
      <start>4</start>
      <end>5</end>
      <status>unmodified</status>
      <modifiedWord/>
      <trackRevisions>false</trackRevisions>
    </reviewItem>
    <reviewItem>
      <errorID>4c07a2fd-487f-4a79-87c3-08494acea410</errorID>
      <errorWord>)</errorWord>
      <group>L1_Format</group>
      <groupName>格式问题</groupName>
      <ability>L2_HalfPunc</ability>
      <abilityName>全半角检查</abilityName>
      <candidateList>
        <item>）</item>
      </candidateList>
      <explain>文本全半角错误。</explain>
      <paraID> B1E8B7F</paraID>
      <start>6</start>
      <end>7</end>
      <status>unmodified</status>
      <modifiedWord/>
      <trackRevisions>false</trackRevisions>
    </reviewItem>
    <reviewItem>
      <errorID>4334aa4d-f005-4378-bea2-8e2a99a614e8</errorID>
      <errorWord>撤施</errorWord>
      <group>L1_Word</group>
      <groupName>字词问题</groupName>
      <ability>L2_Typo</ability>
      <abilityName>字词错误</abilityName>
      <candidateList>
        <item>撒施</item>
      </candidateList>
      <explain/>
      <paraID>6093CFD1</paraID>
      <start>81</start>
      <end>83</end>
      <status>unmodified</status>
      <modifiedWord/>
      <trackRevisions>false</trackRevisions>
    </reviewItem>
    <reviewItem>
      <errorID>470e3fd6-afad-4064-ac2b-320d2bcd6bbf</errorID>
      <errorWord>撤施</errorWord>
      <group>L1_Word</group>
      <groupName>字词问题</groupName>
      <ability>L2_Typo</ability>
      <abilityName>字词错误</abilityName>
      <candidateList>
        <item>撒施</item>
      </candidateList>
      <explain/>
      <paraID>6506F4AF</paraID>
      <start>15</start>
      <end>17</end>
      <status>unmodified</status>
      <modifiedWord/>
      <trackRevisions>false</trackRevisions>
    </reviewItem>
    <reviewItem>
      <errorID>906aa896-c9f5-4208-928f-de0f71552ca7</errorID>
      <errorWord>,</errorWord>
      <group>L1_Format</group>
      <groupName>格式问题</groupName>
      <ability>L2_HalfPunc</ability>
      <abilityName>全半角检查</abilityName>
      <candidateList>
        <item>，</item>
      </candidateList>
      <explain>文本全半角错误。</explain>
      <paraID>6506F4AF</paraID>
      <start>18</start>
      <end>19</end>
      <status>unmodified</status>
      <modifiedWord/>
      <trackRevisions>false</trackRevisions>
    </reviewItem>
    <reviewItem>
      <errorID>6912d186-985b-45b4-aa08-79084d639436</errorID>
      <errorWord>其它</errorWord>
      <group>L1_Word</group>
      <groupName>字词问题</groupName>
      <ability>L2_Alias</ability>
      <abilityName>也作/曾用词</abilityName>
      <candidateList>
        <item>其他</item>
      </candidateList>
      <explain>词汇[其它]为不规范表述或旧称，其规范书面表述为[其他]。</explain>
      <paraID>3FF8160F</paraID>
      <start>22</start>
      <end>24</end>
      <status>unmodified</status>
      <modifiedWord/>
      <trackRevisions>false</trackRevisions>
    </reviewItem>
    <reviewItem>
      <errorID>eb4d5544-00a5-4e23-981d-d29c54b80f9f</errorID>
      <errorWord>,</errorWord>
      <group>L1_Format</group>
      <groupName>格式问题</groupName>
      <ability>L2_HalfPunc</ability>
      <abilityName>全半角检查</abilityName>
      <candidateList>
        <item>，</item>
      </candidateList>
      <explain>文本全半角错误。</explain>
      <paraID>5599F5A6</paraID>
      <start>9</start>
      <end>10</end>
      <status>unmodified</status>
      <modifiedWord/>
      <trackRevisions>false</trackRevisions>
    </reviewItem>
    <reviewItem>
      <errorID>c9275742-780e-466a-9390-1d2af76fa57a</errorID>
      <errorWord>.</errorWord>
      <group>L1_Format</group>
      <groupName>格式问题</groupName>
      <ability>L2_HalfPunc</ability>
      <abilityName>全半角检查</abilityName>
      <candidateList>
        <item>。</item>
      </candidateList>
      <explain>文本全半角错误。</explain>
      <paraID>5599F5A6</paraID>
      <start>23</start>
      <end>24</end>
      <status>unmodified</status>
      <modifiedWord/>
      <trackRevisions>false</trackRevisions>
    </reviewItem>
    <reviewItem>
      <errorID>f248b58a-81a7-40b2-84cb-8b3b2e789f92</errorID>
      <errorWord>,</errorWord>
      <group>L1_Format</group>
      <groupName>格式问题</groupName>
      <ability>L2_HalfPunc</ability>
      <abilityName>全半角检查</abilityName>
      <candidateList>
        <item>，</item>
      </candidateList>
      <explain>文本全半角错误。</explain>
      <paraID>5599F5A6</paraID>
      <start>40</start>
      <end>41</end>
      <status>unmodified</status>
      <modifiedWord/>
      <trackRevisions>false</trackRevisions>
    </reviewItem>
    <reviewItem>
      <errorID>b67e7233-f158-4602-b177-fd605c3b0eb6</errorID>
      <errorWord>,</errorWord>
      <group>L1_Format</group>
      <groupName>格式问题</groupName>
      <ability>L2_HalfPunc</ability>
      <abilityName>全半角检查</abilityName>
      <candidateList>
        <item>，</item>
      </candidateList>
      <explain>文本全半角错误。</explain>
      <paraID>35712BD5</paraID>
      <start>46</start>
      <end>47</end>
      <status>unmodified</status>
      <modifiedWord/>
      <trackRevisions>false</trackRevisions>
    </reviewItem>
    <reviewItem>
      <errorID>ed2a950d-5f96-49c9-b6e6-3f259762cbcc</errorID>
      <errorWord>其它</errorWord>
      <group>L1_Word</group>
      <groupName>字词问题</groupName>
      <ability>L2_Alias</ability>
      <abilityName>也作/曾用词</abilityName>
      <candidateList>
        <item>其他</item>
      </candidateList>
      <explain>词汇[其它]为不规范表述或旧称，其规范书面表述为[其他]。</explain>
      <paraID>4888DCF6</paraID>
      <start>20</start>
      <end>22</end>
      <status>unmodified</status>
      <modifiedWord/>
      <trackRevisions>false</trackRevisions>
    </reviewItem>
    <reviewItem>
      <errorID>e931cda5-e421-49d8-b0cf-a18be69e480b</errorID>
      <errorWord>,</errorWord>
      <group>L1_Format</group>
      <groupName>格式问题</groupName>
      <ability>L2_HalfPunc</ability>
      <abilityName>全半角检查</abilityName>
      <candidateList>
        <item>，</item>
      </candidateList>
      <explain>文本全半角错误。</explain>
      <paraID>6E831A1C</paraID>
      <start>9</start>
      <end>10</end>
      <status>unmodified</status>
      <modifiedWord/>
      <trackRevisions>false</trackRevisions>
    </reviewItem>
    <reviewItem>
      <errorID>23687563-d37a-48a0-83eb-c8070759b9b1</errorID>
      <errorWord>侵延</errorWord>
      <group>L1_Word</group>
      <groupName>字词问题</groupName>
      <ability>L2_Typo</ability>
      <abilityName>字词错误</abilityName>
      <candidateList>
        <item>蔓延</item>
      </candidateList>
      <explain>〈动〉像蔓草一样不断向周围扩展：～滋长｜火势～。</explain>
      <paraID>40EA947D</paraID>
      <start>22</start>
      <end>24</end>
      <status>unmodified</status>
      <modifiedWord/>
      <trackRevisions>false</trackRevisions>
    </reviewItem>
    <reviewItem>
      <errorID>05ce9dc3-fbd8-4132-b5fb-72d0a3831918</errorID>
      <errorWord>告示</errorWord>
      <group>L1_Word</group>
      <groupName>字词问题</groupName>
      <ability>L2_Typo</ability>
      <abilityName>字词错误</abilityName>
      <candidateList>
        <item>告知</item>
      </candidateList>
      <explain>〈动〉告诉使知道：把通信地址～在京的同学。</explain>
      <paraID>2D372B5B</paraID>
      <start>63</start>
      <end>65</end>
      <status>unmodified</status>
      <modifiedWord/>
      <trackRevisions>false</trackRevisions>
    </reviewItem>
    <reviewItem>
      <errorID>85ab52ab-275e-4944-aca8-f22d9333a322</errorID>
      <errorWord>(</errorWord>
      <group>L1_Format</group>
      <groupName>格式问题</groupName>
      <ability>L2_HalfPunc</ability>
      <abilityName>全半角检查</abilityName>
      <candidateList>
        <item>（</item>
      </candidateList>
      <explain>文本全半角错误。</explain>
      <paraID>53DECB1F</paraID>
      <start>9</start>
      <end>10</end>
      <status>unmodified</status>
      <modifiedWord/>
      <trackRevisions>false</trackRevisions>
    </reviewItem>
    <reviewItem>
      <errorID>afa06763-64e6-4a74-a021-0cef3be095d0</errorID>
      <errorWord>)</errorWord>
      <group>L1_Format</group>
      <groupName>格式问题</groupName>
      <ability>L2_HalfPunc</ability>
      <abilityName>全半角检查</abilityName>
      <candidateList>
        <item>）</item>
      </candidateList>
      <explain>文本全半角错误。</explain>
      <paraID>53DECB1F</paraID>
      <start>19</start>
      <end>20</end>
      <status>unmodified</status>
      <modifiedWord/>
      <trackRevisions>false</trackRevisions>
    </reviewItem>
    <reviewItem>
      <errorID>52dce5ea-bd99-4131-beb7-3cb4ef5bed61</errorID>
      <errorWord>地浊</errorWord>
      <group>L1_Word</group>
      <groupName>字词问题</groupName>
      <ability>L2_Typo</ability>
      <abilityName>字词错误</abilityName>
      <candidateList>
        <item>地温</item>
      </candidateList>
      <explain/>
      <paraID> C82482E</paraID>
      <start>53</start>
      <end>55</end>
      <status>unmodified</status>
      <modifiedWord/>
      <trackRevisions>false</trackRevisions>
    </reviewItem>
    <reviewItem>
      <errorID>9904bd9a-53c8-4e73-9fad-78fb89fe9fa0</errorID>
      <errorWord>遮阴</errorWord>
      <group>L1_Word</group>
      <groupName>字词问题</groupName>
      <ability>L2_Typo</ability>
      <abilityName>字词错误</abilityName>
      <candidateList>
        <item>遮荫</item>
      </candidateList>
      <explain/>
      <paraID>34757FDC</paraID>
      <start>69</start>
      <end>71</end>
      <status>unmodified</status>
      <modifiedWord/>
      <trackRevisions>false</trackRevisions>
    </reviewItem>
    <reviewItem>
      <errorID>28e39b64-0514-4d76-8e12-aa6fea9ecfba</errorID>
      <errorWord>,</errorWord>
      <group>L1_Format</group>
      <groupName>格式问题</groupName>
      <ability>L2_HalfPunc</ability>
      <abilityName>全半角检查</abilityName>
      <candidateList>
        <item>，</item>
      </candidateList>
      <explain>文本全半角错误。</explain>
      <paraID>53051BA8</paraID>
      <start>72</start>
      <end>73</end>
      <status>unmodified</status>
      <modifiedWord/>
      <trackRevisions>false</trackRevisions>
    </reviewItem>
    <reviewItem>
      <errorID>2a7c59df-56b6-4437-9f68-b2bc8051c191</errorID>
      <errorWord>,</errorWord>
      <group>L1_Format</group>
      <groupName>格式问题</groupName>
      <ability>L2_HalfPunc</ability>
      <abilityName>全半角检查</abilityName>
      <candidateList>
        <item>，</item>
      </candidateList>
      <explain>文本全半角错误。</explain>
      <paraID>4A95D79D</paraID>
      <start>9</start>
      <end>10</end>
      <status>unmodified</status>
      <modifiedWord/>
      <trackRevisions>false</trackRevisions>
    </reviewItem>
    <reviewItem>
      <errorID>b53ec14d-dc5e-4e9a-8b81-113531768c48</errorID>
      <errorWord>,</errorWord>
      <group>L1_Format</group>
      <groupName>格式问题</groupName>
      <ability>L2_HalfPunc</ability>
      <abilityName>全半角检查</abilityName>
      <candidateList>
        <item>，</item>
      </candidateList>
      <explain>文本全半角错误。</explain>
      <paraID>4A95D79D</paraID>
      <start>22</start>
      <end>23</end>
      <status>unmodified</status>
      <modifiedWord/>
      <trackRevisions>false</trackRevisions>
    </reviewItem>
    <reviewItem>
      <errorID>22d9262f-2734-4a9a-86c2-5384b03cee2f</errorID>
      <errorWord>,</errorWord>
      <group>L1_Format</group>
      <groupName>格式问题</groupName>
      <ability>L2_HalfPunc</ability>
      <abilityName>全半角检查</abilityName>
      <candidateList>
        <item>，</item>
      </candidateList>
      <explain>文本全半角错误。</explain>
      <paraID>4A95D79D</paraID>
      <start>29</start>
      <end>30</end>
      <status>unmodified</status>
      <modifiedWord/>
      <trackRevisions>false</trackRevisions>
    </reviewItem>
    <reviewItem>
      <errorID>8698fc29-835b-4ae6-94e2-b33c202aa621</errorID>
      <errorWord>,</errorWord>
      <group>L1_Format</group>
      <groupName>格式问题</groupName>
      <ability>L2_HalfPunc</ability>
      <abilityName>全半角检查</abilityName>
      <candidateList>
        <item>，</item>
      </candidateList>
      <explain>文本全半角错误。</explain>
      <paraID>4A95D79D</paraID>
      <start>35</start>
      <end>36</end>
      <status>unmodified</status>
      <modifiedWord/>
      <trackRevisions>false</trackRevisions>
    </reviewItem>
    <reviewItem>
      <errorID>2cb5b0ea-df48-433f-a492-15dbbda9e558</errorID>
      <errorWord>,</errorWord>
      <group>L1_Format</group>
      <groupName>格式问题</groupName>
      <ability>L2_HalfPunc</ability>
      <abilityName>全半角检查</abilityName>
      <candidateList>
        <item>，</item>
      </candidateList>
      <explain>文本全半角错误。</explain>
      <paraID>4A95D79D</paraID>
      <start>42</start>
      <end>43</end>
      <status>unmodified</status>
      <modifiedWord/>
      <trackRevisions>false</trackRevisions>
    </reviewItem>
    <reviewItem>
      <errorID>258fe770-944d-4d9a-b97a-c55beae36e85</errorID>
      <errorWord>(</errorWord>
      <group>L1_Format</group>
      <groupName>格式问题</groupName>
      <ability>L2_HalfPunc</ability>
      <abilityName>全半角检查</abilityName>
      <candidateList>
        <item>（</item>
      </candidateList>
      <explain>文本全半角错误。</explain>
      <paraID>5E4CBF75</paraID>
      <start>6</start>
      <end>7</end>
      <status>unmodified</status>
      <modifiedWord/>
      <trackRevisions>false</trackRevisions>
    </reviewItem>
    <reviewItem>
      <errorID>923d1d1f-7e2a-4ede-bac1-2c3b2e0c8621</errorID>
      <errorWord>)</errorWord>
      <group>L1_Format</group>
      <groupName>格式问题</groupName>
      <ability>L2_HalfPunc</ability>
      <abilityName>全半角检查</abilityName>
      <candidateList>
        <item>）</item>
      </candidateList>
      <explain>文本全半角错误。</explain>
      <paraID>5E4CBF75</paraID>
      <start>12</start>
      <end>13</end>
      <status>unmodified</status>
      <modifiedWord/>
      <trackRevisions>false</trackRevisions>
    </reviewItem>
    <reviewItem>
      <errorID>732751f9-dd84-4e8b-b12a-48c7bc6e8ca1</errorID>
      <errorWord>其它</errorWord>
      <group>L1_Word</group>
      <groupName>字词问题</groupName>
      <ability>L2_Alias</ability>
      <abilityName>也作/曾用词</abilityName>
      <candidateList>
        <item>其他</item>
      </candidateList>
      <explain>词汇[其它]为不规范表述或旧称，其规范书面表述为[其他]。</explain>
      <paraID>53051AD7</paraID>
      <start>31</start>
      <end>33</end>
      <status>unmodified</status>
      <modifiedWord/>
      <trackRevisions>false</trackRevisions>
    </reviewItem>
    <reviewItem>
      <errorID>1ff8bfa8-abeb-40f3-8edb-d6bacb2033c4</errorID>
      <errorWord>,</errorWord>
      <group>L1_Format</group>
      <groupName>格式问题</groupName>
      <ability>L2_HalfPunc</ability>
      <abilityName>全半角检查</abilityName>
      <candidateList>
        <item>，</item>
      </candidateList>
      <explain>文本全半角错误。</explain>
      <paraID> CD24BC5</paraID>
      <start>14</start>
      <end>15</end>
      <status>unmodified</status>
      <modifiedWord/>
      <trackRevisions>false</trackRevisions>
    </reviewItem>
    <reviewItem>
      <errorID>79285c98-d113-4047-b2c8-77cad774a4e0</errorID>
      <errorWord>具</errorWord>
      <group>L1_Word</group>
      <groupName>字词问题</groupName>
      <ability>L2_Typo</ability>
      <abilityName>字词错误</abilityName>
      <candidateList>
        <item>具有</item>
      </candidateList>
      <explain>〈动〉有（多用于抽象事物）：～信心｜～伟大的意义。</explain>
      <paraID>7948D9A9</paraID>
      <start>34</start>
      <end>35</end>
      <status>unmodified</status>
      <modifiedWord/>
      <trackRevisions>false</trackRevisions>
    </reviewItem>
    <reviewItem>
      <errorID>2250191f-dcea-4290-956f-34b1a7c68981</errorID>
      <errorWord>具</errorWord>
      <group>L1_Word</group>
      <groupName>字词问题</groupName>
      <ability>L2_Typo</ability>
      <abilityName>字词错误</abilityName>
      <candidateList>
        <item>具有</item>
      </candidateList>
      <explain>〈动〉有（多用于抽象事物）：～信心｜～伟大的意义。</explain>
      <paraID>13406688</paraID>
      <start>13</start>
      <end>14</end>
      <status>unmodified</status>
      <modifiedWord/>
      <trackRevisions>false</trackRevisions>
    </reviewItem>
    <reviewItem>
      <errorID>3796a0ea-3830-4e92-abdf-d0f3dc6f4664</errorID>
      <errorWord>具</errorWord>
      <group>L1_Word</group>
      <groupName>字词问题</groupName>
      <ability>L2_Typo</ability>
      <abilityName>字词错误</abilityName>
      <candidateList>
        <item>具有</item>
      </candidateList>
      <explain>〈动〉有（多用于抽象事物）：～信心｜～伟大的意义。</explain>
      <paraID>365BAD3B</paraID>
      <start>9</start>
      <end>10</end>
      <status>unmodified</status>
      <modifiedWord/>
      <trackRevisions>false</trackRevisions>
    </reviewItem>
    <reviewItem>
      <errorID>1fb291f9-e0c1-4f3d-8afd-0b40d7e59886</errorID>
      <errorWord>具</errorWord>
      <group>L1_Word</group>
      <groupName>字词问题</groupName>
      <ability>L2_Typo</ability>
      <abilityName>字词错误</abilityName>
      <candidateList>
        <item>具有</item>
      </candidateList>
      <explain>〈动〉有（多用于抽象事物）：～信心｜～伟大的意义。</explain>
      <paraID> 5DABF66</paraID>
      <start>5</start>
      <end>6</end>
      <status>unmodified</status>
      <modifiedWord/>
      <trackRevisions>false</trackRevisions>
    </reviewItem>
    <reviewItem>
      <errorID>79daa979-b326-4285-9d90-e953e657bff6</errorID>
      <errorWord>其它</errorWord>
      <group>L1_Word</group>
      <groupName>字词问题</groupName>
      <ability>L2_Alias</ability>
      <abilityName>也作/曾用词</abilityName>
      <candidateList>
        <item>其他</item>
      </candidateList>
      <explain>词汇[其它]为不规范表述或旧称，其规范书面表述为[其他]。</explain>
      <paraID>5453CC50</paraID>
      <start>10</start>
      <end>12</end>
      <status>unmodified</status>
      <modifiedWord/>
      <trackRevisions>false</trackRevisions>
    </reviewItem>
    <reviewItem>
      <errorID>5245dec5-cd52-428b-9aa3-525ed6e760b1</errorID>
      <errorWord>其它</errorWord>
      <group>L1_Word</group>
      <groupName>字词问题</groupName>
      <ability>L2_Alias</ability>
      <abilityName>也作/曾用词</abilityName>
      <candidateList>
        <item>其他</item>
      </candidateList>
      <explain>词汇[其它]为不规范表述或旧称，其规范书面表述为[其他]。</explain>
      <paraID> 51AD197</paraID>
      <start>6</start>
      <end>8</end>
      <status>unmodified</status>
      <modifiedWord/>
      <trackRevisions>false</trackRevisions>
    </reviewItem>
    <reviewItem>
      <errorID>679a27fe-9c6e-421b-b671-5bea5a5d37b7</errorID>
      <errorWord>分车</errorWord>
      <group>L1_Word</group>
      <groupName>字词问题</groupName>
      <ability>L2_Typo</ability>
      <abilityName>字词错误</abilityName>
      <candidateList>
        <item>风车</item>
      </candidateList>
      <explain>存在发音相近字词的误用。</explain>
      <paraID>7D67FD43</paraID>
      <start>32</start>
      <end>34</end>
      <status>unmodified</status>
      <modifiedWord/>
      <trackRevisions>false</trackRevisions>
    </reviewItem>
    <reviewItem>
      <errorID>80c954c7-4c2c-4de4-a17b-3b58f381f23d</errorID>
      <errorWord>具</errorWord>
      <group>L1_Word</group>
      <groupName>字词问题</groupName>
      <ability>L2_Typo</ability>
      <abilityName>字词错误</abilityName>
      <candidateList>
        <item>具有</item>
      </candidateList>
      <explain>〈动〉有（多用于抽象事物）：～信心｜～伟大的意义。</explain>
      <paraID>3DFD7B74</paraID>
      <start>5</start>
      <end>6</end>
      <status>unmodified</status>
      <modifiedWord/>
      <trackRevisions>false</trackRevisions>
    </reviewItem>
    <reviewItem>
      <errorID>90f1efc7-e1b5-49cb-9bfe-76d16754cfbd</errorID>
      <errorWord>具</errorWord>
      <group>L1_Word</group>
      <groupName>字词问题</groupName>
      <ability>L2_Typo</ability>
      <abilityName>字词错误</abilityName>
      <candidateList>
        <item>具有</item>
      </candidateList>
      <explain>〈动〉有（多用于抽象事物）：～信心｜～伟大的意义。</explain>
      <paraID>624866BA</paraID>
      <start>13</start>
      <end>14</end>
      <status>unmodified</status>
      <modifiedWord/>
      <trackRevisions>false</trackRevisions>
    </reviewItem>
    <reviewItem>
      <errorID>b98f450e-0002-4524-ac76-9100663b2be2</errorID>
      <errorWord>具</errorWord>
      <group>L1_Word</group>
      <groupName>字词问题</groupName>
      <ability>L2_Typo</ability>
      <abilityName>字词错误</abilityName>
      <candidateList>
        <item>具有</item>
      </candidateList>
      <explain>〈动〉有（多用于抽象事物）：～信心｜～伟大的意义。</explain>
      <paraID>5852DFE4</paraID>
      <start>5</start>
      <end>6</end>
      <status>unmodified</status>
      <modifiedWord/>
      <trackRevisions>false</trackRevisions>
    </reviewItem>
    <reviewItem>
      <errorID>1f99c2f1-8dec-404f-8373-8113bc52c6a8</errorID>
      <errorWord>具</errorWord>
      <group>L1_Word</group>
      <groupName>字词问题</groupName>
      <ability>L2_Typo</ability>
      <abilityName>字词错误</abilityName>
      <candidateList>
        <item>具有</item>
      </candidateList>
      <explain>〈动〉有（多用于抽象事物）：～信心｜～伟大的意义。</explain>
      <paraID>5852DFE4</paraID>
      <start>17</start>
      <end>18</end>
      <status>unmodified</status>
      <modifiedWord/>
      <trackRevisions>false</trackRevisions>
    </reviewItem>
    <reviewItem>
      <errorID>333e1666-e900-4334-8d59-8da6b5dfeacb</errorID>
      <errorWord>具</errorWord>
      <group>L1_Word</group>
      <groupName>字词问题</groupName>
      <ability>L2_Typo</ability>
      <abilityName>字词错误</abilityName>
      <candidateList>
        <item>具有</item>
      </candidateList>
      <explain>〈动〉有（多用于抽象事物）：～信心｜～伟大的意义。</explain>
      <paraID>6DEBD35A</paraID>
      <start>5</start>
      <end>6</end>
      <status>unmodified</status>
      <modifiedWord/>
      <trackRevisions>false</trackRevisions>
    </reviewItem>
    <reviewItem>
      <errorID>b1a41622-b0a5-43b4-a4cd-3f512c431e6a</errorID>
      <errorWord>具</errorWord>
      <group>L1_Word</group>
      <groupName>字词问题</groupName>
      <ability>L2_Typo</ability>
      <abilityName>字词错误</abilityName>
      <candidateList>
        <item>具有</item>
      </candidateList>
      <explain>〈动〉有（多用于抽象事物）：～信心｜～伟大的意义。</explain>
      <paraID>4A681FA6</paraID>
      <start>0</start>
      <end>1</end>
      <status>unmodified</status>
      <modifiedWord/>
      <trackRevisions>false</trackRevisions>
    </reviewItem>
    <reviewItem>
      <errorID>950d9b2c-c59a-403c-892f-90c17ebf861c</errorID>
      <errorWord>具</errorWord>
      <group>L1_Word</group>
      <groupName>字词问题</groupName>
      <ability>L2_Typo</ability>
      <abilityName>字词错误</abilityName>
      <candidateList>
        <item>具有</item>
      </candidateList>
      <explain>〈动〉有（多用于抽象事物）：～信心｜～伟大的意义。</explain>
      <paraID>57648B10</paraID>
      <start>26</start>
      <end>27</end>
      <status>unmodified</status>
      <modifiedWord/>
      <trackRevisions>false</trackRevisions>
    </reviewItem>
    <reviewItem>
      <errorID>31d6df77-f3fc-420a-8609-181f6f2871f5</errorID>
      <errorWord>脚叶</errorWord>
      <group>L1_Word</group>
      <groupName>字词问题</groupName>
      <ability>L2_Typo</ability>
      <abilityName>字词错误</abilityName>
      <candidateList>
        <item>枝叶</item>
      </candidateList>
      <explain/>
      <paraID>57648B10</paraID>
      <start>58</start>
      <end>60</end>
      <status>unmodified</status>
      <modifiedWord/>
      <trackRevisions>false</trackRevisions>
    </reviewItem>
    <reviewItem>
      <errorID>837f244a-41c0-40bf-81f5-91fcaddbfb37</errorID>
      <errorWord>桩头</errorWord>
      <group>L1_Word</group>
      <groupName>字词问题</groupName>
      <ability>L2_Typo</ability>
      <abilityName>字词错误</abilityName>
      <candidateList>
        <item>桩</item>
      </candidateList>
      <explain/>
      <paraID>4F2F2613</paraID>
      <start>15</start>
      <end>17</end>
      <status>unmodified</status>
      <modifiedWord/>
      <trackRevisions>false</trackRevisions>
    </reviewItem>
    <reviewItem>
      <errorID>4464bd1c-fb60-4f5c-a9c7-e9238a55bd6f</errorID>
      <errorWord>高</errorWord>
      <group>L1_Word</group>
      <groupName>字词问题</groupName>
      <ability>L2_Typo</ability>
      <abilityName>字词错误</abilityName>
      <candidateList>
        <item>高度</item>
      </candidateList>
      <explain>❶〈名〉高低的程度；从地面或基准面向上到某处的距离；从物体的底部到顶端的距离：飞行的～｜这座山的～是四千二百米。❷〈形〉属性词。程度很高的：～的劳动热情｜～评价他的业绩｜这个问题应该受到～重视。</explain>
      <paraID>7FB54787</paraID>
      <start>10</start>
      <end>11</end>
      <status>unmodified</status>
      <modifiedWord/>
      <trackRevisions>false</trackRevisions>
    </reviewItem>
    <reviewItem>
      <errorID>01b82cdf-ccb4-40d0-b4f2-6e832ea2e765</errorID>
      <errorWord>其它</errorWord>
      <group>L1_Word</group>
      <groupName>字词问题</groupName>
      <ability>L2_Alias</ability>
      <abilityName>也作/曾用词</abilityName>
      <candidateList>
        <item>其他</item>
      </candidateList>
      <explain>词汇[其它]为不规范表述或旧称，其规范书面表述为[其他]。</explain>
      <paraID>7FB54787</paraID>
      <start>74</start>
      <end>76</end>
      <status>unmodified</status>
      <modifiedWord/>
      <trackRevisions>false</trackRevisions>
    </reviewItem>
    <reviewItem>
      <errorID>9e28ecd6-74b0-4cf2-a5d5-25b14b6ef866</errorID>
      <errorWord>其它</errorWord>
      <group>L1_Word</group>
      <groupName>字词问题</groupName>
      <ability>L2_Alias</ability>
      <abilityName>也作/曾用词</abilityName>
      <candidateList>
        <item>其他</item>
      </candidateList>
      <explain>词汇[其它]为不规范表述或旧称，其规范书面表述为[其他]。</explain>
      <paraID>3BD068A8</paraID>
      <start>30</start>
      <end>32</end>
      <status>unmodified</status>
      <modifiedWord/>
      <trackRevisions>false</trackRevisions>
    </reviewItem>
    <reviewItem>
      <errorID>fba3cd92-cf0c-4b16-8be6-9d5d93e3e33d</errorID>
      <errorWord>其它</errorWord>
      <group>L1_Word</group>
      <groupName>字词问题</groupName>
      <ability>L2_Alias</ability>
      <abilityName>也作/曾用词</abilityName>
      <candidateList>
        <item>其他</item>
      </candidateList>
      <explain>词汇[其它]为不规范表述或旧称，其规范书面表述为[其他]。</explain>
      <paraID>3BD068A8</paraID>
      <start>87</start>
      <end>89</end>
      <status>unmodified</status>
      <modifiedWord/>
      <trackRevisions>false</trackRevisions>
    </reviewItem>
    <reviewItem>
      <errorID>ec00f673-52eb-47c6-a76b-2a34ce804eca</errorID>
      <errorWord>达至</errorWord>
      <group>L1_Word</group>
      <groupName>字词问题</groupName>
      <ability>L2_Typo</ability>
      <abilityName>字词错误</abilityName>
      <candidateList>
        <item>达到</item>
      </candidateList>
      <explain>〈动〉到（多指抽象事物或程度）：达得到｜达不到｜目的没有～｜～国际水平。</explain>
      <paraID>29468765</paraID>
      <start>36</start>
      <end>38</end>
      <status>unmodified</status>
      <modifiedWord/>
      <trackRevisions>false</trackRevisions>
    </reviewItem>
    <reviewItem>
      <errorID>363db3ae-24fb-44ea-8102-4cc6936d6b57</errorID>
      <errorWord>具</errorWord>
      <group>L1_Word</group>
      <groupName>字词问题</groupName>
      <ability>L2_Typo</ability>
      <abilityName>字词错误</abilityName>
      <candidateList>
        <item>具有</item>
      </candidateList>
      <explain>〈动〉有（多用于抽象事物）：～信心｜～伟大的意义。</explain>
      <paraID>218FEDD9</paraID>
      <start>9</start>
      <end>10</end>
      <status>unmodified</status>
      <modifiedWord/>
      <trackRevisions>false</trackRevisions>
    </reviewItem>
    <reviewItem>
      <errorID>560bc997-96a8-4f8c-9777-674e93edd47f</errorID>
      <errorWord>强</errorWord>
      <group>L1_Word</group>
      <groupName>字词问题</groupName>
      <ability>L2_Typo</ability>
      <abilityName>字词错误</abilityName>
      <candidateList>
        <item>强对</item>
      </candidateList>
      <explain/>
      <paraID>58BF5811</paraID>
      <start>2</start>
      <end>3</end>
      <status>unmodified</status>
      <modifiedWord/>
      <trackRevisions>false</trackRevisions>
    </reviewItem>
    <reviewItem>
      <errorID>78ebb9ed-afd5-4533-aff4-af58b03f7bd0</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25D244B2</paraID>
      <start>0</start>
      <end>3</end>
      <status>unmodified</status>
      <modifiedWord/>
      <trackRevisions>false</trackRevisions>
    </reviewItem>
    <reviewItem>
      <errorID>0439feb7-5484-4a06-b1ef-0b01c48573e5</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3DD7F4DF</paraID>
      <start>0</start>
      <end>3</end>
      <status>unmodified</status>
      <modifiedWord/>
      <trackRevisions>false</trackRevisions>
    </reviewItem>
    <reviewItem>
      <errorID>800ec11d-fd30-4e38-b674-a75df79d791d</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61B6C281</paraID>
      <start>0</start>
      <end>3</end>
      <status>unmodified</status>
      <modifiedWord/>
      <trackRevisions>false</trackRevisions>
    </reviewItem>
    <reviewItem>
      <errorID>228212a2-b0cc-4f3c-84a8-d60985c15786</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106BE6C6</paraID>
      <start>0</start>
      <end>3</end>
      <status>unmodified</status>
      <modifiedWord/>
      <trackRevisions>false</trackRevisions>
    </reviewItem>
    <reviewItem>
      <errorID>4c27bf78-64e4-4481-98b7-825b0df6a08e</errorID>
      <errorWord>检査</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653C7C09</paraID>
      <start>71</start>
      <end>73</end>
      <status>unmodified</status>
      <modifiedWord/>
      <trackRevisions>false</trackRevisions>
    </reviewItem>
    <reviewItem>
      <errorID>a62b13d5-f7f5-4e17-a6b3-5d14a57bd88a</errorID>
      <errorWord>:</errorWord>
      <group>L1_Format</group>
      <groupName>格式问题</groupName>
      <ability>L2_HalfPunc</ability>
      <abilityName>全半角检查</abilityName>
      <candidateList>
        <item>：</item>
      </candidateList>
      <explain>文本全半角错误。</explain>
      <paraID>6C73E03A</paraID>
      <start>2</start>
      <end>3</end>
      <status>unmodified</status>
      <modifiedWord/>
      <trackRevisions>false</trackRevisions>
    </reviewItem>
    <reviewItem>
      <errorID>e65adb3f-eb32-48e5-a991-c649c682447d</errorID>
      <errorWord>其它</errorWord>
      <group>L1_Word</group>
      <groupName>字词问题</groupName>
      <ability>L2_Alias</ability>
      <abilityName>也作/曾用词</abilityName>
      <candidateList>
        <item>其他</item>
      </candidateList>
      <explain>词汇[其它]为不规范表述或旧称，其规范书面表述为[其他]。</explain>
      <paraID> 76D3D8C</paraID>
      <start>67</start>
      <end>69</end>
      <status>unmodified</status>
      <modifiedWord/>
      <trackRevisions>false</trackRevisions>
    </reviewItem>
    <reviewItem>
      <errorID>ad670278-51be-45a8-a683-36818d5143b9</errorID>
      <errorWord>&gt;</errorWord>
      <group>L1_Format</group>
      <groupName>格式问题</groupName>
      <ability>L2_HalfPunc</ability>
      <abilityName>全半角检查</abilityName>
      <candidateList>
        <item>〉</item>
      </candidateList>
      <explain>文本全半角错误。</explain>
      <paraID>40A6222C</paraID>
      <start>30</start>
      <end>31</end>
      <status>unmodified</status>
      <modifiedWord/>
      <trackRevisions>false</trackRevisions>
    </reviewItem>
    <reviewItem>
      <errorID>361a71eb-a3ed-4b2d-bfe7-5e20bd21cd76</errorID>
      <errorWord>,</errorWord>
      <group>L1_Format</group>
      <groupName>格式问题</groupName>
      <ability>L2_HalfPunc</ability>
      <abilityName>全半角检查</abilityName>
      <candidateList>
        <item>，</item>
      </candidateList>
      <explain>文本全半角错误。</explain>
      <paraID>1054DBBD</paraID>
      <start>218</start>
      <end>219</end>
      <status>unmodified</status>
      <modifiedWord/>
      <trackRevisions>false</trackRevisions>
    </reviewItem>
    <reviewItem>
      <errorID>beacf9cb-fdfe-4d58-b874-2b122db2a507</errorID>
      <errorWord>&gt;</errorWord>
      <group>L1_Format</group>
      <groupName>格式问题</groupName>
      <ability>L2_HalfPunc</ability>
      <abilityName>全半角检查</abilityName>
      <candidateList>
        <item>〉</item>
      </candidateList>
      <explain>文本全半角错误。</explain>
      <paraID>1513DF3C</paraID>
      <start>15</start>
      <end>16</end>
      <status>unmodified</status>
      <modifiedWord/>
      <trackRevisions>false</trackRevisions>
    </reviewItem>
    <reviewItem>
      <errorID>9a154075-4802-4a1d-9d66-22d5c452e2e5</errorID>
      <errorWord>（</errorWord>
      <group>L1_Format</group>
      <groupName>格式问题</groupName>
      <ability>L2_HalfPunc</ability>
      <abilityName>全半角检查</abilityName>
      <candidateList>
        <item>(</item>
      </candidateList>
      <explain>文本全半角错误。</explain>
      <paraID>3B433CEF</paraID>
      <start>0</start>
      <end>1</end>
      <status>unmodified</status>
      <modifiedWord/>
      <trackRevisions>false</trackRevisions>
    </reviewItem>
    <reviewItem>
      <errorID>c6ae32c8-88df-4316-a607-5efa2a286898</errorID>
      <errorWord>）</errorWord>
      <group>L1_Format</group>
      <groupName>格式问题</groupName>
      <ability>L2_HalfPunc</ability>
      <abilityName>全半角检查</abilityName>
      <candidateList>
        <item>)</item>
      </candidateList>
      <explain>文本全半角错误。</explain>
      <paraID>3B433CEF</paraID>
      <start>16</start>
      <end>17</end>
      <status>unmodified</status>
      <modifiedWord/>
      <trackRevisions>false</trackRevisions>
    </reviewItem>
    <reviewItem>
      <errorID>f4ed3c57-7dc1-458f-bf43-f149806414f5</errorID>
      <errorWord>,</errorWord>
      <group>L1_Format</group>
      <groupName>格式问题</groupName>
      <ability>L2_HalfPunc</ability>
      <abilityName>全半角检查</abilityName>
      <candidateList>
        <item>，</item>
      </candidateList>
      <explain>文本全半角错误。</explain>
      <paraID>45BE6D60</paraID>
      <start>13</start>
      <end>14</end>
      <status>unmodified</status>
      <modifiedWord/>
      <trackRevisions>false</trackRevisions>
    </reviewItem>
    <reviewItem>
      <errorID>15f67d9a-ec0c-4bb4-9739-7fe6bf4fb68b</errorID>
      <errorWord>遮阴</errorWord>
      <group>L1_Word</group>
      <groupName>字词问题</groupName>
      <ability>L2_Typo</ability>
      <abilityName>字词错误</abilityName>
      <candidateList>
        <item>遮荫</item>
      </candidateList>
      <explain>存在发音相同字词的误用。</explain>
      <paraID>4BFEA6A5</paraID>
      <start>147</start>
      <end>149</end>
      <status>unmodified</status>
      <modifiedWord/>
      <trackRevisions>false</trackRevisions>
    </reviewItem>
    <reviewItem>
      <errorID>9091aa52-f9d4-4175-a571-7e897c4cfcad</errorID>
      <errorWord>在</errorWord>
      <group>L1_Word</group>
      <groupName>字词问题</groupName>
      <ability>L2_Typo</ability>
      <abilityName>字词错误</abilityName>
      <candidateList>
        <item>有</item>
      </candidateList>
      <explain>存在字形相近字词的误用。</explain>
      <paraID>27C5BA56</paraID>
      <start>30</start>
      <end>31</end>
      <status>unmodified</status>
      <modifiedWord/>
      <trackRevisions>false</trackRevisions>
    </reviewItem>
    <reviewItem>
      <errorID>e7f6dd7c-da25-432b-a82b-4977b7f9e4b5</errorID>
      <errorWord>(</errorWord>
      <group>L1_Format</group>
      <groupName>格式问题</groupName>
      <ability>L2_HalfPunc</ability>
      <abilityName>全半角检查</abilityName>
      <candidateList>
        <item>（</item>
      </candidateList>
      <explain>文本全半角错误。</explain>
      <paraID>1883CF99</paraID>
      <start>16</start>
      <end>17</end>
      <status>unmodified</status>
      <modifiedWord/>
      <trackRevisions>false</trackRevisions>
    </reviewItem>
    <reviewItem>
      <errorID>c5cc0a5c-d74e-430b-9685-e3e155d33f91</errorID>
      <errorWord>)</errorWord>
      <group>L1_Format</group>
      <groupName>格式问题</groupName>
      <ability>L2_HalfPunc</ability>
      <abilityName>全半角检查</abilityName>
      <candidateList>
        <item>）</item>
      </candidateList>
      <explain>文本全半角错误。</explain>
      <paraID>1883CF99</paraID>
      <start>20</start>
      <end>21</end>
      <status>unmodified</status>
      <modifiedWord/>
      <trackRevisions>false</trackRevisions>
    </reviewItem>
    <reviewItem>
      <errorID>8faec63d-2cbc-4c87-968c-e725d3c71717</errorID>
      <errorWord>PH值</errorWord>
      <group>L1_Word</group>
      <groupName>字词问题</groupName>
      <ability>L2_Typo</ability>
      <abilityName>字词错误</abilityName>
      <candidateList>
        <item>pH值</item>
      </candidateList>
      <explain/>
      <paraID>3419B239</paraID>
      <start>0</start>
      <end>3</end>
      <status>unmodified</status>
      <modifiedWord/>
      <trackRevisions>false</trackRevisions>
    </reviewItem>
    <reviewItem>
      <errorID>465de9e3-cf94-4f99-b293-6d4f6c559e9d</errorID>
      <errorWord>～</errorWord>
      <group>L1_Format</group>
      <groupName>格式问题</groupName>
      <ability>L2_HalfPunc</ability>
      <abilityName>全半角检查</abilityName>
      <candidateList>
        <item>~</item>
      </candidateList>
      <explain>文本全半角错误。</explain>
      <paraID>645393E1</paraID>
      <start>3</start>
      <end>4</end>
      <status>unmodified</status>
      <modifiedWord/>
      <trackRevisions>false</trackRevisions>
    </reviewItem>
    <reviewItem>
      <errorID>e40048a2-94a5-40ea-ab1d-9ce5086344f6</errorID>
      <errorWord>～</errorWord>
      <group>L1_Format</group>
      <groupName>格式问题</groupName>
      <ability>L2_HalfPunc</ability>
      <abilityName>全半角检查</abilityName>
      <candidateList>
        <item>~</item>
      </candidateList>
      <explain>文本全半角错误。</explain>
      <paraID>174252F4</paraID>
      <start>3</start>
      <end>4</end>
      <status>unmodified</status>
      <modifiedWord/>
      <trackRevisions>false</trackRevisions>
    </reviewItem>
    <reviewItem>
      <errorID>d3cb4d92-1ab7-440a-9e4c-cf607dd12a7f</errorID>
      <errorWord>～</errorWord>
      <group>L1_Format</group>
      <groupName>格式问题</groupName>
      <ability>L2_HalfPunc</ability>
      <abilityName>全半角检查</abilityName>
      <candidateList>
        <item>~</item>
      </candidateList>
      <explain>文本全半角错误。</explain>
      <paraID>14B0C4CD</paraID>
      <start>3</start>
      <end>4</end>
      <status>unmodified</status>
      <modifiedWord/>
      <trackRevisions>false</trackRevisions>
    </reviewItem>
    <reviewItem>
      <errorID>823e275b-cef8-473a-a736-136efa18e726</errorID>
      <errorWord>～</errorWord>
      <group>L1_Format</group>
      <groupName>格式问题</groupName>
      <ability>L2_HalfPunc</ability>
      <abilityName>全半角检查</abilityName>
      <candidateList>
        <item>~</item>
      </candidateList>
      <explain>文本全半角错误。</explain>
      <paraID>340A31C2</paraID>
      <start>3</start>
      <end>4</end>
      <status>unmodified</status>
      <modifiedWord/>
      <trackRevisions>false</trackRevisions>
    </reviewItem>
    <reviewItem>
      <errorID>17b2b5b1-c65e-42f5-bcb8-a8aea343b236</errorID>
      <errorWord>～</errorWord>
      <group>L1_Format</group>
      <groupName>格式问题</groupName>
      <ability>L2_HalfPunc</ability>
      <abilityName>全半角检查</abilityName>
      <candidateList>
        <item>~</item>
      </candidateList>
      <explain>文本全半角错误。</explain>
      <paraID>2AC4D065</paraID>
      <start>3</start>
      <end>4</end>
      <status>unmodified</status>
      <modifiedWord/>
      <trackRevisions>false</trackRevisions>
    </reviewItem>
    <reviewItem>
      <errorID>172b790d-410f-4559-8a6d-4b07aa367328</errorID>
      <errorWord>(</errorWord>
      <group>L1_Format</group>
      <groupName>格式问题</groupName>
      <ability>L2_HalfPunc</ability>
      <abilityName>全半角检查</abilityName>
      <candidateList>
        <item>（</item>
      </candidateList>
      <explain>文本全半角错误。</explain>
      <paraID>5C4675AB</paraID>
      <start>3</start>
      <end>4</end>
      <status>unmodified</status>
      <modifiedWord/>
      <trackRevisions>false</trackRevisions>
    </reviewItem>
    <reviewItem>
      <errorID>f40286de-787c-49f7-bb9a-dcb34c81dd62</errorID>
      <errorWord>)</errorWord>
      <group>L1_Format</group>
      <groupName>格式问题</groupName>
      <ability>L2_HalfPunc</ability>
      <abilityName>全半角检查</abilityName>
      <candidateList>
        <item>）</item>
      </candidateList>
      <explain>文本全半角错误。</explain>
      <paraID>5C4675AB</paraID>
      <start>7</start>
      <end>8</end>
      <status>unmodified</status>
      <modifiedWord/>
      <trackRevisions>false</trackRevisions>
    </reviewItem>
    <reviewItem>
      <errorID>05fed58a-95ff-4dee-b09f-0b2d1031e259</errorID>
      <errorWord>通气空隙度</errorWord>
      <group>L1_Knowledge</group>
      <groupName>知识性问题</groupName>
      <ability>L2_Term</ability>
      <abilityName>专业术语</abilityName>
      <candidateList>
        <item>通气孔隙度</item>
      </candidateList>
      <explain/>
      <paraID>43D82653</paraID>
      <start>0</start>
      <end>5</end>
      <status>unmodified</status>
      <modifiedWord/>
      <trackRevisions>false</trackRevisions>
    </reviewItem>
    <reviewItem>
      <errorID>4b0ece67-ab7c-48c9-8ed2-a07ae9eaf6ae</errorID>
      <errorWord>(</errorWord>
      <group>L1_Format</group>
      <groupName>格式问题</groupName>
      <ability>L2_HalfPunc</ability>
      <abilityName>全半角检查</abilityName>
      <candidateList>
        <item>（</item>
      </candidateList>
      <explain>文本全半角错误。</explain>
      <paraID>43D82653</paraID>
      <start>5</start>
      <end>6</end>
      <status>unmodified</status>
      <modifiedWord/>
      <trackRevisions>false</trackRevisions>
    </reviewItem>
    <reviewItem>
      <errorID>f503499a-810a-43b8-9ad4-722849accbdb</errorID>
      <errorWord>)</errorWord>
      <group>L1_Format</group>
      <groupName>格式问题</groupName>
      <ability>L2_HalfPunc</ability>
      <abilityName>全半角检查</abilityName>
      <candidateList>
        <item>）</item>
      </candidateList>
      <explain>文本全半角错误。</explain>
      <paraID>43D82653</paraID>
      <start>7</start>
      <end>8</end>
      <status>unmodified</status>
      <modifiedWord/>
      <trackRevisions>false</trackRevisions>
    </reviewItem>
    <reviewItem>
      <errorID>94ec40a9-a526-46ca-9de2-526e6282f4da</errorID>
      <errorWord>(</errorWord>
      <group>L1_Format</group>
      <groupName>格式问题</groupName>
      <ability>L2_HalfPunc</ability>
      <abilityName>全半角检查</abilityName>
      <candidateList>
        <item>（</item>
      </candidateList>
      <explain>文本全半角错误。</explain>
      <paraID>370009C5</paraID>
      <start>4</start>
      <end>5</end>
      <status>unmodified</status>
      <modifiedWord/>
      <trackRevisions>false</trackRevisions>
    </reviewItem>
    <reviewItem>
      <errorID>769d4716-96e7-41d5-8838-91cc68c79a29</errorID>
      <errorWord>)</errorWord>
      <group>L1_Format</group>
      <groupName>格式问题</groupName>
      <ability>L2_HalfPunc</ability>
      <abilityName>全半角检查</abilityName>
      <candidateList>
        <item>）</item>
      </candidateList>
      <explain>文本全半角错误。</explain>
      <paraID>370009C5</paraID>
      <start>6</start>
      <end>7</end>
      <status>unmodified</status>
      <modifiedWord/>
      <trackRevisions>false</trackRevisions>
    </reviewItem>
    <reviewItem>
      <errorID>c6f76438-22a4-43a8-b18f-a928c789ac18</errorID>
      <errorWord>撤施</errorWord>
      <group>L1_Word</group>
      <groupName>字词问题</groupName>
      <ability>L2_Typo</ability>
      <abilityName>字词错误</abilityName>
      <candidateList>
        <item>撒施</item>
      </candidateList>
      <explain/>
      <paraID>1050DCE4</paraID>
      <start>75</start>
      <end>77</end>
      <status>unmodified</status>
      <modifiedWord/>
      <trackRevisions>false</trackRevisions>
    </reviewItem>
    <reviewItem>
      <errorID>2725460b-95e1-4fde-b214-cc9542bc7dfc</errorID>
      <errorWord>撤施</errorWord>
      <group>L1_Word</group>
      <groupName>字词问题</groupName>
      <ability>L2_Typo</ability>
      <abilityName>字词错误</abilityName>
      <candidateList>
        <item>撒施</item>
      </candidateList>
      <explain/>
      <paraID>20968165</paraID>
      <start>9</start>
      <end>11</end>
      <status>unmodified</status>
      <modifiedWord/>
      <trackRevisions>false</trackRevisions>
    </reviewItem>
    <reviewItem>
      <errorID>7a81465f-03bf-465f-84fa-ea5cdd977926</errorID>
      <errorWord>,</errorWord>
      <group>L1_Format</group>
      <groupName>格式问题</groupName>
      <ability>L2_HalfPunc</ability>
      <abilityName>全半角检查</abilityName>
      <candidateList>
        <item>，</item>
      </candidateList>
      <explain>文本全半角错误。</explain>
      <paraID>20968165</paraID>
      <start>12</start>
      <end>13</end>
      <status>unmodified</status>
      <modifiedWord/>
      <trackRevisions>false</trackRevisions>
    </reviewItem>
    <reviewItem>
      <errorID>b04674f6-8579-47d2-8e88-1200d29ea9ad</errorID>
      <errorWord>其它</errorWord>
      <group>L1_Word</group>
      <groupName>字词问题</groupName>
      <ability>L2_Alias</ability>
      <abilityName>也作/曾用词</abilityName>
      <candidateList>
        <item>其他</item>
      </candidateList>
      <explain>词汇[其它]为不规范表述或旧称，其规范书面表述为[其他]。</explain>
      <paraID>3620BBF4</paraID>
      <start>14</start>
      <end>16</end>
      <status>unmodified</status>
      <modifiedWord/>
      <trackRevisions>false</trackRevisions>
    </reviewItem>
    <reviewItem>
      <errorID>a927c89c-a52b-4470-a996-a81d7d462d51</errorID>
      <errorWord>,</errorWord>
      <group>L1_Format</group>
      <groupName>格式问题</groupName>
      <ability>L2_HalfPunc</ability>
      <abilityName>全半角检查</abilityName>
      <candidateList>
        <item>，</item>
      </candidateList>
      <explain>文本全半角错误。</explain>
      <paraID>2167EF93</paraID>
      <start>9</start>
      <end>10</end>
      <status>unmodified</status>
      <modifiedWord/>
      <trackRevisions>false</trackRevisions>
    </reviewItem>
    <reviewItem>
      <errorID>9d94335d-9444-4757-a1cc-9de447ad7927</errorID>
      <errorWord>.</errorWord>
      <group>L1_Format</group>
      <groupName>格式问题</groupName>
      <ability>L2_HalfPunc</ability>
      <abilityName>全半角检查</abilityName>
      <candidateList>
        <item>。</item>
      </candidateList>
      <explain>文本全半角错误。</explain>
      <paraID>2167EF93</paraID>
      <start>23</start>
      <end>24</end>
      <status>unmodified</status>
      <modifiedWord/>
      <trackRevisions>false</trackRevisions>
    </reviewItem>
    <reviewItem>
      <errorID>259ad334-f7d6-4cb1-926a-29f8facd770c</errorID>
      <errorWord>,</errorWord>
      <group>L1_Format</group>
      <groupName>格式问题</groupName>
      <ability>L2_HalfPunc</ability>
      <abilityName>全半角检查</abilityName>
      <candidateList>
        <item>，</item>
      </candidateList>
      <explain>文本全半角错误。</explain>
      <paraID>2167EF93</paraID>
      <start>40</start>
      <end>41</end>
      <status>unmodified</status>
      <modifiedWord/>
      <trackRevisions>false</trackRevisions>
    </reviewItem>
    <reviewItem>
      <errorID>7fc1b703-2af5-4f28-af6d-1dc5f49336fe</errorID>
      <errorWord>,</errorWord>
      <group>L1_Format</group>
      <groupName>格式问题</groupName>
      <ability>L2_HalfPunc</ability>
      <abilityName>全半角检查</abilityName>
      <candidateList>
        <item>，</item>
      </candidateList>
      <explain>文本全半角错误。</explain>
      <paraID>12057E91</paraID>
      <start>39</start>
      <end>40</end>
      <status>unmodified</status>
      <modifiedWord/>
      <trackRevisions>false</trackRevisions>
    </reviewItem>
    <reviewItem>
      <errorID>0e3eceb3-279f-4c79-9e33-9b267fa186a3</errorID>
      <errorWord>其它</errorWord>
      <group>L1_Word</group>
      <groupName>字词问题</groupName>
      <ability>L2_Alias</ability>
      <abilityName>也作/曾用词</abilityName>
      <candidateList>
        <item>其他</item>
      </candidateList>
      <explain>词汇[其它]为不规范表述或旧称，其规范书面表述为[其他]。</explain>
      <paraID>16A8E3D0</paraID>
      <start>12</start>
      <end>14</end>
      <status>unmodified</status>
      <modifiedWord/>
      <trackRevisions>false</trackRevisions>
    </reviewItem>
    <reviewItem>
      <errorID>d995e532-fdec-48fb-b264-ac5ba7d90c40</errorID>
      <errorWord>,</errorWord>
      <group>L1_Format</group>
      <groupName>格式问题</groupName>
      <ability>L2_HalfPunc</ability>
      <abilityName>全半角检查</abilityName>
      <candidateList>
        <item>，</item>
      </candidateList>
      <explain>文本全半角错误。</explain>
      <paraID>14736E3E</paraID>
      <start>5</start>
      <end>6</end>
      <status>unmodified</status>
      <modifiedWord/>
      <trackRevisions>false</trackRevisions>
    </reviewItem>
    <reviewItem>
      <errorID>f13cd366-a6dc-4cb7-af84-1f64f48f45d6</errorID>
      <errorWord>告示</errorWord>
      <group>L1_Word</group>
      <groupName>字词问题</groupName>
      <ability>L2_Typo</ability>
      <abilityName>字词错误</abilityName>
      <candidateList>
        <item>告知</item>
      </candidateList>
      <explain>存在发音相近字词的误用。</explain>
      <paraID>614FF739</paraID>
      <start>59</start>
      <end>61</end>
      <status>unmodified</status>
      <modifiedWord/>
      <trackRevisions>false</trackRevisions>
    </reviewItem>
    <reviewItem>
      <errorID>fb77f87e-05b9-49f9-9f84-175c82d6d4ad</errorID>
      <errorWord>(</errorWord>
      <group>L1_Format</group>
      <groupName>格式问题</groupName>
      <ability>L2_HalfPunc</ability>
      <abilityName>全半角检查</abilityName>
      <candidateList>
        <item>（</item>
      </candidateList>
      <explain>文本全半角错误。</explain>
      <paraID>4269F12B</paraID>
      <start>5</start>
      <end>6</end>
      <status>unmodified</status>
      <modifiedWord/>
      <trackRevisions>false</trackRevisions>
    </reviewItem>
    <reviewItem>
      <errorID>ed04b0fb-3ddf-4fc8-bacc-e535e5b04f6c</errorID>
      <errorWord>)</errorWord>
      <group>L1_Format</group>
      <groupName>格式问题</groupName>
      <ability>L2_HalfPunc</ability>
      <abilityName>全半角检查</abilityName>
      <candidateList>
        <item>）</item>
      </candidateList>
      <explain>文本全半角错误。</explain>
      <paraID>4269F12B</paraID>
      <start>15</start>
      <end>16</end>
      <status>unmodified</status>
      <modifiedWord/>
      <trackRevisions>false</trackRevisions>
    </reviewItem>
    <reviewItem>
      <errorID>339f0955-271f-4bb3-b268-f59ac215f5a3</errorID>
      <errorWord>地浊</errorWord>
      <group>L1_Word</group>
      <groupName>字词问题</groupName>
      <ability>L2_Typo</ability>
      <abilityName>字词错误</abilityName>
      <candidateList>
        <item>地温</item>
      </candidateList>
      <explain/>
      <paraID>6998F097</paraID>
      <start>53</start>
      <end>55</end>
      <status>unmodified</status>
      <modifiedWord/>
      <trackRevisions>false</trackRevisions>
    </reviewItem>
    <reviewItem>
      <errorID>4badcacc-f81e-4ae1-bcf0-a01e16475268</errorID>
      <errorWord>,</errorWord>
      <group>L1_Format</group>
      <groupName>格式问题</groupName>
      <ability>L2_HalfPunc</ability>
      <abilityName>全半角检查</abilityName>
      <candidateList>
        <item>，</item>
      </candidateList>
      <explain>文本全半角错误。</explain>
      <paraID>750DE3AF</paraID>
      <start>74</start>
      <end>75</end>
      <status>unmodified</status>
      <modifiedWord/>
      <trackRevisions>false</trackRevisions>
    </reviewItem>
    <reviewItem>
      <errorID>50933e95-1acf-4d70-9a11-7fe1eb498612</errorID>
      <errorWord>,</errorWord>
      <group>L1_Format</group>
      <groupName>格式问题</groupName>
      <ability>L2_HalfPunc</ability>
      <abilityName>全半角检查</abilityName>
      <candidateList>
        <item>，</item>
      </candidateList>
      <explain>文本全半角错误。</explain>
      <paraID>734EEBD6</paraID>
      <start>9</start>
      <end>10</end>
      <status>unmodified</status>
      <modifiedWord/>
      <trackRevisions>false</trackRevisions>
    </reviewItem>
    <reviewItem>
      <errorID>a627d6a2-5172-4732-b108-2910cf6bd4ba</errorID>
      <errorWord>,</errorWord>
      <group>L1_Format</group>
      <groupName>格式问题</groupName>
      <ability>L2_HalfPunc</ability>
      <abilityName>全半角检查</abilityName>
      <candidateList>
        <item>，</item>
      </candidateList>
      <explain>文本全半角错误。</explain>
      <paraID>734EEBD6</paraID>
      <start>22</start>
      <end>23</end>
      <status>unmodified</status>
      <modifiedWord/>
      <trackRevisions>false</trackRevisions>
    </reviewItem>
    <reviewItem>
      <errorID>ada0e51f-5e27-45da-bb6c-6a7f197545c1</errorID>
      <errorWord>,</errorWord>
      <group>L1_Format</group>
      <groupName>格式问题</groupName>
      <ability>L2_HalfPunc</ability>
      <abilityName>全半角检查</abilityName>
      <candidateList>
        <item>，</item>
      </candidateList>
      <explain>文本全半角错误。</explain>
      <paraID>734EEBD6</paraID>
      <start>29</start>
      <end>30</end>
      <status>unmodified</status>
      <modifiedWord/>
      <trackRevisions>false</trackRevisions>
    </reviewItem>
    <reviewItem>
      <errorID>bac78a0c-67fc-4252-a863-81b09b0efba9</errorID>
      <errorWord>,</errorWord>
      <group>L1_Format</group>
      <groupName>格式问题</groupName>
      <ability>L2_HalfPunc</ability>
      <abilityName>全半角检查</abilityName>
      <candidateList>
        <item>，</item>
      </candidateList>
      <explain>文本全半角错误。</explain>
      <paraID>734EEBD6</paraID>
      <start>35</start>
      <end>36</end>
      <status>unmodified</status>
      <modifiedWord/>
      <trackRevisions>false</trackRevisions>
    </reviewItem>
    <reviewItem>
      <errorID>cfb6f908-98dc-4d0e-a178-d626ea1e302a</errorID>
      <errorWord>,</errorWord>
      <group>L1_Format</group>
      <groupName>格式问题</groupName>
      <ability>L2_HalfPunc</ability>
      <abilityName>全半角检查</abilityName>
      <candidateList>
        <item>，</item>
      </candidateList>
      <explain>文本全半角错误。</explain>
      <paraID>734EEBD6</paraID>
      <start>42</start>
      <end>43</end>
      <status>unmodified</status>
      <modifiedWord/>
      <trackRevisions>false</trackRevisions>
    </reviewItem>
    <reviewItem>
      <errorID>480fb089-fa48-48d7-a3ee-4dea6672445b</errorID>
      <errorWord>(</errorWord>
      <group>L1_Format</group>
      <groupName>格式问题</groupName>
      <ability>L2_HalfPunc</ability>
      <abilityName>全半角检查</abilityName>
      <candidateList>
        <item>（</item>
      </candidateList>
      <explain>文本全半角错误。</explain>
      <paraID>7FF56120</paraID>
      <start>2</start>
      <end>3</end>
      <status>unmodified</status>
      <modifiedWord/>
      <trackRevisions>false</trackRevisions>
    </reviewItem>
    <reviewItem>
      <errorID>81d55d3b-116b-40f1-baa0-c9df6c371ecf</errorID>
      <errorWord>)</errorWord>
      <group>L1_Format</group>
      <groupName>格式问题</groupName>
      <ability>L2_HalfPunc</ability>
      <abilityName>全半角检查</abilityName>
      <candidateList>
        <item>）</item>
      </candidateList>
      <explain>文本全半角错误。</explain>
      <paraID>7FF56120</paraID>
      <start>8</start>
      <end>9</end>
      <status>unmodified</status>
      <modifiedWord/>
      <trackRevisions>false</trackRevisions>
    </reviewItem>
    <reviewItem>
      <errorID>519fb364-ba86-4fe0-9cf8-9de895bd2855</errorID>
      <errorWord>其它</errorWord>
      <group>L1_Word</group>
      <groupName>字词问题</groupName>
      <ability>L2_Alias</ability>
      <abilityName>也作/曾用词</abilityName>
      <candidateList>
        <item>其他</item>
      </candidateList>
      <explain>词汇[其它]为不规范表述或旧称，其规范书面表述为[其他]。</explain>
      <paraID>35FDF5B9</paraID>
      <start>26</start>
      <end>28</end>
      <status>unmodified</status>
      <modifiedWord/>
      <trackRevisions>false</trackRevisions>
    </reviewItem>
    <reviewItem>
      <errorID>6d09d536-6880-4804-a266-8ca6180f5301</errorID>
      <errorWord>,</errorWord>
      <group>L1_Format</group>
      <groupName>格式问题</groupName>
      <ability>L2_HalfPunc</ability>
      <abilityName>全半角检查</abilityName>
      <candidateList>
        <item>，</item>
      </candidateList>
      <explain>文本全半角错误。</explain>
      <paraID>1A8E56E9</paraID>
      <start>9</start>
      <end>10</end>
      <status>unmodified</status>
      <modifiedWord/>
      <trackRevisions>false</trackRevisions>
    </reviewItem>
    <reviewItem>
      <errorID>ca952299-f0f7-4922-9dce-b5ce61622356</errorID>
      <errorWord>具</errorWord>
      <group>L1_Word</group>
      <groupName>字词问题</groupName>
      <ability>L2_Typo</ability>
      <abilityName>字词错误</abilityName>
      <candidateList>
        <item>具有</item>
      </candidateList>
      <explain>〈动〉有（多用于抽象事物）：～信心｜～伟大的意义。</explain>
      <paraID>59CD847F</paraID>
      <start>29</start>
      <end>30</end>
      <status>unmodified</status>
      <modifiedWord/>
      <trackRevisions>false</trackRevisions>
    </reviewItem>
    <reviewItem>
      <errorID>b32a6656-5558-4d0c-bcaa-f61a1770b19d</errorID>
      <errorWord>具</errorWord>
      <group>L1_Word</group>
      <groupName>字词问题</groupName>
      <ability>L2_Typo</ability>
      <abilityName>字词错误</abilityName>
      <candidateList>
        <item>具有</item>
      </candidateList>
      <explain>〈动〉有（多用于抽象事物）：～信心｜～伟大的意义。</explain>
      <paraID>528F2B10</paraID>
      <start>13</start>
      <end>14</end>
      <status>unmodified</status>
      <modifiedWord/>
      <trackRevisions>false</trackRevisions>
    </reviewItem>
    <reviewItem>
      <errorID>cc05f9fe-ed0b-4a15-a671-0df2ece3281d</errorID>
      <errorWord>具</errorWord>
      <group>L1_Word</group>
      <groupName>字词问题</groupName>
      <ability>L2_Typo</ability>
      <abilityName>字词错误</abilityName>
      <candidateList>
        <item>具有</item>
      </candidateList>
      <explain>〈动〉有（多用于抽象事物）：～信心｜～伟大的意义。</explain>
      <paraID>42EDB0AC</paraID>
      <start>9</start>
      <end>10</end>
      <status>unmodified</status>
      <modifiedWord/>
      <trackRevisions>false</trackRevisions>
    </reviewItem>
    <reviewItem>
      <errorID>262e8c83-4ab3-4d42-a967-2f7e5da538ae</errorID>
      <errorWord>具</errorWord>
      <group>L1_Word</group>
      <groupName>字词问题</groupName>
      <ability>L2_Typo</ability>
      <abilityName>字词错误</abilityName>
      <candidateList>
        <item>具有</item>
      </candidateList>
      <explain>〈动〉有（多用于抽象事物）：～信心｜～伟大的意义。</explain>
      <paraID>7AF83C4F</paraID>
      <start>5</start>
      <end>6</end>
      <status>unmodified</status>
      <modifiedWord/>
      <trackRevisions>false</trackRevisions>
    </reviewItem>
    <reviewItem>
      <errorID>e0a6aaf1-33f3-474e-a0b7-2a6aff2cc39c</errorID>
      <errorWord>其它</errorWord>
      <group>L1_Word</group>
      <groupName>字词问题</groupName>
      <ability>L2_Alias</ability>
      <abilityName>也作/曾用词</abilityName>
      <candidateList>
        <item>其他</item>
      </candidateList>
      <explain>词汇[其它]为不规范表述或旧称，其规范书面表述为[其他]。</explain>
      <paraID>58E77D1F</paraID>
      <start>10</start>
      <end>12</end>
      <status>unmodified</status>
      <modifiedWord/>
      <trackRevisions>false</trackRevisions>
    </reviewItem>
    <reviewItem>
      <errorID>d1b31a74-587f-41df-8ee0-682ea2db8376</errorID>
      <errorWord>其它</errorWord>
      <group>L1_Word</group>
      <groupName>字词问题</groupName>
      <ability>L2_Alias</ability>
      <abilityName>也作/曾用词</abilityName>
      <candidateList>
        <item>其他</item>
      </candidateList>
      <explain>词汇[其它]为不规范表述或旧称，其规范书面表述为[其他]。</explain>
      <paraID>6BEC2331</paraID>
      <start>6</start>
      <end>8</end>
      <status>unmodified</status>
      <modifiedWord/>
      <trackRevisions>false</trackRevisions>
    </reviewItem>
    <reviewItem>
      <errorID>049d798a-5920-4655-b5cf-29f0308b349d</errorID>
      <errorWord>分车</errorWord>
      <group>L1_Word</group>
      <groupName>字词问题</groupName>
      <ability>L2_Typo</ability>
      <abilityName>字词错误</abilityName>
      <candidateList>
        <item>风车</item>
      </candidateList>
      <explain>存在发音相近字词的误用。</explain>
      <paraID>2DC05726</paraID>
      <start>32</start>
      <end>34</end>
      <status>unmodified</status>
      <modifiedWord/>
      <trackRevisions>false</trackRevisions>
    </reviewItem>
    <reviewItem>
      <errorID>b31639fe-9d42-4ecb-a602-09ab9cffd10a</errorID>
      <errorWord>具</errorWord>
      <group>L1_Word</group>
      <groupName>字词问题</groupName>
      <ability>L2_Typo</ability>
      <abilityName>字词错误</abilityName>
      <candidateList>
        <item>具有</item>
      </candidateList>
      <explain>〈动〉有（多用于抽象事物）：～信心｜～伟大的意义。</explain>
      <paraID>2F1DBE60</paraID>
      <start>5</start>
      <end>6</end>
      <status>unmodified</status>
      <modifiedWord/>
      <trackRevisions>false</trackRevisions>
    </reviewItem>
    <reviewItem>
      <errorID>a0167b1a-acb6-4f48-ad68-33920ec11b25</errorID>
      <errorWord>具</errorWord>
      <group>L1_Word</group>
      <groupName>字词问题</groupName>
      <ability>L2_Typo</ability>
      <abilityName>字词错误</abilityName>
      <candidateList>
        <item>具有</item>
      </candidateList>
      <explain>〈动〉有（多用于抽象事物）：～信心｜～伟大的意义。</explain>
      <paraID>20CBFE7B</paraID>
      <start>13</start>
      <end>14</end>
      <status>unmodified</status>
      <modifiedWord/>
      <trackRevisions>false</trackRevisions>
    </reviewItem>
    <reviewItem>
      <errorID>cce273c4-8f3c-4e9f-8a50-75854868d60e</errorID>
      <errorWord>具</errorWord>
      <group>L1_Word</group>
      <groupName>字词问题</groupName>
      <ability>L2_Typo</ability>
      <abilityName>字词错误</abilityName>
      <candidateList>
        <item>具有</item>
      </candidateList>
      <explain>〈动〉有（多用于抽象事物）：～信心｜～伟大的意义。</explain>
      <paraID>3A7B8955</paraID>
      <start>5</start>
      <end>6</end>
      <status>unmodified</status>
      <modifiedWord/>
      <trackRevisions>false</trackRevisions>
    </reviewItem>
    <reviewItem>
      <errorID>b9e3b8f4-18be-44b2-aa5c-ad3dc2956b80</errorID>
      <errorWord>具</errorWord>
      <group>L1_Word</group>
      <groupName>字词问题</groupName>
      <ability>L2_Typo</ability>
      <abilityName>字词错误</abilityName>
      <candidateList>
        <item>具有</item>
      </candidateList>
      <explain>〈动〉有（多用于抽象事物）：～信心｜～伟大的意义。</explain>
      <paraID>3A7B8955</paraID>
      <start>17</start>
      <end>18</end>
      <status>unmodified</status>
      <modifiedWord/>
      <trackRevisions>false</trackRevisions>
    </reviewItem>
    <reviewItem>
      <errorID>ab74c102-ebcd-4b3a-899b-4d086ca90b25</errorID>
      <errorWord>具</errorWord>
      <group>L1_Word</group>
      <groupName>字词问题</groupName>
      <ability>L2_Typo</ability>
      <abilityName>字词错误</abilityName>
      <candidateList>
        <item>具有</item>
      </candidateList>
      <explain>〈动〉有（多用于抽象事物）：～信心｜～伟大的意义。</explain>
      <paraID>7DD94D5E</paraID>
      <start>5</start>
      <end>6</end>
      <status>unmodified</status>
      <modifiedWord/>
      <trackRevisions>false</trackRevisions>
    </reviewItem>
    <reviewItem>
      <errorID>24300f42-0a31-417b-86cd-7cadc1351b95</errorID>
      <errorWord>具</errorWord>
      <group>L1_Word</group>
      <groupName>字词问题</groupName>
      <ability>L2_Typo</ability>
      <abilityName>字词错误</abilityName>
      <candidateList>
        <item>具有</item>
      </candidateList>
      <explain>〈动〉有（多用于抽象事物）：～信心｜～伟大的意义。</explain>
      <paraID> 9D8B01A</paraID>
      <start>0</start>
      <end>1</end>
      <status>unmodified</status>
      <modifiedWord/>
      <trackRevisions>false</trackRevisions>
    </reviewItem>
    <reviewItem>
      <errorID>3bd3241d-75e6-4437-884c-ce56c0861bc9</errorID>
      <errorWord>脚叶</errorWord>
      <group>L1_Word</group>
      <groupName>字词问题</groupName>
      <ability>L2_Typo</ability>
      <abilityName>字词错误</abilityName>
      <candidateList>
        <item>枝叶</item>
      </candidateList>
      <explain/>
      <paraID>537E5E22</paraID>
      <start>62</start>
      <end>64</end>
      <status>unmodified</status>
      <modifiedWord/>
      <trackRevisions>false</trackRevisions>
    </reviewItem>
    <reviewItem>
      <errorID>340b755b-3739-4cbe-9897-3d8e39027369</errorID>
      <errorWord>桩头</errorWord>
      <group>L1_Word</group>
      <groupName>字词问题</groupName>
      <ability>L2_Typo</ability>
      <abilityName>字词错误</abilityName>
      <candidateList>
        <item>桩</item>
      </candidateList>
      <explain/>
      <paraID>573B0072</paraID>
      <start>31</start>
      <end>33</end>
      <status>unmodified</status>
      <modifiedWord/>
      <trackRevisions>false</trackRevisions>
    </reviewItem>
    <reviewItem>
      <errorID>ded23dbd-c4e7-4932-9121-3ca37692de9a</errorID>
      <errorWord>高</errorWord>
      <group>L1_Word</group>
      <groupName>字词问题</groupName>
      <ability>L2_Typo</ability>
      <abilityName>字词错误</abilityName>
      <candidateList>
        <item>高度</item>
      </candidateList>
      <explain>❶〈名〉高低的程度；从地面或基准面向上到某处的距离；从物体的底部到顶端的距离：飞行的～｜这座山的～是四千二百米。❷〈形〉属性词。程度很高的：～的劳动热情｜～评价他的业绩｜这个问题应该受到～重视。</explain>
      <paraID> 3372054</paraID>
      <start>10</start>
      <end>11</end>
      <status>unmodified</status>
      <modifiedWord/>
      <trackRevisions>false</trackRevisions>
    </reviewItem>
    <reviewItem>
      <errorID>5d9ff937-1b8f-4eaf-aa2b-e211fd073f10</errorID>
      <errorWord>其它</errorWord>
      <group>L1_Word</group>
      <groupName>字词问题</groupName>
      <ability>L2_Alias</ability>
      <abilityName>也作/曾用词</abilityName>
      <candidateList>
        <item>其他</item>
      </candidateList>
      <explain>词汇[其它]为不规范表述或旧称，其规范书面表述为[其他]。</explain>
      <paraID> 3372054</paraID>
      <start>72</start>
      <end>74</end>
      <status>unmodified</status>
      <modifiedWord/>
      <trackRevisions>false</trackRevisions>
    </reviewItem>
    <reviewItem>
      <errorID>ee44407f-6bb0-4eb8-ae8c-9a88166ca9dd</errorID>
      <errorWord>其它</errorWord>
      <group>L1_Word</group>
      <groupName>字词问题</groupName>
      <ability>L2_Alias</ability>
      <abilityName>也作/曾用词</abilityName>
      <candidateList>
        <item>其他</item>
      </candidateList>
      <explain>词汇[其它]为不规范表述或旧称，其规范书面表述为[其他]。</explain>
      <paraID>6D5E93CA</paraID>
      <start>73</start>
      <end>75</end>
      <status>unmodified</status>
      <modifiedWord/>
      <trackRevisions>false</trackRevisions>
    </reviewItem>
    <reviewItem>
      <errorID>7439f712-a051-4ca1-b015-cefdaaae89ec</errorID>
      <errorWord>具</errorWord>
      <group>L1_Word</group>
      <groupName>字词问题</groupName>
      <ability>L2_Typo</ability>
      <abilityName>字词错误</abilityName>
      <candidateList>
        <item>具有</item>
      </candidateList>
      <explain>〈动〉有（多用于抽象事物）：～信心｜～伟大的意义。</explain>
      <paraID>2E26D1F4</paraID>
      <start>7</start>
      <end>8</end>
      <status>unmodified</status>
      <modifiedWord/>
      <trackRevisions>false</trackRevisions>
    </reviewItem>
    <reviewItem>
      <errorID>7228851d-5451-4d6e-a5af-4c2589a66a16</errorID>
      <errorWord>达至</errorWord>
      <group>L1_Word</group>
      <groupName>字词问题</groupName>
      <ability>L2_Typo</ability>
      <abilityName>字词错误</abilityName>
      <candidateList>
        <item>达到</item>
      </candidateList>
      <explain>〈动〉到（多指抽象事物或程度）：达得到｜达不到｜目的没有～｜～国际水平。</explain>
      <paraID>19FE7DCE</paraID>
      <start>36</start>
      <end>38</end>
      <status>unmodified</status>
      <modifiedWord/>
      <trackRevisions>false</trackRevisions>
    </reviewItem>
    <reviewItem>
      <errorID>a5fc26d6-e656-4b6e-8eb4-5f5b45c07c9e</errorID>
      <errorWord>具</errorWord>
      <group>L1_Word</group>
      <groupName>字词问题</groupName>
      <ability>L2_Typo</ability>
      <abilityName>字词错误</abilityName>
      <candidateList>
        <item>具有</item>
      </candidateList>
      <explain>〈动〉有（多用于抽象事物）：～信心｜～伟大的意义。</explain>
      <paraID>29B2B9DB</paraID>
      <start>26</start>
      <end>27</end>
      <status>unmodified</status>
      <modifiedWord/>
      <trackRevisions>false</trackRevisions>
    </reviewItem>
    <reviewItem>
      <errorID>6ccb31d6-5d18-4622-812f-4d69b3812e4e</errorID>
      <errorWord>脚叶</errorWord>
      <group>L1_Word</group>
      <groupName>字词问题</groupName>
      <ability>L2_Typo</ability>
      <abilityName>字词错误</abilityName>
      <candidateList>
        <item>枝叶</item>
      </candidateList>
      <explain/>
      <paraID>29B2B9DB</paraID>
      <start>58</start>
      <end>60</end>
      <status>unmodified</status>
      <modifiedWord/>
      <trackRevisions>false</trackRevisions>
    </reviewItem>
    <reviewItem>
      <errorID>b2751098-afa3-4cef-b0b7-619be8479d20</errorID>
      <errorWord>桩头</errorWord>
      <group>L1_Word</group>
      <groupName>字词问题</groupName>
      <ability>L2_Typo</ability>
      <abilityName>字词错误</abilityName>
      <candidateList>
        <item>桩</item>
      </candidateList>
      <explain/>
      <paraID>676F0795</paraID>
      <start>15</start>
      <end>17</end>
      <status>unmodified</status>
      <modifiedWord/>
      <trackRevisions>false</trackRevisions>
    </reviewItem>
    <reviewItem>
      <errorID>d4310c3a-54fd-4151-bf1c-41b093578471</errorID>
      <errorWord>高</errorWord>
      <group>L1_Word</group>
      <groupName>字词问题</groupName>
      <ability>L2_Typo</ability>
      <abilityName>字词错误</abilityName>
      <candidateList>
        <item>高度</item>
      </candidateList>
      <explain>❶〈名〉高低的程度；从地面或基准面向上到某处的距离；从物体的底部到顶端的距离：飞行的～｜这座山的～是四千二百米。❷〈形〉属性词。程度很高的：～的劳动热情｜～评价他的业绩｜这个问题应该受到～重视。</explain>
      <paraID>67409EA8</paraID>
      <start>10</start>
      <end>11</end>
      <status>unmodified</status>
      <modifiedWord/>
      <trackRevisions>false</trackRevisions>
    </reviewItem>
    <reviewItem>
      <errorID>1271a960-df1c-4248-95b5-766afab2e3d2</errorID>
      <errorWord>其它</errorWord>
      <group>L1_Word</group>
      <groupName>字词问题</groupName>
      <ability>L2_Alias</ability>
      <abilityName>也作/曾用词</abilityName>
      <candidateList>
        <item>其他</item>
      </candidateList>
      <explain>词汇[其它]为不规范表述或旧称，其规范书面表述为[其他]。</explain>
      <paraID>67409EA8</paraID>
      <start>71</start>
      <end>73</end>
      <status>unmodified</status>
      <modifiedWord/>
      <trackRevisions>false</trackRevisions>
    </reviewItem>
    <reviewItem>
      <errorID>3c9f16c1-3c1a-4a62-86b9-6d12d55544e6</errorID>
      <errorWord>其它</errorWord>
      <group>L1_Word</group>
      <groupName>字词问题</groupName>
      <ability>L2_Alias</ability>
      <abilityName>也作/曾用词</abilityName>
      <candidateList>
        <item>其他</item>
      </candidateList>
      <explain>词汇[其它]为不规范表述或旧称，其规范书面表述为[其他]。</explain>
      <paraID>7E158972</paraID>
      <start>30</start>
      <end>32</end>
      <status>unmodified</status>
      <modifiedWord/>
      <trackRevisions>false</trackRevisions>
    </reviewItem>
    <reviewItem>
      <errorID>91c40c5e-e460-47ff-b80a-128515998bb5</errorID>
      <errorWord>其它</errorWord>
      <group>L1_Word</group>
      <groupName>字词问题</groupName>
      <ability>L2_Alias</ability>
      <abilityName>也作/曾用词</abilityName>
      <candidateList>
        <item>其他</item>
      </candidateList>
      <explain>词汇[其它]为不规范表述或旧称，其规范书面表述为[其他]。</explain>
      <paraID>7E158972</paraID>
      <start>87</start>
      <end>89</end>
      <status>unmodified</status>
      <modifiedWord/>
      <trackRevisions>false</trackRevisions>
    </reviewItem>
    <reviewItem>
      <errorID>f286e475-97fb-414e-8b48-7cb132b5cf36</errorID>
      <errorWord>达至</errorWord>
      <group>L1_Word</group>
      <groupName>字词问题</groupName>
      <ability>L2_Typo</ability>
      <abilityName>字词错误</abilityName>
      <candidateList>
        <item>达到</item>
      </candidateList>
      <explain>〈动〉到（多指抽象事物或程度）：达得到｜达不到｜目的没有～｜～国际水平。</explain>
      <paraID>  458033</paraID>
      <start>36</start>
      <end>38</end>
      <status>unmodified</status>
      <modifiedWord/>
      <trackRevisions>false</trackRevisions>
    </reviewItem>
    <reviewItem>
      <errorID>414887e4-7f3d-4ff4-9eb3-4431debc65f3</errorID>
      <errorWord>具</errorWord>
      <group>L1_Word</group>
      <groupName>字词问题</groupName>
      <ability>L2_Typo</ability>
      <abilityName>字词错误</abilityName>
      <candidateList>
        <item>具有</item>
      </candidateList>
      <explain>〈动〉有（多用于抽象事物）：～信心｜～伟大的意义。</explain>
      <paraID>3F8D983B</paraID>
      <start>9</start>
      <end>10</end>
      <status>unmodified</status>
      <modifiedWord/>
      <trackRevisions>false</trackRevisions>
    </reviewItem>
    <reviewItem>
      <errorID>a31b57e7-48a5-4246-93ae-bbef05ae4894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7FFE48D1</paraID>
      <start>76</start>
      <end>77</end>
      <status>unmodified</status>
      <modifiedWord/>
      <trackRevisions>false</trackRevisions>
    </reviewItem>
    <reviewItem>
      <errorID>d5a46f31-8658-49f2-93cf-34f7894f05fc</errorID>
      <errorWord>超</errorWord>
      <group>L1_Word</group>
      <groupName>字词问题</groupName>
      <ability>L2_Typo</ability>
      <abilityName>字词错误</abilityName>
      <candidateList>
        <item>超过</item>
      </candidateList>
      <explain/>
      <paraID> 72E78FB</paraID>
      <start>32</start>
      <end>33</end>
      <status>unmodified</status>
      <modifiedWord/>
      <trackRevisions>false</trackRevisions>
    </reviewItem>
    <reviewItem>
      <errorID>2c6eec77-232f-4229-88d6-80452e6c6aae</errorID>
      <errorWord>,</errorWord>
      <group>L1_Format</group>
      <groupName>格式问题</groupName>
      <ability>L2_HalfPunc</ability>
      <abilityName>全半角检查</abilityName>
      <candidateList>
        <item>，</item>
      </candidateList>
      <explain>文本全半角错误。</explain>
      <paraID>53377FE7</paraID>
      <start>42</start>
      <end>43</end>
      <status>unmodified</status>
      <modifiedWord/>
      <trackRevisions>false</trackRevisions>
    </reviewItem>
    <reviewItem>
      <errorID>c71f674f-ab95-472d-a0d0-e9ff47de0ca7</errorID>
      <errorWord>。。</errorWord>
      <group>L1_Punc</group>
      <groupName>标点问题</groupName>
      <ability>L2_Punc</ability>
      <abilityName>标点符号检查</abilityName>
      <candidateList>
        <item>。</item>
      </candidateList>
      <explain/>
      <paraID>6880FB0B</paraID>
      <start>24</start>
      <end>26</end>
      <status>unmodified</status>
      <modifiedWord/>
      <trackRevisions>false</trackRevisions>
    </reviewItem>
    <reviewItem>
      <errorID>26b23539-78a1-44fd-ae85-ca132929791d</errorID>
      <errorWord>，</errorWord>
      <group>L1_Word</group>
      <groupName>字词问题</groupName>
      <ability>L2_Typo</ability>
      <abilityName>字词错误</abilityName>
      <candidateList>
        <item>，在</item>
      </candidateList>
      <explain/>
      <paraID>57504A0A</paraID>
      <start>76</start>
      <end>77</end>
      <status>unmodified</status>
      <modifiedWord/>
      <trackRevisions>false</trackRevisions>
    </reviewItem>
    <reviewItem>
      <errorID>a4c42aa9-895e-43e5-a031-a7d2d71f357d</errorID>
      <errorWord>(</errorWord>
      <group>L1_Format</group>
      <groupName>格式问题</groupName>
      <ability>L2_HalfPunc</ability>
      <abilityName>全半角检查</abilityName>
      <candidateList>
        <item>（</item>
      </candidateList>
      <explain>文本全半角错误。</explain>
      <paraID>2331B843</paraID>
      <start>65</start>
      <end>66</end>
      <status>unmodified</status>
      <modifiedWord/>
      <trackRevisions>false</trackRevisions>
    </reviewItem>
    <reviewItem>
      <errorID>6cf87b19-6e89-44ed-9cd5-c2547e08571e</errorID>
      <errorWord>)</errorWord>
      <group>L1_Format</group>
      <groupName>格式问题</groupName>
      <ability>L2_HalfPunc</ability>
      <abilityName>全半角检查</abilityName>
      <candidateList>
        <item>）</item>
      </candidateList>
      <explain>文本全半角错误。</explain>
      <paraID>2331B843</paraID>
      <start>83</start>
      <end>84</end>
      <status>unmodified</status>
      <modifiedWord/>
      <trackRevisions>false</trackRevisions>
    </reviewItem>
    <reviewItem>
      <errorID>581f9313-8264-4aab-8451-8af4b48b71ce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21A3B5EA</paraID>
      <start>22</start>
      <end>23</end>
      <status>unmodified</status>
      <modifiedWord/>
      <trackRevisions>false</trackRevisions>
    </reviewItem>
    <reviewItem>
      <errorID>216e6b2a-e139-42d4-a198-29173a8aea0f</errorID>
      <errorWord>.</errorWord>
      <group>L1_Format</group>
      <groupName>格式问题</groupName>
      <ability>L2_HalfPunc</ability>
      <abilityName>全半角检查</abilityName>
      <candidateList>
        <item>。</item>
      </candidateList>
      <explain>文本全半角错误。</explain>
      <paraID> F736558</paraID>
      <start>88</start>
      <end>89</end>
      <status>unmodified</status>
      <modifiedWord/>
      <trackRevisions>false</trackRevisions>
    </reviewItem>
    <reviewItem>
      <errorID>32ca9bdc-4bec-4df7-b3a8-2fe0762ddd2b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5C41CAA8</paraID>
      <start>23</start>
      <end>24</end>
      <status>unmodified</status>
      <modifiedWord/>
      <trackRevisions>false</trackRevisions>
    </reviewItem>
    <reviewItem>
      <errorID>6cc179d5-8c5a-4725-810a-ced5a543ebbf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7EC14C37</paraID>
      <start>16</start>
      <end>17</end>
      <status>unmodified</status>
      <modifiedWord/>
      <trackRevisions>false</trackRevisions>
    </reviewItem>
    <reviewItem>
      <errorID>028643b8-bb89-4d2b-bfd6-1c7975bdc3f6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48851C28</paraID>
      <start>0</start>
      <end>2</end>
      <status>unmodified</status>
      <modifiedWord/>
      <trackRevisions>false</trackRevisions>
    </reviewItem>
    <reviewItem>
      <errorID>75bd2e59-5a53-40fb-9485-88147947468e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F9B7661</paraID>
      <start>0</start>
      <end>2</end>
      <status>unmodified</status>
      <modifiedWord/>
      <trackRevisions>false</trackRevisions>
    </reviewItem>
    <reviewItem>
      <errorID>b5f6d232-5dae-4aae-9909-b1efd155f345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A099132</paraID>
      <start>0</start>
      <end>2</end>
      <status>unmodified</status>
      <modifiedWord/>
      <trackRevisions>false</trackRevisions>
    </reviewItem>
    <reviewItem>
      <errorID>4edc29a3-f4bc-49b6-9b9a-711e901e7899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2D35614A</paraID>
      <start>0</start>
      <end>2</end>
      <status>unmodified</status>
      <modifiedWord/>
      <trackRevisions>false</trackRevisions>
    </reviewItem>
    <reviewItem>
      <errorID>31b7e539-e5de-4e67-9999-bc10c3f22c64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6C7A8FC7</paraID>
      <start>0</start>
      <end>2</end>
      <status>unmodified</status>
      <modifiedWord/>
      <trackRevisions>false</trackRevisions>
    </reviewItem>
    <reviewItem>
      <errorID>0331f8b6-7f61-4572-9a38-fa2709015dbf</errorID>
      <errorWord>提高</errorWord>
      <group>L1_Grammar</group>
      <groupName>语法问题</groupName>
      <ability>L2_Grammar</ability>
      <abilityName>语法错误</abilityName>
      <candidateList>
        <item>增强</item>
      </candidateList>
      <explain>“提高～意识”搭配不当，建议修改为“增强～意识”。</explain>
      <paraID>3ED14600</paraID>
      <start>2</start>
      <end>4</end>
      <status>unmodified</status>
      <modifiedWord/>
      <trackRevisions>false</trackRevisions>
    </reviewItem>
    <reviewItem>
      <errorID>d1bae0c3-17c0-4a24-8086-85f7daca10bd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49C46926</paraID>
      <start>27</start>
      <end>28</end>
      <status>unmodified</status>
      <modifiedWord/>
      <trackRevisions>false</trackRevisions>
    </reviewItem>
    <reviewItem>
      <errorID>3e915767-36d8-4b9d-a3bc-7c2e35499beb</errorID>
      <errorWord>其它</errorWord>
      <group>L1_Word</group>
      <groupName>字词问题</groupName>
      <ability>L2_Alias</ability>
      <abilityName>也作/曾用词</abilityName>
      <candidateList>
        <item>其他</item>
      </candidateList>
      <explain>词汇[其它]为不规范表述或旧称，其规范书面表述为[其他]。</explain>
      <paraID>4002F899</paraID>
      <start>0</start>
      <end>2</end>
      <status>unmodified</status>
      <modifiedWord/>
      <trackRevisions>false</trackRevisions>
    </reviewItem>
    <reviewItem>
      <errorID>8dc09e61-7982-406e-840a-a2466cb354ec</errorID>
      <errorWord>（</errorWord>
      <group>L1_Punc</group>
      <groupName>标点问题</groupName>
      <ability>L2_Punc</ability>
      <abilityName>标点符号检查</abilityName>
      <candidateList/>
      <explain>同一形式括号套用。</explain>
      <paraID>790A56DD</paraID>
      <start>124</start>
      <end>125</end>
      <status>unmodified</status>
      <modifiedWord/>
      <trackRevisions>false</trackRevisions>
    </reviewItem>
    <reviewItem>
      <errorID>72b669b6-6699-4f41-a965-e8fff903ac41</errorID>
      <errorWord>）</errorWord>
      <group>L1_Punc</group>
      <groupName>标点问题</groupName>
      <ability>L2_Punc</ability>
      <abilityName>标点符号检查</abilityName>
      <candidateList/>
      <explain>同一形式括号套用。</explain>
      <paraID>790A56DD</paraID>
      <start>126</start>
      <end>127</end>
      <status>unmodified</status>
      <modifiedWord/>
      <trackRevisions>false</trackRevisions>
    </reviewItem>
    <reviewItem>
      <errorID>8cfed51d-ae96-4cea-9908-c609f1dba301</errorID>
      <errorWord>（</errorWord>
      <group>L1_Punc</group>
      <groupName>标点问题</groupName>
      <ability>L2_Punc</ability>
      <abilityName>标点符号检查</abilityName>
      <candidateList/>
      <explain>同一形式括号套用。</explain>
      <paraID>790A56DD</paraID>
      <start>138</start>
      <end>139</end>
      <status>unmodified</status>
      <modifiedWord/>
      <trackRevisions>false</trackRevisions>
    </reviewItem>
    <reviewItem>
      <errorID>e610ec94-cf41-4074-9385-934285061676</errorID>
      <errorWord>）</errorWord>
      <group>L1_Punc</group>
      <groupName>标点问题</groupName>
      <ability>L2_Punc</ability>
      <abilityName>标点符号检查</abilityName>
      <candidateList/>
      <explain>同一形式括号套用。</explain>
      <paraID>790A56DD</paraID>
      <start>140</start>
      <end>141</end>
      <status>unmodified</status>
      <modifiedWord/>
      <trackRevisions>false</trackRevisions>
    </reviewItem>
    <reviewItem>
      <errorID>4f375917-0090-4d84-bb52-088b59627795</errorID>
      <errorWord>其它</errorWord>
      <group>L1_Word</group>
      <groupName>字词问题</groupName>
      <ability>L2_Alias</ability>
      <abilityName>也作/曾用词</abilityName>
      <candidateList>
        <item>其他</item>
      </candidateList>
      <explain>词汇[其它]为不规范表述或旧称，其规范书面表述为[其他]。</explain>
      <paraID>38250088</paraID>
      <start>47</start>
      <end>49</end>
      <status>unmodified</status>
      <modifiedWord/>
      <trackRevisions>false</trackRevisions>
    </reviewItem>
    <reviewItem>
      <errorID>c863ebed-826b-4770-ad3b-5a75d5712d2e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3B9D67D1</paraID>
      <start>41</start>
      <end>42</end>
      <status>unmodified</status>
      <modifiedWord/>
      <trackRevisions>false</trackRevisions>
    </reviewItem>
    <reviewItem>
      <errorID>606dfcad-b206-4698-84bd-45790d956600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16128DC2</paraID>
      <start>10</start>
      <end>11</end>
      <status>unmodified</status>
      <modifiedWord/>
      <trackRevisions>false</trackRevisions>
    </reviewItem>
    <reviewItem>
      <errorID>b41b779b-9759-4820-bede-a568183d40b5</errorID>
      <errorWord>月的</errorWord>
      <group>L1_Word</group>
      <groupName>字词问题</groupName>
      <ability>L2_Typo</ability>
      <abilityName>字词错误</abilityName>
      <candidateList>
        <item>月</item>
      </candidateList>
      <explain/>
      <paraID>16128DC2</paraID>
      <start>42</start>
      <end>44</end>
      <status>unmodified</status>
      <modifiedWord/>
      <trackRevisions>false</trackRevisions>
    </reviewItem>
    <reviewItem>
      <errorID>a58cd089-350f-4cef-9fc0-7689a442c1d5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6007C4B9</paraID>
      <start>31</start>
      <end>32</end>
      <status>unmodified</status>
      <modifiedWord/>
      <trackRevisions>false</trackRevisions>
    </reviewItem>
    <reviewItem>
      <errorID>0f41e82b-1609-4bf8-b4c2-10bd387b3745</errorID>
      <errorWord>其它</errorWord>
      <group>L1_Word</group>
      <groupName>字词问题</groupName>
      <ability>L2_Alias</ability>
      <abilityName>也作/曾用词</abilityName>
      <candidateList>
        <item>其他</item>
      </candidateList>
      <explain>词汇[其它]为不规范表述或旧称，其规范书面表述为[其他]。</explain>
      <paraID>41F420A9</paraID>
      <start>44</start>
      <end>46</end>
      <status>unmodified</status>
      <modifiedWord/>
      <trackRevisions>false</trackRevisions>
    </reviewItem>
    <reviewItem>
      <errorID>f1bf5d54-e419-44c0-a73f-3535e82ac427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37770C5F</paraID>
      <start>34</start>
      <end>35</end>
      <status>unmodified</status>
      <modifiedWord/>
      <trackRevisions>false</trackRevisions>
    </reviewItem>
    <reviewItem>
      <errorID>e99ad522-3479-44b4-89cc-3e1db9227f0d</errorID>
      <errorWord>.</errorWord>
      <group>L1_Format</group>
      <groupName>格式问题</groupName>
      <ability>L2_HalfPunc</ability>
      <abilityName>全半角检查</abilityName>
      <candidateList>
        <item>。</item>
      </candidateList>
      <explain>文本全半角错误。</explain>
      <paraID>74250E75</paraID>
      <start>34</start>
      <end>35</end>
      <status>unmodified</status>
      <modifiedWord/>
      <trackRevisions>false</trackRevisions>
    </reviewItem>
    <reviewItem>
      <errorID>fe5de304-f16b-4a12-acf8-5242151e12b9</errorID>
      <errorWord>二倍</errorWord>
      <group>L1_Word</group>
      <groupName>字词问题</groupName>
      <ability>L2_Typo</ability>
      <abilityName>字词错误</abilityName>
      <candidateList>
        <item>两倍</item>
      </candidateList>
      <explain/>
      <paraID>18EF2D8F</paraID>
      <start>42</start>
      <end>44</end>
      <status>unmodified</status>
      <modifiedWord/>
      <trackRevisions>false</trackRevisions>
    </reviewItem>
    <reviewItem>
      <errorID>f066afbe-2436-4389-9410-0d82257ece18</errorID>
      <errorWord>(</errorWord>
      <group>L1_Format</group>
      <groupName>格式问题</groupName>
      <ability>L2_HalfPunc</ability>
      <abilityName>全半角检查</abilityName>
      <candidateList>
        <item>（</item>
      </candidateList>
      <explain>文本全半角错误。</explain>
      <paraID>355EABDE</paraID>
      <start>2</start>
      <end>3</end>
      <status>unmodified</status>
      <modifiedWord/>
      <trackRevisions>false</trackRevisions>
    </reviewItem>
    <reviewItem>
      <errorID>3b4f5da9-d4fa-48aa-846b-7e685d83144c</errorID>
      <errorWord>)</errorWord>
      <group>L1_Format</group>
      <groupName>格式问题</groupName>
      <ability>L2_HalfPunc</ability>
      <abilityName>全半角检查</abilityName>
      <candidateList>
        <item>）</item>
      </candidateList>
      <explain>文本全半角错误。</explain>
      <paraID>355EABDE</paraID>
      <start>4</start>
      <end>5</end>
      <status>unmodified</status>
      <modifiedWord/>
      <trackRevisions>false</trackRevisions>
    </reviewItem>
    <reviewItem>
      <errorID>07259d9d-dde2-4f87-a3ae-3176291e929c</errorID>
      <errorWord>其它</errorWord>
      <group>L1_Word</group>
      <groupName>字词问题</groupName>
      <ability>L2_Alias</ability>
      <abilityName>也作/曾用词</abilityName>
      <candidateList>
        <item>其他</item>
      </candidateList>
      <explain>词汇[其它]为不规范表述或旧称，其规范书面表述为[其他]。</explain>
      <paraID>6F5B953F</paraID>
      <start>0</start>
      <end>2</end>
      <status>unmodified</status>
      <modifiedWord/>
      <trackRevisions>false</trackRevisions>
    </reviewItem>
    <reviewItem>
      <errorID>406dea08-b886-42e6-a3b1-ba267f02643f</errorID>
      <errorWord>(</errorWord>
      <group>L1_Format</group>
      <groupName>格式问题</groupName>
      <ability>L2_HalfPunc</ability>
      <abilityName>全半角检查</abilityName>
      <candidateList>
        <item>（</item>
      </candidateList>
      <explain>文本全半角错误。</explain>
      <paraID>13BB7A9C</paraID>
      <start>23</start>
      <end>24</end>
      <status>unmodified</status>
      <modifiedWord/>
      <trackRevisions>false</trackRevisions>
    </reviewItem>
    <reviewItem>
      <errorID>41ccadeb-3e4a-4153-87dc-9d4d6d8261c6</errorID>
      <errorWord>二倍</errorWord>
      <group>L1_Word</group>
      <groupName>字词问题</groupName>
      <ability>L2_Typo</ability>
      <abilityName>字词错误</abilityName>
      <candidateList>
        <item>两倍</item>
      </candidateList>
      <explain/>
      <paraID>11857218</paraID>
      <start>42</start>
      <end>44</end>
      <status>unmodified</status>
      <modifiedWord/>
      <trackRevisions>false</trackRevisions>
    </reviewItem>
    <reviewItem>
      <errorID>2805cf22-6493-434b-8ebd-df5cd4ea3e6a</errorID>
      <errorWord>&gt;</errorWord>
      <group>L1_Format</group>
      <groupName>格式问题</groupName>
      <ability>L2_HalfPunc</ability>
      <abilityName>全半角检查</abilityName>
      <candidateList>
        <item>〉</item>
      </candidateList>
      <explain>文本全半角错误。</explain>
      <paraID>18D54DA0</paraID>
      <start>29</start>
      <end>30</end>
      <status>unmodified</status>
      <modifiedWord/>
      <trackRevisions>false</trackRevisions>
    </reviewItem>
    <reviewItem>
      <errorID>0d6a18f0-d97d-4e14-ba29-7fd4bfac596c</errorID>
      <errorWord>:</errorWord>
      <group>L1_Format</group>
      <groupName>格式问题</groupName>
      <ability>L2_HalfPunc</ability>
      <abilityName>全半角检查</abilityName>
      <candidateList>
        <item>：</item>
      </candidateList>
      <explain>文本全半角错误。</explain>
      <paraID>26339647</paraID>
      <start>5</start>
      <end>6</end>
      <status>unmodified</status>
      <modifiedWord/>
      <trackRevisions>false</trackRevisions>
    </reviewItem>
    <reviewItem>
      <errorID>5397044b-dc0c-4ba3-9748-4f62d158be40</errorID>
      <errorWord>:</errorWord>
      <group>L1_Format</group>
      <groupName>格式问题</groupName>
      <ability>L2_HalfPunc</ability>
      <abilityName>全半角检查</abilityName>
      <candidateList>
        <item>：</item>
      </candidateList>
      <explain>文本全半角错误。</explain>
      <paraID> 32531E0</paraID>
      <start>5</start>
      <end>6</end>
      <status>unmodified</status>
      <modifiedWord/>
      <trackRevisions>false</trackRevisions>
    </reviewItem>
    <reviewItem>
      <errorID>cd6d7713-c3c1-4df0-95d1-b50df520c198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7AFF981E</paraID>
      <start>13</start>
      <end>14</end>
      <status>unmodified</status>
      <modifiedWord/>
      <trackRevisions>false</trackRevisions>
    </reviewItem>
    <reviewItem>
      <errorID>19ba9884-6f35-42da-b14b-58303e4276b3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1CA85142</paraID>
      <start>20</start>
      <end>21</end>
      <status>unmodified</status>
      <modifiedWord/>
      <trackRevisions>false</trackRevisions>
    </reviewItem>
    <reviewItem>
      <errorID>6714697b-1bca-4fe6-8da6-2915f8989638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313C0A68</paraID>
      <start>11</start>
      <end>12</end>
      <status>unmodified</status>
      <modifiedWord/>
      <trackRevisions>false</trackRevisions>
    </reviewItem>
    <reviewItem>
      <errorID>fcf21e11-aeff-4646-b305-667ac2df4668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37F9A19F</paraID>
      <start>15</start>
      <end>16</end>
      <status>unmodified</status>
      <modifiedWord/>
      <trackRevisions>false</trackRevisions>
    </reviewItem>
    <reviewItem>
      <errorID>5b02bdab-d90d-41c3-b84f-b588f0bf938c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7916A884</paraID>
      <start>15</start>
      <end>16</end>
      <status>unmodified</status>
      <modifiedWord/>
      <trackRevisions>false</trackRevisions>
    </reviewItem>
    <reviewItem>
      <errorID>c7832967-7eac-4346-869e-b8e1a7fb02a3</errorID>
      <errorWord>进行实施</errorWord>
      <group>L1_Word</group>
      <groupName>字词问题</groupName>
      <ability>L2_Typo</ability>
      <abilityName>字词错误</abilityName>
      <candidateList>
        <item>实施</item>
      </candidateList>
      <explain>〈动〉实行（法令、政策等）：付诸～｜～细则｜～新的办法。</explain>
      <paraID>54ADBFA0</paraID>
      <start>56</start>
      <end>60</end>
      <status>unmodified</status>
      <modifiedWord/>
      <trackRevisions>false</trackRevisions>
    </reviewItem>
    <reviewItem>
      <errorID>1e2a033c-8d66-4fc2-8715-34ff3ffba932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42D31C30</paraID>
      <start>0</start>
      <end>2</end>
      <status>unmodified</status>
      <modifiedWord/>
      <trackRevisions>false</trackRevisions>
    </reviewItem>
    <reviewItem>
      <errorID>3963cf0a-4ea7-4fdc-9dd1-2db1ee6bc960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7C9B2D8C</paraID>
      <start>0</start>
      <end>2</end>
      <status>unmodified</status>
      <modifiedWord/>
      <trackRevisions>false</trackRevisions>
    </reviewItem>
    <reviewItem>
      <errorID>522b23a5-910b-4e34-b5f2-135d92c4ca32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596B4AD1</paraID>
      <start>0</start>
      <end>2</end>
      <status>unmodified</status>
      <modifiedWord/>
      <trackRevisions>false</trackRevisions>
    </reviewItem>
    <reviewItem>
      <errorID>d5486fc2-b616-4033-8b41-ac9aec589875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3E84E4F2</paraID>
      <start>0</start>
      <end>2</end>
      <status>unmodified</status>
      <modifiedWord/>
      <trackRevisions>false</trackRevisions>
    </reviewItem>
    <reviewItem>
      <errorID>efad18d6-6d5a-4f4b-a269-ed54cdc85bd8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778A8D2D</paraID>
      <start>0</start>
      <end>2</end>
      <status>unmodified</status>
      <modifiedWord/>
      <trackRevisions>false</trackRevisions>
    </reviewItem>
    <reviewItem>
      <errorID>4cd656bc-8191-4517-9341-ba20b23e65d0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5FDFEC5D</paraID>
      <start>0</start>
      <end>2</end>
      <status>unmodified</status>
      <modifiedWord/>
      <trackRevisions>false</trackRevisions>
    </reviewItem>
    <reviewItem>
      <errorID>4fad1e31-8bcd-44f8-a228-c78b7dfa1823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4A0AFFB4</paraID>
      <start>0</start>
      <end>2</end>
      <status>unmodified</status>
      <modifiedWord/>
      <trackRevisions>false</trackRevisions>
    </reviewItem>
    <reviewItem>
      <errorID>872bdbf0-c1b3-47fe-a221-df5d077316dc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31FEED08</paraID>
      <start>0</start>
      <end>2</end>
      <status>unmodified</status>
      <modifiedWord/>
      <trackRevisions>false</trackRevisions>
    </reviewItem>
    <reviewItem>
      <errorID>e5ee8deb-dc29-488e-9904-89004f0f0430</errorID>
      <errorWord>车辆</errorWord>
      <group>L1_Word</group>
      <groupName>字词问题</groupName>
      <ability>L2_Typo</ability>
      <abilityName>字词错误</abilityName>
      <candidateList>
        <item>辆</item>
      </candidateList>
      <explain/>
      <paraID>31FEED08</paraID>
      <start>93</start>
      <end>95</end>
      <status>unmodified</status>
      <modifiedWord/>
      <trackRevisions>false</trackRevisions>
    </reviewItem>
    <reviewItem>
      <errorID>ffd6bec4-2ed0-447d-ade3-2cb1a839ca17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55D9A078</paraID>
      <start>0</start>
      <end>2</end>
      <status>unmodified</status>
      <modifiedWord/>
      <trackRevisions>false</trackRevisions>
    </reviewItem>
    <reviewItem>
      <errorID>8266afc9-50eb-4453-b867-bbea75f41573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71ECBA11</paraID>
      <start>0</start>
      <end>3</end>
      <status>unmodified</status>
      <modifiedWord/>
      <trackRevisions>false</trackRevisions>
    </reviewItem>
    <reviewItem>
      <errorID>899a63e6-6e76-41e8-90e9-9e62c204d2e2</errorID>
      <errorWord>：</errorWord>
      <group>L1_Format</group>
      <groupName>格式问题</groupName>
      <ability>L2_HalfPunc</ability>
      <abilityName>全半角检查</abilityName>
      <candidateList>
        <item>:</item>
      </candidateList>
      <explain>文本全半角错误。</explain>
      <paraID>7A3FF442</paraID>
      <start>4</start>
      <end>5</end>
      <status>unmodified</status>
      <modifiedWord/>
      <trackRevisions>false</trackRevisions>
    </reviewItem>
    <reviewItem>
      <errorID>5c4affdf-0199-4a27-a1a3-5a862ea50d58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6E0E8A8C</paraID>
      <start>25</start>
      <end>26</end>
      <status>unmodified</status>
      <modifiedWord/>
      <trackRevisions>false</trackRevisions>
    </reviewItem>
    <reviewItem>
      <errorID>5fc2793e-49d8-4979-bb7b-1d72778892a9</errorID>
      <errorWord>(</errorWord>
      <group>L1_Format</group>
      <groupName>格式问题</groupName>
      <ability>L2_HalfPunc</ability>
      <abilityName>全半角检查</abilityName>
      <candidateList>
        <item>（</item>
      </candidateList>
      <explain>文本全半角错误。</explain>
      <paraID>7CD6665C</paraID>
      <start>11</start>
      <end>12</end>
      <status>unmodified</status>
      <modifiedWord/>
      <trackRevisions>false</trackRevisions>
    </reviewItem>
    <reviewItem>
      <errorID>0e4f759f-676f-453b-bd3f-4902c2527672</errorID>
      <errorWord>)</errorWord>
      <group>L1_Format</group>
      <groupName>格式问题</groupName>
      <ability>L2_HalfPunc</ability>
      <abilityName>全半角检查</abilityName>
      <candidateList>
        <item>）</item>
      </candidateList>
      <explain>文本全半角错误。</explain>
      <paraID>7CD6665C</paraID>
      <start>22</start>
      <end>23</end>
      <status>unmodified</status>
      <modifiedWord/>
      <trackRevisions>false</trackRevisions>
    </reviewItem>
    <reviewItem>
      <errorID>292057e0-bce7-473c-89ea-688a752b75b4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64AD07EB</paraID>
      <start>8</start>
      <end>9</end>
      <status>unmodified</status>
      <modifiedWord/>
      <trackRevisions>false</trackRevisions>
    </reviewItem>
    <reviewItem>
      <errorID>dd24273a-731f-4c3e-8980-d0f553c87b28</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4D02BBA5</paraID>
      <start>71</start>
      <end>72</end>
      <status>unmodified</status>
      <modifiedWord/>
      <trackRevisions>false</trackRevisions>
    </reviewItem>
    <reviewItem>
      <errorID>0134e915-42c3-4def-bef5-20f862bd5c83</errorID>
      <errorWord>(</errorWord>
      <group>L1_Format</group>
      <groupName>格式问题</groupName>
      <ability>L2_HalfPunc</ability>
      <abilityName>全半角检查</abilityName>
      <candidateList>
        <item>（</item>
      </candidateList>
      <explain>文本全半角错误。</explain>
      <paraID> D0B4AEB</paraID>
      <start>8</start>
      <end>9</end>
      <status>unmodified</status>
      <modifiedWord/>
      <trackRevisions>false</trackRevisions>
    </reviewItem>
    <reviewItem>
      <errorID>0f03bf60-5f5c-43a2-b250-be65e0ffc8bf</errorID>
      <errorWord>)</errorWord>
      <group>L1_Format</group>
      <groupName>格式问题</groupName>
      <ability>L2_HalfPunc</ability>
      <abilityName>全半角检查</abilityName>
      <candidateList>
        <item>）</item>
      </candidateList>
      <explain>文本全半角错误。</explain>
      <paraID> D0B4AEB</paraID>
      <start>19</start>
      <end>20</end>
      <status>unmodified</status>
      <modifiedWord/>
      <trackRevisions>false</trackRevisions>
    </reviewItem>
    <reviewItem>
      <errorID>69536aaa-987a-413b-8a05-74fa08b8601d</errorID>
      <errorWord>[2011]300号</errorWord>
      <group>L1_Knowledge</group>
      <groupName>知识性问题</groupName>
      <ability>L2_Knowledge</ability>
      <abilityName>其他知识</abilityName>
      <candidateList>
        <item>〔2011〕300号</item>
      </candidateList>
      <explain>发文字号格式错误。</explain>
      <paraID>435956F2</paraID>
      <start>35</start>
      <end>45</end>
      <status>unmodified</status>
      <modifiedWord/>
      <trackRevisions>false</trackRevisions>
    </reviewItem>
    <reviewItem>
      <errorID>14875cdf-2421-43aa-aff5-10b60779caa6</errorID>
      <errorWord>须</errorWord>
      <group>L1_Word</group>
      <groupName>字词问题</groupName>
      <ability>L2_Typo</ability>
      <abilityName>字词错误</abilityName>
      <candidateList>
        <item>需</item>
      </candidateList>
      <explain>存在发音相同字词的误用。</explain>
      <paraID>435956F2</paraID>
      <start>82</start>
      <end>83</end>
      <status>unmodified</status>
      <modifiedWord/>
      <trackRevisions>false</trackRevisions>
    </reviewItem>
    <reviewItem>
      <errorID>f5317b82-0a61-404f-860f-a2fe53b7cfdb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7BE82D3A</paraID>
      <start>139</start>
      <end>140</end>
      <status>unmodified</status>
      <modifiedWord/>
      <trackRevisions>false</trackRevisions>
    </reviewItem>
    <reviewItem>
      <errorID>11d4eac1-9b1f-4fdf-bcdb-9311b46369ba</errorID>
      <errorWord>下</errorWord>
      <group>L1_Word</group>
      <groupName>字词问题</groupName>
      <ability>L2_Typo</ability>
      <abilityName>字词错误</abilityName>
      <candidateList>
        <item>下简</item>
      </candidateList>
      <explain/>
      <paraID>2A4D8C30</paraID>
      <start>130</start>
      <end>131</end>
      <status>unmodified</status>
      <modifiedWord/>
      <trackRevisions>false</trackRevisions>
    </reviewItem>
    <reviewItem>
      <errorID>2a745b07-80c2-4de4-8279-2675a13f9acc</errorID>
      <errorWord>下</errorWord>
      <group>L1_Word</group>
      <groupName>字词问题</groupName>
      <ability>L2_Typo</ability>
      <abilityName>字词错误</abilityName>
      <candidateList>
        <item>下简</item>
      </candidateList>
      <explain/>
      <paraID>2A4D8C30</paraID>
      <start>179</start>
      <end>180</end>
      <status>unmodified</status>
      <modifiedWord/>
      <trackRevisions>false</trackRevisions>
    </reviewItem>
    <reviewItem>
      <errorID>708bacd1-9fc4-4c76-a6ee-157e1eb53a8e</errorID>
      <errorWord>)</errorWord>
      <group>L1_Format</group>
      <groupName>格式问题</groupName>
      <ability>L2_HalfPunc</ability>
      <abilityName>全半角检查</abilityName>
      <candidateList>
        <item>）</item>
      </candidateList>
      <explain>文本全半角错误。</explain>
      <paraID>2A4D8C30</paraID>
      <start>228</start>
      <end>229</end>
      <status>unmodified</status>
      <modifiedWord/>
      <trackRevisions>false</trackRevisions>
    </reviewItem>
    <reviewItem>
      <errorID>d20331d1-8ff5-4c53-b77b-44b60e40a0dd</errorID>
      <errorWord>（</errorWord>
      <group>L1_Format</group>
      <groupName>格式问题</groupName>
      <ability>L2_HalfPunc</ability>
      <abilityName>全半角检查</abilityName>
      <candidateList>
        <item>(</item>
      </candidateList>
      <explain>文本全半角错误。</explain>
      <paraID>435D4365</paraID>
      <start>4</start>
      <end>5</end>
      <status>unmodified</status>
      <modifiedWord/>
      <trackRevisions>false</trackRevisions>
    </reviewItem>
    <reviewItem>
      <errorID>bc4b1354-57bf-4282-bbe2-ae0a06f26f11</errorID>
      <errorWord>）</errorWord>
      <group>L1_Format</group>
      <groupName>格式问题</groupName>
      <ability>L2_HalfPunc</ability>
      <abilityName>全半角检查</abilityName>
      <candidateList>
        <item>)</item>
      </candidateList>
      <explain>文本全半角错误。</explain>
      <paraID>435D4365</paraID>
      <start>6</start>
      <end>7</end>
      <status>unmodified</status>
      <modifiedWord/>
      <trackRevisions>false</trackRevisions>
    </reviewItem>
    <reviewItem>
      <errorID>8ff907d6-cd9b-41ba-a6d8-579bdfaffe4b</errorID>
      <errorWord>(</errorWord>
      <group>L1_Format</group>
      <groupName>格式问题</groupName>
      <ability>L2_HalfPunc</ability>
      <abilityName>全半角检查</abilityName>
      <candidateList>
        <item>（</item>
      </candidateList>
      <explain>文本全半角错误。</explain>
      <paraID>57CACB9D</paraID>
      <start>13</start>
      <end>14</end>
      <status>unmodified</status>
      <modifiedWord/>
      <trackRevisions>false</trackRevisions>
    </reviewItem>
    <reviewItem>
      <errorID>d95b7a53-bf4e-4ced-8b3b-197cced987d9</errorID>
      <errorWord>)</errorWord>
      <group>L1_Format</group>
      <groupName>格式问题</groupName>
      <ability>L2_HalfPunc</ability>
      <abilityName>全半角检查</abilityName>
      <candidateList>
        <item>）</item>
      </candidateList>
      <explain>文本全半角错误。</explain>
      <paraID>57CACB9D</paraID>
      <start>36</start>
      <end>37</end>
      <status>unmodified</status>
      <modifiedWord/>
      <trackRevisions>false</trackRevisions>
    </reviewItem>
    <reviewItem>
      <errorID>e18a203b-081f-40d4-9663-146dfe780678</errorID>
      <errorWord>(</errorWord>
      <group>L1_Format</group>
      <groupName>格式问题</groupName>
      <ability>L2_HalfPunc</ability>
      <abilityName>全半角检查</abilityName>
      <candidateList>
        <item>（</item>
      </candidateList>
      <explain>文本全半角错误。</explain>
      <paraID>57CACB9D</paraID>
      <start>46</start>
      <end>47</end>
      <status>unmodified</status>
      <modifiedWord/>
      <trackRevisions>false</trackRevisions>
    </reviewItem>
    <reviewItem>
      <errorID>b133b041-d9c3-4155-a0a1-9b05b9100c74</errorID>
      <errorWord>)</errorWord>
      <group>L1_Format</group>
      <groupName>格式问题</groupName>
      <ability>L2_HalfPunc</ability>
      <abilityName>全半角检查</abilityName>
      <candidateList>
        <item>）</item>
      </candidateList>
      <explain>文本全半角错误。</explain>
      <paraID>57CACB9D</paraID>
      <start>62</start>
      <end>63</end>
      <status>unmodified</status>
      <modifiedWord/>
      <trackRevisions>false</trackRevisions>
    </reviewItem>
    <reviewItem>
      <errorID>5d9bdf0b-d850-44d4-b361-0ca87ecb4acb</errorID>
      <errorWord>(</errorWord>
      <group>L1_Format</group>
      <groupName>格式问题</groupName>
      <ability>L2_HalfPunc</ability>
      <abilityName>全半角检查</abilityName>
      <candidateList>
        <item>（</item>
      </candidateList>
      <explain>文本全半角错误。</explain>
      <paraID>41A29175</paraID>
      <start>10</start>
      <end>11</end>
      <status>unmodified</status>
      <modifiedWord/>
      <trackRevisions>false</trackRevisions>
    </reviewItem>
    <reviewItem>
      <errorID>08c5d4ca-99f5-4144-8e20-ecf8100aea75</errorID>
      <errorWord>)</errorWord>
      <group>L1_Format</group>
      <groupName>格式问题</groupName>
      <ability>L2_HalfPunc</ability>
      <abilityName>全半角检查</abilityName>
      <candidateList>
        <item>）</item>
      </candidateList>
      <explain>文本全半角错误。</explain>
      <paraID>41A29175</paraID>
      <start>33</start>
      <end>34</end>
      <status>unmodified</status>
      <modifiedWord/>
      <trackRevisions>false</trackRevisions>
    </reviewItem>
    <reviewItem>
      <errorID>0a4982f8-22c4-4f96-a12b-f085c8e94e25</errorID>
      <errorWord>(</errorWord>
      <group>L1_Format</group>
      <groupName>格式问题</groupName>
      <ability>L2_HalfPunc</ability>
      <abilityName>全半角检查</abilityName>
      <candidateList>
        <item>（</item>
      </candidateList>
      <explain>文本全半角错误。</explain>
      <paraID>41A29175</paraID>
      <start>43</start>
      <end>44</end>
      <status>unmodified</status>
      <modifiedWord/>
      <trackRevisions>false</trackRevisions>
    </reviewItem>
    <reviewItem>
      <errorID>35a2e68c-85e0-44ed-814b-1fb96c4f4410</errorID>
      <errorWord>)</errorWord>
      <group>L1_Format</group>
      <groupName>格式问题</groupName>
      <ability>L2_HalfPunc</ability>
      <abilityName>全半角检查</abilityName>
      <candidateList>
        <item>）</item>
      </candidateList>
      <explain>文本全半角错误。</explain>
      <paraID>41A29175</paraID>
      <start>59</start>
      <end>60</end>
      <status>unmodified</status>
      <modifiedWord/>
      <trackRevisions>false</trackRevisions>
    </reviewItem>
    <reviewItem>
      <errorID>de75f825-bbbf-4b78-a1e1-9b23d6dd1e1b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625A8073</paraID>
      <start>22</start>
      <end>25</end>
      <status>unmodified</status>
      <modifiedWord/>
      <trackRevisions>false</trackRevisions>
    </reviewItem>
    <reviewItem>
      <errorID>f0941b4a-d201-4627-97b6-4e6fb5447f0a</errorID>
      <errorWord>法律、法规</errorWord>
      <group>L1_Word</group>
      <groupName>字词问题</groupName>
      <ability>L2_Typo</ability>
      <abilityName>字词错误</abilityName>
      <candidateList>
        <item>法律法规</item>
      </candidateList>
      <explain/>
      <paraID>625A8073</paraID>
      <start>58</start>
      <end>63</end>
      <status>unmodified</status>
      <modifiedWord/>
      <trackRevisions>false</trackRevisions>
    </reviewItem>
    <reviewItem>
      <errorID>c43f2a6d-ecb4-4769-a104-71e464c7b70e</errorID>
      <errorWord>，</errorWord>
      <group>L1_Word</group>
      <groupName>字词问题</groupName>
      <ability>L2_Typo</ability>
      <abilityName>字词错误</abilityName>
      <candidateList>
        <item>，使</item>
      </candidateList>
      <explain/>
      <paraID>5C61555F</paraID>
      <start>32</start>
      <end>33</end>
      <status>unmodified</status>
      <modifiedWord/>
      <trackRevisions>false</trackRevisions>
    </reviewItem>
    <reviewItem>
      <errorID>9402644b-4536-435c-b7f6-71f31dc7f778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6A0A48C</paraID>
      <start>51</start>
      <end>54</end>
      <status>unmodified</status>
      <modifiedWord/>
      <trackRevisions>false</trackRevisions>
    </reviewItem>
    <reviewItem>
      <errorID>c7f90237-2d71-40c5-b245-4ebb6263d3fa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6A0A48C</paraID>
      <start>70</start>
      <end>73</end>
      <status>unmodified</status>
      <modifiedWord/>
      <trackRevisions>false</trackRevisions>
    </reviewItem>
    <reviewItem>
      <errorID>9d9c8001-365a-4ae9-992a-4f1598452f3b</errorID>
      <errorWord>法律、法规</errorWord>
      <group>L1_Word</group>
      <groupName>字词问题</groupName>
      <ability>L2_Typo</ability>
      <abilityName>字词错误</abilityName>
      <candidateList>
        <item>法律法规</item>
      </candidateList>
      <explain/>
      <paraID> DC911CD</paraID>
      <start>25</start>
      <end>30</end>
      <status>unmodified</status>
      <modifiedWord/>
      <trackRevisions>false</trackRevisions>
    </reviewItem>
    <reviewItem>
      <errorID>8ad6785e-45f0-4925-963f-686fbfa8e60f</errorID>
      <errorWord>[2020]46号</errorWord>
      <group>L1_Knowledge</group>
      <groupName>知识性问题</groupName>
      <ability>L2_Knowledge</ability>
      <abilityName>其他知识</abilityName>
      <candidateList>
        <item>〔2020〕46号</item>
      </candidateList>
      <explain>发文字号格式错误。</explain>
      <paraID>2230EBEE</paraID>
      <start>26</start>
      <end>35</end>
      <status>unmodified</status>
      <modifiedWord/>
      <trackRevisions>false</trackRevisions>
    </reviewItem>
    <reviewItem>
      <errorID>0322ceb5-8d20-402b-a59c-572729c70166</errorID>
      <errorWord>第九条、</errorWord>
      <group>L1_Punc</group>
      <groupName>标点问题</groupName>
      <ability>L2_Punc</ability>
      <abilityName>标点符号检查</abilityName>
      <candidateList>
        <item>第九条，</item>
      </candidateList>
      <explain>连接词前后不宜使用顿号，建议使用逗号。</explain>
      <paraID>2230EBEE</paraID>
      <start>36</start>
      <end>40</end>
      <status>unmodified</status>
      <modifiedWord/>
      <trackRevisions>false</trackRevisions>
    </reviewItem>
    <reviewItem>
      <errorID>75794e6c-70bd-4534-89a4-8950ea60e988</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2230EBEE</paraID>
      <start>294</start>
      <end>299</end>
      <status>unmodified</status>
      <modifiedWord/>
      <trackRevisions>false</trackRevisions>
    </reviewItem>
    <reviewItem>
      <errorID>c9c7b329-9adf-4440-a2cc-759653fa6ac8</errorID>
      <errorWord>[2020]46号</errorWord>
      <group>L1_Knowledge</group>
      <groupName>知识性问题</groupName>
      <ability>L2_Knowledge</ability>
      <abilityName>其他知识</abilityName>
      <candidateList>
        <item>〔2020〕46号</item>
      </candidateList>
      <explain>发文字号格式错误。</explain>
      <paraID>5DC5984F</paraID>
      <start>26</start>
      <end>35</end>
      <status>unmodified</status>
      <modifiedWord/>
      <trackRevisions>false</trackRevisions>
    </reviewItem>
    <reviewItem>
      <errorID>8fc5d659-9b64-4fd6-a417-c061e08b8418</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5DC5984F</paraID>
      <start>227</start>
      <end>232</end>
      <status>unmodified</status>
      <modifiedWord/>
      <trackRevisions>false</trackRevisions>
    </reviewItem>
    <reviewItem>
      <errorID>b9a3ad3f-7876-4f7a-8ded-3eb6e4d25b26</errorID>
      <errorWord>(</errorWord>
      <group>L1_Format</group>
      <groupName>格式问题</groupName>
      <ability>L2_HalfPunc</ability>
      <abilityName>全半角检查</abilityName>
      <candidateList>
        <item>（</item>
      </candidateList>
      <explain>文本全半角错误。</explain>
      <paraID>475C0BF2</paraID>
      <start>94</start>
      <end>95</end>
      <status>unmodified</status>
      <modifiedWord/>
      <trackRevisions>false</trackRevisions>
    </reviewItem>
    <reviewItem>
      <errorID>5fd1025e-d7c7-446a-9227-c7937b7d2dec</errorID>
      <errorWord>)</errorWord>
      <group>L1_Format</group>
      <groupName>格式问题</groupName>
      <ability>L2_HalfPunc</ability>
      <abilityName>全半角检查</abilityName>
      <candidateList>
        <item>）</item>
      </candidateList>
      <explain>文本全半角错误。</explain>
      <paraID>475C0BF2</paraID>
      <start>133</start>
      <end>134</end>
      <status>unmodified</status>
      <modifiedWord/>
      <trackRevisions>false</trackRevisions>
    </reviewItem>
    <reviewItem>
      <errorID>063fd1ee-6cfd-42a5-9e76-deb4a073c53f</errorID>
      <errorWord>，将</errorWord>
      <group>L1_Word</group>
      <groupName>字词问题</groupName>
      <ability>L2_Typo</ability>
      <abilityName>字词错误</abilityName>
      <candidateList>
        <item>，</item>
      </candidateList>
      <explain/>
      <paraID>55D35B4B</paraID>
      <start>38</start>
      <end>40</end>
      <status>unmodified</status>
      <modifiedWord/>
      <trackRevisions>false</trackRevisions>
    </reviewItem>
    <reviewItem>
      <errorID>851f36ad-288b-4db3-8b09-756d1b1330df</errorID>
      <errorWord>操作合</errorWord>
      <group>L1_Word</group>
      <groupName>字词问题</groupName>
      <ability>L2_Typo</ability>
      <abilityName>字词错误</abilityName>
      <candidateList>
        <item>操作台</item>
      </candidateList>
      <explain/>
      <paraID>11AC50ED</paraID>
      <start>9</start>
      <end>12</end>
      <status>unmodified</status>
      <modifiedWord/>
      <trackRevisions>false</trackRevisions>
    </reviewItem>
    <reviewItem>
      <errorID>0f8fc4f2-ae27-4a45-94f3-7d4a798b1519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F44652B</paraID>
      <start>39</start>
      <end>40</end>
      <status>unmodified</status>
      <modifiedWord/>
      <trackRevisions>false</trackRevisions>
    </reviewItem>
    <reviewItem>
      <errorID>d654204f-045d-427d-bb59-e014804ecd5d</errorID>
      <errorWord>详见在</errorWord>
      <group>L1_Word</group>
      <groupName>字词问题</groupName>
      <ability>L2_Typo</ability>
      <abilityName>字词错误</abilityName>
      <candidateList>
        <item>详见</item>
      </candidateList>
      <explain/>
      <paraID>1010A10F</paraID>
      <start>0</start>
      <end>3</end>
      <status>unmodified</status>
      <modifiedWord/>
      <trackRevisions>false</trackRevisions>
    </reviewItem>
    <reviewItem>
      <errorID>d10c91ed-4403-4c7b-8b78-0f1fe66ae04d</errorID>
      <errorWord>间</errorWord>
      <group>L1_Word</group>
      <groupName>字词问题</groupName>
      <ability>L2_Typo</ability>
      <abilityName>字词错误</abilityName>
      <candidateList>
        <item>间之</item>
      </candidateList>
      <explain/>
      <paraID>388A6943</paraID>
      <start>49</start>
      <end>50</end>
      <status>unmodified</status>
      <modifiedWord/>
      <trackRevisions>false</trackRevisions>
    </reviewItem>
    <reviewItem>
      <errorID>f0ae3d74-9e0b-4754-aff0-e99cbd80b080</errorID>
      <errorWord>会</errorWord>
      <group>L1_Word</group>
      <groupName>字词问题</groupName>
      <ability>L2_Typo</ability>
      <abilityName>字词错误</abilityName>
      <candidateList>
        <item>会在</item>
      </candidateList>
      <explain/>
      <paraID>545AD0D8</paraID>
      <start>13</start>
      <end>14</end>
      <status>unmodified</status>
      <modifiedWord/>
      <trackRevisions>false</trackRevisions>
    </reviewItem>
    <reviewItem>
      <errorID>aa593363-1e07-450a-a95d-1ada3f534ce6</errorID>
      <errorWord>，</errorWord>
      <group>L1_Word</group>
      <groupName>字词问题</groupName>
      <ability>L2_Typo</ability>
      <abilityName>字词错误</abilityName>
      <candidateList>
        <item>，在</item>
      </candidateList>
      <explain/>
      <paraID>55941EFA</paraID>
      <start>62</start>
      <end>63</end>
      <status>unmodified</status>
      <modifiedWord/>
      <trackRevisions>false</trackRevisions>
    </reviewItem>
    <reviewItem>
      <errorID>223975e0-4c84-48cb-9467-eaad8a3a143a</errorID>
      <errorWord>可之一的</errorWord>
      <group>L1_Word</group>
      <groupName>字词问题</groupName>
      <ability>L2_Typo</ability>
      <abilityName>字词错误</abilityName>
      <candidateList>
        <item>可置疑的</item>
      </candidateList>
      <explain/>
      <paraID>4DD0090D</paraID>
      <start>35</start>
      <end>39</end>
      <status>unmodified</status>
      <modifiedWord/>
      <trackRevisions>false</trackRevisions>
    </reviewItem>
    <reviewItem>
      <errorID>51afcd93-10a1-4469-a11e-cfc8adc2715d</errorID>
      <errorWord>做出</errorWord>
      <group>L1_Word</group>
      <groupName>字词问题</groupName>
      <ability>L2_Typo</ability>
      <abilityName>字词错误</abilityName>
      <candidateList>
        <item>作出</item>
      </candidateList>
      <explain/>
      <paraID>7D40FC1D</paraID>
      <start>109</start>
      <end>111</end>
      <status>unmodified</status>
      <modifiedWord/>
      <trackRevisions>false</trackRevisions>
    </reviewItem>
    <reviewItem>
      <errorID>00af6df2-3c2c-4982-803e-b47da9b6e956</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4EFE99A2</paraID>
      <start>19</start>
      <end>20</end>
      <status>unmodified</status>
      <modifiedWord/>
      <trackRevisions>false</trackRevisions>
    </reviewItem>
    <reviewItem>
      <errorID>2b31e9cb-ddf4-4980-a110-a9087550eb78</errorID>
      <errorWord>晰</errorWord>
      <group>L1_Word</group>
      <groupName>字词问题</groupName>
      <ability>L2_Typo</ability>
      <abilityName>字词错误</abilityName>
      <candidateList>
        <item>晰地</item>
      </candidateList>
      <explain/>
      <paraID>4EFE99A2</paraID>
      <start>28</start>
      <end>29</end>
      <status>unmodified</status>
      <modifiedWord/>
      <trackRevisions>false</trackRevisions>
    </reviewItem>
    <reviewItem>
      <errorID>60a34a61-fd2b-4ba5-954a-b8d4f4de5085</errorID>
      <errorWord>-</errorWord>
      <group>L1_Format</group>
      <groupName>格式问题</groupName>
      <ability>L2_HalfPunc</ability>
      <abilityName>全半角检查</abilityName>
      <candidateList>
        <item>－</item>
      </candidateList>
      <explain>文本全半角错误。</explain>
      <paraID>1B5871AA</paraID>
      <start>96</start>
      <end>97</end>
      <status>unmodified</status>
      <modifiedWord/>
      <trackRevisions>false</trackRevisions>
    </reviewItem>
    <reviewItem>
      <errorID>aafb42ea-348f-49a6-a1fb-6a3b27083b9e</errorID>
      <errorWord>文</errorWord>
      <group>L1_Word</group>
      <groupName>字词问题</groupName>
      <ability>L2_Typo</ability>
      <abilityName>字词错误</abilityName>
      <candidateList>
        <item>文件</item>
      </candidateList>
      <explain/>
      <paraID>6C3B2060</paraID>
      <start>155</start>
      <end>156</end>
      <status>unmodified</status>
      <modifiedWord/>
      <trackRevisions>false</trackRevisions>
    </reviewItem>
    <reviewItem>
      <errorID>b105fb94-a3af-4a3b-80f7-d05cc3a79aac</errorID>
      <errorWord>,</errorWord>
      <group>L1_Format</group>
      <groupName>格式问题</groupName>
      <ability>L2_HalfPunc</ability>
      <abilityName>全半角检查</abilityName>
      <candidateList>
        <item>，</item>
      </candidateList>
      <explain>文本全半角错误。</explain>
      <paraID>5BF82DC5</paraID>
      <start>148</start>
      <end>149</end>
      <status>unmodified</status>
      <modifiedWord/>
      <trackRevisions>false</trackRevisions>
    </reviewItem>
    <reviewItem>
      <errorID>666d300c-c5e7-4a2a-a32c-5d952c11f803</errorID>
      <errorWord>;</errorWord>
      <group>L1_Format</group>
      <groupName>格式问题</groupName>
      <ability>L2_HalfPunc</ability>
      <abilityName>全半角检查</abilityName>
      <candidateList>
        <item>；</item>
      </candidateList>
      <explain>文本全半角错误。</explain>
      <paraID>48407E98</paraID>
      <start>41</start>
      <end>42</end>
      <status>unmodified</status>
      <modifiedWord/>
      <trackRevisions>false</trackRevisions>
    </reviewItem>
    <reviewItem>
      <errorID>09a745fb-05b3-41db-8f68-0298f8232ae4</errorID>
      <errorWord>;</errorWord>
      <group>L1_Format</group>
      <groupName>格式问题</groupName>
      <ability>L2_HalfPunc</ability>
      <abilityName>全半角检查</abilityName>
      <candidateList>
        <item>；</item>
      </candidateList>
      <explain>文本全半角错误。</explain>
      <paraID>70D8E0D4</paraID>
      <start>52</start>
      <end>53</end>
      <status>unmodified</status>
      <modifiedWord/>
      <trackRevisions>false</trackRevisions>
    </reviewItem>
    <reviewItem>
      <errorID>7a638166-a4d7-46c5-8b03-edbb87062764</errorID>
      <errorWord>法律、法规</errorWord>
      <group>L1_Word</group>
      <groupName>字词问题</groupName>
      <ability>L2_Typo</ability>
      <abilityName>字词错误</abilityName>
      <candidateList>
        <item>法律法规</item>
      </candidateList>
      <explain/>
      <paraID>1568D784</paraID>
      <start>4</start>
      <end>9</end>
      <status>unmodified</status>
      <modifiedWord/>
      <trackRevisions>false</trackRevisions>
    </reviewItem>
    <reviewItem>
      <errorID>42098313-0efb-4b71-a566-61c4622747c0</errorID>
      <errorWord>;</errorWord>
      <group>L1_Format</group>
      <groupName>格式问题</groupName>
      <ability>L2_HalfPunc</ability>
      <abilityName>全半角检查</abilityName>
      <candidateList>
        <item>；</item>
      </candidateList>
      <explain>文本全半角错误。</explain>
      <paraID> A54AEC5</paraID>
      <start>41</start>
      <end>42</end>
      <status>unmodified</status>
      <modifiedWord/>
      <trackRevisions>false</trackRevisions>
    </reviewItem>
    <reviewItem>
      <errorID>897641d5-fca9-47c0-a9b8-8f5dd8712bc1</errorID>
      <errorWord>-</errorWord>
      <group>L1_Format</group>
      <groupName>格式问题</groupName>
      <ability>L2_HalfPunc</ability>
      <abilityName>全半角检查</abilityName>
      <candidateList>
        <item>－</item>
      </candidateList>
      <explain>文本全半角错误。</explain>
      <paraID>421C79C2</paraID>
      <start>20</start>
      <end>21</end>
      <status>unmodified</status>
      <modifiedWord/>
      <trackRevisions>false</trackRevisions>
    </reviewItem>
    <reviewItem>
      <errorID>100b2646-f864-4291-87ec-8482579cdac2</errorID>
      <errorWord>做出</errorWord>
      <group>L1_Word</group>
      <groupName>字词问题</groupName>
      <ability>L2_Typo</ability>
      <abilityName>字词错误</abilityName>
      <candidateList>
        <item>作出</item>
      </candidateList>
      <explain/>
      <paraID>33765DD4</paraID>
      <start>116</start>
      <end>118</end>
      <status>unmodified</status>
      <modifiedWord/>
      <trackRevisions>false</trackRevisions>
    </reviewItem>
    <reviewItem>
      <errorID>e6da6924-7a6f-4c68-b42d-92b598c7fe77</errorID>
      <errorWord>(</errorWord>
      <group>L1_Format</group>
      <groupName>格式问题</groupName>
      <ability>L2_HalfPunc</ability>
      <abilityName>全半角检查</abilityName>
      <candidateList>
        <item>（</item>
      </candidateList>
      <explain>文本全半角错误。</explain>
      <paraID>25100CA8</paraID>
      <start>26</start>
      <end>27</end>
      <status>unmodified</status>
      <modifiedWord/>
      <trackRevisions>false</trackRevisions>
    </reviewItem>
    <reviewItem>
      <errorID>8ca80b3b-084c-47b7-9827-68c2a3959ea5</errorID>
      <errorWord>)</errorWord>
      <group>L1_Format</group>
      <groupName>格式问题</groupName>
      <ability>L2_HalfPunc</ability>
      <abilityName>全半角检查</abilityName>
      <candidateList>
        <item>）</item>
      </candidateList>
      <explain>文本全半角错误。</explain>
      <paraID>25100CA8</paraID>
      <start>37</start>
      <end>38</end>
      <status>unmodified</status>
      <modifiedWord/>
      <trackRevisions>false</trackRevisions>
    </reviewItem>
    <reviewItem>
      <errorID>58050b35-24d5-4039-ae84-becc6f52e657</errorID>
      <errorWord>&lt;</errorWord>
      <group>L1_Format</group>
      <groupName>格式问题</groupName>
      <ability>L2_HalfPunc</ability>
      <abilityName>全半角检查</abilityName>
      <candidateList>
        <item>〈</item>
      </candidateList>
      <explain>文本全半角错误。</explain>
      <paraID>375A392A</paraID>
      <start>50</start>
      <end>51</end>
      <status>unmodified</status>
      <modifiedWord/>
      <trackRevisions>false</trackRevisions>
    </reviewItem>
    <reviewItem>
      <errorID>224c3773-fdcd-4c6e-84a2-7c6e32045884</errorID>
      <errorWord>&lt;</errorWord>
      <group>L1_Format</group>
      <groupName>格式问题</groupName>
      <ability>L2_HalfPunc</ability>
      <abilityName>全半角检查</abilityName>
      <candidateList>
        <item>〈</item>
      </candidateList>
      <explain>文本全半角错误。</explain>
      <paraID> D90AD98</paraID>
      <start>50</start>
      <end>51</end>
      <status>unmodified</status>
      <modifiedWord/>
      <trackRevisions>false</trackRevisions>
    </reviewItem>
    <reviewItem>
      <errorID>4af32c98-4f41-44b8-8ad5-3c7470af2185</errorID>
      <errorWord>&lt;</errorWord>
      <group>L1_Format</group>
      <groupName>格式问题</groupName>
      <ability>L2_HalfPunc</ability>
      <abilityName>全半角检查</abilityName>
      <candidateList>
        <item>〈</item>
      </candidateList>
      <explain>文本全半角错误。</explain>
      <paraID>3D450922</paraID>
      <start>35</start>
      <end>36</end>
      <status>unmodified</status>
      <modifiedWord/>
      <trackRevisions>false</trackRevisions>
    </reviewItem>
    <reviewItem>
      <errorID>88423996-5c0f-4e4f-a32d-820bc1f08869</errorID>
      <errorWord>:</errorWord>
      <group>L1_Format</group>
      <groupName>格式问题</groupName>
      <ability>L2_HalfPunc</ability>
      <abilityName>全半角检查</abilityName>
      <candidateList>
        <item>：</item>
      </candidateList>
      <explain>文本全半角错误。</explain>
      <paraID>54FFEDED</paraID>
      <start>7</start>
      <end>8</end>
      <status>unmodified</status>
      <modifiedWord/>
      <trackRevisions>false</trackRevisions>
    </reviewItem>
    <reviewItem>
      <errorID>1093ee2b-006b-4b3c-8600-d08d4a648c5d</errorID>
      <errorWord>只是</errorWord>
      <group>L1_Word</group>
      <groupName>字词问题</groupName>
      <ability>L2_Typo</ability>
      <abilityName>字词错误</abilityName>
      <candidateList>
        <item>只</item>
      </candidateList>
      <explain>（衹、祇）zhǐ〈副〉❶表示仅限于某个范围：～知其一，不知其二｜在几种棋类中，他～会下象棋。❷只有；仅有：家里～我一个人。</explain>
      <paraID>7100E382</paraID>
      <start>32</start>
      <end>34</end>
      <status>unmodified</status>
      <modifiedWord/>
      <trackRevisions>false</trackRevisions>
    </reviewItem>
    <reviewItem>
      <errorID>1bcd4ba0-5dae-4106-9710-a95aa0fef91d</errorID>
      <errorWord>(</errorWord>
      <group>L1_Format</group>
      <groupName>格式问题</groupName>
      <ability>L2_HalfPunc</ability>
      <abilityName>全半角检查</abilityName>
      <candidateList>
        <item>（</item>
      </candidateList>
      <explain>文本全半角错误。</explain>
      <paraID>1ECF96C4</paraID>
      <start>131</start>
      <end>132</end>
      <status>unmodified</status>
      <modifiedWord/>
      <trackRevisions>false</trackRevisions>
    </reviewItem>
    <reviewItem>
      <errorID>086a78c3-c300-44b1-970b-3a83b6d59607</errorID>
      <errorWord>)</errorWord>
      <group>L1_Format</group>
      <groupName>格式问题</groupName>
      <ability>L2_HalfPunc</ability>
      <abilityName>全半角检查</abilityName>
      <candidateList>
        <item>）</item>
      </candidateList>
      <explain>文本全半角错误。</explain>
      <paraID>1ECF96C4</paraID>
      <start>141</start>
      <end>142</end>
      <status>unmodified</status>
      <modifiedWord/>
      <trackRevisions>false</trackRevisions>
    </reviewItem>
    <reviewItem>
      <errorID>8c9ed3c3-3155-4e92-8301-212561e9f219</errorID>
      <errorWord>(</errorWord>
      <group>L1_Format</group>
      <groupName>格式问题</groupName>
      <ability>L2_HalfPunc</ability>
      <abilityName>全半角检查</abilityName>
      <candidateList>
        <item>（</item>
      </candidateList>
      <explain>文本全半角错误。</explain>
      <paraID>69587BA4</paraID>
      <start>15</start>
      <end>16</end>
      <status>unmodified</status>
      <modifiedWord/>
      <trackRevisions>false</trackRevisions>
    </reviewItem>
    <reviewItem>
      <errorID>ae7256d0-84f7-46af-b935-96abf3aeb426</errorID>
      <errorWord>)</errorWord>
      <group>L1_Format</group>
      <groupName>格式问题</groupName>
      <ability>L2_HalfPunc</ability>
      <abilityName>全半角检查</abilityName>
      <candidateList>
        <item>）</item>
      </candidateList>
      <explain>文本全半角错误。</explain>
      <paraID>69587BA4</paraID>
      <start>26</start>
      <end>27</end>
      <status>unmodified</status>
      <modifiedWord/>
      <trackRevisions>false</trackRevisions>
    </reviewItem>
    <reviewItem>
      <errorID>82a3d611-3453-428b-87f4-6141d1a6acab</errorID>
      <errorWord>(</errorWord>
      <group>L1_Format</group>
      <groupName>格式问题</groupName>
      <ability>L2_HalfPunc</ability>
      <abilityName>全半角检查</abilityName>
      <candidateList>
        <item>（</item>
      </candidateList>
      <explain>文本全半角错误。</explain>
      <paraID>44D1475E</paraID>
      <start>5</start>
      <end>6</end>
      <status>unmodified</status>
      <modifiedWord/>
      <trackRevisions>false</trackRevisions>
    </reviewItem>
    <reviewItem>
      <errorID>23087bb3-9d84-4da7-a3f9-4cb0b8eb9e7b</errorID>
      <errorWord>)</errorWord>
      <group>L1_Format</group>
      <groupName>格式问题</groupName>
      <ability>L2_HalfPunc</ability>
      <abilityName>全半角检查</abilityName>
      <candidateList>
        <item>）</item>
      </candidateList>
      <explain>文本全半角错误。</explain>
      <paraID>44D1475E</paraID>
      <start>9</start>
      <end>10</end>
      <status>unmodified</status>
      <modifiedWord/>
      <trackRevisions>false</trackRevisions>
    </reviewItem>
    <reviewItem>
      <errorID>7ef829b3-52ff-48e6-bfa1-a864096805bc</errorID>
      <errorWord>(</errorWord>
      <group>L1_Format</group>
      <groupName>格式问题</groupName>
      <ability>L2_HalfPunc</ability>
      <abilityName>全半角检查</abilityName>
      <candidateList>
        <item>（</item>
      </candidateList>
      <explain>文本全半角错误。</explain>
      <paraID>3713BD8D</paraID>
      <start>7</start>
      <end>8</end>
      <status>unmodified</status>
      <modifiedWord/>
      <trackRevisions>false</trackRevisions>
    </reviewItem>
    <reviewItem>
      <errorID>6a393b26-e593-41c5-b441-946895640ecb</errorID>
      <errorWord>)</errorWord>
      <group>L1_Format</group>
      <groupName>格式问题</groupName>
      <ability>L2_HalfPunc</ability>
      <abilityName>全半角检查</abilityName>
      <candidateList>
        <item>）</item>
      </candidateList>
      <explain>文本全半角错误。</explain>
      <paraID>3713BD8D</paraID>
      <start>13</start>
      <end>14</end>
      <status>unmodified</status>
      <modifiedWord/>
      <trackRevisions>false</trackRevisions>
    </reviewItem>
    <reviewItem>
      <errorID>6bf973f1-ab5c-49be-889f-815059b10cc7</errorID>
      <errorWord>工作的</errorWord>
      <group>L1_Word</group>
      <groupName>字词问题</groupName>
      <ability>L2_Typo</ability>
      <abilityName>字词错误</abilityName>
      <candidateList>
        <item>工作</item>
      </candidateList>
      <explain>❶〈动〉从事体力或脑力劳动，也泛指机器、工具受人操纵而发挥生产作用：积极～｜开始～｜铲土机正在～。❷〈名〉职业：找～｜～没有贵贱之分。❸〈名〉业务；任务：～量｜宣传～｜工会～｜科学研究～。</explain>
      <paraID>172D14CB</paraID>
      <start>109</start>
      <end>112</end>
      <status>unmodified</status>
      <modifiedWord/>
      <trackRevisions>false</trackRevisions>
    </reviewItem>
    <reviewItem>
      <errorID>ce0e4437-9876-4dc0-ac28-457eb69d031b</errorID>
      <errorWord>作出</errorWord>
      <group>L1_Word</group>
      <groupName>字词问题</groupName>
      <ability>L2_Typo</ability>
      <abilityName>字词错误</abilityName>
      <candidateList>
        <item>做出</item>
      </candidateList>
      <explain/>
      <paraID>172D14CB</paraID>
      <start>112</start>
      <end>114</end>
      <status>unmodified</status>
      <modifiedWord/>
      <trackRevisions>false</trackRevisions>
    </reviewItem>
    <reviewItem>
      <errorID>48d1d4fd-fa20-47b8-98cd-5a666ddfb8f3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E4DB091</paraID>
      <start>63</start>
      <end>64</end>
      <status>unmodified</status>
      <modifiedWord/>
      <trackRevisions>false</trackRevisions>
    </reviewItem>
    <reviewItem>
      <errorID>9267c347-a4d7-495c-b9a4-a05bd7389579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59AA0A9C</paraID>
      <start>61</start>
      <end>62</end>
      <status>unmodified</status>
      <modifiedWord/>
      <trackRevisions>false</trackRevisions>
    </reviewItem>
    <reviewItem>
      <errorID>f324125f-895a-4bcd-b8b3-e20ff95e4f7b</errorID>
      <errorWord>病虫害爆发</errorWord>
      <group>L1_Word</group>
      <groupName>字词问题</groupName>
      <ability>L2_Typo</ability>
      <abilityName>字词错误</abilityName>
      <candidateList>
        <item>病虫害暴发</item>
      </candidateList>
      <explain/>
      <paraID>59AA0A9C</paraID>
      <start>164</start>
      <end>169</end>
      <status>unmodified</status>
      <modifiedWord/>
      <trackRevisions>false</trackRevisions>
    </reviewItem>
    <reviewItem>
      <errorID>ad5fbd44-8a54-4c2a-9a14-759693ee7c65</errorID>
      <errorWord>-</errorWord>
      <group>L1_Format</group>
      <groupName>格式问题</groupName>
      <ability>L2_HalfPunc</ability>
      <abilityName>全半角检查</abilityName>
      <candidateList>
        <item>－</item>
      </candidateList>
      <explain>文本全半角错误。</explain>
      <paraID>68AC3AF0</paraID>
      <start>59</start>
      <end>60</end>
      <status>unmodified</status>
      <modifiedWord/>
      <trackRevisions>false</trackRevisions>
    </reviewItem>
    <reviewItem>
      <errorID>b3573a35-efcf-4427-8116-06c5b1348651</errorID>
      <errorWord>-</errorWord>
      <group>L1_Format</group>
      <groupName>格式问题</groupName>
      <ability>L2_HalfPunc</ability>
      <abilityName>全半角检查</abilityName>
      <candidateList>
        <item>－</item>
      </candidateList>
      <explain>文本全半角错误。</explain>
      <paraID>68AC3AF0</paraID>
      <start>62</start>
      <end>63</end>
      <status>unmodified</status>
      <modifiedWord/>
      <trackRevisions>false</trackRevisions>
    </reviewItem>
    <reviewItem>
      <errorID>be4b02c5-d182-43cb-a484-06892b416352</errorID>
      <errorWord>晰</errorWord>
      <group>L1_Word</group>
      <groupName>字词问题</groupName>
      <ability>L2_Typo</ability>
      <abilityName>字词错误</abilityName>
      <candidateList>
        <item>晰地</item>
      </candidateList>
      <explain/>
      <paraID>68AC3AF0</paraID>
      <start>104</start>
      <end>105</end>
      <status>unmodified</status>
      <modifiedWord/>
      <trackRevisions>false</trackRevisions>
    </reviewItem>
    <reviewItem>
      <errorID>4faead79-fbe8-4948-9b6b-08a4bbdcda0f</errorID>
      <errorWord>（</errorWord>
      <group>L1_Punc</group>
      <groupName>标点问题</groupName>
      <ability>L2_Punc</ability>
      <abilityName>标点符号检查</abilityName>
      <candidateList/>
      <explain>同一形式括号套用。</explain>
      <paraID>6E499015</paraID>
      <start>53</start>
      <end>54</end>
      <status>unmodified</status>
      <modifiedWord/>
      <trackRevisions>false</trackRevisions>
    </reviewItem>
    <reviewItem>
      <errorID>677e8c45-6c29-4f56-8c7b-ca73308de22c</errorID>
      <errorWord>）</errorWord>
      <group>L1_Punc</group>
      <groupName>标点问题</groupName>
      <ability>L2_Punc</ability>
      <abilityName>标点符号检查</abilityName>
      <candidateList/>
      <explain>同一形式括号套用。</explain>
      <paraID>6E499015</paraID>
      <start>56</start>
      <end>57</end>
      <status>unmodified</status>
      <modifiedWord/>
      <trackRevisions>false</trackRevisions>
    </reviewItem>
    <reviewItem>
      <errorID>da3e71cb-5356-46b5-91b2-c7db1a74eafd</errorID>
      <errorWord>(</errorWord>
      <group>L1_Format</group>
      <groupName>格式问题</groupName>
      <ability>L2_HalfPunc</ability>
      <abilityName>全半角检查</abilityName>
      <candidateList>
        <item>（</item>
      </candidateList>
      <explain>文本全半角错误。</explain>
      <paraID> D187895</paraID>
      <start>4</start>
      <end>5</end>
      <status>unmodified</status>
      <modifiedWord/>
      <trackRevisions>false</trackRevisions>
    </reviewItem>
    <reviewItem>
      <errorID>e7099f4e-4a87-48aa-996a-b0f1ca3a81e5</errorID>
      <errorWord>)</errorWord>
      <group>L1_Format</group>
      <groupName>格式问题</groupName>
      <ability>L2_HalfPunc</ability>
      <abilityName>全半角检查</abilityName>
      <candidateList>
        <item>）</item>
      </candidateList>
      <explain>文本全半角错误。</explain>
      <paraID> D187895</paraID>
      <start>8</start>
      <end>9</end>
      <status>unmodified</status>
      <modifiedWord/>
      <trackRevisions>false</trackRevisions>
    </reviewItem>
    <reviewItem>
      <errorID>b22cb176-4939-4fe8-9809-102d1de43838</errorID>
      <errorWord>(</errorWord>
      <group>L1_Format</group>
      <groupName>格式问题</groupName>
      <ability>L2_HalfPunc</ability>
      <abilityName>全半角检查</abilityName>
      <candidateList>
        <item>（</item>
      </candidateList>
      <explain>文本全半角错误。</explain>
      <paraID> 1CFDD56</paraID>
      <start>4</start>
      <end>5</end>
      <status>unmodified</status>
      <modifiedWord/>
      <trackRevisions>false</trackRevisions>
    </reviewItem>
    <reviewItem>
      <errorID>032fa2d5-2f59-47f8-91cd-56c033ab9d68</errorID>
      <errorWord>)</errorWord>
      <group>L1_Format</group>
      <groupName>格式问题</groupName>
      <ability>L2_HalfPunc</ability>
      <abilityName>全半角检查</abilityName>
      <candidateList>
        <item>）</item>
      </candidateList>
      <explain>文本全半角错误。</explain>
      <paraID> 1CFDD56</paraID>
      <start>8</start>
      <end>9</end>
      <status>unmodified</status>
      <modifiedWord/>
      <trackRevisions>false</trackRevisions>
    </reviewItem>
    <reviewItem>
      <errorID>7de4d113-4db4-40a8-9449-bc7152e248c6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4C3F61BD</paraID>
      <start>13</start>
      <end>16</end>
      <status>unmodified</status>
      <modifiedWord/>
      <trackRevisions>false</trackRevisions>
    </reviewItem>
    <reviewItem>
      <errorID>9e6a4114-f4bc-481b-9d11-90df58a717fc</errorID>
      <errorWord>(</errorWord>
      <group>L1_Format</group>
      <groupName>格式问题</groupName>
      <ability>L2_HalfPunc</ability>
      <abilityName>全半角检查</abilityName>
      <candidateList>
        <item>（</item>
      </candidateList>
      <explain>文本全半角错误。</explain>
      <paraID>4C3F61BD</paraID>
      <start>75</start>
      <end>76</end>
      <status>unmodified</status>
      <modifiedWord/>
      <trackRevisions>false</trackRevisions>
    </reviewItem>
    <reviewItem>
      <errorID>d0909dfa-3fb5-40c6-b740-75e4154d2b28</errorID>
      <errorWord>)</errorWord>
      <group>L1_Format</group>
      <groupName>格式问题</groupName>
      <ability>L2_HalfPunc</ability>
      <abilityName>全半角检查</abilityName>
      <candidateList>
        <item>）</item>
      </candidateList>
      <explain>文本全半角错误。</explain>
      <paraID>4C3F61BD</paraID>
      <start>83</start>
      <end>84</end>
      <status>unmodified</status>
      <modifiedWord/>
      <trackRevisions>false</trackRevisions>
    </reviewItem>
    <reviewItem>
      <errorID>81d44c17-c956-4411-b48e-1d14aa51ff1b</errorID>
      <errorWord>(</errorWord>
      <group>L1_Format</group>
      <groupName>格式问题</groupName>
      <ability>L2_HalfPunc</ability>
      <abilityName>全半角检查</abilityName>
      <candidateList>
        <item>（</item>
      </candidateList>
      <explain>文本全半角错误。</explain>
      <paraID>4C3F61BD</paraID>
      <start>100</start>
      <end>101</end>
      <status>unmodified</status>
      <modifiedWord/>
      <trackRevisions>false</trackRevisions>
    </reviewItem>
    <reviewItem>
      <errorID>8600671e-bdbf-431e-909c-6ae55ed192dc</errorID>
      <errorWord>)</errorWord>
      <group>L1_Format</group>
      <groupName>格式问题</groupName>
      <ability>L2_HalfPunc</ability>
      <abilityName>全半角检查</abilityName>
      <candidateList>
        <item>）</item>
      </candidateList>
      <explain>文本全半角错误。</explain>
      <paraID>4C3F61BD</paraID>
      <start>108</start>
      <end>109</end>
      <status>unmodified</status>
      <modifiedWord/>
      <trackRevisions>false</trackRevisions>
    </reviewItem>
    <reviewItem>
      <errorID>6f36e233-aacf-4bb2-856e-46278d488d7e</errorID>
      <errorWord>(</errorWord>
      <group>L1_Format</group>
      <groupName>格式问题</groupName>
      <ability>L2_HalfPunc</ability>
      <abilityName>全半角检查</abilityName>
      <candidateList>
        <item>（</item>
      </candidateList>
      <explain>文本全半角错误。</explain>
      <paraID>70C4636B</paraID>
      <start>29</start>
      <end>30</end>
      <status>unmodified</status>
      <modifiedWord/>
      <trackRevisions>false</trackRevisions>
    </reviewItem>
    <reviewItem>
      <errorID>71259662-3f58-4e80-b3a7-79528175e5b9</errorID>
      <errorWord>)</errorWord>
      <group>L1_Format</group>
      <groupName>格式问题</groupName>
      <ability>L2_HalfPunc</ability>
      <abilityName>全半角检查</abilityName>
      <candidateList>
        <item>）</item>
      </candidateList>
      <explain>文本全半角错误。</explain>
      <paraID>70C4636B</paraID>
      <start>36</start>
      <end>37</end>
      <status>unmodified</status>
      <modifiedWord/>
      <trackRevisions>false</trackRevisions>
    </reviewItem>
    <reviewItem>
      <errorID>e07d4632-e5d8-4961-9323-123f6d8ac060</errorID>
      <errorWord>其它</errorWord>
      <group>L1_Word</group>
      <groupName>字词问题</groupName>
      <ability>L2_Alias</ability>
      <abilityName>也作/曾用词</abilityName>
      <candidateList>
        <item>其他</item>
      </candidateList>
      <explain>词汇[其它]为不规范表述或旧称，其规范书面表述为[其他]。</explain>
      <paraID>629EC45E</paraID>
      <start>10</start>
      <end>12</end>
      <status>unmodified</status>
      <modifiedWord/>
      <trackRevisions>false</trackRevisions>
    </reviewItem>
    <reviewItem>
      <errorID>c51a7874-9453-49b2-a230-a879c9290131</errorID>
      <errorWord>:</errorWord>
      <group>L1_Format</group>
      <groupName>格式问题</groupName>
      <ability>L2_HalfPunc</ability>
      <abilityName>全半角检查</abilityName>
      <candidateList>
        <item>：</item>
      </candidateList>
      <explain>文本全半角错误。</explain>
      <paraID>2668549D</paraID>
      <start>41</start>
      <end>42</end>
      <status>unmodified</status>
      <modifiedWord/>
      <trackRevisions>false</trackRevisions>
    </reviewItem>
    <reviewItem>
      <errorID>b87914f8-a9f7-4706-99da-b8db932634fe</errorID>
      <errorWord>:</errorWord>
      <group>L1_Format</group>
      <groupName>格式问题</groupName>
      <ability>L2_HalfPunc</ability>
      <abilityName>全半角检查</abilityName>
      <candidateList>
        <item>：</item>
      </candidateList>
      <explain>文本全半角错误。</explain>
      <paraID>32EF4BAE</paraID>
      <start>2</start>
      <end>3</end>
      <status>unmodified</status>
      <modifiedWord/>
      <trackRevisions>false</trackRevisions>
    </reviewItem>
    <reviewItem>
      <errorID>ed0525c9-ee18-410f-a054-c72540d5cb26</errorID>
      <errorWord>:</errorWord>
      <group>L1_Format</group>
      <groupName>格式问题</groupName>
      <ability>L2_HalfPunc</ability>
      <abilityName>全半角检查</abilityName>
      <candidateList>
        <item>：</item>
      </candidateList>
      <explain>文本全半角错误。</explain>
      <paraID>32EF4BAE</paraID>
      <start>41</start>
      <end>42</end>
      <status>unmodified</status>
      <modifiedWord/>
      <trackRevisions>false</trackRevisions>
    </reviewItem>
    <reviewItem>
      <errorID>591bc040-e2f5-46e8-9964-4fa0c1e38b1c</errorID>
      <errorWord>:</errorWord>
      <group>L1_Format</group>
      <groupName>格式问题</groupName>
      <ability>L2_HalfPunc</ability>
      <abilityName>全半角检查</abilityName>
      <candidateList>
        <item>：</item>
      </candidateList>
      <explain>文本全半角错误。</explain>
      <paraID>28463EE5</paraID>
      <start>2</start>
      <end>3</end>
      <status>unmodified</status>
      <modifiedWord/>
      <trackRevisions>false</trackRevisions>
    </reviewItem>
    <reviewItem>
      <errorID>b82e625e-0927-452e-8e08-a7d0cfe051eb</errorID>
      <errorWord>:</errorWord>
      <group>L1_Format</group>
      <groupName>格式问题</groupName>
      <ability>L2_HalfPunc</ability>
      <abilityName>全半角检查</abilityName>
      <candidateList>
        <item>：</item>
      </candidateList>
      <explain>文本全半角错误。</explain>
      <paraID>28463EE5</paraID>
      <start>41</start>
      <end>42</end>
      <status>unmodified</status>
      <modifiedWord/>
      <trackRevisions>false</trackRevisions>
    </reviewItem>
    <reviewItem>
      <errorID>c515a30f-c69a-4431-bc6b-a924f6a1ca3a</errorID>
      <errorWord>件</errorWord>
      <group>L1_Word</group>
      <groupName>字词问题</groupName>
      <ability>L2_Typo</ability>
      <abilityName>字词错误</abilityName>
      <candidateList>
        <item>件中</item>
      </candidateList>
      <explain/>
      <paraID>76721F59</paraID>
      <start>17</start>
      <end>18</end>
      <status>unmodified</status>
      <modifiedWord/>
      <trackRevisions>false</trackRevisions>
    </reviewItem>
    <reviewItem>
      <errorID>d71ab3f7-5edb-4407-b2ab-f1d514be90c5</errorID>
      <errorWord>(</errorWord>
      <group>L1_Format</group>
      <groupName>格式问题</groupName>
      <ability>L2_HalfPunc</ability>
      <abilityName>全半角检查</abilityName>
      <candidateList>
        <item>（</item>
      </candidateList>
      <explain>文本全半角错误。</explain>
      <paraID>76721F59</paraID>
      <start>32</start>
      <end>33</end>
      <status>unmodified</status>
      <modifiedWord/>
      <trackRevisions>false</trackRevisions>
    </reviewItem>
    <reviewItem>
      <errorID>e2a3f988-d110-4221-92fd-d915a01d7211</errorID>
      <errorWord>)</errorWord>
      <group>L1_Format</group>
      <groupName>格式问题</groupName>
      <ability>L2_HalfPunc</ability>
      <abilityName>全半角检查</abilityName>
      <candidateList>
        <item>）</item>
      </candidateList>
      <explain>文本全半角错误。</explain>
      <paraID>76721F59</paraID>
      <start>38</start>
      <end>39</end>
      <status>unmodified</status>
      <modifiedWord/>
      <trackRevisions>false</trackRevisions>
    </reviewItem>
    <reviewItem>
      <errorID>41f9df4e-9861-4564-9fd3-6e5d3f012b39</errorID>
      <errorWord>(</errorWord>
      <group>L1_Format</group>
      <groupName>格式问题</groupName>
      <ability>L2_HalfPunc</ability>
      <abilityName>全半角检查</abilityName>
      <candidateList>
        <item>（</item>
      </candidateList>
      <explain>文本全半角错误。</explain>
      <paraID>76721F59</paraID>
      <start>48</start>
      <end>49</end>
      <status>unmodified</status>
      <modifiedWord/>
      <trackRevisions>false</trackRevisions>
    </reviewItem>
    <reviewItem>
      <errorID>11b8169a-7cee-4441-8adb-e7ea25faaf0e</errorID>
      <errorWord>)</errorWord>
      <group>L1_Format</group>
      <groupName>格式问题</groupName>
      <ability>L2_HalfPunc</ability>
      <abilityName>全半角检查</abilityName>
      <candidateList>
        <item>）</item>
      </candidateList>
      <explain>文本全半角错误。</explain>
      <paraID>76721F59</paraID>
      <start>58</start>
      <end>59</end>
      <status>unmodified</status>
      <modifiedWord/>
      <trackRevisions>false</trackRevisions>
    </reviewItem>
    <reviewItem>
      <errorID>c1d0b081-bad8-4c84-a467-7c4888200281</errorID>
      <errorWord>,</errorWord>
      <group>L1_Format</group>
      <groupName>格式问题</groupName>
      <ability>L2_HalfPunc</ability>
      <abilityName>全半角检查</abilityName>
      <candidateList>
        <item>，</item>
      </candidateList>
      <explain>文本全半角错误。</explain>
      <paraID>2CA4E1BD</paraID>
      <start>11</start>
      <end>12</end>
      <status>unmodified</status>
      <modifiedWord/>
      <trackRevisions>false</trackRevisions>
    </reviewItem>
    <reviewItem>
      <errorID>dd014b03-a5bd-4010-b205-6f56a4013e5d</errorID>
      <errorWord>书就</errorWord>
      <group>L1_Word</group>
      <groupName>字词问题</groupName>
      <ability>L2_Typo</ability>
      <abilityName>字词错误</abilityName>
      <candidateList>
        <item>书写</item>
      </candidateList>
      <explain/>
      <paraID>67ED853D</paraID>
      <start>13</start>
      <end>15</end>
      <status>unmodified</status>
      <modifiedWord/>
      <trackRevisions>false</trackRevisions>
    </reviewItem>
    <reviewItem>
      <errorID>dcb9eff4-c1e4-422f-a722-e686f87fea3b</errorID>
      <errorWord>壹</errorWord>
      <group>L1_Word</group>
      <groupName>字词问题</groupName>
      <ability>L2_Typo</ability>
      <abilityName>字词错误</abilityName>
      <candidateList>
        <item>一</item>
      </candidateList>
      <explain>存在发音相同字词的误用。</explain>
      <paraID>27B4FD9C</paraID>
      <start>3</start>
      <end>4</end>
      <status>unmodified</status>
      <modifiedWord/>
      <trackRevisions>false</trackRevisions>
    </reviewItem>
    <reviewItem>
      <errorID>990841de-77f9-4714-8880-2d29597a2433</errorID>
      <errorWord>[2019]217号</errorWord>
      <group>L1_Knowledge</group>
      <groupName>知识性问题</groupName>
      <ability>L2_Knowledge</ability>
      <abilityName>其他知识</abilityName>
      <candidateList>
        <item>〔2019〕217号</item>
      </candidateList>
      <explain>发文字号格式错误。</explain>
      <paraID>631F8740</paraID>
      <start>35</start>
      <end>45</end>
      <status>unmodified</status>
      <modifiedWord/>
      <trackRevisions>false</trackRevisions>
    </reviewItem>
    <reviewItem>
      <errorID>fdaa5a73-fff7-47fa-8f32-97495152acb0</errorID>
      <errorWord>(</errorWord>
      <group>L1_Format</group>
      <groupName>格式问题</groupName>
      <ability>L2_HalfPunc</ability>
      <abilityName>全半角检查</abilityName>
      <candidateList>
        <item>（</item>
      </candidateList>
      <explain>文本全半角错误。</explain>
      <paraID>2CF86114</paraID>
      <start>6</start>
      <end>7</end>
      <status>unmodified</status>
      <modifiedWord/>
      <trackRevisions>false</trackRevisions>
    </reviewItem>
    <reviewItem>
      <errorID>151a9f8c-5ce0-4777-a192-1568396353fb</errorID>
      <errorWord>)</errorWord>
      <group>L1_Format</group>
      <groupName>格式问题</groupName>
      <ability>L2_HalfPunc</ability>
      <abilityName>全半角检查</abilityName>
      <candidateList>
        <item>）</item>
      </candidateList>
      <explain>文本全半角错误。</explain>
      <paraID>2CF86114</paraID>
      <start>27</start>
      <end>28</end>
      <status>unmodified</status>
      <modifiedWord/>
      <trackRevisions>false</trackRevisions>
    </reviewItem>
    <reviewItem>
      <errorID>e49b8c32-969c-422c-ab53-419e831951df</errorID>
      <errorWord>(</errorWord>
      <group>L1_Format</group>
      <groupName>格式问题</groupName>
      <ability>L2_HalfPunc</ability>
      <abilityName>全半角检查</abilityName>
      <candidateList>
        <item>（</item>
      </candidateList>
      <explain>文本全半角错误。</explain>
      <paraID>4E973E6F</paraID>
      <start>6</start>
      <end>7</end>
      <status>unmodified</status>
      <modifiedWord/>
      <trackRevisions>false</trackRevisions>
    </reviewItem>
    <reviewItem>
      <errorID>ba9c1d34-2c4e-4434-88c8-54d818bafe98</errorID>
      <errorWord>)</errorWord>
      <group>L1_Format</group>
      <groupName>格式问题</groupName>
      <ability>L2_HalfPunc</ability>
      <abilityName>全半角检查</abilityName>
      <candidateList>
        <item>）</item>
      </candidateList>
      <explain>文本全半角错误。</explain>
      <paraID>4E973E6F</paraID>
      <start>27</start>
      <end>28</end>
      <status>unmodified</status>
      <modifiedWord/>
      <trackRevisions>false</trackRevisions>
    </reviewItem>
    <reviewItem>
      <errorID>fde15ed8-ce4e-4116-abc8-f4752a88b9f8</errorID>
      <errorWord>(</errorWord>
      <group>L1_Format</group>
      <groupName>格式问题</groupName>
      <ability>L2_HalfPunc</ability>
      <abilityName>全半角检查</abilityName>
      <candidateList>
        <item>（</item>
      </candidateList>
      <explain>文本全半角错误。</explain>
      <paraID>23ECE839</paraID>
      <start>20</start>
      <end>21</end>
      <status>unmodified</status>
      <modifiedWord/>
      <trackRevisions>false</trackRevisions>
    </reviewItem>
    <reviewItem>
      <errorID>bae3296d-25de-4423-98ae-9e32d6f324c4</errorID>
      <errorWord>)</errorWord>
      <group>L1_Format</group>
      <groupName>格式问题</groupName>
      <ability>L2_HalfPunc</ability>
      <abilityName>全半角检查</abilityName>
      <candidateList>
        <item>）</item>
      </candidateList>
      <explain>文本全半角错误。</explain>
      <paraID>23ECE839</paraID>
      <start>25</start>
      <end>26</end>
      <status>unmodified</status>
      <modifiedWord/>
      <trackRevisions>false</trackRevisions>
    </reviewItem>
    <reviewItem>
      <errorID>d31c26b0-169d-4d97-a11c-7b860a7d5780</errorID>
      <errorWord>(</errorWord>
      <group>L1_Format</group>
      <groupName>格式问题</groupName>
      <ability>L2_HalfPunc</ability>
      <abilityName>全半角检查</abilityName>
      <candidateList>
        <item>（</item>
      </candidateList>
      <explain>文本全半角错误。</explain>
      <paraID>40FC8F5E</paraID>
      <start>6</start>
      <end>7</end>
      <status>unmodified</status>
      <modifiedWord/>
      <trackRevisions>false</trackRevisions>
    </reviewItem>
    <reviewItem>
      <errorID>d9613de2-b86b-4e59-9add-5e8fea01a9ca</errorID>
      <errorWord>)</errorWord>
      <group>L1_Format</group>
      <groupName>格式问题</groupName>
      <ability>L2_HalfPunc</ability>
      <abilityName>全半角检查</abilityName>
      <candidateList>
        <item>）</item>
      </candidateList>
      <explain>文本全半角错误。</explain>
      <paraID>40FC8F5E</paraID>
      <start>11</start>
      <end>12</end>
      <status>unmodified</status>
      <modifiedWord/>
      <trackRevisions>false</trackRevisions>
    </reviewItem>
    <reviewItem>
      <errorID>7d021905-e9f1-48ba-92db-97b99fc72e97</errorID>
      <errorWord>(</errorWord>
      <group>L1_Format</group>
      <groupName>格式问题</groupName>
      <ability>L2_HalfPunc</ability>
      <abilityName>全半角检查</abilityName>
      <candidateList>
        <item>（</item>
      </candidateList>
      <explain>文本全半角错误。</explain>
      <paraID>38FAD226</paraID>
      <start>6</start>
      <end>7</end>
      <status>unmodified</status>
      <modifiedWord/>
      <trackRevisions>false</trackRevisions>
    </reviewItem>
    <reviewItem>
      <errorID>d98847a3-e3a2-40e0-a223-81812c6fd0fa</errorID>
      <errorWord>)</errorWord>
      <group>L1_Format</group>
      <groupName>格式问题</groupName>
      <ability>L2_HalfPunc</ability>
      <abilityName>全半角检查</abilityName>
      <candidateList>
        <item>）</item>
      </candidateList>
      <explain>文本全半角错误。</explain>
      <paraID>38FAD226</paraID>
      <start>11</start>
      <end>12</end>
      <status>unmodified</status>
      <modifiedWord/>
      <trackRevisions>false</trackRevisions>
    </reviewItem>
    <reviewItem>
      <errorID>d71ff4de-1b44-459a-b4e0-2839fde6904b</errorID>
      <errorWord>股东大会</errorWord>
      <group>L1_Word</group>
      <groupName>字词问题</groupName>
      <ability>L2_Typo</ability>
      <abilityName>字词错误</abilityName>
      <candidateList>
        <item>股东会</item>
      </candidateList>
      <explain/>
      <paraID>41B9F9EF</paraID>
      <start>113</start>
      <end>117</end>
      <status>unmodified</status>
      <modifiedWord/>
      <trackRevisions>false</trackRevisions>
    </reviewItem>
    <reviewItem>
      <errorID>fe4bb3d0-bfab-4c53-a095-12d624ff269a</errorID>
      <errorWord>(</errorWord>
      <group>L1_Format</group>
      <groupName>格式问题</groupName>
      <ability>L2_HalfPunc</ability>
      <abilityName>全半角检查</abilityName>
      <candidateList>
        <item>（</item>
      </candidateList>
      <explain>文本全半角错误。</explain>
      <paraID>3E7CAEBD</paraID>
      <start>5</start>
      <end>6</end>
      <status>unmodified</status>
      <modifiedWord/>
      <trackRevisions>false</trackRevisions>
    </reviewItem>
    <reviewItem>
      <errorID>51d9b0d9-3970-4b72-b4b6-96c8e69b31ce</errorID>
      <errorWord>)</errorWord>
      <group>L1_Format</group>
      <groupName>格式问题</groupName>
      <ability>L2_HalfPunc</ability>
      <abilityName>全半角检查</abilityName>
      <candidateList>
        <item>）</item>
      </candidateList>
      <explain>文本全半角错误。</explain>
      <paraID>3E7CAEBD</paraID>
      <start>10</start>
      <end>11</end>
      <status>unmodified</status>
      <modifiedWord/>
      <trackRevisions>false</trackRevisions>
    </reviewItem>
    <reviewItem>
      <errorID>14adbf01-892b-41fe-b987-9d7ef1ccf753</errorID>
      <errorWord>(</errorWord>
      <group>L1_Format</group>
      <groupName>格式问题</groupName>
      <ability>L2_HalfPunc</ability>
      <abilityName>全半角检查</abilityName>
      <candidateList>
        <item>（</item>
      </candidateList>
      <explain>文本全半角错误。</explain>
      <paraID>7086E67F</paraID>
      <start>5</start>
      <end>6</end>
      <status>unmodified</status>
      <modifiedWord/>
      <trackRevisions>false</trackRevisions>
    </reviewItem>
    <reviewItem>
      <errorID>f2bf7763-7ebd-440c-ac8c-540e10aa2cb0</errorID>
      <errorWord>)</errorWord>
      <group>L1_Format</group>
      <groupName>格式问题</groupName>
      <ability>L2_HalfPunc</ability>
      <abilityName>全半角检查</abilityName>
      <candidateList>
        <item>）</item>
      </candidateList>
      <explain>文本全半角错误。</explain>
      <paraID>7086E67F</paraID>
      <start>10</start>
      <end>11</end>
      <status>unmodified</status>
      <modifiedWord/>
      <trackRevisions>false</trackRevisions>
    </reviewItem>
    <reviewItem>
      <errorID>b1bc8212-5588-4ad7-bf43-6a4289fec571</errorID>
      <errorWord>(</errorWord>
      <group>L1_Format</group>
      <groupName>格式问题</groupName>
      <ability>L2_HalfPunc</ability>
      <abilityName>全半角检查</abilityName>
      <candidateList>
        <item>（</item>
      </candidateList>
      <explain>文本全半角错误。</explain>
      <paraID>50906AA0</paraID>
      <start>7</start>
      <end>8</end>
      <status>unmodified</status>
      <modifiedWord/>
      <trackRevisions>false</trackRevisions>
    </reviewItem>
    <reviewItem>
      <errorID>f59384a3-6765-472a-8c76-bc1a380dbebb</errorID>
      <errorWord>)</errorWord>
      <group>L1_Format</group>
      <groupName>格式问题</groupName>
      <ability>L2_HalfPunc</ability>
      <abilityName>全半角检查</abilityName>
      <candidateList>
        <item>）</item>
      </candidateList>
      <explain>文本全半角错误。</explain>
      <paraID>50906AA0</paraID>
      <start>12</start>
      <end>13</end>
      <status>unmodified</status>
      <modifiedWord/>
      <trackRevisions>false</trackRevisions>
    </reviewItem>
    <reviewItem>
      <errorID>7ac29963-f364-4884-b711-d3c9a6cc2bfe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5D3E77B0</paraID>
      <start>0</start>
      <end>2</end>
      <status>unmodified</status>
      <modifiedWord/>
      <trackRevisions>false</trackRevisions>
    </reviewItem>
    <reviewItem>
      <errorID>74aa7663-9f38-45dc-8369-1c523939f390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36DA6725</paraID>
      <start>0</start>
      <end>2</end>
      <status>unmodified</status>
      <modifiedWord/>
      <trackRevisions>false</trackRevisions>
    </reviewItem>
    <reviewItem>
      <errorID>eb180668-e6f6-42d4-aa2e-220f0b736635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AF1DF6</paraID>
      <start>0</start>
      <end>2</end>
      <status>unmodified</status>
      <modifiedWord/>
      <trackRevisions>false</trackRevisions>
    </reviewItem>
    <reviewItem>
      <errorID>986eb87a-9679-49e3-bbc0-8d4512315efa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69D3BD3A</paraID>
      <start>0</start>
      <end>2</end>
      <status>unmodified</status>
      <modifiedWord/>
      <trackRevisions>false</trackRevisions>
    </reviewItem>
    <reviewItem>
      <errorID>79770aec-fee1-4e29-ac59-96eaaecce32a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7458FDD6</paraID>
      <start>0</start>
      <end>2</end>
      <status>unmodified</status>
      <modifiedWord/>
      <trackRevisions>false</trackRevisions>
    </reviewItem>
    <reviewItem>
      <errorID>fabc6471-93e9-4309-806d-75f06e5e50e8</errorID>
      <errorWord>。】</errorWord>
      <group>L1_Punc</group>
      <groupName>标点问题</groupName>
      <ability>L2_Punc</ability>
      <abilityName>标点符号检查</abilityName>
      <candidateList>
        <item>】</item>
      </candidateList>
      <explain/>
      <paraID>7458FDD6</paraID>
      <start>150</start>
      <end>152</end>
      <status>unmodified</status>
      <modifiedWord/>
      <trackRevisions>false</trackRevisions>
    </reviewItem>
    <reviewItem>
      <errorID>9d4c5bc8-cc31-433e-95d5-35dbc19bcbb3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60B3954B</paraID>
      <start>0</start>
      <end>2</end>
      <status>unmodified</status>
      <modifiedWord/>
      <trackRevisions>false</trackRevisions>
    </reviewItem>
    <reviewItem>
      <errorID>a2c97946-54ff-4766-8ae4-44969b749ef1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39D43411</paraID>
      <start>0</start>
      <end>2</end>
      <status>unmodified</status>
      <modifiedWord/>
      <trackRevisions>false</trackRevisions>
    </reviewItem>
    <reviewItem>
      <errorID>d006cd72-499f-4279-a3b9-2fb84507eb62</errorID>
      <errorWord>(</errorWord>
      <group>L1_Format</group>
      <groupName>格式问题</groupName>
      <ability>L2_HalfPunc</ability>
      <abilityName>全半角检查</abilityName>
      <candidateList>
        <item>（</item>
      </candidateList>
      <explain>文本全半角错误。</explain>
      <paraID>726BF005</paraID>
      <start>7</start>
      <end>8</end>
      <status>unmodified</status>
      <modifiedWord/>
      <trackRevisions>false</trackRevisions>
    </reviewItem>
    <reviewItem>
      <errorID>ea621276-5e44-4394-b95a-f7362bebd623</errorID>
      <errorWord>)</errorWord>
      <group>L1_Format</group>
      <groupName>格式问题</groupName>
      <ability>L2_HalfPunc</ability>
      <abilityName>全半角检查</abilityName>
      <candidateList>
        <item>）</item>
      </candidateList>
      <explain>文本全半角错误。</explain>
      <paraID>726BF005</paraID>
      <start>12</start>
      <end>13</end>
      <status>unmodified</status>
      <modifiedWord/>
      <trackRevisions>false</trackRevisions>
    </reviewItem>
    <reviewItem>
      <errorID>408c9e4b-d70a-419a-af8b-714ba9573d1a</errorID>
      <errorWord>(</errorWord>
      <group>L1_Format</group>
      <groupName>格式问题</groupName>
      <ability>L2_HalfPunc</ability>
      <abilityName>全半角检查</abilityName>
      <candidateList>
        <item>（</item>
      </candidateList>
      <explain>文本全半角错误。</explain>
      <paraID>7417EC6C</paraID>
      <start>7</start>
      <end>8</end>
      <status>unmodified</status>
      <modifiedWord/>
      <trackRevisions>false</trackRevisions>
    </reviewItem>
    <reviewItem>
      <errorID>5722a60e-69a5-445b-8fae-fed1f0d21b26</errorID>
      <errorWord>)</errorWord>
      <group>L1_Format</group>
      <groupName>格式问题</groupName>
      <ability>L2_HalfPunc</ability>
      <abilityName>全半角检查</abilityName>
      <candidateList>
        <item>）</item>
      </candidateList>
      <explain>文本全半角错误。</explain>
      <paraID>7417EC6C</paraID>
      <start>12</start>
      <end>13</end>
      <status>unmodified</status>
      <modifiedWord/>
      <trackRevisions>false</trackRevisions>
    </reviewItem>
    <reviewItem>
      <errorID>5522f676-9547-4267-9028-eca8f04798cb</errorID>
      <errorWord>表</errorWord>
      <group>L1_Word</group>
      <groupName>字词问题</groupName>
      <ability>L2_Typo</ability>
      <abilityName>字词错误</abilityName>
      <candidateList>
        <item>表人</item>
      </candidateList>
      <explain/>
      <paraID>4309885D</paraID>
      <start>3</start>
      <end>4</end>
      <status>unmodified</status>
      <modifiedWord/>
      <trackRevisions>false</trackRevisions>
    </reviewItem>
    <reviewItem>
      <errorID>c00a22b1-d4e4-4b87-bc76-21f9d329aaa4</errorID>
      <errorWord>......</errorWord>
      <group>L1_Punc</group>
      <groupName>标点问题</groupName>
      <ability>L2_Punc</ability>
      <abilityName>标点符号检查</abilityName>
      <candidateList>
        <item>……</item>
      </candidateList>
      <explain/>
      <paraID>3E4B80E2</paraID>
      <start>0</start>
      <end>6</end>
      <status>unmodified</status>
      <modifiedWord/>
      <trackRevisions>false</trackRevisions>
    </reviewItem>
    <reviewItem>
      <errorID>879ae6d9-d21d-4b76-a2b8-0554285771a4</errorID>
      <errorWord>(</errorWord>
      <group>L1_Format</group>
      <groupName>格式问题</groupName>
      <ability>L2_HalfPunc</ability>
      <abilityName>全半角检查</abilityName>
      <candidateList>
        <item>（</item>
      </candidateList>
      <explain>文本全半角错误。</explain>
      <paraID>65AF7974</paraID>
      <start>0</start>
      <end>1</end>
      <status>unmodified</status>
      <modifiedWord/>
      <trackRevisions>false</trackRevisions>
    </reviewItem>
    <reviewItem>
      <errorID>ae5ca699-d007-4a35-b7e9-4816045a0f18</errorID>
      <errorWord>)</errorWord>
      <group>L1_Format</group>
      <groupName>格式问题</groupName>
      <ability>L2_HalfPunc</ability>
      <abilityName>全半角检查</abilityName>
      <candidateList>
        <item>）</item>
      </candidateList>
      <explain>文本全半角错误。</explain>
      <paraID>65AF7974</paraID>
      <start>15</start>
      <end>16</end>
      <status>unmodified</status>
      <modifiedWord/>
      <trackRevisions>false</trackRevisions>
    </reviewItem>
    <reviewItem>
      <errorID>59a6e517-8839-4f3d-848b-a882f41e1afa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76E820BD</paraID>
      <start>63</start>
      <end>66</end>
      <status>unmodified</status>
      <modifiedWord/>
      <trackRevisions>false</trackRevisions>
    </reviewItem>
    <reviewItem>
      <errorID>87dcb9a8-9672-4987-9c70-f66655dd0312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5F54EF3C</paraID>
      <start>36</start>
      <end>39</end>
      <status>unmodified</status>
      <modifiedWord/>
      <trackRevisions>false</trackRevisions>
    </reviewItem>
    <reviewItem>
      <errorID>f8d4d9a4-4620-4bb6-98c0-c968ecaace79</errorID>
      <errorWord>(</errorWord>
      <group>L1_Format</group>
      <groupName>格式问题</groupName>
      <ability>L2_HalfPunc</ability>
      <abilityName>全半角检查</abilityName>
      <candidateList>
        <item>（</item>
      </candidateList>
      <explain>文本全半角错误。</explain>
      <paraID>476F0767</paraID>
      <start>7</start>
      <end>8</end>
      <status>unmodified</status>
      <modifiedWord/>
      <trackRevisions>false</trackRevisions>
    </reviewItem>
    <reviewItem>
      <errorID>4b52977d-8e61-48db-a005-80ec2776a8ac</errorID>
      <errorWord>)</errorWord>
      <group>L1_Format</group>
      <groupName>格式问题</groupName>
      <ability>L2_HalfPunc</ability>
      <abilityName>全半角检查</abilityName>
      <candidateList>
        <item>）</item>
      </candidateList>
      <explain>文本全半角错误。</explain>
      <paraID>476F0767</paraID>
      <start>12</start>
      <end>13</end>
      <status>unmodified</status>
      <modifiedWord/>
      <trackRevisions>false</trackRevisions>
    </reviewItem>
    <reviewItem>
      <errorID>ff91b2c1-fc7f-49fd-b2ce-10aa0ff0b358</errorID>
      <errorWord>(</errorWord>
      <group>L1_Format</group>
      <groupName>格式问题</groupName>
      <ability>L2_HalfPunc</ability>
      <abilityName>全半角检查</abilityName>
      <candidateList>
        <item>（</item>
      </candidateList>
      <explain>文本全半角错误。</explain>
      <paraID>1C22AB32</paraID>
      <start>7</start>
      <end>8</end>
      <status>unmodified</status>
      <modifiedWord/>
      <trackRevisions>false</trackRevisions>
    </reviewItem>
    <reviewItem>
      <errorID>54ad6796-31e7-44ae-8b1e-031ca4cf8c3a</errorID>
      <errorWord>)</errorWord>
      <group>L1_Format</group>
      <groupName>格式问题</groupName>
      <ability>L2_HalfPunc</ability>
      <abilityName>全半角检查</abilityName>
      <candidateList>
        <item>）</item>
      </candidateList>
      <explain>文本全半角错误。</explain>
      <paraID>1C22AB32</paraID>
      <start>12</start>
      <end>13</end>
      <status>unmodified</status>
      <modifiedWord/>
      <trackRevisions>false</trackRevisions>
    </reviewItem>
    <reviewItem>
      <errorID>7725985e-781c-4eec-8dfa-1f60fec8881d</errorID>
      <errorWord>:</errorWord>
      <group>L1_Format</group>
      <groupName>格式问题</groupName>
      <ability>L2_HalfPunc</ability>
      <abilityName>全半角检查</abilityName>
      <candidateList>
        <item>：</item>
      </candidateList>
      <explain>文本全半角错误。</explain>
      <paraID>1A84D6E9</paraID>
      <start>3</start>
      <end>4</end>
      <status>unmodified</status>
      <modifiedWord/>
      <trackRevisions>false</trackRevisions>
    </reviewItem>
    <reviewItem>
      <errorID>5c67ab59-a28c-465a-9496-1586fb6313f9</errorID>
      <errorWord>（</errorWord>
      <group>L1_Punc</group>
      <groupName>标点问题</groupName>
      <ability>L2_Punc</ability>
      <abilityName>标点符号检查</abilityName>
      <candidateList/>
      <explain>同一形式括号套用。</explain>
      <paraID>1A84D6E9</paraID>
      <start>29</start>
      <end>30</end>
      <status>unmodified</status>
      <modifiedWord/>
      <trackRevisions>false</trackRevisions>
    </reviewItem>
    <reviewItem>
      <errorID>2a645781-e200-4109-8eec-b40eada73115</errorID>
      <errorWord>）</errorWord>
      <group>L1_Punc</group>
      <groupName>标点问题</groupName>
      <ability>L2_Punc</ability>
      <abilityName>标点符号检查</abilityName>
      <candidateList/>
      <explain>同一形式括号套用。</explain>
      <paraID>1A84D6E9</paraID>
      <start>33</start>
      <end>34</end>
      <status>unmodified</status>
      <modifiedWord/>
      <trackRevisions>false</trackRevisions>
    </reviewItem>
    <reviewItem>
      <errorID>3dfdca8a-72a7-4f16-aba7-8efd6936b794</errorID>
      <errorWord>（</errorWord>
      <group>L1_Punc</group>
      <groupName>标点问题</groupName>
      <ability>L2_Punc</ability>
      <abilityName>标点符号检查</abilityName>
      <candidateList/>
      <explain>同一形式括号套用。</explain>
      <paraID>1A84D6E9</paraID>
      <start>44</start>
      <end>45</end>
      <status>unmodified</status>
      <modifiedWord/>
      <trackRevisions>false</trackRevisions>
    </reviewItem>
    <reviewItem>
      <errorID>1ddb9f08-0b76-422f-b71d-5320feef5519</errorID>
      <errorWord>）</errorWord>
      <group>L1_Punc</group>
      <groupName>标点问题</groupName>
      <ability>L2_Punc</ability>
      <abilityName>标点符号检查</abilityName>
      <candidateList/>
      <explain>同一形式括号套用。</explain>
      <paraID>1A84D6E9</paraID>
      <start>47</start>
      <end>48</end>
      <status>unmodified</status>
      <modifiedWord/>
      <trackRevisions>false</trackRevisions>
    </reviewItem>
    <reviewItem>
      <errorID>f2ceda12-4ad5-4b94-b5a6-e851eb4df8fe</errorID>
      <errorWord>（</errorWord>
      <group>L1_Punc</group>
      <groupName>标点问题</groupName>
      <ability>L2_Punc</ability>
      <abilityName>标点符号检查</abilityName>
      <candidateList/>
      <explain>同一形式括号套用。</explain>
      <paraID>1A84D6E9</paraID>
      <start>55</start>
      <end>56</end>
      <status>unmodified</status>
      <modifiedWord/>
      <trackRevisions>false</trackRevisions>
    </reviewItem>
    <reviewItem>
      <errorID>775444f2-f910-4a98-92b9-3fa150e65b5f</errorID>
      <errorWord>）</errorWord>
      <group>L1_Punc</group>
      <groupName>标点问题</groupName>
      <ability>L2_Punc</ability>
      <abilityName>标点符号检查</abilityName>
      <candidateList/>
      <explain>同一形式括号套用。</explain>
      <paraID>1A84D6E9</paraID>
      <start>58</start>
      <end>59</end>
      <status>unmodified</status>
      <modifiedWord/>
      <trackRevisions>false</trackRevisions>
    </reviewItem>
    <reviewItem>
      <errorID>8c61e462-377c-442a-94a6-d45e8257813a</errorID>
      <errorWord>(</errorWord>
      <group>L1_Format</group>
      <groupName>格式问题</groupName>
      <ability>L2_HalfPunc</ability>
      <abilityName>全半角检查</abilityName>
      <candidateList>
        <item>（</item>
      </candidateList>
      <explain>文本全半角错误。</explain>
      <paraID>648A40A4</paraID>
      <start>6</start>
      <end>7</end>
      <status>unmodified</status>
      <modifiedWord/>
      <trackRevisions>false</trackRevisions>
    </reviewItem>
    <reviewItem>
      <errorID>34a57acb-de0f-44ce-86b9-972c451deeb9</errorID>
      <errorWord>)</errorWord>
      <group>L1_Format</group>
      <groupName>格式问题</groupName>
      <ability>L2_HalfPunc</ability>
      <abilityName>全半角检查</abilityName>
      <candidateList>
        <item>）</item>
      </candidateList>
      <explain>文本全半角错误。</explain>
      <paraID>648A40A4</paraID>
      <start>11</start>
      <end>12</end>
      <status>unmodified</status>
      <modifiedWord/>
      <trackRevisions>false</trackRevisions>
    </reviewItem>
    <reviewItem>
      <errorID>84f751be-9c56-4ec9-bb6e-833b8637f34d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26E5F71D</paraID>
      <start>77</start>
      <end>80</end>
      <status>unmodified</status>
      <modifiedWord/>
      <trackRevisions>false</trackRevisions>
    </reviewItem>
    <reviewItem>
      <errorID>c7a4d286-4264-411f-bdb1-cc9b2ce9c37e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4748C6B7</paraID>
      <start>31</start>
      <end>34</end>
      <status>unmodified</status>
      <modifiedWord/>
      <trackRevisions>false</trackRevisions>
    </reviewItem>
    <reviewItem>
      <errorID>5a077e9c-0517-42e0-8e3a-fd074de5599a</errorID>
      <errorWord>(</errorWord>
      <group>L1_Format</group>
      <groupName>格式问题</groupName>
      <ability>L2_HalfPunc</ability>
      <abilityName>全半角检查</abilityName>
      <candidateList>
        <item>（</item>
      </candidateList>
      <explain>文本全半角错误。</explain>
      <paraID>6EFFF6A2</paraID>
      <start>5</start>
      <end>6</end>
      <status>unmodified</status>
      <modifiedWord/>
      <trackRevisions>false</trackRevisions>
    </reviewItem>
    <reviewItem>
      <errorID>70c56b53-7afe-4fa9-8b44-103e704ba886</errorID>
      <errorWord>)</errorWord>
      <group>L1_Format</group>
      <groupName>格式问题</groupName>
      <ability>L2_HalfPunc</ability>
      <abilityName>全半角检查</abilityName>
      <candidateList>
        <item>）</item>
      </candidateList>
      <explain>文本全半角错误。</explain>
      <paraID>6EFFF6A2</paraID>
      <start>10</start>
      <end>11</end>
      <status>unmodified</status>
      <modifiedWord/>
      <trackRevisions>false</trackRevisions>
    </reviewItem>
    <reviewItem>
      <errorID>ed975f02-5218-439c-9bbd-5773290ad9f0</errorID>
      <errorWord>:</errorWord>
      <group>L1_Format</group>
      <groupName>格式问题</groupName>
      <ability>L2_HalfPunc</ability>
      <abilityName>全半角检查</abilityName>
      <candidateList>
        <item>：</item>
      </candidateList>
      <explain>文本全半角错误。</explain>
      <paraID>1B6D300E</paraID>
      <start>2</start>
      <end>3</end>
      <status>unmodified</status>
      <modifiedWord/>
      <trackRevisions>false</trackRevisions>
    </reviewItem>
    <reviewItem>
      <errorID>1600f5a0-b2ee-444e-a86e-69013206ccf2</errorID>
      <errorWord>(</errorWord>
      <group>L1_Format</group>
      <groupName>格式问题</groupName>
      <ability>L2_HalfPunc</ability>
      <abilityName>全半角检查</abilityName>
      <candidateList>
        <item>（</item>
      </candidateList>
      <explain>文本全半角错误。</explain>
      <paraID>1B6D300E</paraID>
      <start>12</start>
      <end>13</end>
      <status>unmodified</status>
      <modifiedWord/>
      <trackRevisions>false</trackRevisions>
    </reviewItem>
    <reviewItem>
      <errorID>c5dafef2-0f43-4dac-b916-3a748685a5ee</errorID>
      <errorWord>)</errorWord>
      <group>L1_Format</group>
      <groupName>格式问题</groupName>
      <ability>L2_HalfPunc</ability>
      <abilityName>全半角检查</abilityName>
      <candidateList>
        <item>）</item>
      </candidateList>
      <explain>文本全半角错误。</explain>
      <paraID>1B6D300E</paraID>
      <start>19</start>
      <end>20</end>
      <status>unmodified</status>
      <modifiedWord/>
      <trackRevisions>false</trackRevisions>
    </reviewItem>
    <reviewItem>
      <errorID>c11b2f0f-f97d-4444-87e9-d5ae664e7d80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2E686BA2</paraID>
      <start>0</start>
      <end>2</end>
      <status>unmodified</status>
      <modifiedWord/>
      <trackRevisions>false</trackRevisions>
    </reviewItem>
    <reviewItem>
      <errorID>f278fdc8-5cb0-459f-895b-9125038dc960</errorID>
      <errorWord>:</errorWord>
      <group>L1_Format</group>
      <groupName>格式问题</groupName>
      <ability>L2_HalfPunc</ability>
      <abilityName>全半角检查</abilityName>
      <candidateList>
        <item>：</item>
      </candidateList>
      <explain>文本全半角错误。</explain>
      <paraID>64277146</paraID>
      <start>3</start>
      <end>4</end>
      <status>unmodified</status>
      <modifiedWord/>
      <trackRevisions>false</trackRevisions>
    </reviewItem>
    <reviewItem>
      <errorID>bd3db5d4-aa2a-4280-bc10-e407b47e447b</errorID>
      <errorWord>(</errorWord>
      <group>L1_Format</group>
      <groupName>格式问题</groupName>
      <ability>L2_HalfPunc</ability>
      <abilityName>全半角检查</abilityName>
      <candidateList>
        <item>（</item>
      </candidateList>
      <explain>文本全半角错误。</explain>
      <paraID>4B37E4C4</paraID>
      <start>5</start>
      <end>6</end>
      <status>unmodified</status>
      <modifiedWord/>
      <trackRevisions>false</trackRevisions>
    </reviewItem>
    <reviewItem>
      <errorID>a62f3ccb-b884-4229-b219-d0e76d116314</errorID>
      <errorWord>)</errorWord>
      <group>L1_Format</group>
      <groupName>格式问题</groupName>
      <ability>L2_HalfPunc</ability>
      <abilityName>全半角检查</abilityName>
      <candidateList>
        <item>）</item>
      </candidateList>
      <explain>文本全半角错误。</explain>
      <paraID>4B37E4C4</paraID>
      <start>10</start>
      <end>11</end>
      <status>unmodified</status>
      <modifiedWord/>
      <trackRevisions>false</trackRevisions>
    </reviewItem>
    <reviewItem>
      <errorID>63a654f0-5374-43ec-bea5-59912d6fd5ff</errorID>
      <errorWord>:</errorWord>
      <group>L1_Format</group>
      <groupName>格式问题</groupName>
      <ability>L2_HalfPunc</ability>
      <abilityName>全半角检查</abilityName>
      <candidateList>
        <item>：</item>
      </candidateList>
      <explain>文本全半角错误。</explain>
      <paraID>7A664D0D</paraID>
      <start>3</start>
      <end>4</end>
      <status>unmodified</status>
      <modifiedWord/>
      <trackRevisions>false</trackRevisions>
    </reviewItem>
    <reviewItem>
      <errorID>3024e6b4-5f80-41ba-ac41-7d135e4a529c</errorID>
      <errorWord>:</errorWord>
      <group>L1_Format</group>
      <groupName>格式问题</groupName>
      <ability>L2_HalfPunc</ability>
      <abilityName>全半角检查</abilityName>
      <candidateList>
        <item>：</item>
      </candidateList>
      <explain>文本全半角错误。</explain>
      <paraID>3A1FF375</paraID>
      <start>3</start>
      <end>4</end>
      <status>unmodified</status>
      <modifiedWord/>
      <trackRevisions>false</trackRevisions>
    </reviewItem>
    <reviewItem>
      <errorID>9c31e94d-01b6-4f0f-b3e6-4b973796fb5f</errorID>
      <errorWord>(</errorWord>
      <group>L1_Format</group>
      <groupName>格式问题</groupName>
      <ability>L2_HalfPunc</ability>
      <abilityName>全半角检查</abilityName>
      <candidateList>
        <item>（</item>
      </candidateList>
      <explain>文本全半角错误。</explain>
      <paraID>74F09154</paraID>
      <start>0</start>
      <end>1</end>
      <status>unmodified</status>
      <modifiedWord/>
      <trackRevisions>false</trackRevisions>
    </reviewItem>
    <reviewItem>
      <errorID>f64044b4-5df3-4979-bff8-46a9f3a3269a</errorID>
      <errorWord>)</errorWord>
      <group>L1_Format</group>
      <groupName>格式问题</groupName>
      <ability>L2_HalfPunc</ability>
      <abilityName>全半角检查</abilityName>
      <candidateList>
        <item>）</item>
      </candidateList>
      <explain>文本全半角错误。</explain>
      <paraID>74F09154</paraID>
      <start>3</start>
      <end>4</end>
      <status>unmodified</status>
      <modifiedWord/>
      <trackRevisions>false</trackRevisions>
    </reviewItem>
    <reviewItem>
      <errorID>be8a17be-feb6-4da2-99b7-d3729908f983</errorID>
      <errorWord>(</errorWord>
      <group>L1_Format</group>
      <groupName>格式问题</groupName>
      <ability>L2_HalfPunc</ability>
      <abilityName>全半角检查</abilityName>
      <candidateList>
        <item>（</item>
      </candidateList>
      <explain>文本全半角错误。</explain>
      <paraID>5E25C830</paraID>
      <start>0</start>
      <end>1</end>
      <status>unmodified</status>
      <modifiedWord/>
      <trackRevisions>false</trackRevisions>
    </reviewItem>
    <reviewItem>
      <errorID>3a8a5d4d-2e94-43da-93c4-10f23e350f3b</errorID>
      <errorWord>)</errorWord>
      <group>L1_Format</group>
      <groupName>格式问题</groupName>
      <ability>L2_HalfPunc</ability>
      <abilityName>全半角检查</abilityName>
      <candidateList>
        <item>）</item>
      </candidateList>
      <explain>文本全半角错误。</explain>
      <paraID>5E25C830</paraID>
      <start>3</start>
      <end>4</end>
      <status>unmodified</status>
      <modifiedWord/>
      <trackRevisions>false</trackRevisions>
    </reviewItem>
    <reviewItem>
      <errorID>64d0750a-8be6-429c-9120-18ba31e1216c</errorID>
      <errorWord>(</errorWord>
      <group>L1_Format</group>
      <groupName>格式问题</groupName>
      <ability>L2_HalfPunc</ability>
      <abilityName>全半角检查</abilityName>
      <candidateList>
        <item>（</item>
      </candidateList>
      <explain>文本全半角错误。</explain>
      <paraID>601C742A</paraID>
      <start>0</start>
      <end>1</end>
      <status>unmodified</status>
      <modifiedWord/>
      <trackRevisions>false</trackRevisions>
    </reviewItem>
    <reviewItem>
      <errorID>132b405c-dc55-4bc4-80ef-582086ec757f</errorID>
      <errorWord>)</errorWord>
      <group>L1_Format</group>
      <groupName>格式问题</groupName>
      <ability>L2_HalfPunc</ability>
      <abilityName>全半角检查</abilityName>
      <candidateList>
        <item>）</item>
      </candidateList>
      <explain>文本全半角错误。</explain>
      <paraID>601C742A</paraID>
      <start>3</start>
      <end>4</end>
      <status>unmodified</status>
      <modifiedWord/>
      <trackRevisions>false</trackRevisions>
    </reviewItem>
    <reviewItem>
      <errorID>00bf9058-3811-41b6-9e36-beb17e90667f</errorID>
      <errorWord>上述的</errorWord>
      <group>L1_Word</group>
      <groupName>字词问题</groupName>
      <ability>L2_Typo</ability>
      <abilityName>字词错误</abilityName>
      <candidateList>
        <item>上述</item>
      </candidateList>
      <explain>〈形〉属性词。上面所说的：～各条，望切实执行。</explain>
      <paraID>1B8D3A7C</paraID>
      <start>7</start>
      <end>10</end>
      <status>unmodified</status>
      <modifiedWord/>
      <trackRevisions>false</trackRevisions>
    </reviewItem>
    <reviewItem>
      <errorID>20bb0c9a-86fb-4a41-89b7-4b848e0aa934</errorID>
      <errorWord>(</errorWord>
      <group>L1_Format</group>
      <groupName>格式问题</groupName>
      <ability>L2_HalfPunc</ability>
      <abilityName>全半角检查</abilityName>
      <candidateList>
        <item>（</item>
      </candidateList>
      <explain>文本全半角错误。</explain>
      <paraID>4A85E4C7</paraID>
      <start>5</start>
      <end>6</end>
      <status>unmodified</status>
      <modifiedWord/>
      <trackRevisions>false</trackRevisions>
    </reviewItem>
    <reviewItem>
      <errorID>179b6172-8801-453e-bea9-f1ccad9974ec</errorID>
      <errorWord>)</errorWord>
      <group>L1_Format</group>
      <groupName>格式问题</groupName>
      <ability>L2_HalfPunc</ability>
      <abilityName>全半角检查</abilityName>
      <candidateList>
        <item>）</item>
      </candidateList>
      <explain>文本全半角错误。</explain>
      <paraID>4A85E4C7</paraID>
      <start>10</start>
      <end>11</end>
      <status>unmodified</status>
      <modifiedWord/>
      <trackRevisions>false</trackRevisions>
    </reviewItem>
    <reviewItem>
      <errorID>3931d4a0-35b2-466e-be5d-e262a56d5265</errorID>
      <errorWord>(</errorWord>
      <group>L1_Format</group>
      <groupName>格式问题</groupName>
      <ability>L2_HalfPunc</ability>
      <abilityName>全半角检查</abilityName>
      <candidateList>
        <item>（</item>
      </candidateList>
      <explain>文本全半角错误。</explain>
      <paraID>3F3ACBD4</paraID>
      <start>7</start>
      <end>8</end>
      <status>unmodified</status>
      <modifiedWord/>
      <trackRevisions>false</trackRevisions>
    </reviewItem>
    <reviewItem>
      <errorID>fc5258ac-b727-4ad3-b7c0-13e7c7904ac5</errorID>
      <errorWord>)</errorWord>
      <group>L1_Format</group>
      <groupName>格式问题</groupName>
      <ability>L2_HalfPunc</ability>
      <abilityName>全半角检查</abilityName>
      <candidateList>
        <item>）</item>
      </candidateList>
      <explain>文本全半角错误。</explain>
      <paraID>3F3ACBD4</paraID>
      <start>12</start>
      <end>13</end>
      <status>unmodified</status>
      <modifiedWord/>
      <trackRevisions>false</trackRevisions>
    </reviewItem>
    <reviewItem>
      <errorID>09318278-aabd-4378-9421-6bb2b743d75a</errorID>
      <errorWord>(</errorWord>
      <group>L1_Format</group>
      <groupName>格式问题</groupName>
      <ability>L2_HalfPunc</ability>
      <abilityName>全半角检查</abilityName>
      <candidateList>
        <item>（</item>
      </candidateList>
      <explain>文本全半角错误。</explain>
      <paraID>5FAB87A9</paraID>
      <start>5</start>
      <end>6</end>
      <status>unmodified</status>
      <modifiedWord/>
      <trackRevisions>false</trackRevisions>
    </reviewItem>
    <reviewItem>
      <errorID>ece55fee-3e17-4eaf-bf1b-f09f772c771d</errorID>
      <errorWord>)</errorWord>
      <group>L1_Format</group>
      <groupName>格式问题</groupName>
      <ability>L2_HalfPunc</ability>
      <abilityName>全半角检查</abilityName>
      <candidateList>
        <item>）</item>
      </candidateList>
      <explain>文本全半角错误。</explain>
      <paraID>5FAB87A9</paraID>
      <start>10</start>
      <end>11</end>
      <status>unmodified</status>
      <modifiedWord/>
      <trackRevisions>false</trackRevisions>
    </reviewItem>
    <reviewItem>
      <errorID>26aef5f1-8bfd-4b57-91d1-0c2b051a7362</errorID>
      <errorWord>:</errorWord>
      <group>L1_Format</group>
      <groupName>格式问题</groupName>
      <ability>L2_HalfPunc</ability>
      <abilityName>全半角检查</abilityName>
      <candidateList>
        <item>：</item>
      </candidateList>
      <explain>文本全半角错误。</explain>
      <paraID> E36C304</paraID>
      <start>2</start>
      <end>3</end>
      <status>unmodified</status>
      <modifiedWord/>
      <trackRevisions>false</trackRevisions>
    </reviewItem>
    <reviewItem>
      <errorID>adee61a0-8ab8-44e9-976c-3f904112fd38</errorID>
      <errorWord>:</errorWord>
      <group>L1_Format</group>
      <groupName>格式问题</groupName>
      <ability>L2_HalfPunc</ability>
      <abilityName>全半角检查</abilityName>
      <candidateList>
        <item>：</item>
      </candidateList>
      <explain>文本全半角错误。</explain>
      <paraID>65168AF6</paraID>
      <start>2</start>
      <end>3</end>
      <status>unmodified</status>
      <modifiedWord/>
      <trackRevisions>false</trackRevisions>
    </reviewItem>
    <reviewItem>
      <errorID>607af47e-36b4-40dd-a1a4-53f7b5218f47</errorID>
      <errorWord>(</errorWord>
      <group>L1_Format</group>
      <groupName>格式问题</groupName>
      <ability>L2_HalfPunc</ability>
      <abilityName>全半角检查</abilityName>
      <candidateList>
        <item>（</item>
      </candidateList>
      <explain>文本全半角错误。</explain>
      <paraID>34D135C8</paraID>
      <start>74</start>
      <end>75</end>
      <status>unmodified</status>
      <modifiedWord/>
      <trackRevisions>false</trackRevisions>
    </reviewItem>
    <reviewItem>
      <errorID>ab92d887-7489-47a5-9fb4-8256c77f2939</errorID>
      <errorWord>)</errorWord>
      <group>L1_Format</group>
      <groupName>格式问题</groupName>
      <ability>L2_HalfPunc</ability>
      <abilityName>全半角检查</abilityName>
      <candidateList>
        <item>）</item>
      </candidateList>
      <explain>文本全半角错误。</explain>
      <paraID>34D135C8</paraID>
      <start>81</start>
      <end>82</end>
      <status>unmodified</status>
      <modifiedWord/>
      <trackRevisions>false</trackRevisions>
    </reviewItem>
    <reviewItem>
      <errorID>c5c1a2fb-c577-4921-a9ea-57fa8a8f8e15</errorID>
      <errorWord>(</errorWord>
      <group>L1_Format</group>
      <groupName>格式问题</groupName>
      <ability>L2_HalfPunc</ability>
      <abilityName>全半角检查</abilityName>
      <candidateList>
        <item>（</item>
      </candidateList>
      <explain>文本全半角错误。</explain>
      <paraID>34D135C8</paraID>
      <start>93</start>
      <end>94</end>
      <status>unmodified</status>
      <modifiedWord/>
      <trackRevisions>false</trackRevisions>
    </reviewItem>
    <reviewItem>
      <errorID>3a6cadf9-0b96-4eeb-ae6d-3ec268a18622</errorID>
      <errorWord>)</errorWord>
      <group>L1_Format</group>
      <groupName>格式问题</groupName>
      <ability>L2_HalfPunc</ability>
      <abilityName>全半角检查</abilityName>
      <candidateList>
        <item>）</item>
      </candidateList>
      <explain>文本全半角错误。</explain>
      <paraID>34D135C8</paraID>
      <start>99</start>
      <end>100</end>
      <status>unmodified</status>
      <modifiedWord/>
      <trackRevisions>false</trackRevisions>
    </reviewItem>
    <reviewItem>
      <errorID>f2690902-6ce6-4dd9-9e4f-b978d7ec300b</errorID>
      <errorWord>)</errorWord>
      <group>L1_Format</group>
      <groupName>格式问题</groupName>
      <ability>L2_HalfPunc</ability>
      <abilityName>全半角检查</abilityName>
      <candidateList>
        <item>）</item>
      </candidateList>
      <explain>文本全半角错误。</explain>
      <paraID>3CD3DBD3</paraID>
      <start>42</start>
      <end>43</end>
      <status>unmodified</status>
      <modifiedWord/>
      <trackRevisions>false</trackRevisions>
    </reviewItem>
    <reviewItem>
      <errorID>099bf741-de0a-4fc8-b3a2-92e54a7666e5</errorID>
      <errorWord>)</errorWord>
      <group>L1_Format</group>
      <groupName>格式问题</groupName>
      <ability>L2_HalfPunc</ability>
      <abilityName>全半角检查</abilityName>
      <candidateList>
        <item>）</item>
      </candidateList>
      <explain>文本全半角错误。</explain>
      <paraID>5F02C8CF</paraID>
      <start>42</start>
      <end>43</end>
      <status>unmodified</status>
      <modifiedWord/>
      <trackRevisions>false</trackRevisions>
    </reviewItem>
    <reviewItem>
      <errorID>9104efae-d8c5-42ba-bb58-5130a99c7903</errorID>
      <errorWord>)</errorWord>
      <group>L1_Format</group>
      <groupName>格式问题</groupName>
      <ability>L2_HalfPunc</ability>
      <abilityName>全半角检查</abilityName>
      <candidateList>
        <item>）</item>
      </candidateList>
      <explain>文本全半角错误。</explain>
      <paraID>1D581198</paraID>
      <start>42</start>
      <end>43</end>
      <status>unmodified</status>
      <modifiedWord/>
      <trackRevisions>false</trackRevisions>
    </reviewItem>
    <reviewItem>
      <errorID>5e448ec8-ebab-4225-8d04-3ee9e05fe929</errorID>
      <errorWord>......</errorWord>
      <group>L1_Punc</group>
      <groupName>标点问题</groupName>
      <ability>L2_Punc</ability>
      <abilityName>标点符号检查</abilityName>
      <candidateList>
        <item>……</item>
      </candidateList>
      <explain/>
      <paraID>7FC7CF6D</paraID>
      <start>0</start>
      <end>6</end>
      <status>unmodified</status>
      <modifiedWord/>
      <trackRevisions>false</trackRevisions>
    </reviewItem>
    <reviewItem>
      <errorID>37430b69-3d7a-42e6-a86f-662ee1a4a648</errorID>
      <errorWord>本</errorWord>
      <group>L1_Word</group>
      <groupName>字词问题</groupName>
      <ability>L2_Typo</ability>
      <abilityName>字词错误</abilityName>
      <candidateList>
        <item>本次</item>
      </candidateList>
      <explain/>
      <paraID>646BB61F</paraID>
      <start>14</start>
      <end>15</end>
      <status>unmodified</status>
      <modifiedWord/>
      <trackRevisions>false</trackRevisions>
    </reviewItem>
    <reviewItem>
      <errorID>bdd75c6e-1caa-410c-b5e6-734047966f16</errorID>
      <errorWord>本</errorWord>
      <group>L1_Word</group>
      <groupName>字词问题</groupName>
      <ability>L2_Typo</ability>
      <abilityName>字词错误</abilityName>
      <candidateList>
        <item>本次</item>
      </candidateList>
      <explain/>
      <paraID>54291CD8</paraID>
      <start>4</start>
      <end>5</end>
      <status>unmodified</status>
      <modifiedWord/>
      <trackRevisions>false</trackRevisions>
    </reviewItem>
    <reviewItem>
      <errorID>16fe49e4-6159-4b19-854a-bf135d80558f</errorID>
      <errorWord>(</errorWord>
      <group>L1_Format</group>
      <groupName>格式问题</groupName>
      <ability>L2_HalfPunc</ability>
      <abilityName>全半角检查</abilityName>
      <candidateList>
        <item>（</item>
      </candidateList>
      <explain>文本全半角错误。</explain>
      <paraID> B7AB747</paraID>
      <start>5</start>
      <end>6</end>
      <status>unmodified</status>
      <modifiedWord/>
      <trackRevisions>false</trackRevisions>
    </reviewItem>
    <reviewItem>
      <errorID>8f27c076-3f00-4929-a3c4-a1566142fd8a</errorID>
      <errorWord>)</errorWord>
      <group>L1_Format</group>
      <groupName>格式问题</groupName>
      <ability>L2_HalfPunc</ability>
      <abilityName>全半角检查</abilityName>
      <candidateList>
        <item>）</item>
      </candidateList>
      <explain>文本全半角错误。</explain>
      <paraID> B7AB747</paraID>
      <start>10</start>
      <end>11</end>
      <status>unmodified</status>
      <modifiedWord/>
      <trackRevisions>false</trackRevisions>
    </reviewItem>
    <reviewItem>
      <errorID>ab6bcab9-6a89-496a-a185-e416d3cd711d</errorID>
      <errorWord>(</errorWord>
      <group>L1_Format</group>
      <groupName>格式问题</groupName>
      <ability>L2_HalfPunc</ability>
      <abilityName>全半角检查</abilityName>
      <candidateList>
        <item>（</item>
      </candidateList>
      <explain>文本全半角错误。</explain>
      <paraID>4758DEBA</paraID>
      <start>7</start>
      <end>8</end>
      <status>unmodified</status>
      <modifiedWord/>
      <trackRevisions>false</trackRevisions>
    </reviewItem>
    <reviewItem>
      <errorID>a74146cc-5612-4bad-ab70-5db6128f0d1d</errorID>
      <errorWord>)</errorWord>
      <group>L1_Format</group>
      <groupName>格式问题</groupName>
      <ability>L2_HalfPunc</ability>
      <abilityName>全半角检查</abilityName>
      <candidateList>
        <item>）</item>
      </candidateList>
      <explain>文本全半角错误。</explain>
      <paraID>4758DEBA</paraID>
      <start>16</start>
      <end>17</end>
      <status>unmodified</status>
      <modifiedWord/>
      <trackRevisions>false</trackRevisions>
    </reviewItem>
    <reviewItem>
      <errorID>2f94be7b-510d-42a5-9a46-0f494f5a23ef</errorID>
      <errorWord>(</errorWord>
      <group>L1_Format</group>
      <groupName>格式问题</groupName>
      <ability>L2_HalfPunc</ability>
      <abilityName>全半角检查</abilityName>
      <candidateList>
        <item>（</item>
      </candidateList>
      <explain>文本全半角错误。</explain>
      <paraID>65315977</paraID>
      <start>2</start>
      <end>3</end>
      <status>unmodified</status>
      <modifiedWord/>
      <trackRevisions>false</trackRevisions>
    </reviewItem>
    <reviewItem>
      <errorID>0e6580d4-5f80-4552-a040-2106a4f3de92</errorID>
      <errorWord>)</errorWord>
      <group>L1_Format</group>
      <groupName>格式问题</groupName>
      <ability>L2_HalfPunc</ability>
      <abilityName>全半角检查</abilityName>
      <candidateList>
        <item>）</item>
      </candidateList>
      <explain>文本全半角错误。</explain>
      <paraID>65315977</paraID>
      <start>4</start>
      <end>5</end>
      <status>unmodified</status>
      <modifiedWord/>
      <trackRevisions>false</trackRevisions>
    </reviewItem>
    <reviewItem>
      <errorID>cc2caf5b-b22b-4a4f-b309-c2e38f0af2f1</errorID>
      <errorWord>＝</errorWord>
      <group>L1_Format</group>
      <groupName>格式问题</groupName>
      <ability>L2_HalfPunc</ability>
      <abilityName>全半角检查</abilityName>
      <candidateList>
        <item>=</item>
      </candidateList>
      <explain>文本全半角错误。</explain>
      <paraID>66816742</paraID>
      <start>1</start>
      <end>2</end>
      <status>unmodified</status>
      <modifiedWord/>
      <trackRevisions>false</trackRevisions>
    </reviewItem>
    <reviewItem>
      <errorID>d568a463-8ecf-44fe-8303-076103b7661f</errorID>
      <errorWord>,</errorWord>
      <group>L1_Format</group>
      <groupName>格式问题</groupName>
      <ability>L2_HalfPunc</ability>
      <abilityName>全半角检查</abilityName>
      <candidateList>
        <item>，</item>
      </candidateList>
      <explain>文本全半角错误。</explain>
      <paraID> 74CCA9B</paraID>
      <start>32</start>
      <end>33</end>
      <status>unmodified</status>
      <modifiedWord/>
      <trackRevisions>false</trackRevisions>
    </reviewItem>
    <reviewItem>
      <errorID>97caafc7-6111-424a-a96c-7dea6c4eda32</errorID>
      <errorWord>(</errorWord>
      <group>L1_Format</group>
      <groupName>格式问题</groupName>
      <ability>L2_HalfPunc</ability>
      <abilityName>全半角检查</abilityName>
      <candidateList>
        <item>（</item>
      </candidateList>
      <explain>文本全半角错误。</explain>
      <paraID>3597FAD9</paraID>
      <start>5</start>
      <end>6</end>
      <status>unmodified</status>
      <modifiedWord/>
      <trackRevisions>false</trackRevisions>
    </reviewItem>
    <reviewItem>
      <errorID>69b9ca87-f359-41cb-9177-b55d35893106</errorID>
      <errorWord>)</errorWord>
      <group>L1_Format</group>
      <groupName>格式问题</groupName>
      <ability>L2_HalfPunc</ability>
      <abilityName>全半角检查</abilityName>
      <candidateList>
        <item>）</item>
      </candidateList>
      <explain>文本全半角错误。</explain>
      <paraID>3597FAD9</paraID>
      <start>10</start>
      <end>11</end>
      <status>unmodified</status>
      <modifiedWord/>
      <trackRevisions>false</trackRevisions>
    </reviewItem>
    <reviewItem>
      <errorID>a6d4eb80-235c-47c3-858f-da484fb3ebef</errorID>
      <errorWord>(</errorWord>
      <group>L1_Format</group>
      <groupName>格式问题</groupName>
      <ability>L2_HalfPunc</ability>
      <abilityName>全半角检查</abilityName>
      <candidateList>
        <item>（</item>
      </candidateList>
      <explain>文本全半角错误。</explain>
      <paraID>77C6D71E</paraID>
      <start>5</start>
      <end>6</end>
      <status>unmodified</status>
      <modifiedWord/>
      <trackRevisions>false</trackRevisions>
    </reviewItem>
    <reviewItem>
      <errorID>05307dcb-fbc3-4d2f-8a60-15b4f1bf8df9</errorID>
      <errorWord>)</errorWord>
      <group>L1_Format</group>
      <groupName>格式问题</groupName>
      <ability>L2_HalfPunc</ability>
      <abilityName>全半角检查</abilityName>
      <candidateList>
        <item>）</item>
      </candidateList>
      <explain>文本全半角错误。</explain>
      <paraID>77C6D71E</paraID>
      <start>10</start>
      <end>11</end>
      <status>unmodified</status>
      <modifiedWord/>
      <trackRevisions>false</trackRevisions>
    </reviewItem>
    <reviewItem>
      <errorID>fb75b355-4308-4daf-bab0-4ef8a883177e</errorID>
      <errorWord>[2014]68号</errorWord>
      <group>L1_Knowledge</group>
      <groupName>知识性问题</groupName>
      <ability>L2_Knowledge</ability>
      <abilityName>其他知识</abilityName>
      <candidateList>
        <item>〔2014〕68号</item>
      </candidateList>
      <explain>发文字号格式错误。</explain>
      <paraID>3F379225</paraID>
      <start>116</start>
      <end>125</end>
      <status>unmodified</status>
      <modifiedWord/>
      <trackRevisions>false</trackRevisions>
    </reviewItem>
    <reviewItem>
      <errorID>ed9e70f5-e523-4d2d-a760-69db5218ff7e</errorID>
      <errorWord>法律、法规</errorWord>
      <group>L1_Word</group>
      <groupName>字词问题</groupName>
      <ability>L2_Typo</ability>
      <abilityName>字词错误</abilityName>
      <candidateList>
        <item>法律法规</item>
      </candidateList>
      <explain/>
      <paraID> 5ABF467</paraID>
      <start>44</start>
      <end>49</end>
      <status>unmodified</status>
      <modifiedWord/>
      <trackRevisions>false</trackRevisions>
    </reviewItem>
    <reviewItem>
      <errorID>1ff4d3b5-3db8-418c-8d1d-ab305ca940b7</errorID>
      <errorWord>法律、法规</errorWord>
      <group>L1_Word</group>
      <groupName>字词问题</groupName>
      <ability>L2_Typo</ability>
      <abilityName>字词错误</abilityName>
      <candidateList>
        <item>法律法规</item>
      </candidateList>
      <explain/>
      <paraID> 5ABF467</paraID>
      <start>121</start>
      <end>126</end>
      <status>unmodified</status>
      <modifiedWord/>
      <trackRevisions>false</trackRevisions>
    </reviewItem>
    <reviewItem>
      <errorID>9ed4ccc3-9a11-4977-8d43-8fc7dda72544</errorID>
      <errorWord>(</errorWord>
      <group>L1_Format</group>
      <groupName>格式问题</groupName>
      <ability>L2_HalfPunc</ability>
      <abilityName>全半角检查</abilityName>
      <candidateList>
        <item>（</item>
      </candidateList>
      <explain>文本全半角错误。</explain>
      <paraID>74CBCC58</paraID>
      <start>11</start>
      <end>12</end>
      <status>unmodified</status>
      <modifiedWord/>
      <trackRevisions>false</trackRevisions>
    </reviewItem>
    <reviewItem>
      <errorID>c69a336b-9078-4881-b56b-2a25690c98f3</errorID>
      <errorWord>)</errorWord>
      <group>L1_Format</group>
      <groupName>格式问题</groupName>
      <ability>L2_HalfPunc</ability>
      <abilityName>全半角检查</abilityName>
      <candidateList>
        <item>）</item>
      </candidateList>
      <explain>文本全半角错误。</explain>
      <paraID>74CBCC58</paraID>
      <start>16</start>
      <end>17</end>
      <status>unmodified</status>
      <modifiedWord/>
      <trackRevisions>false</trackRevisions>
    </reviewItem>
    <reviewItem>
      <errorID>b6176ba8-16ea-4a70-9b4e-c297c6ea72ad</errorID>
      <errorWord>(</errorWord>
      <group>L1_Format</group>
      <groupName>格式问题</groupName>
      <ability>L2_HalfPunc</ability>
      <abilityName>全半角检查</abilityName>
      <candidateList>
        <item>（</item>
      </candidateList>
      <explain>文本全半角错误。</explain>
      <paraID>4DA42A96</paraID>
      <start>2</start>
      <end>3</end>
      <status>unmodified</status>
      <modifiedWord/>
      <trackRevisions>false</trackRevisions>
    </reviewItem>
    <reviewItem>
      <errorID>dea46656-57cd-4b0b-ad26-a15fedf99d5e</errorID>
      <errorWord>)</errorWord>
      <group>L1_Format</group>
      <groupName>格式问题</groupName>
      <ability>L2_HalfPunc</ability>
      <abilityName>全半角检查</abilityName>
      <candidateList>
        <item>）</item>
      </candidateList>
      <explain>文本全半角错误。</explain>
      <paraID>4DA42A96</paraID>
      <start>5</start>
      <end>6</end>
      <status>unmodified</status>
      <modifiedWord/>
      <trackRevisions>false</trackRevisions>
    </reviewItem>
    <reviewItem>
      <errorID>8339a3c5-be69-46b3-badd-efafd78d586b</errorID>
      <errorWord>:</errorWord>
      <group>L1_Format</group>
      <groupName>格式问题</groupName>
      <ability>L2_HalfPunc</ability>
      <abilityName>全半角检查</abilityName>
      <candidateList>
        <item>：</item>
      </candidateList>
      <explain>文本全半角错误。</explain>
      <paraID>20AC25DB</paraID>
      <start>6</start>
      <end>7</end>
      <status>unmodified</status>
      <modifiedWord/>
      <trackRevisions>false</trackRevisions>
    </reviewItem>
    <reviewItem>
      <errorID>ca466f70-b99a-4701-899e-2df1872ac615</errorID>
      <errorWord>:</errorWord>
      <group>L1_Format</group>
      <groupName>格式问题</groupName>
      <ability>L2_HalfPunc</ability>
      <abilityName>全半角检查</abilityName>
      <candidateList>
        <item>：</item>
      </candidateList>
      <explain>文本全半角错误。</explain>
      <paraID>5361617C</paraID>
      <start>6</start>
      <end>7</end>
      <status>unmodified</status>
      <modifiedWord/>
      <trackRevisions>false</trackRevisions>
    </reviewItem>
    <reviewItem>
      <errorID>2d79423b-b3b8-48de-af2e-d4735b2b4c6e</errorID>
      <errorWord>,</errorWord>
      <group>L1_Format</group>
      <groupName>格式问题</groupName>
      <ability>L2_HalfPunc</ability>
      <abilityName>全半角检查</abilityName>
      <candidateList>
        <item>，</item>
      </candidateList>
      <explain>文本全半角错误。</explain>
      <paraID>7F2B203B</paraID>
      <start>15</start>
      <end>16</end>
      <status>unmodified</status>
      <modifiedWord/>
      <trackRevisions>false</trackRevisions>
    </reviewItem>
    <reviewItem>
      <errorID>3839e561-66ed-4c56-b4bf-711f7be7bd8e</errorID>
      <errorWord>提出质疑</errorWord>
      <group>L1_Grammar</group>
      <groupName>语法问题</groupName>
      <ability>L2_Grammar</ability>
      <abilityName>语法错误</abilityName>
      <candidateList>
        <item>质疑</item>
      </candidateList>
      <explain>〈动〉提出疑问：～问难。</explain>
      <paraID>7F2B203B</paraID>
      <start>36</start>
      <end>40</end>
      <status>unmodified</status>
      <modifiedWord/>
      <trackRevisions>false</trackRevisions>
    </reviewItem>
    <reviewItem>
      <errorID>59d46a3b-b47a-4a68-af6a-9eba2b060afe</errorID>
      <errorWord>,</errorWord>
      <group>L1_Format</group>
      <groupName>格式问题</groupName>
      <ability>L2_HalfPunc</ability>
      <abilityName>全半角检查</abilityName>
      <candidateList>
        <item>，</item>
      </candidateList>
      <explain>文本全半角错误。</explain>
      <paraID>6345994A</paraID>
      <start>21</start>
      <end>22</end>
      <status>unmodified</status>
      <modifiedWord/>
      <trackRevisions>false</trackRevisions>
    </reviewItem>
    <reviewItem>
      <errorID>58ca94d3-7f9f-4be0-9763-664f785b671c</errorID>
      <errorWord>(</errorWord>
      <group>L1_Format</group>
      <groupName>格式问题</groupName>
      <ability>L2_HalfPunc</ability>
      <abilityName>全半角检查</abilityName>
      <candidateList>
        <item>（</item>
      </candidateList>
      <explain>文本全半角错误。</explain>
      <paraID>6513ABBC</paraID>
      <start>2</start>
      <end>3</end>
      <status>unmodified</status>
      <modifiedWord/>
      <trackRevisions>false</trackRevisions>
    </reviewItem>
    <reviewItem>
      <errorID>fe76d141-154a-4936-8384-f0fa9e37bc70</errorID>
      <errorWord>)</errorWord>
      <group>L1_Format</group>
      <groupName>格式问题</groupName>
      <ability>L2_HalfPunc</ability>
      <abilityName>全半角检查</abilityName>
      <candidateList>
        <item>）</item>
      </candidateList>
      <explain>文本全半角错误。</explain>
      <paraID>6513ABBC</paraID>
      <start>5</start>
      <end>6</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b7eceb-5825-4a72-b582-36c82626d11d}">
  <ds:schemaRefs/>
</ds:datastoreItem>
</file>

<file path=docProps/app.xml><?xml version="1.0" encoding="utf-8"?>
<Properties xmlns="http://schemas.openxmlformats.org/officeDocument/2006/extended-properties" xmlns:vt="http://schemas.openxmlformats.org/officeDocument/2006/docPropsVTypes">
  <Template>论证稿（专家意见）-2026年南宁市高校毕业生等青年系列招聘活动物料采购、租赁与布置项目.wpt</Template>
  <Pages>250</Pages>
  <Words>16316</Words>
  <Characters>17613</Characters>
  <Lines>520</Lines>
  <Paragraphs>146</Paragraphs>
  <TotalTime>15</TotalTime>
  <ScaleCrop>false</ScaleCrop>
  <LinksUpToDate>false</LinksUpToDate>
  <CharactersWithSpaces>17743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2026-03-09T00:48:00Z</dcterms:created>
  <dc:creator>Laughing</dc:creator>
  <cp:lastModifiedBy>熙熙</cp:lastModifiedBy>
  <dcterms:modified xsi:type="dcterms:W3CDTF">2026-04-13T03:57:00Z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A717DEC471EF49D48582941C87E281DD_13</vt:lpwstr>
  </property>
  <property fmtid="{D5CDD505-2E9C-101B-9397-08002B2CF9AE}" pid="4" name="KSOTemplateDocerSaveRecord">
    <vt:lpwstr>eyJoZGlkIjoiNjU2MTAxYTdiYmUxMDQxYWY1ZWIyZDU2N2E3ZTA3MmQiLCJ1c2VySWQiOiIyMjczMzMxOTYifQ==</vt:lpwstr>
  </property>
</Properties>
</file>