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5F9B">
      <w:pPr>
        <w:spacing w:before="120" w:beforeLines="50" w:line="360" w:lineRule="auto"/>
        <w:jc w:val="center"/>
        <w:rPr>
          <w:color w:val="auto"/>
          <w:highlight w:val="none"/>
        </w:rPr>
      </w:pPr>
    </w:p>
    <w:p w14:paraId="4F4F91AD">
      <w:pPr>
        <w:spacing w:before="120" w:beforeLines="50" w:line="360" w:lineRule="auto"/>
        <w:jc w:val="center"/>
        <w:rPr>
          <w:rFonts w:ascii="宋体" w:hAnsi="宋体"/>
          <w:color w:val="auto"/>
          <w:sz w:val="52"/>
          <w:szCs w:val="52"/>
          <w:highlight w:val="none"/>
        </w:rPr>
      </w:pPr>
      <w:r>
        <w:rPr>
          <w:rFonts w:hint="eastAsia"/>
          <w:color w:val="auto"/>
          <w:highlight w:val="none"/>
        </w:rPr>
        <w:drawing>
          <wp:inline distT="0" distB="0" distL="0" distR="0">
            <wp:extent cx="1071245" cy="1397635"/>
            <wp:effectExtent l="0" t="0" r="14605" b="12065"/>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13" cstate="print"/>
                    <a:srcRect/>
                    <a:stretch>
                      <a:fillRect/>
                    </a:stretch>
                  </pic:blipFill>
                  <pic:spPr>
                    <a:xfrm>
                      <a:off x="0" y="0"/>
                      <a:ext cx="1071245" cy="1397635"/>
                    </a:xfrm>
                    <a:prstGeom prst="rect">
                      <a:avLst/>
                    </a:prstGeom>
                    <a:ln>
                      <a:noFill/>
                    </a:ln>
                  </pic:spPr>
                </pic:pic>
              </a:graphicData>
            </a:graphic>
          </wp:inline>
        </w:drawing>
      </w:r>
    </w:p>
    <w:p w14:paraId="3A9487EB">
      <w:pPr>
        <w:pStyle w:val="125"/>
        <w:spacing w:after="120"/>
        <w:ind w:firstLine="0" w:firstLineChars="0"/>
        <w:rPr>
          <w:rFonts w:ascii="宋体" w:hAnsi="宋体"/>
          <w:color w:val="auto"/>
          <w:highlight w:val="none"/>
        </w:rPr>
      </w:pPr>
    </w:p>
    <w:p w14:paraId="6F2F15B0">
      <w:pPr>
        <w:snapToGrid w:val="0"/>
        <w:spacing w:before="120" w:beforeLines="50" w:line="360" w:lineRule="auto"/>
        <w:jc w:val="center"/>
        <w:rPr>
          <w:rFonts w:ascii="宋体" w:hAnsi="宋体"/>
          <w:color w:val="auto"/>
          <w:sz w:val="120"/>
          <w:szCs w:val="120"/>
          <w:highlight w:val="none"/>
        </w:rPr>
      </w:pPr>
      <w:r>
        <w:rPr>
          <w:rFonts w:hint="eastAsia" w:ascii="宋体" w:hAnsi="宋体"/>
          <w:color w:val="auto"/>
          <w:sz w:val="120"/>
          <w:szCs w:val="120"/>
          <w:highlight w:val="none"/>
        </w:rPr>
        <w:t>招 标 文 件</w:t>
      </w:r>
    </w:p>
    <w:p w14:paraId="7C600089">
      <w:pPr>
        <w:snapToGrid w:val="0"/>
        <w:spacing w:before="120" w:beforeLines="50" w:line="360" w:lineRule="auto"/>
        <w:jc w:val="center"/>
        <w:rPr>
          <w:rFonts w:ascii="宋体" w:hAnsi="宋体"/>
          <w:b/>
          <w:color w:val="auto"/>
          <w:sz w:val="48"/>
          <w:szCs w:val="48"/>
          <w:highlight w:val="none"/>
        </w:rPr>
      </w:pPr>
      <w:r>
        <w:rPr>
          <w:rFonts w:hint="eastAsia" w:ascii="宋体" w:hAnsi="宋体"/>
          <w:b/>
          <w:color w:val="auto"/>
          <w:sz w:val="48"/>
          <w:szCs w:val="48"/>
          <w:highlight w:val="none"/>
        </w:rPr>
        <w:t>（全流程电子化采购）</w:t>
      </w:r>
    </w:p>
    <w:p w14:paraId="0A0194DD">
      <w:pPr>
        <w:snapToGrid w:val="0"/>
        <w:spacing w:line="360" w:lineRule="auto"/>
        <w:rPr>
          <w:rFonts w:ascii="宋体" w:hAnsi="宋体"/>
          <w:color w:val="auto"/>
          <w:sz w:val="30"/>
          <w:szCs w:val="72"/>
          <w:highlight w:val="none"/>
        </w:rPr>
      </w:pPr>
    </w:p>
    <w:p w14:paraId="79B896F5">
      <w:pPr>
        <w:snapToGrid w:val="0"/>
        <w:spacing w:line="360" w:lineRule="auto"/>
        <w:rPr>
          <w:rFonts w:ascii="宋体" w:hAnsi="宋体"/>
          <w:color w:val="auto"/>
          <w:sz w:val="30"/>
          <w:szCs w:val="72"/>
          <w:highlight w:val="none"/>
        </w:rPr>
      </w:pPr>
    </w:p>
    <w:p w14:paraId="39842971">
      <w:pPr>
        <w:pStyle w:val="27"/>
        <w:snapToGrid w:val="0"/>
        <w:spacing w:line="360" w:lineRule="auto"/>
        <w:ind w:left="2699" w:leftChars="568" w:hanging="1506" w:hangingChars="500"/>
        <w:rPr>
          <w:rFonts w:hAnsi="宋体" w:cs="仿宋"/>
          <w:b/>
          <w:bCs/>
          <w:color w:val="auto"/>
          <w:sz w:val="30"/>
          <w:szCs w:val="30"/>
          <w:highlight w:val="none"/>
        </w:rPr>
      </w:pPr>
      <w:r>
        <w:rPr>
          <w:rFonts w:hint="eastAsia" w:hAnsi="宋体" w:cs="仿宋"/>
          <w:b/>
          <w:bCs/>
          <w:color w:val="auto"/>
          <w:sz w:val="30"/>
          <w:szCs w:val="30"/>
          <w:highlight w:val="none"/>
        </w:rPr>
        <w:t>项目</w:t>
      </w:r>
      <w:r>
        <w:rPr>
          <w:rFonts w:hint="eastAsia" w:hAnsi="宋体" w:cs="仿宋"/>
          <w:b/>
          <w:bCs/>
          <w:color w:val="auto"/>
          <w:w w:val="95"/>
          <w:sz w:val="30"/>
          <w:szCs w:val="30"/>
          <w:highlight w:val="none"/>
        </w:rPr>
        <w:t>名称</w:t>
      </w:r>
      <w:r>
        <w:rPr>
          <w:rFonts w:hint="eastAsia" w:hAnsi="宋体" w:cs="仿宋"/>
          <w:b/>
          <w:bCs/>
          <w:color w:val="auto"/>
          <w:sz w:val="30"/>
          <w:szCs w:val="30"/>
          <w:highlight w:val="none"/>
        </w:rPr>
        <w:t>：南宁师范大学2026-2027年中文纸质图书采购加工服务项目</w:t>
      </w:r>
    </w:p>
    <w:p w14:paraId="1E36B862">
      <w:pPr>
        <w:snapToGrid w:val="0"/>
        <w:spacing w:line="360" w:lineRule="auto"/>
        <w:ind w:firstLine="1145" w:firstLineChars="400"/>
        <w:rPr>
          <w:rFonts w:ascii="宋体" w:hAnsi="宋体" w:cs="仿宋"/>
          <w:b/>
          <w:bCs/>
          <w:color w:val="auto"/>
          <w:w w:val="95"/>
          <w:sz w:val="30"/>
          <w:szCs w:val="30"/>
          <w:highlight w:val="none"/>
        </w:rPr>
      </w:pPr>
    </w:p>
    <w:p w14:paraId="344C4365">
      <w:pPr>
        <w:snapToGrid w:val="0"/>
        <w:spacing w:line="360" w:lineRule="auto"/>
        <w:ind w:firstLine="1145" w:firstLineChars="400"/>
        <w:rPr>
          <w:rFonts w:ascii="宋体" w:hAnsi="宋体" w:cs="仿宋"/>
          <w:color w:val="auto"/>
          <w:sz w:val="30"/>
          <w:szCs w:val="72"/>
          <w:highlight w:val="none"/>
        </w:rPr>
      </w:pPr>
      <w:r>
        <w:rPr>
          <w:rFonts w:hint="eastAsia" w:ascii="宋体" w:hAnsi="宋体" w:cs="仿宋"/>
          <w:b/>
          <w:bCs/>
          <w:color w:val="auto"/>
          <w:w w:val="95"/>
          <w:sz w:val="30"/>
          <w:szCs w:val="30"/>
          <w:highlight w:val="none"/>
        </w:rPr>
        <w:t>项目</w:t>
      </w:r>
      <w:r>
        <w:rPr>
          <w:rFonts w:hint="eastAsia" w:ascii="宋体" w:hAnsi="宋体" w:cs="仿宋"/>
          <w:b/>
          <w:bCs/>
          <w:color w:val="auto"/>
          <w:sz w:val="30"/>
          <w:szCs w:val="30"/>
          <w:highlight w:val="none"/>
        </w:rPr>
        <w:t>编号</w:t>
      </w:r>
      <w:r>
        <w:rPr>
          <w:rFonts w:hint="eastAsia" w:ascii="宋体" w:hAnsi="宋体" w:cs="仿宋"/>
          <w:b/>
          <w:bCs/>
          <w:color w:val="auto"/>
          <w:w w:val="95"/>
          <w:sz w:val="30"/>
          <w:szCs w:val="30"/>
          <w:highlight w:val="none"/>
        </w:rPr>
        <w:t>：</w:t>
      </w:r>
      <w:r>
        <w:rPr>
          <w:rFonts w:hint="eastAsia" w:ascii="宋体" w:hAnsi="宋体" w:cs="仿宋"/>
          <w:b/>
          <w:color w:val="auto"/>
          <w:sz w:val="30"/>
          <w:szCs w:val="48"/>
          <w:highlight w:val="none"/>
        </w:rPr>
        <w:t>GXZC2026-G1-000279-ZHZB</w:t>
      </w:r>
    </w:p>
    <w:p w14:paraId="6CC25194">
      <w:pPr>
        <w:pStyle w:val="27"/>
        <w:snapToGrid w:val="0"/>
        <w:spacing w:line="360" w:lineRule="auto"/>
        <w:ind w:firstLine="1125" w:firstLineChars="393"/>
        <w:rPr>
          <w:rFonts w:hAnsi="宋体" w:cs="仿宋"/>
          <w:b/>
          <w:bCs/>
          <w:color w:val="auto"/>
          <w:w w:val="95"/>
          <w:sz w:val="30"/>
          <w:szCs w:val="30"/>
          <w:highlight w:val="none"/>
        </w:rPr>
      </w:pPr>
    </w:p>
    <w:p w14:paraId="75C09D70">
      <w:pPr>
        <w:pStyle w:val="27"/>
        <w:snapToGrid w:val="0"/>
        <w:spacing w:line="360" w:lineRule="auto"/>
        <w:ind w:firstLine="1145" w:firstLineChars="400"/>
        <w:rPr>
          <w:rFonts w:hAnsi="宋体" w:cs="仿宋"/>
          <w:b/>
          <w:bCs/>
          <w:color w:val="auto"/>
          <w:w w:val="95"/>
          <w:sz w:val="30"/>
          <w:szCs w:val="30"/>
          <w:highlight w:val="none"/>
        </w:rPr>
      </w:pPr>
      <w:r>
        <w:rPr>
          <w:rFonts w:hint="eastAsia" w:hAnsi="宋体" w:cs="仿宋"/>
          <w:b/>
          <w:bCs/>
          <w:color w:val="auto"/>
          <w:w w:val="95"/>
          <w:sz w:val="30"/>
          <w:szCs w:val="30"/>
          <w:highlight w:val="none"/>
        </w:rPr>
        <w:t>采购人：南宁师范大学</w:t>
      </w:r>
    </w:p>
    <w:p w14:paraId="7964C97F">
      <w:pPr>
        <w:pStyle w:val="27"/>
        <w:snapToGrid w:val="0"/>
        <w:spacing w:line="360" w:lineRule="auto"/>
        <w:ind w:firstLine="1125" w:firstLineChars="393"/>
        <w:rPr>
          <w:rFonts w:hAnsi="宋体" w:cs="仿宋"/>
          <w:b/>
          <w:bCs/>
          <w:color w:val="auto"/>
          <w:w w:val="95"/>
          <w:sz w:val="30"/>
          <w:szCs w:val="30"/>
          <w:highlight w:val="none"/>
        </w:rPr>
      </w:pPr>
    </w:p>
    <w:p w14:paraId="2A92F810">
      <w:pPr>
        <w:pStyle w:val="27"/>
        <w:snapToGrid w:val="0"/>
        <w:spacing w:line="360" w:lineRule="auto"/>
        <w:ind w:firstLine="1145" w:firstLineChars="400"/>
        <w:rPr>
          <w:rFonts w:hAnsi="宋体" w:cs="仿宋"/>
          <w:b/>
          <w:bCs/>
          <w:color w:val="auto"/>
          <w:w w:val="95"/>
          <w:sz w:val="30"/>
          <w:szCs w:val="30"/>
          <w:highlight w:val="none"/>
        </w:rPr>
      </w:pPr>
      <w:r>
        <w:rPr>
          <w:rFonts w:hint="eastAsia" w:hAnsi="宋体" w:cs="仿宋"/>
          <w:b/>
          <w:bCs/>
          <w:color w:val="auto"/>
          <w:w w:val="95"/>
          <w:sz w:val="30"/>
          <w:szCs w:val="30"/>
          <w:highlight w:val="none"/>
        </w:rPr>
        <w:t>采购代理机构：广西正海招标有限公司</w:t>
      </w:r>
    </w:p>
    <w:p w14:paraId="63433914">
      <w:pPr>
        <w:pStyle w:val="27"/>
        <w:snapToGrid w:val="0"/>
        <w:spacing w:line="360" w:lineRule="auto"/>
        <w:ind w:firstLine="1125" w:firstLineChars="393"/>
        <w:rPr>
          <w:rFonts w:hAnsi="宋体" w:cs="仿宋"/>
          <w:b/>
          <w:bCs/>
          <w:color w:val="auto"/>
          <w:w w:val="95"/>
          <w:sz w:val="30"/>
          <w:szCs w:val="30"/>
          <w:highlight w:val="none"/>
        </w:rPr>
      </w:pPr>
    </w:p>
    <w:p w14:paraId="24F1A81B">
      <w:pPr>
        <w:pStyle w:val="27"/>
        <w:snapToGrid w:val="0"/>
        <w:spacing w:line="360" w:lineRule="auto"/>
        <w:ind w:firstLine="1694" w:firstLineChars="592"/>
        <w:jc w:val="center"/>
        <w:rPr>
          <w:rFonts w:hAnsi="宋体" w:cs="仿宋"/>
          <w:b/>
          <w:bCs/>
          <w:color w:val="auto"/>
          <w:w w:val="95"/>
          <w:sz w:val="30"/>
          <w:szCs w:val="30"/>
          <w:highlight w:val="none"/>
        </w:rPr>
      </w:pPr>
      <w:r>
        <w:rPr>
          <w:rFonts w:hint="eastAsia" w:hAnsi="宋体" w:cs="仿宋"/>
          <w:b/>
          <w:bCs/>
          <w:color w:val="auto"/>
          <w:w w:val="95"/>
          <w:sz w:val="30"/>
          <w:szCs w:val="30"/>
          <w:highlight w:val="none"/>
        </w:rPr>
        <w:t>2026年</w:t>
      </w:r>
      <w:r>
        <w:rPr>
          <w:rFonts w:hint="eastAsia" w:hAnsi="宋体" w:cs="仿宋"/>
          <w:b/>
          <w:bCs/>
          <w:color w:val="auto"/>
          <w:w w:val="95"/>
          <w:sz w:val="30"/>
          <w:szCs w:val="30"/>
          <w:highlight w:val="none"/>
          <w:lang w:val="en-US" w:eastAsia="zh-CN"/>
        </w:rPr>
        <w:t>4</w:t>
      </w:r>
      <w:r>
        <w:rPr>
          <w:rFonts w:hint="eastAsia" w:hAnsi="宋体" w:cs="仿宋"/>
          <w:b/>
          <w:bCs/>
          <w:color w:val="auto"/>
          <w:w w:val="95"/>
          <w:sz w:val="30"/>
          <w:szCs w:val="30"/>
          <w:highlight w:val="none"/>
        </w:rPr>
        <w:t>月</w:t>
      </w:r>
    </w:p>
    <w:p w14:paraId="65CAE69A">
      <w:pPr>
        <w:pStyle w:val="27"/>
        <w:snapToGrid w:val="0"/>
        <w:spacing w:line="360" w:lineRule="auto"/>
        <w:ind w:firstLine="1694" w:firstLineChars="592"/>
        <w:jc w:val="center"/>
        <w:rPr>
          <w:rFonts w:hAnsi="宋体" w:cs="仿宋"/>
          <w:b/>
          <w:bCs/>
          <w:color w:val="auto"/>
          <w:w w:val="95"/>
          <w:sz w:val="30"/>
          <w:szCs w:val="30"/>
          <w:highlight w:val="none"/>
        </w:rPr>
        <w:sectPr>
          <w:footerReference r:id="rId5" w:type="first"/>
          <w:headerReference r:id="rId3" w:type="default"/>
          <w:footerReference r:id="rId4" w:type="even"/>
          <w:pgSz w:w="11906" w:h="16838"/>
          <w:pgMar w:top="1134" w:right="1332" w:bottom="1134" w:left="1332" w:header="851" w:footer="992" w:gutter="0"/>
          <w:cols w:space="0" w:num="1"/>
          <w:titlePg/>
          <w:docGrid w:linePitch="312" w:charSpace="0"/>
        </w:sectPr>
      </w:pPr>
    </w:p>
    <w:p w14:paraId="33FD9722">
      <w:pPr>
        <w:spacing w:line="360" w:lineRule="auto"/>
        <w:jc w:val="center"/>
        <w:rPr>
          <w:rFonts w:ascii="宋体" w:hAnsi="宋体"/>
          <w:b/>
          <w:color w:val="auto"/>
          <w:sz w:val="44"/>
          <w:szCs w:val="44"/>
          <w:highlight w:val="none"/>
        </w:rPr>
      </w:pPr>
    </w:p>
    <w:p w14:paraId="229BD07D">
      <w:pPr>
        <w:spacing w:line="360" w:lineRule="auto"/>
        <w:jc w:val="center"/>
        <w:rPr>
          <w:rFonts w:ascii="宋体" w:hAnsi="宋体"/>
          <w:b/>
          <w:color w:val="auto"/>
          <w:sz w:val="44"/>
          <w:szCs w:val="44"/>
          <w:highlight w:val="none"/>
        </w:rPr>
      </w:pPr>
    </w:p>
    <w:p w14:paraId="4E9A1CC8">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094F088A">
      <w:pPr>
        <w:pStyle w:val="35"/>
        <w:spacing w:before="0" w:after="0" w:line="480" w:lineRule="auto"/>
        <w:rPr>
          <w:rFonts w:cs="宋体"/>
          <w:b w:val="0"/>
          <w:bCs w:val="0"/>
          <w:caps w:val="0"/>
          <w:color w:val="auto"/>
          <w:highlight w:val="none"/>
        </w:rPr>
      </w:pPr>
      <w:r>
        <w:rPr>
          <w:rFonts w:hint="eastAsia" w:cs="宋体"/>
          <w:b w:val="0"/>
          <w:color w:val="auto"/>
          <w:highlight w:val="none"/>
        </w:rPr>
        <w:fldChar w:fldCharType="begin"/>
      </w:r>
      <w:r>
        <w:rPr>
          <w:rFonts w:hint="eastAsia" w:cs="宋体"/>
          <w:b w:val="0"/>
          <w:color w:val="auto"/>
          <w:highlight w:val="none"/>
        </w:rPr>
        <w:instrText xml:space="preserve"> TOC \o "1-2" \h \z \u </w:instrText>
      </w:r>
      <w:r>
        <w:rPr>
          <w:rFonts w:hint="eastAsia" w:cs="宋体"/>
          <w:b w:val="0"/>
          <w:color w:val="auto"/>
          <w:highlight w:val="none"/>
        </w:rPr>
        <w:fldChar w:fldCharType="separate"/>
      </w:r>
      <w:r>
        <w:rPr>
          <w:color w:val="auto"/>
          <w:highlight w:val="none"/>
        </w:rPr>
        <w:fldChar w:fldCharType="begin"/>
      </w:r>
      <w:r>
        <w:rPr>
          <w:color w:val="auto"/>
          <w:highlight w:val="none"/>
        </w:rPr>
        <w:instrText xml:space="preserve"> HYPERLINK \l "_Toc74320800" </w:instrText>
      </w:r>
      <w:r>
        <w:rPr>
          <w:color w:val="auto"/>
          <w:highlight w:val="none"/>
        </w:rPr>
        <w:fldChar w:fldCharType="separate"/>
      </w:r>
      <w:r>
        <w:rPr>
          <w:rStyle w:val="58"/>
          <w:rFonts w:hint="eastAsia" w:cs="宋体"/>
          <w:color w:val="auto"/>
          <w:highlight w:val="none"/>
        </w:rPr>
        <w:t>第一章  招标公告</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_Toc74320800 \h </w:instrText>
      </w:r>
      <w:r>
        <w:rPr>
          <w:rFonts w:hint="eastAsia" w:cs="宋体"/>
          <w:color w:val="auto"/>
          <w:highlight w:val="none"/>
        </w:rPr>
        <w:fldChar w:fldCharType="separate"/>
      </w:r>
      <w:r>
        <w:rPr>
          <w:rFonts w:hint="eastAsia" w:cs="宋体"/>
          <w:color w:val="auto"/>
          <w:highlight w:val="none"/>
        </w:rPr>
        <w:t>2</w:t>
      </w:r>
      <w:r>
        <w:rPr>
          <w:rFonts w:hint="eastAsia" w:cs="宋体"/>
          <w:color w:val="auto"/>
          <w:highlight w:val="none"/>
        </w:rPr>
        <w:fldChar w:fldCharType="end"/>
      </w:r>
      <w:r>
        <w:rPr>
          <w:rFonts w:hint="eastAsia" w:cs="宋体"/>
          <w:color w:val="auto"/>
          <w:highlight w:val="none"/>
        </w:rPr>
        <w:fldChar w:fldCharType="end"/>
      </w:r>
    </w:p>
    <w:p w14:paraId="38074E7B">
      <w:pPr>
        <w:pStyle w:val="35"/>
        <w:spacing w:before="0" w:after="0" w:line="480" w:lineRule="auto"/>
        <w:ind w:firstLine="241"/>
        <w:rPr>
          <w:rFonts w:cs="宋体"/>
          <w:b w:val="0"/>
          <w:bCs w:val="0"/>
          <w:caps w:val="0"/>
          <w:color w:val="auto"/>
          <w:highlight w:val="none"/>
        </w:rPr>
      </w:pPr>
      <w:r>
        <w:rPr>
          <w:color w:val="auto"/>
          <w:highlight w:val="none"/>
        </w:rPr>
        <w:fldChar w:fldCharType="begin"/>
      </w:r>
      <w:r>
        <w:rPr>
          <w:color w:val="auto"/>
          <w:highlight w:val="none"/>
        </w:rPr>
        <w:instrText xml:space="preserve"> HYPERLINK \l "_Toc74320801" </w:instrText>
      </w:r>
      <w:r>
        <w:rPr>
          <w:color w:val="auto"/>
          <w:highlight w:val="none"/>
        </w:rPr>
        <w:fldChar w:fldCharType="separate"/>
      </w:r>
      <w:r>
        <w:rPr>
          <w:rStyle w:val="58"/>
          <w:rFonts w:hint="eastAsia" w:cs="宋体"/>
          <w:color w:val="auto"/>
          <w:highlight w:val="none"/>
        </w:rPr>
        <w:t>第二章  采购需求</w:t>
      </w:r>
      <w:bookmarkStart w:id="0" w:name="_Hlt89854608"/>
      <w:r>
        <w:rPr>
          <w:rFonts w:hint="eastAsia" w:cs="宋体"/>
          <w:color w:val="auto"/>
          <w:highlight w:val="none"/>
        </w:rPr>
        <w:tab/>
      </w:r>
      <w:bookmarkEnd w:id="0"/>
      <w:r>
        <w:rPr>
          <w:rFonts w:hint="eastAsia" w:cs="宋体"/>
          <w:color w:val="auto"/>
          <w:highlight w:val="none"/>
        </w:rPr>
        <w:t>5</w:t>
      </w:r>
      <w:r>
        <w:rPr>
          <w:rFonts w:hint="eastAsia" w:cs="宋体"/>
          <w:color w:val="auto"/>
          <w:highlight w:val="none"/>
        </w:rPr>
        <w:fldChar w:fldCharType="end"/>
      </w:r>
    </w:p>
    <w:p w14:paraId="0B5A8EF1">
      <w:pPr>
        <w:pStyle w:val="35"/>
        <w:spacing w:before="0" w:after="0" w:line="480" w:lineRule="auto"/>
        <w:ind w:firstLine="241"/>
        <w:rPr>
          <w:rFonts w:cs="宋体"/>
          <w:b w:val="0"/>
          <w:bCs w:val="0"/>
          <w:caps w:val="0"/>
          <w:color w:val="auto"/>
          <w:highlight w:val="none"/>
        </w:rPr>
      </w:pPr>
      <w:r>
        <w:rPr>
          <w:color w:val="auto"/>
          <w:highlight w:val="none"/>
        </w:rPr>
        <w:fldChar w:fldCharType="begin"/>
      </w:r>
      <w:r>
        <w:rPr>
          <w:color w:val="auto"/>
          <w:highlight w:val="none"/>
        </w:rPr>
        <w:instrText xml:space="preserve"> HYPERLINK \l "_Toc74320802" </w:instrText>
      </w:r>
      <w:r>
        <w:rPr>
          <w:color w:val="auto"/>
          <w:highlight w:val="none"/>
        </w:rPr>
        <w:fldChar w:fldCharType="separate"/>
      </w:r>
      <w:r>
        <w:rPr>
          <w:rStyle w:val="58"/>
          <w:rFonts w:hint="eastAsia" w:cs="宋体"/>
          <w:color w:val="auto"/>
          <w:highlight w:val="none"/>
        </w:rPr>
        <w:t>第三章  投标人</w:t>
      </w:r>
      <w:bookmarkStart w:id="1" w:name="_Hlt89854620"/>
      <w:r>
        <w:rPr>
          <w:rStyle w:val="58"/>
          <w:rFonts w:hint="eastAsia" w:cs="宋体"/>
          <w:color w:val="auto"/>
          <w:highlight w:val="none"/>
        </w:rPr>
        <w:t>须</w:t>
      </w:r>
      <w:bookmarkEnd w:id="1"/>
      <w:bookmarkStart w:id="2" w:name="_Hlt79572744"/>
      <w:bookmarkStart w:id="3" w:name="_Hlt79572745"/>
      <w:r>
        <w:rPr>
          <w:rStyle w:val="58"/>
          <w:rFonts w:hint="eastAsia" w:cs="宋体"/>
          <w:color w:val="auto"/>
          <w:highlight w:val="none"/>
        </w:rPr>
        <w:t>知</w:t>
      </w:r>
      <w:bookmarkEnd w:id="2"/>
      <w:bookmarkEnd w:id="3"/>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_Toc74320802 \h </w:instrText>
      </w:r>
      <w:r>
        <w:rPr>
          <w:rFonts w:hint="eastAsia" w:cs="宋体"/>
          <w:color w:val="auto"/>
          <w:highlight w:val="none"/>
        </w:rPr>
        <w:fldChar w:fldCharType="separate"/>
      </w:r>
      <w:r>
        <w:rPr>
          <w:rFonts w:hint="eastAsia" w:cs="宋体"/>
          <w:color w:val="auto"/>
          <w:highlight w:val="none"/>
        </w:rPr>
        <w:t>46</w:t>
      </w:r>
      <w:r>
        <w:rPr>
          <w:rFonts w:hint="eastAsia" w:cs="宋体"/>
          <w:color w:val="auto"/>
          <w:highlight w:val="none"/>
        </w:rPr>
        <w:fldChar w:fldCharType="end"/>
      </w:r>
      <w:r>
        <w:rPr>
          <w:rFonts w:hint="eastAsia" w:cs="宋体"/>
          <w:color w:val="auto"/>
          <w:highlight w:val="none"/>
        </w:rPr>
        <w:fldChar w:fldCharType="end"/>
      </w:r>
    </w:p>
    <w:p w14:paraId="2C2A6741">
      <w:pPr>
        <w:pStyle w:val="35"/>
        <w:spacing w:before="0" w:after="0" w:line="480" w:lineRule="auto"/>
        <w:ind w:firstLine="241"/>
        <w:rPr>
          <w:rFonts w:cs="宋体"/>
          <w:b w:val="0"/>
          <w:bCs w:val="0"/>
          <w:caps w:val="0"/>
          <w:color w:val="auto"/>
          <w:highlight w:val="none"/>
        </w:rPr>
      </w:pPr>
      <w:r>
        <w:rPr>
          <w:color w:val="auto"/>
          <w:highlight w:val="none"/>
        </w:rPr>
        <w:fldChar w:fldCharType="begin"/>
      </w:r>
      <w:r>
        <w:rPr>
          <w:color w:val="auto"/>
          <w:highlight w:val="none"/>
        </w:rPr>
        <w:instrText xml:space="preserve"> HYPERLINK \l "_Toc74320803" </w:instrText>
      </w:r>
      <w:r>
        <w:rPr>
          <w:color w:val="auto"/>
          <w:highlight w:val="none"/>
        </w:rPr>
        <w:fldChar w:fldCharType="separate"/>
      </w:r>
      <w:r>
        <w:rPr>
          <w:rStyle w:val="58"/>
          <w:rFonts w:hint="eastAsia" w:cs="宋体"/>
          <w:color w:val="auto"/>
          <w:highlight w:val="none"/>
        </w:rPr>
        <w:t>第四章  评标方</w:t>
      </w:r>
      <w:bookmarkStart w:id="4" w:name="_Hlt82186273"/>
      <w:bookmarkStart w:id="5" w:name="_Hlt82186274"/>
      <w:r>
        <w:rPr>
          <w:rStyle w:val="58"/>
          <w:rFonts w:hint="eastAsia" w:cs="宋体"/>
          <w:color w:val="auto"/>
          <w:highlight w:val="none"/>
        </w:rPr>
        <w:t>法</w:t>
      </w:r>
      <w:bookmarkEnd w:id="4"/>
      <w:bookmarkEnd w:id="5"/>
      <w:r>
        <w:rPr>
          <w:rStyle w:val="58"/>
          <w:rFonts w:hint="eastAsia" w:cs="宋体"/>
          <w:color w:val="auto"/>
          <w:highlight w:val="none"/>
        </w:rPr>
        <w:t>及评标标准</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_Toc74320803 \h </w:instrText>
      </w:r>
      <w:r>
        <w:rPr>
          <w:rFonts w:hint="eastAsia" w:cs="宋体"/>
          <w:color w:val="auto"/>
          <w:highlight w:val="none"/>
        </w:rPr>
        <w:fldChar w:fldCharType="separate"/>
      </w:r>
      <w:r>
        <w:rPr>
          <w:rFonts w:hint="eastAsia" w:cs="宋体"/>
          <w:color w:val="auto"/>
          <w:highlight w:val="none"/>
        </w:rPr>
        <w:t>68</w:t>
      </w:r>
      <w:r>
        <w:rPr>
          <w:rFonts w:hint="eastAsia" w:cs="宋体"/>
          <w:color w:val="auto"/>
          <w:highlight w:val="none"/>
        </w:rPr>
        <w:fldChar w:fldCharType="end"/>
      </w:r>
      <w:r>
        <w:rPr>
          <w:rFonts w:hint="eastAsia" w:cs="宋体"/>
          <w:color w:val="auto"/>
          <w:highlight w:val="none"/>
        </w:rPr>
        <w:fldChar w:fldCharType="end"/>
      </w:r>
    </w:p>
    <w:p w14:paraId="71C7E8D3">
      <w:pPr>
        <w:pStyle w:val="35"/>
        <w:spacing w:before="0" w:after="0" w:line="480" w:lineRule="auto"/>
        <w:ind w:firstLine="241"/>
        <w:rPr>
          <w:rFonts w:cs="宋体"/>
          <w:b w:val="0"/>
          <w:bCs w:val="0"/>
          <w:caps w:val="0"/>
          <w:color w:val="auto"/>
          <w:highlight w:val="none"/>
        </w:rPr>
      </w:pPr>
      <w:r>
        <w:rPr>
          <w:color w:val="auto"/>
          <w:highlight w:val="none"/>
        </w:rPr>
        <w:fldChar w:fldCharType="begin"/>
      </w:r>
      <w:r>
        <w:rPr>
          <w:color w:val="auto"/>
          <w:highlight w:val="none"/>
        </w:rPr>
        <w:instrText xml:space="preserve"> HYPERLINK \l "_Toc74320804" </w:instrText>
      </w:r>
      <w:r>
        <w:rPr>
          <w:color w:val="auto"/>
          <w:highlight w:val="none"/>
        </w:rPr>
        <w:fldChar w:fldCharType="separate"/>
      </w:r>
      <w:r>
        <w:rPr>
          <w:rStyle w:val="58"/>
          <w:rFonts w:hint="eastAsia" w:cs="宋体"/>
          <w:color w:val="auto"/>
          <w:highlight w:val="none"/>
        </w:rPr>
        <w:t>第五章  拟签订的合同文本</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_Toc74320804 \h </w:instrText>
      </w:r>
      <w:r>
        <w:rPr>
          <w:rFonts w:hint="eastAsia" w:cs="宋体"/>
          <w:color w:val="auto"/>
          <w:highlight w:val="none"/>
        </w:rPr>
        <w:fldChar w:fldCharType="separate"/>
      </w:r>
      <w:r>
        <w:rPr>
          <w:rFonts w:hint="eastAsia" w:cs="宋体"/>
          <w:color w:val="auto"/>
          <w:highlight w:val="none"/>
        </w:rPr>
        <w:t>76</w:t>
      </w:r>
      <w:r>
        <w:rPr>
          <w:rFonts w:hint="eastAsia" w:cs="宋体"/>
          <w:color w:val="auto"/>
          <w:highlight w:val="none"/>
        </w:rPr>
        <w:fldChar w:fldCharType="end"/>
      </w:r>
      <w:r>
        <w:rPr>
          <w:rFonts w:hint="eastAsia" w:cs="宋体"/>
          <w:color w:val="auto"/>
          <w:highlight w:val="none"/>
        </w:rPr>
        <w:fldChar w:fldCharType="end"/>
      </w:r>
    </w:p>
    <w:p w14:paraId="1D3BDA0B">
      <w:pPr>
        <w:pStyle w:val="35"/>
        <w:spacing w:before="0" w:after="0" w:line="480" w:lineRule="auto"/>
        <w:ind w:firstLine="241"/>
        <w:rPr>
          <w:rFonts w:cs="宋体"/>
          <w:b w:val="0"/>
          <w:bCs w:val="0"/>
          <w:caps w:val="0"/>
          <w:color w:val="auto"/>
          <w:highlight w:val="none"/>
        </w:rPr>
      </w:pPr>
      <w:r>
        <w:rPr>
          <w:color w:val="auto"/>
          <w:highlight w:val="none"/>
        </w:rPr>
        <w:fldChar w:fldCharType="begin"/>
      </w:r>
      <w:r>
        <w:rPr>
          <w:color w:val="auto"/>
          <w:highlight w:val="none"/>
        </w:rPr>
        <w:instrText xml:space="preserve"> HYPERLINK \l "_Toc74320805" </w:instrText>
      </w:r>
      <w:r>
        <w:rPr>
          <w:color w:val="auto"/>
          <w:highlight w:val="none"/>
        </w:rPr>
        <w:fldChar w:fldCharType="separate"/>
      </w:r>
      <w:r>
        <w:rPr>
          <w:rStyle w:val="58"/>
          <w:rFonts w:hint="eastAsia" w:cs="宋体"/>
          <w:color w:val="auto"/>
          <w:highlight w:val="none"/>
        </w:rPr>
        <w:t>第六章　投标文件格式</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_Toc74320805 \h </w:instrText>
      </w:r>
      <w:r>
        <w:rPr>
          <w:rFonts w:hint="eastAsia" w:cs="宋体"/>
          <w:color w:val="auto"/>
          <w:highlight w:val="none"/>
        </w:rPr>
        <w:fldChar w:fldCharType="separate"/>
      </w:r>
      <w:r>
        <w:rPr>
          <w:rFonts w:hint="eastAsia" w:cs="宋体"/>
          <w:color w:val="auto"/>
          <w:highlight w:val="none"/>
        </w:rPr>
        <w:t>83</w:t>
      </w:r>
      <w:r>
        <w:rPr>
          <w:rFonts w:hint="eastAsia" w:cs="宋体"/>
          <w:color w:val="auto"/>
          <w:highlight w:val="none"/>
        </w:rPr>
        <w:fldChar w:fldCharType="end"/>
      </w:r>
      <w:r>
        <w:rPr>
          <w:rFonts w:hint="eastAsia" w:cs="宋体"/>
          <w:color w:val="auto"/>
          <w:highlight w:val="none"/>
        </w:rPr>
        <w:fldChar w:fldCharType="end"/>
      </w:r>
    </w:p>
    <w:p w14:paraId="1C28A759">
      <w:pPr>
        <w:spacing w:line="480" w:lineRule="auto"/>
        <w:rPr>
          <w:rFonts w:ascii="宋体" w:hAnsi="宋体"/>
          <w:color w:val="auto"/>
          <w:sz w:val="24"/>
          <w:highlight w:val="none"/>
        </w:rPr>
      </w:pPr>
      <w:r>
        <w:rPr>
          <w:rFonts w:hint="eastAsia" w:ascii="宋体" w:hAnsi="宋体" w:cs="宋体"/>
          <w:b/>
          <w:color w:val="auto"/>
          <w:sz w:val="24"/>
          <w:highlight w:val="none"/>
        </w:rPr>
        <w:fldChar w:fldCharType="end"/>
      </w:r>
    </w:p>
    <w:p w14:paraId="5EA8C285">
      <w:pPr>
        <w:spacing w:before="120" w:beforeLines="50" w:line="480" w:lineRule="exact"/>
        <w:rPr>
          <w:rFonts w:ascii="宋体" w:hAnsi="宋体"/>
          <w:color w:val="auto"/>
          <w:sz w:val="30"/>
          <w:highlight w:val="none"/>
        </w:rPr>
      </w:pPr>
    </w:p>
    <w:p w14:paraId="0B3B4335">
      <w:pPr>
        <w:rPr>
          <w:rFonts w:ascii="宋体" w:hAnsi="宋体"/>
          <w:color w:val="auto"/>
          <w:highlight w:val="none"/>
        </w:rPr>
      </w:pPr>
    </w:p>
    <w:p w14:paraId="7B8E0864">
      <w:pPr>
        <w:spacing w:before="120" w:beforeLines="50" w:line="480" w:lineRule="exact"/>
        <w:rPr>
          <w:rFonts w:ascii="宋体" w:hAnsi="宋体"/>
          <w:color w:val="auto"/>
          <w:sz w:val="30"/>
          <w:highlight w:val="none"/>
        </w:rPr>
      </w:pPr>
    </w:p>
    <w:p w14:paraId="12E4D0C1">
      <w:pPr>
        <w:spacing w:before="120" w:beforeLines="50" w:line="480" w:lineRule="exact"/>
        <w:rPr>
          <w:rFonts w:ascii="宋体" w:hAnsi="宋体"/>
          <w:color w:val="auto"/>
          <w:sz w:val="30"/>
          <w:highlight w:val="none"/>
        </w:rPr>
      </w:pPr>
    </w:p>
    <w:p w14:paraId="6F29294B">
      <w:pPr>
        <w:pStyle w:val="20"/>
        <w:rPr>
          <w:rFonts w:ascii="宋体" w:hAnsi="宋体" w:cs="宋体"/>
          <w:b/>
          <w:bCs/>
          <w:color w:val="auto"/>
          <w:highlight w:val="none"/>
        </w:rPr>
      </w:pPr>
      <w:bookmarkStart w:id="6" w:name="_Toc254970630"/>
      <w:bookmarkStart w:id="7" w:name="_Toc254970489"/>
    </w:p>
    <w:p w14:paraId="19221065">
      <w:pPr>
        <w:pStyle w:val="5"/>
        <w:keepNext w:val="0"/>
        <w:keepLines w:val="0"/>
        <w:tabs>
          <w:tab w:val="left" w:pos="0"/>
          <w:tab w:val="left" w:pos="3165"/>
          <w:tab w:val="center" w:pos="4153"/>
        </w:tabs>
        <w:autoSpaceDE w:val="0"/>
        <w:autoSpaceDN w:val="0"/>
        <w:adjustRightInd w:val="0"/>
        <w:spacing w:before="0" w:after="0" w:line="360" w:lineRule="auto"/>
        <w:jc w:val="center"/>
        <w:rPr>
          <w:rFonts w:ascii="宋体" w:hAnsi="宋体"/>
          <w:color w:val="auto"/>
          <w:highlight w:val="none"/>
        </w:rPr>
        <w:sectPr>
          <w:footerReference r:id="rId7" w:type="first"/>
          <w:footerReference r:id="rId6" w:type="default"/>
          <w:pgSz w:w="11906" w:h="16838"/>
          <w:pgMar w:top="1134" w:right="1332" w:bottom="1134" w:left="1332" w:header="851" w:footer="992" w:gutter="0"/>
          <w:pgNumType w:start="1"/>
          <w:cols w:space="0" w:num="1"/>
          <w:titlePg/>
          <w:docGrid w:linePitch="312" w:charSpace="0"/>
        </w:sectPr>
      </w:pPr>
      <w:bookmarkStart w:id="8" w:name="_Toc74320800"/>
    </w:p>
    <w:p w14:paraId="4ADBA6C4">
      <w:pPr>
        <w:pStyle w:val="5"/>
        <w:keepNext w:val="0"/>
        <w:keepLines w:val="0"/>
        <w:tabs>
          <w:tab w:val="left" w:pos="0"/>
          <w:tab w:val="left" w:pos="3165"/>
          <w:tab w:val="center" w:pos="4153"/>
        </w:tabs>
        <w:autoSpaceDE w:val="0"/>
        <w:autoSpaceDN w:val="0"/>
        <w:adjustRightInd w:val="0"/>
        <w:spacing w:before="0" w:after="0" w:line="360" w:lineRule="auto"/>
        <w:jc w:val="center"/>
        <w:rPr>
          <w:rFonts w:ascii="宋体" w:hAnsi="宋体"/>
          <w:color w:val="auto"/>
          <w:highlight w:val="none"/>
        </w:rPr>
      </w:pPr>
      <w:r>
        <w:rPr>
          <w:rFonts w:hint="eastAsia" w:ascii="宋体" w:hAnsi="宋体"/>
          <w:color w:val="auto"/>
          <w:highlight w:val="none"/>
        </w:rPr>
        <w:t>第一章</w:t>
      </w:r>
      <w:bookmarkEnd w:id="6"/>
      <w:bookmarkEnd w:id="7"/>
      <w:bookmarkStart w:id="9" w:name="_Toc35393789"/>
      <w:bookmarkStart w:id="10" w:name="_Toc28359001"/>
      <w:r>
        <w:rPr>
          <w:rFonts w:hint="eastAsia" w:ascii="宋体" w:hAnsi="宋体"/>
          <w:color w:val="auto"/>
          <w:highlight w:val="none"/>
        </w:rPr>
        <w:t xml:space="preserve"> 招标公告</w:t>
      </w:r>
      <w:bookmarkEnd w:id="8"/>
      <w:bookmarkEnd w:id="9"/>
      <w:bookmarkEnd w:id="10"/>
    </w:p>
    <w:p w14:paraId="67999042">
      <w:pPr>
        <w:spacing w:line="360" w:lineRule="auto"/>
        <w:jc w:val="center"/>
        <w:rPr>
          <w:b/>
          <w:bCs/>
          <w:color w:val="auto"/>
          <w:sz w:val="30"/>
          <w:szCs w:val="30"/>
          <w:highlight w:val="none"/>
        </w:rPr>
      </w:pPr>
      <w:r>
        <w:rPr>
          <w:rFonts w:hint="eastAsia"/>
          <w:b/>
          <w:bCs/>
          <w:color w:val="auto"/>
          <w:sz w:val="30"/>
          <w:szCs w:val="30"/>
          <w:highlight w:val="none"/>
        </w:rPr>
        <w:t>广西正海招标有限公司关于南宁师范大学2026-2027年中文纸质图书采购加工服务项目</w:t>
      </w:r>
    </w:p>
    <w:p w14:paraId="094012C4">
      <w:pPr>
        <w:spacing w:line="360" w:lineRule="auto"/>
        <w:jc w:val="center"/>
        <w:rPr>
          <w:b/>
          <w:bCs/>
          <w:color w:val="auto"/>
          <w:sz w:val="30"/>
          <w:szCs w:val="30"/>
          <w:highlight w:val="none"/>
        </w:rPr>
      </w:pPr>
      <w:r>
        <w:rPr>
          <w:rFonts w:hint="eastAsia"/>
          <w:b/>
          <w:bCs/>
          <w:color w:val="auto"/>
          <w:sz w:val="30"/>
          <w:szCs w:val="30"/>
          <w:highlight w:val="none"/>
        </w:rPr>
        <w:t>（项目编号：</w:t>
      </w:r>
      <w:r>
        <w:rPr>
          <w:rFonts w:hint="eastAsia" w:ascii="宋体" w:hAnsi="宋体" w:cs="仿宋"/>
          <w:b/>
          <w:color w:val="auto"/>
          <w:sz w:val="30"/>
          <w:szCs w:val="48"/>
          <w:highlight w:val="none"/>
        </w:rPr>
        <w:t>GXZC2026-G1-000279-ZHZB</w:t>
      </w:r>
      <w:r>
        <w:rPr>
          <w:rFonts w:hint="eastAsia"/>
          <w:b/>
          <w:bCs/>
          <w:color w:val="auto"/>
          <w:sz w:val="30"/>
          <w:szCs w:val="30"/>
          <w:highlight w:val="none"/>
        </w:rPr>
        <w:t>）公开招标公告</w:t>
      </w:r>
    </w:p>
    <w:tbl>
      <w:tblPr>
        <w:tblStyle w:val="51"/>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6"/>
      </w:tblGrid>
      <w:tr w14:paraId="1828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8656" w:type="dxa"/>
          </w:tcPr>
          <w:p w14:paraId="7A1C940F">
            <w:pPr>
              <w:spacing w:line="360" w:lineRule="auto"/>
              <w:rPr>
                <w:rFonts w:ascii="宋体" w:hAnsi="宋体" w:cs="宋体"/>
                <w:b/>
                <w:bCs/>
                <w:color w:val="auto"/>
                <w:szCs w:val="21"/>
                <w:highlight w:val="none"/>
              </w:rPr>
            </w:pPr>
            <w:bookmarkStart w:id="11" w:name="_Toc28359002"/>
            <w:bookmarkStart w:id="12" w:name="_Toc35393621"/>
            <w:bookmarkStart w:id="13" w:name="_Toc35393790"/>
            <w:bookmarkStart w:id="14" w:name="_Toc28359079"/>
            <w:bookmarkStart w:id="15" w:name="_Hlk24379207"/>
            <w:r>
              <w:rPr>
                <w:rFonts w:hint="eastAsia" w:ascii="宋体" w:hAnsi="宋体" w:cs="宋体"/>
                <w:b/>
                <w:bCs/>
                <w:color w:val="auto"/>
                <w:szCs w:val="21"/>
                <w:highlight w:val="none"/>
              </w:rPr>
              <w:t>项目概况：</w:t>
            </w:r>
          </w:p>
          <w:p w14:paraId="3568FFC2">
            <w:pPr>
              <w:pStyle w:val="61"/>
              <w:spacing w:line="360" w:lineRule="auto"/>
              <w:ind w:firstLine="422" w:firstLineChars="200"/>
              <w:rPr>
                <w:color w:val="auto"/>
                <w:highlight w:val="none"/>
              </w:rPr>
            </w:pPr>
            <w:r>
              <w:rPr>
                <w:rFonts w:hint="eastAsia"/>
                <w:b/>
                <w:bCs/>
                <w:color w:val="auto"/>
                <w:highlight w:val="none"/>
                <w:u w:val="single"/>
              </w:rPr>
              <w:t>南宁师范大学2026-2027年中文纸质图书采购加工服务项目</w:t>
            </w:r>
            <w:r>
              <w:rPr>
                <w:rFonts w:hint="eastAsia"/>
                <w:color w:val="auto"/>
                <w:highlight w:val="none"/>
              </w:rPr>
              <w:t>招标项目的潜在投标人应在广西政府采购云平台（https://www.gcy.zfcg.gxzf.gov.cn/）获取（下载）招标文件，并于2026年</w:t>
            </w:r>
            <w:r>
              <w:rPr>
                <w:rFonts w:hint="eastAsia"/>
                <w:color w:val="auto"/>
                <w:highlight w:val="none"/>
                <w:lang w:val="en-US" w:eastAsia="zh-CN"/>
              </w:rPr>
              <w:t>5</w:t>
            </w:r>
            <w:r>
              <w:rPr>
                <w:rFonts w:hint="eastAsia"/>
                <w:color w:val="auto"/>
                <w:highlight w:val="none"/>
              </w:rPr>
              <w:t>月</w:t>
            </w:r>
            <w:r>
              <w:rPr>
                <w:rFonts w:hint="eastAsia"/>
                <w:color w:val="auto"/>
                <w:highlight w:val="none"/>
                <w:lang w:val="en-US" w:eastAsia="zh-CN"/>
              </w:rPr>
              <w:t>6</w:t>
            </w:r>
            <w:r>
              <w:rPr>
                <w:rFonts w:hint="eastAsia"/>
                <w:color w:val="auto"/>
                <w:highlight w:val="none"/>
              </w:rPr>
              <w:t>日</w:t>
            </w:r>
            <w:r>
              <w:rPr>
                <w:rFonts w:hint="eastAsia"/>
                <w:color w:val="auto"/>
                <w:highlight w:val="none"/>
                <w:lang w:val="en-US" w:eastAsia="zh-CN"/>
              </w:rPr>
              <w:t>09</w:t>
            </w:r>
            <w:r>
              <w:rPr>
                <w:rFonts w:hint="eastAsia"/>
                <w:color w:val="auto"/>
                <w:highlight w:val="none"/>
              </w:rPr>
              <w:t xml:space="preserve">时 </w:t>
            </w:r>
            <w:r>
              <w:rPr>
                <w:rFonts w:hint="eastAsia"/>
                <w:color w:val="auto"/>
                <w:highlight w:val="none"/>
                <w:lang w:val="en-US" w:eastAsia="zh-CN"/>
              </w:rPr>
              <w:t>30</w:t>
            </w:r>
            <w:r>
              <w:rPr>
                <w:rFonts w:hint="eastAsia"/>
                <w:color w:val="auto"/>
                <w:highlight w:val="none"/>
              </w:rPr>
              <w:t>分（北京时间）前按要求递交（上传）投标文件。</w:t>
            </w:r>
          </w:p>
        </w:tc>
      </w:tr>
    </w:tbl>
    <w:p w14:paraId="6349138D">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一、项目基本情况</w:t>
      </w:r>
      <w:bookmarkEnd w:id="11"/>
      <w:bookmarkEnd w:id="12"/>
      <w:bookmarkEnd w:id="13"/>
      <w:bookmarkEnd w:id="14"/>
      <w:r>
        <w:rPr>
          <w:rFonts w:hint="eastAsia" w:ascii="黑体" w:hAnsi="黑体" w:eastAsia="黑体"/>
          <w:b/>
          <w:bCs/>
          <w:color w:val="auto"/>
          <w:sz w:val="24"/>
          <w:highlight w:val="none"/>
        </w:rPr>
        <w:t>：</w:t>
      </w:r>
    </w:p>
    <w:p w14:paraId="057FE536">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项目编号：</w:t>
      </w:r>
      <w:r>
        <w:rPr>
          <w:rFonts w:hint="eastAsia" w:ascii="宋体" w:hAnsi="宋体" w:cs="宋体"/>
          <w:bCs/>
          <w:color w:val="auto"/>
          <w:szCs w:val="21"/>
          <w:highlight w:val="none"/>
        </w:rPr>
        <w:t>GXZC2026-G1-000279-ZHZB</w:t>
      </w:r>
    </w:p>
    <w:p w14:paraId="16890C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采购计划文号：广西政采[2026]1077号-001/002 </w:t>
      </w:r>
    </w:p>
    <w:p w14:paraId="22A03A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项目名称：南宁师范大学2026-2027年中文纸质图书采购加工服务项目</w:t>
      </w:r>
    </w:p>
    <w:bookmarkEnd w:id="15"/>
    <w:p w14:paraId="77FE4E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预算总金额（元）：3000000。</w:t>
      </w:r>
    </w:p>
    <w:p w14:paraId="7213A3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766AF7F6">
      <w:pPr>
        <w:spacing w:line="390" w:lineRule="exact"/>
        <w:ind w:left="420" w:leftChars="200"/>
        <w:rPr>
          <w:rFonts w:ascii="宋体" w:hAnsi="宋体"/>
          <w:b/>
          <w:bCs/>
          <w:color w:val="auto"/>
          <w:szCs w:val="21"/>
          <w:highlight w:val="none"/>
        </w:rPr>
      </w:pPr>
      <w:r>
        <w:rPr>
          <w:rFonts w:hint="eastAsia" w:ascii="宋体" w:hAnsi="宋体"/>
          <w:b/>
          <w:bCs/>
          <w:color w:val="auto"/>
          <w:szCs w:val="21"/>
          <w:highlight w:val="none"/>
        </w:rPr>
        <w:t>标项一</w:t>
      </w:r>
    </w:p>
    <w:p w14:paraId="00B7823F">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标项名称：中文纸质图书、教材采购加工服务（一）</w:t>
      </w:r>
    </w:p>
    <w:p w14:paraId="1B0C5154">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数量:1</w:t>
      </w:r>
    </w:p>
    <w:p w14:paraId="4298BDF6">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预算金额（元）：800000</w:t>
      </w:r>
    </w:p>
    <w:p w14:paraId="78BC5F6B">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b/>
          <w:bCs/>
          <w:color w:val="auto"/>
          <w:szCs w:val="21"/>
          <w:highlight w:val="none"/>
        </w:rPr>
        <w:t>一、图书要求：</w:t>
      </w:r>
      <w:r>
        <w:rPr>
          <w:rFonts w:hint="eastAsia" w:ascii="宋体" w:hAnsi="宋体"/>
          <w:color w:val="auto"/>
          <w:szCs w:val="21"/>
          <w:highlight w:val="none"/>
        </w:rPr>
        <w:t>（1）图书符合南宁师范大学专业及学科设置，在层次类别上以本科教学及研究生教学、博硕点建设为主，兼顾一般性读物。每种图书的复本量一般为1-4册。（2）中标供应商须提供每年（注意：共两年）不少于2万实洋，不超过6万实洋的现行中小学教材。结算实洋价＝图书码洋价×中标折扣率。（3）提供三目书目（《社科新书目》《科技新书目》《全国新书目》）、出版社自编书目、中标供应商专题书目等</w:t>
      </w:r>
      <w:r>
        <w:rPr>
          <w:rFonts w:hint="eastAsia" w:ascii="宋体" w:hAnsi="宋体" w:cs="宋体"/>
          <w:color w:val="auto"/>
          <w:szCs w:val="21"/>
          <w:highlight w:val="none"/>
        </w:rPr>
        <w:t>，如需进一步了解详细内容，详见招标文件。</w:t>
      </w:r>
    </w:p>
    <w:p w14:paraId="6DA57452">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最高限价（如有）：800000</w:t>
      </w:r>
    </w:p>
    <w:p w14:paraId="7F6C4FB8">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合同履约期限：自合同签订之日起至服务期满。</w:t>
      </w:r>
    </w:p>
    <w:p w14:paraId="793B2F44">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本标项（否）接受联合体投标</w:t>
      </w:r>
    </w:p>
    <w:p w14:paraId="6E91336B">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备注：/</w:t>
      </w:r>
    </w:p>
    <w:p w14:paraId="536E897B">
      <w:pPr>
        <w:spacing w:line="390" w:lineRule="exact"/>
        <w:ind w:left="420" w:leftChars="200"/>
        <w:rPr>
          <w:rFonts w:ascii="宋体" w:hAnsi="宋体"/>
          <w:b/>
          <w:bCs/>
          <w:color w:val="auto"/>
          <w:szCs w:val="21"/>
          <w:highlight w:val="none"/>
        </w:rPr>
      </w:pPr>
      <w:r>
        <w:rPr>
          <w:rFonts w:hint="eastAsia" w:ascii="宋体" w:hAnsi="宋体"/>
          <w:b/>
          <w:bCs/>
          <w:color w:val="auto"/>
          <w:szCs w:val="21"/>
          <w:highlight w:val="none"/>
        </w:rPr>
        <w:t>标项二</w:t>
      </w:r>
    </w:p>
    <w:p w14:paraId="529D0607">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标项名称：中文纸质图书、教材采购加工服务（二）</w:t>
      </w:r>
    </w:p>
    <w:p w14:paraId="6CFD2C48">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数量:1</w:t>
      </w:r>
    </w:p>
    <w:p w14:paraId="4798BC05">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预算金额（元）：800000</w:t>
      </w:r>
    </w:p>
    <w:p w14:paraId="4971DB04">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b/>
          <w:bCs/>
          <w:color w:val="auto"/>
          <w:szCs w:val="21"/>
          <w:highlight w:val="none"/>
        </w:rPr>
        <w:t>一、图书要求：</w:t>
      </w:r>
      <w:r>
        <w:rPr>
          <w:rFonts w:hint="eastAsia" w:ascii="宋体" w:hAnsi="宋体"/>
          <w:color w:val="auto"/>
          <w:szCs w:val="21"/>
          <w:highlight w:val="none"/>
        </w:rPr>
        <w:t>（1）图书符合南宁师范大学专业及学科设置，在层次类别上以本科教学及研究生教学、博硕点建设为主，兼顾一般性读物。每种图书的复本量一般为1-4册。（2）中标供应商须提供每年（注意：共两年）不少于2万实洋，不超过6万实洋的现行中小学教材。结算实洋价＝图书码洋价×中标折扣率。（3）提供三目书目（《社科新书目》《科技新书目》《全国新书目》）、出版社自编书目、中标供应商专题书目等</w:t>
      </w:r>
      <w:r>
        <w:rPr>
          <w:rFonts w:hint="eastAsia" w:ascii="宋体" w:hAnsi="宋体" w:cs="宋体"/>
          <w:color w:val="auto"/>
          <w:szCs w:val="21"/>
          <w:highlight w:val="none"/>
        </w:rPr>
        <w:t>，如需进一步了解详细内容，详见招标文件。</w:t>
      </w:r>
    </w:p>
    <w:p w14:paraId="2FEC0212">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最高限价（如有）：800000</w:t>
      </w:r>
    </w:p>
    <w:p w14:paraId="0C18294F">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合同履约期限：自合同签订之日起至服务期满。</w:t>
      </w:r>
    </w:p>
    <w:p w14:paraId="15F57B17">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本标项（否）接受联合体投标</w:t>
      </w:r>
    </w:p>
    <w:p w14:paraId="057FEE76">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备注：/</w:t>
      </w:r>
    </w:p>
    <w:p w14:paraId="17EBD4D3">
      <w:pPr>
        <w:spacing w:line="390" w:lineRule="exact"/>
        <w:ind w:left="420" w:leftChars="200"/>
        <w:rPr>
          <w:rFonts w:ascii="宋体" w:hAnsi="宋体"/>
          <w:b/>
          <w:bCs/>
          <w:color w:val="auto"/>
          <w:szCs w:val="21"/>
          <w:highlight w:val="none"/>
        </w:rPr>
      </w:pPr>
      <w:r>
        <w:rPr>
          <w:rFonts w:hint="eastAsia" w:ascii="宋体" w:hAnsi="宋体"/>
          <w:b/>
          <w:bCs/>
          <w:color w:val="auto"/>
          <w:szCs w:val="21"/>
          <w:highlight w:val="none"/>
        </w:rPr>
        <w:t>标项三</w:t>
      </w:r>
    </w:p>
    <w:p w14:paraId="4D505FB8">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标项名称：中文纸质图书采购加工服务（一）</w:t>
      </w:r>
    </w:p>
    <w:p w14:paraId="1F74F11C">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数量:1</w:t>
      </w:r>
    </w:p>
    <w:p w14:paraId="64527BC9">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预算金额（元）：700000</w:t>
      </w:r>
    </w:p>
    <w:p w14:paraId="4B63CC33">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b/>
          <w:bCs/>
          <w:color w:val="auto"/>
          <w:szCs w:val="21"/>
          <w:highlight w:val="none"/>
        </w:rPr>
        <w:t>一、图书要求：</w:t>
      </w:r>
      <w:r>
        <w:rPr>
          <w:rFonts w:hint="eastAsia" w:ascii="宋体" w:hAnsi="宋体"/>
          <w:color w:val="auto"/>
          <w:szCs w:val="21"/>
          <w:highlight w:val="none"/>
        </w:rPr>
        <w:t>（1）图书符合南宁师范大学专业及学科设置，在层次类别上以本科教学及研究生教学、博硕点建设为主，兼顾一般性读物。每种图书的复本量一般为 1-4册。（2）中标供应商提供三目书目（《社科新书目》、《科技新书目》、《全国新书目》）、出版社自编书目及中标供应商专题书目等。</w:t>
      </w:r>
      <w:r>
        <w:rPr>
          <w:rFonts w:hint="eastAsia" w:ascii="宋体" w:hAnsi="宋体"/>
          <w:b/>
          <w:bCs/>
          <w:color w:val="auto"/>
          <w:szCs w:val="21"/>
          <w:highlight w:val="none"/>
        </w:rPr>
        <w:t>二、具体工作要求：</w:t>
      </w:r>
      <w:r>
        <w:rPr>
          <w:rFonts w:hint="eastAsia" w:ascii="宋体" w:hAnsi="宋体"/>
          <w:color w:val="auto"/>
          <w:szCs w:val="21"/>
          <w:highlight w:val="none"/>
        </w:rPr>
        <w:t>（1）服务要求：1.1中标供应商确保提供采购人的订购书目是正版图书。盗版图书一经发现，除假一赔十外，并按政府采购合同条款相关规定处罚，直至双方解除合同</w:t>
      </w:r>
      <w:r>
        <w:rPr>
          <w:rFonts w:hint="eastAsia" w:ascii="宋体" w:hAnsi="宋体" w:cs="宋体"/>
          <w:color w:val="auto"/>
          <w:szCs w:val="21"/>
          <w:highlight w:val="none"/>
        </w:rPr>
        <w:t>，如需进一步了解详细内容，详见招标文件。</w:t>
      </w:r>
    </w:p>
    <w:p w14:paraId="4E9D95DF">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最高限价（如有）：700000</w:t>
      </w:r>
    </w:p>
    <w:p w14:paraId="0E8B6195">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合同履约期限：自合同签订之日起至服务期满。</w:t>
      </w:r>
    </w:p>
    <w:p w14:paraId="142B553E">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本标项（否）接受联合体投标</w:t>
      </w:r>
    </w:p>
    <w:p w14:paraId="5D71E345">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备注：/</w:t>
      </w:r>
    </w:p>
    <w:p w14:paraId="7528AD4C">
      <w:pPr>
        <w:spacing w:line="390" w:lineRule="exact"/>
        <w:ind w:left="420" w:leftChars="200"/>
        <w:rPr>
          <w:rFonts w:ascii="宋体" w:hAnsi="宋体"/>
          <w:b/>
          <w:bCs/>
          <w:color w:val="auto"/>
          <w:szCs w:val="21"/>
          <w:highlight w:val="none"/>
        </w:rPr>
      </w:pPr>
      <w:r>
        <w:rPr>
          <w:rFonts w:hint="eastAsia" w:ascii="宋体" w:hAnsi="宋体"/>
          <w:b/>
          <w:bCs/>
          <w:color w:val="auto"/>
          <w:szCs w:val="21"/>
          <w:highlight w:val="none"/>
        </w:rPr>
        <w:t>标项四</w:t>
      </w:r>
    </w:p>
    <w:p w14:paraId="348D37A5">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标项名称：中文纸质图书采购加工服务（二）</w:t>
      </w:r>
    </w:p>
    <w:p w14:paraId="289C724F">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数量:1</w:t>
      </w:r>
    </w:p>
    <w:p w14:paraId="14DA117A">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预算金额（元）：700000</w:t>
      </w:r>
    </w:p>
    <w:p w14:paraId="0CDD2175">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b/>
          <w:bCs/>
          <w:color w:val="auto"/>
          <w:szCs w:val="21"/>
          <w:highlight w:val="none"/>
        </w:rPr>
        <w:t>一、图书要求：</w:t>
      </w:r>
      <w:r>
        <w:rPr>
          <w:rFonts w:hint="eastAsia" w:ascii="宋体" w:hAnsi="宋体"/>
          <w:color w:val="auto"/>
          <w:szCs w:val="21"/>
          <w:highlight w:val="none"/>
        </w:rPr>
        <w:t>（1）图书符合南宁师范大学专业及学科设置，在层次类别上以本科教学及研究生教学、博硕点建设为主，兼顾一般性读物。每种图书的复本量一般为 1-4册。（2）中标供应商提供三目书目（《社科新书目》、《科技新书目》、《全国新书目》）、出版社自编书目及中标供应商专题书目等。</w:t>
      </w:r>
      <w:r>
        <w:rPr>
          <w:rFonts w:hint="eastAsia" w:ascii="宋体" w:hAnsi="宋体"/>
          <w:b/>
          <w:bCs/>
          <w:color w:val="auto"/>
          <w:szCs w:val="21"/>
          <w:highlight w:val="none"/>
        </w:rPr>
        <w:t>二、具体工作要求：</w:t>
      </w:r>
      <w:r>
        <w:rPr>
          <w:rFonts w:hint="eastAsia" w:ascii="宋体" w:hAnsi="宋体"/>
          <w:color w:val="auto"/>
          <w:szCs w:val="21"/>
          <w:highlight w:val="none"/>
        </w:rPr>
        <w:t>（1）服务要求：1.1中标供应商确保提供采购人的订购书目是正版图书。盗版图书一经发现，除假一赔十外，并按政府采购合同条款相关规定处罚，直至双方解除合同</w:t>
      </w:r>
      <w:r>
        <w:rPr>
          <w:rFonts w:hint="eastAsia" w:ascii="宋体" w:hAnsi="宋体" w:cs="宋体"/>
          <w:color w:val="auto"/>
          <w:szCs w:val="21"/>
          <w:highlight w:val="none"/>
        </w:rPr>
        <w:t>，如需进一步了解详细内容，详见招标文件。</w:t>
      </w:r>
    </w:p>
    <w:p w14:paraId="1A593875">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最高限价（如有）：700000</w:t>
      </w:r>
    </w:p>
    <w:p w14:paraId="6BD7A7C2">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合同履约期限：自合同签订之日起至服务期满。</w:t>
      </w:r>
    </w:p>
    <w:p w14:paraId="4B4BB3B7">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本标项（否）接受联合体投标</w:t>
      </w:r>
    </w:p>
    <w:p w14:paraId="323A3F3C">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备注：/</w:t>
      </w:r>
    </w:p>
    <w:p w14:paraId="7F98ACC5">
      <w:pPr>
        <w:spacing w:line="360" w:lineRule="auto"/>
        <w:rPr>
          <w:rFonts w:ascii="黑体" w:hAnsi="黑体" w:eastAsia="黑体"/>
          <w:b/>
          <w:bCs/>
          <w:color w:val="auto"/>
          <w:sz w:val="24"/>
          <w:highlight w:val="none"/>
        </w:rPr>
      </w:pPr>
      <w:bookmarkStart w:id="16" w:name="_Toc28359003"/>
      <w:bookmarkStart w:id="17" w:name="_Toc35393622"/>
      <w:bookmarkStart w:id="18" w:name="_Toc28359080"/>
      <w:bookmarkStart w:id="19" w:name="_Toc35393791"/>
      <w:r>
        <w:rPr>
          <w:rFonts w:hint="eastAsia" w:ascii="黑体" w:hAnsi="黑体" w:eastAsia="黑体"/>
          <w:b/>
          <w:bCs/>
          <w:color w:val="auto"/>
          <w:sz w:val="24"/>
          <w:highlight w:val="none"/>
        </w:rPr>
        <w:t>二、申请人的资格要求：</w:t>
      </w:r>
      <w:bookmarkEnd w:id="16"/>
      <w:bookmarkEnd w:id="17"/>
      <w:bookmarkEnd w:id="18"/>
      <w:bookmarkEnd w:id="19"/>
    </w:p>
    <w:p w14:paraId="1F2908D0">
      <w:pPr>
        <w:spacing w:line="360" w:lineRule="auto"/>
        <w:ind w:firstLine="420" w:firstLineChars="200"/>
        <w:rPr>
          <w:rFonts w:ascii="宋体" w:hAnsi="宋体" w:cs="宋体"/>
          <w:color w:val="auto"/>
          <w:szCs w:val="21"/>
          <w:highlight w:val="none"/>
        </w:rPr>
      </w:pPr>
      <w:bookmarkStart w:id="20" w:name="_Hlk51746371"/>
      <w:r>
        <w:rPr>
          <w:rFonts w:hint="eastAsia" w:ascii="宋体" w:hAnsi="宋体" w:cs="宋体"/>
          <w:color w:val="auto"/>
          <w:szCs w:val="21"/>
          <w:highlight w:val="none"/>
        </w:rPr>
        <w:t>1.满足《中华人民共和国政府采购法》第二十二条规定；</w:t>
      </w:r>
    </w:p>
    <w:p w14:paraId="0443E829">
      <w:pPr>
        <w:spacing w:line="360" w:lineRule="auto"/>
        <w:ind w:firstLine="420" w:firstLineChars="200"/>
        <w:rPr>
          <w:rFonts w:ascii="宋体" w:hAnsi="宋体" w:cs="宋体"/>
          <w:color w:val="auto"/>
          <w:szCs w:val="21"/>
          <w:highlight w:val="none"/>
        </w:rPr>
      </w:pPr>
      <w:bookmarkStart w:id="21" w:name="_Toc28359004"/>
      <w:bookmarkStart w:id="22" w:name="_Toc28359081"/>
      <w:r>
        <w:rPr>
          <w:rFonts w:hint="eastAsia" w:ascii="宋体" w:hAnsi="宋体" w:cs="宋体"/>
          <w:color w:val="auto"/>
          <w:szCs w:val="21"/>
          <w:highlight w:val="none"/>
        </w:rPr>
        <w:t>2.落实政府采购政策需满足的资格要求：分标1、2、3、4：无；</w:t>
      </w:r>
    </w:p>
    <w:p w14:paraId="3C2E23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3.本项目的特定资格要求：【分标1、2、3、4】投标人须具有合格有效的《中华人民共和国出版物经营许可证》。</w:t>
      </w:r>
    </w:p>
    <w:bookmarkEnd w:id="20"/>
    <w:p w14:paraId="51070966">
      <w:pPr>
        <w:spacing w:line="360" w:lineRule="auto"/>
        <w:rPr>
          <w:rFonts w:ascii="黑体" w:hAnsi="黑体" w:eastAsia="黑体"/>
          <w:b/>
          <w:bCs/>
          <w:color w:val="auto"/>
          <w:sz w:val="24"/>
          <w:highlight w:val="none"/>
        </w:rPr>
      </w:pPr>
      <w:bookmarkStart w:id="23" w:name="_Toc35393792"/>
      <w:bookmarkStart w:id="24" w:name="_Toc35393623"/>
      <w:r>
        <w:rPr>
          <w:rFonts w:hint="eastAsia" w:ascii="黑体" w:hAnsi="黑体" w:eastAsia="黑体"/>
          <w:b/>
          <w:bCs/>
          <w:color w:val="auto"/>
          <w:sz w:val="24"/>
          <w:highlight w:val="none"/>
        </w:rPr>
        <w:t>三、获取招标文件</w:t>
      </w:r>
      <w:bookmarkEnd w:id="21"/>
      <w:bookmarkEnd w:id="22"/>
      <w:bookmarkEnd w:id="23"/>
      <w:bookmarkEnd w:id="24"/>
    </w:p>
    <w:p w14:paraId="1600686C">
      <w:pPr>
        <w:spacing w:line="360" w:lineRule="auto"/>
        <w:ind w:firstLine="420" w:firstLineChars="200"/>
        <w:rPr>
          <w:rFonts w:ascii="宋体" w:hAnsi="宋体" w:cs="宋体"/>
          <w:bCs/>
          <w:color w:val="auto"/>
          <w:kern w:val="0"/>
          <w:szCs w:val="21"/>
          <w:highlight w:val="none"/>
        </w:rPr>
      </w:pPr>
      <w:bookmarkStart w:id="25" w:name="_Toc74320801"/>
      <w:r>
        <w:rPr>
          <w:rFonts w:hint="eastAsia" w:ascii="宋体" w:hAnsi="宋体" w:cs="宋体"/>
          <w:bCs/>
          <w:color w:val="auto"/>
          <w:kern w:val="0"/>
          <w:szCs w:val="21"/>
          <w:highlight w:val="none"/>
        </w:rPr>
        <w:t>时间：</w:t>
      </w:r>
      <w:r>
        <w:rPr>
          <w:rFonts w:ascii="宋体" w:hAnsi="宋体" w:cs="宋体"/>
          <w:bCs/>
          <w:color w:val="auto"/>
          <w:kern w:val="0"/>
          <w:szCs w:val="21"/>
          <w:highlight w:val="none"/>
        </w:rPr>
        <w:t>202</w:t>
      </w:r>
      <w:r>
        <w:rPr>
          <w:rFonts w:hint="eastAsia" w:ascii="宋体" w:hAnsi="宋体" w:cs="宋体"/>
          <w:bCs/>
          <w:color w:val="auto"/>
          <w:kern w:val="0"/>
          <w:szCs w:val="21"/>
          <w:highlight w:val="none"/>
        </w:rPr>
        <w:t>6年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13</w:t>
      </w:r>
      <w:r>
        <w:rPr>
          <w:rFonts w:hint="eastAsia" w:ascii="宋体" w:hAnsi="宋体" w:cs="宋体"/>
          <w:bCs/>
          <w:color w:val="auto"/>
          <w:kern w:val="0"/>
          <w:szCs w:val="21"/>
          <w:highlight w:val="none"/>
        </w:rPr>
        <w:t>日至</w:t>
      </w:r>
      <w:r>
        <w:rPr>
          <w:rFonts w:ascii="宋体" w:hAnsi="宋体" w:cs="宋体"/>
          <w:bCs/>
          <w:color w:val="auto"/>
          <w:kern w:val="0"/>
          <w:szCs w:val="21"/>
          <w:highlight w:val="none"/>
        </w:rPr>
        <w:t>202</w:t>
      </w:r>
      <w:r>
        <w:rPr>
          <w:rFonts w:hint="eastAsia" w:ascii="宋体" w:hAnsi="宋体" w:cs="宋体"/>
          <w:bCs/>
          <w:color w:val="auto"/>
          <w:kern w:val="0"/>
          <w:szCs w:val="21"/>
          <w:highlight w:val="none"/>
        </w:rPr>
        <w:t>6年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28</w:t>
      </w:r>
      <w:r>
        <w:rPr>
          <w:rFonts w:hint="eastAsia" w:ascii="宋体" w:hAnsi="宋体" w:cs="宋体"/>
          <w:bCs/>
          <w:color w:val="auto"/>
          <w:kern w:val="0"/>
          <w:szCs w:val="21"/>
          <w:highlight w:val="none"/>
        </w:rPr>
        <w:t>日，每天上午00:0</w:t>
      </w:r>
      <w:r>
        <w:rPr>
          <w:rFonts w:ascii="宋体" w:hAnsi="宋体" w:cs="宋体"/>
          <w:bCs/>
          <w:color w:val="auto"/>
          <w:kern w:val="0"/>
          <w:szCs w:val="21"/>
          <w:highlight w:val="none"/>
        </w:rPr>
        <w:t>0</w:t>
      </w:r>
      <w:r>
        <w:rPr>
          <w:rFonts w:hint="eastAsia" w:ascii="宋体" w:hAnsi="宋体" w:cs="宋体"/>
          <w:bCs/>
          <w:color w:val="auto"/>
          <w:kern w:val="0"/>
          <w:szCs w:val="21"/>
          <w:highlight w:val="none"/>
        </w:rPr>
        <w:t>至11:59，下午12:0</w:t>
      </w:r>
      <w:r>
        <w:rPr>
          <w:rFonts w:ascii="宋体" w:hAnsi="宋体" w:cs="宋体"/>
          <w:bCs/>
          <w:color w:val="auto"/>
          <w:kern w:val="0"/>
          <w:szCs w:val="21"/>
          <w:highlight w:val="none"/>
        </w:rPr>
        <w:t>0</w:t>
      </w:r>
      <w:r>
        <w:rPr>
          <w:rFonts w:hint="eastAsia" w:ascii="宋体" w:hAnsi="宋体" w:cs="宋体"/>
          <w:bCs/>
          <w:color w:val="auto"/>
          <w:kern w:val="0"/>
          <w:szCs w:val="21"/>
          <w:highlight w:val="none"/>
        </w:rPr>
        <w:t>至23:59（北京时间）。</w:t>
      </w:r>
    </w:p>
    <w:p w14:paraId="28B2ACF6">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广西政府采购云平台（https://www.gcy.zfcg.gxzf.gov.cn/）。</w:t>
      </w:r>
    </w:p>
    <w:p w14:paraId="69A215E8">
      <w:pPr>
        <w:spacing w:line="360" w:lineRule="auto"/>
        <w:ind w:firstLine="420" w:firstLineChars="200"/>
        <w:rPr>
          <w:rFonts w:ascii="宋体" w:hAnsi="宋体" w:cs="宋体"/>
          <w:bCs/>
          <w:color w:val="auto"/>
          <w:kern w:val="0"/>
          <w:szCs w:val="21"/>
          <w:highlight w:val="none"/>
        </w:rPr>
      </w:pPr>
      <w:r>
        <w:rPr>
          <w:color w:val="auto"/>
          <w:highlight w:val="none"/>
        </w:rPr>
        <w:t>方式：</w:t>
      </w:r>
      <w:r>
        <w:rPr>
          <w:rFonts w:hint="eastAsia" w:ascii="宋体" w:hAnsi="宋体" w:cs="宋体"/>
          <w:color w:val="auto"/>
          <w:highlight w:val="none"/>
        </w:rPr>
        <w:t>网上下载。本项目不提供纸质文件，潜在供应商需使用账号登录或者使用CA登录“广西政府采购云平台（https://www.gcy.zfcg.gxzf.gov.cn）”－进入“项目采购”应用，在获取采购文件菜单中选择项目，获取招标文件（或在“广西政府采购客户端－获取采购文件”）。电子投标文件制作需要基于“广西政府采购云平台”获取的招标文件编制，通过其他方式获取招标文件的，将有可能导致供应商无法在“广西政府采购云平台”编制及上传投标文件。</w:t>
      </w:r>
    </w:p>
    <w:p w14:paraId="0A2F5C7F">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rPr>
        <w:t>0元。</w:t>
      </w:r>
    </w:p>
    <w:p w14:paraId="55FC273D">
      <w:pPr>
        <w:spacing w:line="360" w:lineRule="auto"/>
        <w:rPr>
          <w:rFonts w:ascii="黑体" w:hAnsi="黑体" w:eastAsia="黑体"/>
          <w:b/>
          <w:bCs/>
          <w:color w:val="auto"/>
          <w:sz w:val="24"/>
          <w:highlight w:val="none"/>
        </w:rPr>
      </w:pPr>
      <w:bookmarkStart w:id="26" w:name="_Toc28359082"/>
      <w:bookmarkStart w:id="27" w:name="_Toc28359005"/>
      <w:bookmarkStart w:id="28" w:name="_Toc35393624"/>
      <w:bookmarkStart w:id="29" w:name="_Toc35393793"/>
      <w:r>
        <w:rPr>
          <w:rFonts w:hint="eastAsia" w:ascii="黑体" w:hAnsi="黑体" w:eastAsia="黑体"/>
          <w:b/>
          <w:bCs/>
          <w:color w:val="auto"/>
          <w:sz w:val="24"/>
          <w:highlight w:val="none"/>
        </w:rPr>
        <w:t>四、提交投标文件</w:t>
      </w:r>
      <w:bookmarkEnd w:id="26"/>
      <w:bookmarkEnd w:id="27"/>
      <w:r>
        <w:rPr>
          <w:rFonts w:hint="eastAsia" w:ascii="黑体" w:hAnsi="黑体" w:eastAsia="黑体"/>
          <w:b/>
          <w:bCs/>
          <w:color w:val="auto"/>
          <w:sz w:val="24"/>
          <w:highlight w:val="none"/>
        </w:rPr>
        <w:t>截止时间、开标时间和地点</w:t>
      </w:r>
      <w:bookmarkEnd w:id="28"/>
      <w:bookmarkEnd w:id="29"/>
      <w:r>
        <w:rPr>
          <w:rFonts w:hint="eastAsia" w:ascii="黑体" w:hAnsi="黑体" w:eastAsia="黑体"/>
          <w:b/>
          <w:bCs/>
          <w:color w:val="auto"/>
          <w:sz w:val="24"/>
          <w:highlight w:val="none"/>
        </w:rPr>
        <w:t>：</w:t>
      </w:r>
    </w:p>
    <w:p w14:paraId="457A245B">
      <w:pPr>
        <w:spacing w:line="360" w:lineRule="auto"/>
        <w:ind w:firstLine="420" w:firstLineChars="200"/>
        <w:rPr>
          <w:rFonts w:ascii="宋体" w:hAnsi="宋体" w:cs="宋体"/>
          <w:color w:val="auto"/>
          <w:highlight w:val="none"/>
        </w:rPr>
      </w:pPr>
      <w:bookmarkStart w:id="30" w:name="_Toc35393794"/>
      <w:bookmarkStart w:id="31" w:name="_Toc35393625"/>
      <w:bookmarkStart w:id="32" w:name="_Toc28359007"/>
      <w:bookmarkStart w:id="33" w:name="_Toc28359084"/>
      <w:r>
        <w:rPr>
          <w:rFonts w:hint="eastAsia" w:ascii="宋体" w:hAnsi="宋体" w:cs="宋体"/>
          <w:color w:val="auto"/>
          <w:highlight w:val="none"/>
        </w:rPr>
        <w:t>时间：2026年</w:t>
      </w:r>
      <w:r>
        <w:rPr>
          <w:rFonts w:hint="eastAsia" w:ascii="宋体" w:hAnsi="宋体" w:cs="宋体"/>
          <w:color w:val="auto"/>
          <w:highlight w:val="none"/>
          <w:lang w:val="en-US" w:eastAsia="zh-CN"/>
        </w:rPr>
        <w:t>5</w:t>
      </w:r>
      <w:r>
        <w:rPr>
          <w:rFonts w:hint="eastAsia" w:ascii="宋体" w:hAnsi="宋体" w:cs="宋体"/>
          <w:color w:val="auto"/>
          <w:highlight w:val="none"/>
        </w:rPr>
        <w:t>月</w:t>
      </w:r>
      <w:r>
        <w:rPr>
          <w:rFonts w:hint="eastAsia" w:ascii="宋体" w:hAnsi="宋体" w:cs="宋体"/>
          <w:color w:val="auto"/>
          <w:highlight w:val="none"/>
          <w:lang w:val="en-US" w:eastAsia="zh-CN"/>
        </w:rPr>
        <w:t>6</w:t>
      </w:r>
      <w:r>
        <w:rPr>
          <w:rFonts w:hint="eastAsia" w:ascii="宋体" w:hAnsi="宋体" w:cs="宋体"/>
          <w:color w:val="auto"/>
          <w:highlight w:val="none"/>
        </w:rPr>
        <w:t>日</w:t>
      </w:r>
      <w:r>
        <w:rPr>
          <w:rFonts w:hint="eastAsia" w:ascii="宋体" w:hAnsi="宋体" w:cs="宋体"/>
          <w:color w:val="auto"/>
          <w:highlight w:val="none"/>
          <w:lang w:val="en-US" w:eastAsia="zh-CN"/>
        </w:rPr>
        <w:t>09</w:t>
      </w:r>
      <w:r>
        <w:rPr>
          <w:rFonts w:hint="eastAsia" w:ascii="宋体" w:hAnsi="宋体" w:cs="宋体"/>
          <w:color w:val="auto"/>
          <w:highlight w:val="none"/>
        </w:rPr>
        <w:t>时</w:t>
      </w:r>
      <w:r>
        <w:rPr>
          <w:rFonts w:hint="eastAsia" w:ascii="宋体" w:hAnsi="宋体" w:cs="宋体"/>
          <w:color w:val="auto"/>
          <w:highlight w:val="none"/>
          <w:lang w:val="en-US" w:eastAsia="zh-CN"/>
        </w:rPr>
        <w:t>30</w:t>
      </w:r>
      <w:r>
        <w:rPr>
          <w:rFonts w:hint="eastAsia" w:ascii="宋体" w:hAnsi="宋体" w:cs="宋体"/>
          <w:color w:val="auto"/>
          <w:highlight w:val="none"/>
        </w:rPr>
        <w:t>分（北京时间）。</w:t>
      </w:r>
    </w:p>
    <w:p w14:paraId="79D17EB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地点：</w:t>
      </w:r>
    </w:p>
    <w:p w14:paraId="74F618A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投标地点：广西政府采购云平台（https://www.gcy.zfcg.gxzf.gov.cn/）。</w:t>
      </w:r>
    </w:p>
    <w:p w14:paraId="201C9C1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开标地点：广西政府采购云平台电子开标大厅。</w:t>
      </w:r>
    </w:p>
    <w:p w14:paraId="049D7EC5">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30"/>
      <w:bookmarkEnd w:id="31"/>
      <w:bookmarkEnd w:id="32"/>
      <w:bookmarkEnd w:id="33"/>
      <w:r>
        <w:rPr>
          <w:rFonts w:hint="eastAsia" w:ascii="黑体" w:hAnsi="黑体" w:eastAsia="黑体"/>
          <w:b/>
          <w:bCs/>
          <w:color w:val="auto"/>
          <w:sz w:val="24"/>
          <w:highlight w:val="none"/>
        </w:rPr>
        <w:t>：</w:t>
      </w:r>
    </w:p>
    <w:p w14:paraId="2914FF9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自本公告发布之日起5个工作日。</w:t>
      </w:r>
    </w:p>
    <w:p w14:paraId="259D39C4">
      <w:pPr>
        <w:spacing w:line="360" w:lineRule="auto"/>
        <w:rPr>
          <w:rFonts w:ascii="黑体" w:hAnsi="黑体" w:eastAsia="黑体"/>
          <w:b/>
          <w:bCs/>
          <w:color w:val="auto"/>
          <w:sz w:val="24"/>
          <w:highlight w:val="none"/>
        </w:rPr>
      </w:pPr>
      <w:bookmarkStart w:id="34" w:name="_Toc35393626"/>
      <w:bookmarkStart w:id="35" w:name="_Toc35393795"/>
      <w:r>
        <w:rPr>
          <w:rFonts w:hint="eastAsia" w:ascii="黑体" w:hAnsi="黑体" w:eastAsia="黑体"/>
          <w:b/>
          <w:bCs/>
          <w:color w:val="auto"/>
          <w:sz w:val="24"/>
          <w:highlight w:val="none"/>
        </w:rPr>
        <w:t>六、其他补充事宜</w:t>
      </w:r>
      <w:bookmarkEnd w:id="34"/>
      <w:bookmarkEnd w:id="35"/>
      <w:r>
        <w:rPr>
          <w:rFonts w:hint="eastAsia" w:ascii="黑体" w:hAnsi="黑体" w:eastAsia="黑体"/>
          <w:b/>
          <w:bCs/>
          <w:color w:val="auto"/>
          <w:sz w:val="24"/>
          <w:highlight w:val="none"/>
        </w:rPr>
        <w:t>：</w:t>
      </w:r>
    </w:p>
    <w:p w14:paraId="1BBDD0BF">
      <w:pPr>
        <w:wordWrap w:val="0"/>
        <w:spacing w:line="360" w:lineRule="auto"/>
        <w:ind w:firstLine="420" w:firstLineChars="200"/>
        <w:rPr>
          <w:rFonts w:ascii="宋体" w:hAnsi="宋体" w:cs="宋体"/>
          <w:color w:val="auto"/>
          <w:highlight w:val="none"/>
        </w:rPr>
      </w:pPr>
      <w:bookmarkStart w:id="36" w:name="_Hlk37429595"/>
      <w:bookmarkStart w:id="37" w:name="_Hlk37429585"/>
      <w:bookmarkStart w:id="38" w:name="_Toc35393627"/>
      <w:bookmarkStart w:id="39" w:name="_Toc28359008"/>
      <w:bookmarkStart w:id="40" w:name="_Toc35393796"/>
      <w:bookmarkStart w:id="41" w:name="_Toc28359085"/>
      <w:r>
        <w:rPr>
          <w:rFonts w:hint="eastAsia" w:ascii="宋体" w:hAnsi="宋体" w:cs="宋体"/>
          <w:color w:val="auto"/>
          <w:highlight w:val="none"/>
        </w:rPr>
        <w:t>1.网上查询地址：</w:t>
      </w:r>
      <w:bookmarkEnd w:id="36"/>
      <w:bookmarkEnd w:id="37"/>
      <w:bookmarkStart w:id="42" w:name="_Hlk37429674"/>
      <w:r>
        <w:rPr>
          <w:rFonts w:hint="eastAsia" w:ascii="宋体" w:hAnsi="宋体" w:cs="宋体"/>
          <w:color w:val="auto"/>
          <w:highlight w:val="none"/>
        </w:rPr>
        <w:t>中国政府采购网、广西政府采购网、广西壮族自治区公共资源交易中心网、广西正海招标有限公司网。</w:t>
      </w:r>
    </w:p>
    <w:p w14:paraId="5BFE003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w:t>
      </w:r>
      <w:r>
        <w:rPr>
          <w:rFonts w:ascii="宋体" w:hAnsi="宋体" w:cs="宋体"/>
          <w:color w:val="auto"/>
          <w:highlight w:val="none"/>
        </w:rPr>
        <w:t>.</w:t>
      </w:r>
      <w:r>
        <w:rPr>
          <w:rFonts w:hint="eastAsia" w:ascii="宋体" w:hAnsi="宋体" w:cs="宋体"/>
          <w:color w:val="auto"/>
          <w:highlight w:val="none"/>
        </w:rPr>
        <w:t>本项目需要落实的政府采购政策：</w:t>
      </w:r>
    </w:p>
    <w:p w14:paraId="3A5BD74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（1）政府采购促进中小企业发展。</w:t>
      </w:r>
    </w:p>
    <w:p w14:paraId="705DFA8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（2）政府采购支持采用本国产品的政策。</w:t>
      </w:r>
    </w:p>
    <w:p w14:paraId="6061216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）政府采购促进残疾人就业政策。</w:t>
      </w:r>
    </w:p>
    <w:p w14:paraId="094B38C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）政府采购支持监狱企业发展。</w:t>
      </w:r>
    </w:p>
    <w:bookmarkEnd w:id="42"/>
    <w:p w14:paraId="25CDBAE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3.投标人投标注意事项</w:t>
      </w:r>
    </w:p>
    <w:p w14:paraId="6088FC6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“广西政府采购云平台”（加密的电子投标文件是指后缀名为“jm</w:t>
      </w:r>
      <w:r>
        <w:rPr>
          <w:rFonts w:ascii="宋体" w:hAnsi="宋体" w:cs="宋体"/>
          <w:color w:val="auto"/>
          <w:highlight w:val="none"/>
        </w:rPr>
        <w:t>bs</w:t>
      </w:r>
      <w:r>
        <w:rPr>
          <w:rFonts w:hint="eastAsia" w:ascii="宋体" w:hAnsi="宋体" w:cs="宋体"/>
          <w:color w:val="auto"/>
          <w:highlight w:val="none"/>
        </w:rPr>
        <w:t>”的文件），投标人在“广西政府采购云平台”提交电子投标文件时，请填写参加远程开标活动经办人联系方式。</w:t>
      </w:r>
      <w:r>
        <w:rPr>
          <w:rFonts w:ascii="宋体" w:hAnsi="宋体" w:cs="宋体"/>
          <w:color w:val="auto"/>
          <w:highlight w:val="none"/>
        </w:rPr>
        <w:t>投标人登录“广西政府采购云平台”，依次进入“服务中心</w:t>
      </w:r>
      <w:r>
        <w:rPr>
          <w:rFonts w:hint="eastAsia" w:ascii="宋体" w:hAnsi="宋体" w:cs="宋体"/>
          <w:color w:val="auto"/>
          <w:highlight w:val="none"/>
        </w:rPr>
        <w:t>－</w:t>
      </w:r>
      <w:r>
        <w:rPr>
          <w:rFonts w:ascii="宋体" w:hAnsi="宋体" w:cs="宋体"/>
          <w:color w:val="auto"/>
          <w:highlight w:val="none"/>
        </w:rPr>
        <w:t>帮助文档</w:t>
      </w:r>
      <w:r>
        <w:rPr>
          <w:rFonts w:hint="eastAsia" w:ascii="宋体" w:hAnsi="宋体" w:cs="宋体"/>
          <w:color w:val="auto"/>
          <w:highlight w:val="none"/>
        </w:rPr>
        <w:t>－</w:t>
      </w:r>
      <w:r>
        <w:rPr>
          <w:rFonts w:ascii="宋体" w:hAnsi="宋体" w:cs="宋体"/>
          <w:color w:val="auto"/>
          <w:highlight w:val="none"/>
        </w:rPr>
        <w:t>操作流程</w:t>
      </w:r>
      <w:r>
        <w:rPr>
          <w:rFonts w:hint="eastAsia" w:ascii="宋体" w:hAnsi="宋体" w:cs="宋体"/>
          <w:color w:val="auto"/>
          <w:highlight w:val="none"/>
        </w:rPr>
        <w:t>－</w:t>
      </w:r>
      <w:r>
        <w:rPr>
          <w:rFonts w:ascii="宋体" w:hAnsi="宋体" w:cs="宋体"/>
          <w:color w:val="auto"/>
          <w:highlight w:val="none"/>
        </w:rPr>
        <w:t>电子招投标</w:t>
      </w:r>
      <w:r>
        <w:rPr>
          <w:rFonts w:hint="eastAsia" w:ascii="宋体" w:hAnsi="宋体" w:cs="宋体"/>
          <w:color w:val="auto"/>
          <w:highlight w:val="none"/>
        </w:rPr>
        <w:t>－</w:t>
      </w:r>
      <w:r>
        <w:rPr>
          <w:rFonts w:ascii="宋体" w:hAnsi="宋体" w:cs="宋体"/>
          <w:color w:val="auto"/>
          <w:highlight w:val="none"/>
        </w:rPr>
        <w:t>政府采购项目电子交易管理操作指南</w:t>
      </w:r>
      <w:r>
        <w:rPr>
          <w:rFonts w:hint="eastAsia" w:ascii="宋体" w:hAnsi="宋体" w:cs="宋体"/>
          <w:color w:val="auto"/>
          <w:highlight w:val="none"/>
        </w:rPr>
        <w:t>－</w:t>
      </w:r>
      <w:r>
        <w:rPr>
          <w:rFonts w:ascii="宋体" w:hAnsi="宋体" w:cs="宋体"/>
          <w:color w:val="auto"/>
          <w:highlight w:val="none"/>
        </w:rPr>
        <w:t>供应商”查看电子投标具体操作流程。</w:t>
      </w:r>
    </w:p>
    <w:p w14:paraId="0246C66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政府采购平台客服电话：95763或者0771-3381253）。</w:t>
      </w:r>
    </w:p>
    <w:p w14:paraId="7035CA2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5A996CF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注：①为确保网上操作合法、有效和安全，请投标人确保在电子投标过程中能够对相关数据电文进行加密和使用电子签章，妥善保管C</w:t>
      </w:r>
      <w:r>
        <w:rPr>
          <w:rFonts w:ascii="宋体" w:hAnsi="宋体" w:cs="宋体"/>
          <w:color w:val="auto"/>
          <w:highlight w:val="none"/>
        </w:rPr>
        <w:t>A</w:t>
      </w:r>
      <w:r>
        <w:rPr>
          <w:rFonts w:hint="eastAsia" w:ascii="宋体" w:hAnsi="宋体" w:cs="宋体"/>
          <w:color w:val="auto"/>
          <w:highlight w:val="none"/>
        </w:rPr>
        <w:t>数字证书并使用有效的CA数字证书参与整个招标活动。</w:t>
      </w:r>
    </w:p>
    <w:p w14:paraId="4AF57FF7">
      <w:pPr>
        <w:wordWrap w:val="0"/>
        <w:spacing w:line="360" w:lineRule="auto"/>
        <w:ind w:firstLine="630" w:firstLineChars="300"/>
        <w:rPr>
          <w:rFonts w:ascii="宋体" w:hAnsi="宋体" w:cs="宋体"/>
          <w:color w:val="auto"/>
          <w:highlight w:val="none"/>
        </w:rPr>
      </w:pPr>
      <w:r>
        <w:rPr>
          <w:rFonts w:hint="eastAsia" w:ascii="宋体" w:hAnsi="宋体" w:cs="宋体"/>
          <w:color w:val="auto"/>
          <w:highlight w:val="none"/>
        </w:rPr>
        <w:t>②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473B10D4">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8"/>
      <w:bookmarkEnd w:id="39"/>
      <w:bookmarkEnd w:id="40"/>
      <w:bookmarkEnd w:id="41"/>
      <w:r>
        <w:rPr>
          <w:rFonts w:hint="eastAsia" w:ascii="黑体" w:hAnsi="黑体" w:eastAsia="黑体"/>
          <w:b/>
          <w:bCs/>
          <w:color w:val="auto"/>
          <w:sz w:val="24"/>
          <w:highlight w:val="none"/>
        </w:rPr>
        <w:t>：</w:t>
      </w:r>
    </w:p>
    <w:p w14:paraId="400176A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1.采购人信息</w:t>
      </w:r>
    </w:p>
    <w:p w14:paraId="13318BC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名称：南宁师范大学  地址：广西南宁市明秀东路175号 </w:t>
      </w:r>
    </w:p>
    <w:p w14:paraId="6ECC4A7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项目联系人：汪洋涛      联系电话：0771-3908051</w:t>
      </w:r>
    </w:p>
    <w:p w14:paraId="2E5112F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2.采购代理机构信息</w:t>
      </w:r>
    </w:p>
    <w:p w14:paraId="77516AD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名称：广西正海招标有限公司　地址：南宁市青秀区茅桥路2号习艺基地A栋①电梯3楼</w:t>
      </w:r>
    </w:p>
    <w:p w14:paraId="097D980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联系方式： 0771-2865989     传真：0771-5650199　　</w:t>
      </w:r>
    </w:p>
    <w:p w14:paraId="323DDBD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3.项目联系方式</w:t>
      </w:r>
    </w:p>
    <w:p w14:paraId="0A27DA1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项目联系人：</w:t>
      </w:r>
      <w:r>
        <w:rPr>
          <w:rFonts w:hint="eastAsia" w:ascii="宋体" w:hAnsi="宋体" w:cs="宋体"/>
          <w:color w:val="auto"/>
          <w:highlight w:val="none"/>
          <w:lang w:eastAsia="zh-CN"/>
        </w:rPr>
        <w:t>覃工</w:t>
      </w:r>
      <w:r>
        <w:rPr>
          <w:rFonts w:hint="eastAsia" w:ascii="宋体" w:hAnsi="宋体" w:cs="宋体"/>
          <w:color w:val="auto"/>
          <w:highlight w:val="none"/>
        </w:rPr>
        <w:t xml:space="preserve">   联系电话：0771-2865989</w:t>
      </w:r>
    </w:p>
    <w:p w14:paraId="35E772E9">
      <w:pPr>
        <w:snapToGrid w:val="0"/>
        <w:spacing w:line="360" w:lineRule="auto"/>
        <w:ind w:firstLine="482"/>
        <w:jc w:val="right"/>
        <w:rPr>
          <w:rFonts w:ascii="仿宋_GB2312" w:hAnsi="宋体" w:eastAsia="仿宋_GB2312"/>
          <w:color w:val="auto"/>
          <w:sz w:val="24"/>
          <w:szCs w:val="20"/>
          <w:highlight w:val="none"/>
        </w:rPr>
      </w:pPr>
      <w:r>
        <w:rPr>
          <w:rFonts w:hint="eastAsia" w:ascii="仿宋_GB2312" w:hAnsi="宋体" w:eastAsia="仿宋_GB2312"/>
          <w:color w:val="auto"/>
          <w:sz w:val="24"/>
          <w:szCs w:val="20"/>
          <w:highlight w:val="none"/>
        </w:rPr>
        <w:t xml:space="preserve">                                                  </w:t>
      </w:r>
    </w:p>
    <w:p w14:paraId="0B302F76">
      <w:pPr>
        <w:snapToGrid w:val="0"/>
        <w:spacing w:line="360" w:lineRule="auto"/>
        <w:ind w:firstLine="482"/>
        <w:jc w:val="right"/>
        <w:rPr>
          <w:rFonts w:ascii="宋体" w:hAnsi="宋体" w:cs="宋体"/>
          <w:color w:val="auto"/>
          <w:szCs w:val="21"/>
          <w:highlight w:val="none"/>
        </w:rPr>
      </w:pPr>
      <w:r>
        <w:rPr>
          <w:rFonts w:hint="eastAsia" w:ascii="宋体" w:hAnsi="宋体" w:cs="宋体"/>
          <w:color w:val="auto"/>
          <w:szCs w:val="21"/>
          <w:highlight w:val="none"/>
        </w:rPr>
        <w:t>广西正海招标有限公司</w:t>
      </w:r>
    </w:p>
    <w:p w14:paraId="52997B09">
      <w:pPr>
        <w:snapToGrid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日</w:t>
      </w:r>
    </w:p>
    <w:p w14:paraId="6511F8CF">
      <w:pPr>
        <w:pStyle w:val="3"/>
        <w:rPr>
          <w:rFonts w:ascii="宋体" w:hAnsi="宋体" w:cs="宋体"/>
          <w:color w:val="auto"/>
          <w:szCs w:val="21"/>
          <w:highlight w:val="none"/>
        </w:rPr>
      </w:pPr>
    </w:p>
    <w:p w14:paraId="7D8316A8">
      <w:pPr>
        <w:rPr>
          <w:rFonts w:ascii="宋体" w:hAnsi="宋体" w:cs="宋体"/>
          <w:color w:val="auto"/>
          <w:szCs w:val="21"/>
          <w:highlight w:val="none"/>
        </w:rPr>
      </w:pPr>
    </w:p>
    <w:p w14:paraId="290915BB">
      <w:pPr>
        <w:pStyle w:val="3"/>
        <w:rPr>
          <w:rFonts w:ascii="宋体" w:hAnsi="宋体" w:cs="宋体"/>
          <w:color w:val="auto"/>
          <w:szCs w:val="21"/>
          <w:highlight w:val="none"/>
        </w:rPr>
      </w:pPr>
    </w:p>
    <w:p w14:paraId="5C937395">
      <w:pPr>
        <w:rPr>
          <w:rFonts w:ascii="宋体" w:hAnsi="宋体" w:cs="宋体"/>
          <w:color w:val="auto"/>
          <w:szCs w:val="21"/>
          <w:highlight w:val="none"/>
        </w:rPr>
      </w:pPr>
    </w:p>
    <w:p w14:paraId="1FC6145D">
      <w:pPr>
        <w:pStyle w:val="3"/>
        <w:rPr>
          <w:rFonts w:ascii="宋体" w:hAnsi="宋体" w:cs="宋体"/>
          <w:color w:val="auto"/>
          <w:szCs w:val="21"/>
          <w:highlight w:val="none"/>
        </w:rPr>
      </w:pPr>
    </w:p>
    <w:p w14:paraId="0D080995">
      <w:pPr>
        <w:pStyle w:val="5"/>
        <w:spacing w:before="0" w:after="0" w:line="360" w:lineRule="auto"/>
        <w:jc w:val="center"/>
        <w:rPr>
          <w:rFonts w:ascii="宋体" w:hAnsi="宋体"/>
          <w:color w:val="auto"/>
          <w:highlight w:val="none"/>
        </w:rPr>
      </w:pPr>
      <w:r>
        <w:rPr>
          <w:rFonts w:hint="eastAsia" w:ascii="宋体" w:hAnsi="宋体"/>
          <w:color w:val="auto"/>
          <w:highlight w:val="none"/>
        </w:rPr>
        <w:t>第二章  采购需求</w:t>
      </w:r>
      <w:bookmarkEnd w:id="25"/>
    </w:p>
    <w:p w14:paraId="08644BC9">
      <w:pPr>
        <w:spacing w:line="384" w:lineRule="auto"/>
        <w:jc w:val="left"/>
        <w:rPr>
          <w:rFonts w:ascii="宋体" w:hAnsi="宋体" w:cs="宋体"/>
          <w:color w:val="auto"/>
          <w:szCs w:val="21"/>
          <w:highlight w:val="none"/>
        </w:rPr>
      </w:pPr>
      <w:bookmarkStart w:id="43" w:name="_Toc254970631"/>
      <w:bookmarkStart w:id="44" w:name="_Toc254970490"/>
      <w:r>
        <w:rPr>
          <w:rFonts w:hint="eastAsia" w:ascii="宋体" w:hAnsi="宋体" w:cs="宋体"/>
          <w:color w:val="auto"/>
          <w:szCs w:val="21"/>
          <w:highlight w:val="none"/>
        </w:rPr>
        <w:t>说明：</w:t>
      </w:r>
    </w:p>
    <w:p w14:paraId="0ABC0968">
      <w:pPr>
        <w:spacing w:line="384"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1.为落实政府采购政策需满足的要求（根据项目实际情况填写内容）</w:t>
      </w:r>
    </w:p>
    <w:p w14:paraId="6AC194C6">
      <w:pPr>
        <w:spacing w:line="384"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1F756066">
      <w:pPr>
        <w:spacing w:line="384"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投标人的投标货物必须使用政府强制采购的节能产品，投标人必须在投标文件中提供所投标产品的节能产品认证证书复印件加盖投标人公章，否则投标文件作无效处理。如本项目包含的货物属于品目清单内非标注“★”的产品时，应优先采购。</w:t>
      </w:r>
    </w:p>
    <w:p w14:paraId="74FFF52E">
      <w:pPr>
        <w:spacing w:line="384"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投标处理。如属于《网络关键设备和网络安全专用产品目录》中“二、网络安全专用产品”内“产品类别”中的所描述的产品，但不属于所列“产品描述”情形的，应提供相应的说明及证明材料。</w:t>
      </w:r>
    </w:p>
    <w:p w14:paraId="1A6DD488">
      <w:pPr>
        <w:spacing w:line="384" w:lineRule="auto"/>
        <w:ind w:firstLine="426" w:firstLineChars="202"/>
        <w:jc w:val="left"/>
        <w:rPr>
          <w:rFonts w:ascii="宋体" w:hAnsi="宋体" w:cs="宋体"/>
          <w:b/>
          <w:bCs/>
          <w:color w:val="auto"/>
          <w:szCs w:val="21"/>
          <w:highlight w:val="none"/>
        </w:rPr>
      </w:pPr>
      <w:r>
        <w:rPr>
          <w:rFonts w:hint="eastAsia" w:ascii="宋体" w:hAnsi="宋体" w:cs="宋体"/>
          <w:b/>
          <w:bCs/>
          <w:color w:val="auto"/>
          <w:szCs w:val="21"/>
          <w:highlight w:val="none"/>
        </w:rPr>
        <w:t>4.“实质性要求”是指招标文件中已经指明不满足则投标无效的条款，或者不能负偏离的条款。“</w:t>
      </w:r>
      <w:r>
        <w:rPr>
          <w:rFonts w:hint="eastAsia" w:ascii="宋体" w:hAnsi="宋体" w:cs="宋体"/>
          <w:color w:val="auto"/>
          <w:szCs w:val="21"/>
          <w:highlight w:val="none"/>
        </w:rPr>
        <w:t>▲</w:t>
      </w:r>
      <w:r>
        <w:rPr>
          <w:rFonts w:hint="eastAsia" w:ascii="宋体" w:hAnsi="宋体" w:cs="宋体"/>
          <w:b/>
          <w:bCs/>
          <w:color w:val="auto"/>
          <w:szCs w:val="21"/>
          <w:highlight w:val="none"/>
        </w:rPr>
        <w:t>”号条款为实质性条款，实质性要求是指招标文件中已经指明不满足则投标无效的条款。</w:t>
      </w:r>
    </w:p>
    <w:p w14:paraId="027F31C3">
      <w:pPr>
        <w:spacing w:line="384"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5.本采购需求中技术要求所使用的标准或应用标准如与投标人所执行的标准不一致时，按最新标准或较高标准执行。</w:t>
      </w:r>
    </w:p>
    <w:p w14:paraId="64A4BCD6">
      <w:pPr>
        <w:spacing w:line="384" w:lineRule="auto"/>
        <w:ind w:firstLine="424" w:firstLineChars="202"/>
        <w:jc w:val="left"/>
        <w:rPr>
          <w:rStyle w:val="59"/>
          <w:rFonts w:ascii="宋体" w:hAnsi="宋体" w:cs="宋体"/>
          <w:color w:val="auto"/>
          <w:highlight w:val="none"/>
        </w:rPr>
      </w:pPr>
      <w:r>
        <w:rPr>
          <w:rFonts w:hint="eastAsia" w:ascii="宋体" w:hAnsi="宋体" w:cs="宋体"/>
          <w:color w:val="auto"/>
          <w:szCs w:val="21"/>
          <w:highlight w:val="none"/>
        </w:rPr>
        <w:t>6.</w:t>
      </w:r>
      <w:bookmarkStart w:id="45" w:name="_Hlk65055179"/>
      <w:r>
        <w:rPr>
          <w:rFonts w:hint="eastAsia" w:ascii="宋体" w:hAnsi="宋体" w:cs="宋体"/>
          <w:color w:val="auto"/>
          <w:szCs w:val="21"/>
          <w:highlight w:val="none"/>
        </w:rPr>
        <w:t>投标人应根据自身实际情况如实响应招标文件，不得仅将招标文件内容简单复制粘贴作为投标响应，还应当提供相关证明材料，</w:t>
      </w:r>
      <w:r>
        <w:rPr>
          <w:rFonts w:hint="eastAsia" w:ascii="宋体" w:hAnsi="宋体" w:cs="宋体"/>
          <w:b/>
          <w:bCs/>
          <w:color w:val="auto"/>
          <w:szCs w:val="21"/>
          <w:highlight w:val="none"/>
        </w:rPr>
        <w:t>否则将作无效响应处理</w:t>
      </w:r>
      <w:r>
        <w:rPr>
          <w:rFonts w:hint="eastAsia" w:ascii="宋体" w:hAnsi="宋体" w:cs="宋体"/>
          <w:color w:val="auto"/>
          <w:szCs w:val="21"/>
          <w:highlight w:val="none"/>
        </w:rPr>
        <w:t>（定制采购不适用本条款）。</w:t>
      </w:r>
      <w:r>
        <w:rPr>
          <w:rFonts w:hint="eastAsia" w:ascii="宋体" w:hAnsi="宋体" w:cs="宋体"/>
          <w:color w:val="auto"/>
          <w:highlight w:val="none"/>
        </w:rPr>
        <w:t>对于重要技术条款或技术参数应当在投标文件中提供技术支持资料，技术支持资料以招标文件中规定的形式为准，</w:t>
      </w:r>
      <w:r>
        <w:rPr>
          <w:rFonts w:hint="eastAsia" w:ascii="宋体" w:hAnsi="宋体" w:cs="宋体"/>
          <w:b/>
          <w:bCs/>
          <w:color w:val="auto"/>
          <w:highlight w:val="none"/>
        </w:rPr>
        <w:t>否则将视为无效技术支持资料</w:t>
      </w:r>
      <w:r>
        <w:rPr>
          <w:rFonts w:hint="eastAsia" w:ascii="宋体" w:hAnsi="宋体" w:cs="宋体"/>
          <w:color w:val="auto"/>
          <w:highlight w:val="none"/>
        </w:rPr>
        <w:t>。</w:t>
      </w:r>
    </w:p>
    <w:p w14:paraId="1EED4406">
      <w:pPr>
        <w:spacing w:line="384" w:lineRule="auto"/>
        <w:ind w:firstLine="424" w:firstLineChars="202"/>
        <w:jc w:val="left"/>
        <w:rPr>
          <w:rFonts w:ascii="宋体" w:hAnsi="宋体" w:cs="宋体"/>
          <w:color w:val="auto"/>
          <w:highlight w:val="none"/>
        </w:rPr>
      </w:pPr>
      <w:r>
        <w:rPr>
          <w:rFonts w:hint="eastAsia" w:ascii="宋体" w:hAnsi="宋体" w:cs="宋体"/>
          <w:color w:val="auto"/>
          <w:szCs w:val="21"/>
          <w:highlight w:val="none"/>
        </w:rPr>
        <w:t>7.</w:t>
      </w:r>
      <w:r>
        <w:rPr>
          <w:rFonts w:hint="eastAsia" w:ascii="宋体" w:hAnsi="宋体" w:cs="宋体"/>
          <w:color w:val="auto"/>
          <w:highlight w:val="none"/>
        </w:rPr>
        <w:t>投标人必须自行为其投标产品侵犯他人的知识产权或者专利成果的行为承担相应法律责任。</w:t>
      </w:r>
    </w:p>
    <w:p w14:paraId="0F576257">
      <w:pPr>
        <w:spacing w:line="384" w:lineRule="auto"/>
        <w:ind w:firstLine="426" w:firstLineChars="202"/>
        <w:jc w:val="left"/>
        <w:rPr>
          <w:rFonts w:ascii="宋体" w:hAnsi="宋体" w:cs="宋体"/>
          <w:b/>
          <w:bCs/>
          <w:color w:val="auto"/>
          <w:szCs w:val="21"/>
          <w:highlight w:val="none"/>
        </w:rPr>
      </w:pPr>
      <w:r>
        <w:rPr>
          <w:rFonts w:hint="eastAsia" w:ascii="宋体" w:hAnsi="宋体" w:cs="宋体"/>
          <w:b/>
          <w:bCs/>
          <w:color w:val="auto"/>
          <w:szCs w:val="21"/>
          <w:highlight w:val="none"/>
        </w:rPr>
        <w:t>8.本项目所属行业：</w:t>
      </w:r>
      <w:r>
        <w:rPr>
          <w:rFonts w:hint="eastAsia" w:ascii="宋体" w:hAnsi="宋体"/>
          <w:b/>
          <w:bCs/>
          <w:color w:val="auto"/>
          <w:szCs w:val="21"/>
          <w:highlight w:val="none"/>
        </w:rPr>
        <w:t>批发业</w:t>
      </w:r>
      <w:r>
        <w:rPr>
          <w:rFonts w:hint="eastAsia" w:ascii="宋体" w:hAnsi="宋体" w:cs="宋体"/>
          <w:b/>
          <w:bCs/>
          <w:color w:val="auto"/>
          <w:szCs w:val="21"/>
          <w:highlight w:val="none"/>
        </w:rPr>
        <w:t>。</w:t>
      </w:r>
    </w:p>
    <w:p w14:paraId="26645403">
      <w:pPr>
        <w:spacing w:line="384" w:lineRule="auto"/>
        <w:ind w:firstLine="426" w:firstLineChars="202"/>
        <w:jc w:val="left"/>
        <w:rPr>
          <w:rFonts w:ascii="宋体" w:hAnsi="宋体"/>
          <w:b/>
          <w:color w:val="auto"/>
          <w:szCs w:val="21"/>
          <w:highlight w:val="none"/>
          <w:u w:val="single"/>
        </w:rPr>
      </w:pPr>
      <w:r>
        <w:rPr>
          <w:rFonts w:hint="eastAsia" w:ascii="宋体" w:hAnsi="宋体"/>
          <w:b/>
          <w:color w:val="auto"/>
          <w:szCs w:val="21"/>
          <w:highlight w:val="none"/>
          <w:u w:val="single"/>
        </w:rPr>
        <w:t>9.投标人可选择一个或多个分标参与投标，但只能成为一个分标的中标人。由评标委员会根据各分标各投标人综合得分进行排名，并按标项一 →标项二→标项三→标项四的顺序确定标项一至标项四各标项中标候选人。按规定的顺序成为第一中标候选人的投标人不再推荐为其余分标的中标候选人。</w:t>
      </w:r>
    </w:p>
    <w:bookmarkEnd w:id="43"/>
    <w:bookmarkEnd w:id="44"/>
    <w:bookmarkEnd w:id="45"/>
    <w:tbl>
      <w:tblPr>
        <w:tblStyle w:val="50"/>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2"/>
        <w:gridCol w:w="1301"/>
        <w:gridCol w:w="948"/>
        <w:gridCol w:w="5909"/>
      </w:tblGrid>
      <w:tr w14:paraId="474B7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9350" w:type="dxa"/>
            <w:gridSpan w:val="4"/>
            <w:vAlign w:val="center"/>
          </w:tcPr>
          <w:p w14:paraId="71F7B79A">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b/>
                <w:bCs/>
                <w:color w:val="auto"/>
                <w:sz w:val="32"/>
                <w:szCs w:val="32"/>
                <w:highlight w:val="none"/>
              </w:rPr>
              <w:t>标项一</w:t>
            </w:r>
          </w:p>
        </w:tc>
      </w:tr>
      <w:tr w14:paraId="59081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1192" w:type="dxa"/>
            <w:vAlign w:val="center"/>
          </w:tcPr>
          <w:p w14:paraId="35417EB3">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301" w:type="dxa"/>
            <w:vAlign w:val="center"/>
          </w:tcPr>
          <w:p w14:paraId="2CA65BB7">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948" w:type="dxa"/>
            <w:vAlign w:val="center"/>
          </w:tcPr>
          <w:p w14:paraId="05194849">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5909" w:type="dxa"/>
            <w:vAlign w:val="center"/>
          </w:tcPr>
          <w:p w14:paraId="35F6D2F7">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技术要求及需求</w:t>
            </w:r>
          </w:p>
        </w:tc>
      </w:tr>
      <w:tr w14:paraId="1E008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3" w:hRule="atLeast"/>
          <w:jc w:val="center"/>
        </w:trPr>
        <w:tc>
          <w:tcPr>
            <w:tcW w:w="1192" w:type="dxa"/>
            <w:vAlign w:val="center"/>
          </w:tcPr>
          <w:p w14:paraId="270B72EC">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301" w:type="dxa"/>
            <w:vAlign w:val="center"/>
          </w:tcPr>
          <w:p w14:paraId="7D44926F">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中文纸质图书、教材采购加工服务（一）</w:t>
            </w:r>
          </w:p>
        </w:tc>
        <w:tc>
          <w:tcPr>
            <w:tcW w:w="948" w:type="dxa"/>
            <w:vAlign w:val="center"/>
          </w:tcPr>
          <w:p w14:paraId="4AB2B033">
            <w:pPr>
              <w:spacing w:line="360" w:lineRule="exact"/>
              <w:jc w:val="center"/>
              <w:rPr>
                <w:rFonts w:ascii="宋体" w:hAnsi="宋体"/>
                <w:color w:val="auto"/>
                <w:szCs w:val="21"/>
                <w:highlight w:val="none"/>
              </w:rPr>
            </w:pPr>
            <w:r>
              <w:rPr>
                <w:rFonts w:hint="eastAsia" w:ascii="宋体" w:hAnsi="宋体"/>
                <w:color w:val="auto"/>
                <w:szCs w:val="21"/>
                <w:highlight w:val="none"/>
              </w:rPr>
              <w:t>1批</w:t>
            </w:r>
          </w:p>
        </w:tc>
        <w:tc>
          <w:tcPr>
            <w:tcW w:w="5909" w:type="dxa"/>
            <w:vAlign w:val="center"/>
          </w:tcPr>
          <w:p w14:paraId="441E6261">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一、图书要求</w:t>
            </w:r>
          </w:p>
          <w:p w14:paraId="5CB0F283">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1.图书符合南宁师范大学专业及学科设置，在层次类别上以本科教学及研究生教学、博硕点建设为主，兼顾一般性读物。每种图书的复本量一般为1-4册。</w:t>
            </w:r>
          </w:p>
          <w:p w14:paraId="0B546C2D">
            <w:pPr>
              <w:spacing w:line="360" w:lineRule="exact"/>
              <w:ind w:firstLine="420" w:firstLineChars="200"/>
              <w:rPr>
                <w:color w:val="auto"/>
                <w:highlight w:val="none"/>
              </w:rPr>
            </w:pPr>
            <w:r>
              <w:rPr>
                <w:rFonts w:hint="eastAsia" w:ascii="宋体" w:hAnsi="宋体" w:cs="宋体"/>
                <w:color w:val="auto"/>
                <w:kern w:val="0"/>
                <w:szCs w:val="21"/>
                <w:highlight w:val="none"/>
              </w:rPr>
              <w:t>▲2.中标供应商须每年（注意：共两年）提供不少于2万实洋，不超过6万实洋的现行中小学教材。结算实洋价＝图书码洋价×中标折扣率。</w:t>
            </w:r>
          </w:p>
          <w:p w14:paraId="40C6B2FE">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   3.提供三目书目（《社科新书目》《科技新书目》《全国新书目》）、出版社自编书目、中标供应商专题书目等。</w:t>
            </w:r>
          </w:p>
          <w:p w14:paraId="21CDA067">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二、具体工作要求</w:t>
            </w:r>
          </w:p>
          <w:p w14:paraId="688F58FF">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1.服务要求</w:t>
            </w:r>
          </w:p>
          <w:p w14:paraId="5E5616B6">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▲1.1中标供应商确保提供采购人的订购书目是正版图书。盗版图书一经发现，除假一赔十外，并按政府采购合同条款相关规定处罚，直至双方解除合同。</w:t>
            </w:r>
          </w:p>
          <w:p w14:paraId="27B2296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1.2中标供应商提供规范、详实、准确的新书征订书目数据。要求每月至少更新2次，每次2000条左右，文理分类，每1000条左右一个数据包，科技专业图书品种数量不少于25％，年提供采访书目数据总量不少于8万条，数据来源要求100%覆盖核心出版社（见附表一：核心出版社目录）、全国500家以上出版社及当年三目新书数据。提供有利于采购人提高图书采访及馆藏质量的个性化服务，如专题书目等。及时提供全国性书展、书市的采访数据。书目采访数据包括正题名、著者（译者、编者等）、ISBN号、版别（本）、出版地、出版者、出版时间、价格、类号、页码、开本、装帧、内容提要等字段项目。影印版图书除提供以上字段外，还提供英文书名、著者英文姓名。其数据完全符合采购人图书集成管理系统（汇文系统，下同）的格式及运行要求，提供的所有数据都能在图书集成管理系统中无障碍使用。上述所产生的一切费用，都包含在本项目报价中。中标供应商不论何种原因故意隐藏图书出版信息或不提供可获得的图书，如采购人直接从出版社获得相应的图书出版信息的，中标供应商向采购人赔付图书价格五倍的书款，同时采购人有权终止与中标供应商签订的供货合同。</w:t>
            </w:r>
          </w:p>
          <w:p w14:paraId="78EBDDE3">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▲1.3重点图书需求。满足采购人采购师范专业认证图书和</w:t>
            </w:r>
            <w:r>
              <w:rPr>
                <w:rFonts w:hint="eastAsia" w:ascii="宋体" w:hAnsi="宋体"/>
                <w:color w:val="auto"/>
                <w:szCs w:val="21"/>
                <w:highlight w:val="none"/>
              </w:rPr>
              <w:t>博士点申报建设图书</w:t>
            </w:r>
            <w:r>
              <w:rPr>
                <w:rFonts w:hint="eastAsia" w:ascii="宋体" w:hAnsi="宋体" w:cs="宋体"/>
                <w:color w:val="auto"/>
                <w:kern w:val="0"/>
                <w:szCs w:val="21"/>
                <w:highlight w:val="none"/>
              </w:rPr>
              <w:t>需求，师范认证图书包括学前教育、初等教育、中等教育、特殊教育的全科目课程标准、教学参考书、教学辅导书等教育类图书书目。</w:t>
            </w:r>
            <w:r>
              <w:rPr>
                <w:rFonts w:hint="eastAsia" w:ascii="宋体" w:hAnsi="宋体"/>
                <w:color w:val="auto"/>
                <w:szCs w:val="21"/>
                <w:highlight w:val="none"/>
              </w:rPr>
              <w:t>博士点申报建设图书包括数学、地理、马克思主义、信息与通信工程、计算机技术、汉语言文学等专业</w:t>
            </w:r>
            <w:r>
              <w:rPr>
                <w:rFonts w:cs="宋体"/>
                <w:color w:val="auto"/>
                <w:szCs w:val="21"/>
                <w:highlight w:val="none"/>
              </w:rPr>
              <w:t>图书书目</w:t>
            </w:r>
            <w:r>
              <w:rPr>
                <w:rFonts w:hint="eastAsia" w:cs="宋体"/>
                <w:color w:val="auto"/>
                <w:szCs w:val="21"/>
                <w:highlight w:val="none"/>
              </w:rPr>
              <w:t>。</w:t>
            </w:r>
          </w:p>
          <w:p w14:paraId="0BAC3C83">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1.4以下的图书不包含在本次采购范围中：散页、开本尺寸小于18CM，活页，乐谱，袋装书，试卷集、挂图、配磁带书、少于40页以下图书；纯光盘；不符合办学层次要求的图书，如高职高专、成教、自考等图书；无文字仅插图、类似记事本图书；少数民族文字图书。若发现采购人书目订单内包含上述范围内图书，中标供应商须及时告知采购人，由采购人确认。影印版图书也须由采购人确认。</w:t>
            </w:r>
          </w:p>
          <w:p w14:paraId="699A288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1.5订单处理方式。中标供应商收到采购人发送书目订单（MARC格式或EXCEL格式）后的3个工作日内，反馈给采购人进行订单确认。</w:t>
            </w:r>
          </w:p>
          <w:p w14:paraId="5A12CDEA">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1.6中标供应商保证按采购人订购的图书品种、数量及时供货，期货图书下达订单后两个月内到书率不低于85%，全年到书率达92%以上；现货图书下达订单后一个月内到书率不低于90%，两个月到书率达95%以上（能够提供出版社证明的不计入未到图书）。中标供应商主动提供未到书清单，说明原因，尽快设法补订未到图书。两月内如中标供应商订单总数到书率低于85%（未出版图书、绝版书不计在内），采购人可视其为不具备供货能力，并可单方面提出终止供货合同，取消未到货订单。中标供应商提供保证到书率的措施；为尽可能消除因中标供应商不能按合同规定要求供货所造成的影响，采购人有权采取相应的补救措施（如向其他中标供应商补订），由此给采购人造成的各项损失或增加的各项费用（如折让损失、邮费、数据费、加工费）等均由违约的中标供应商承担，从图书结算款中扣除。由于出版社原因造成图书不能按时交书的，及时告知采购人。</w:t>
            </w:r>
          </w:p>
          <w:p w14:paraId="1E726D4A">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所有图书订购的品种、复本均由采购人决定。中标供应商须严格按照采购人报送的订单及订数配送图书，不得自行搭配。如验收发现与订单不符（包括重发），中标供应商须无条件接受退货，由此造成的全部损失由中标供应商负责。</w:t>
            </w:r>
          </w:p>
          <w:p w14:paraId="26D77D36">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▲1.8实际到书与书目订单有变化的，如ISBN号、书名、著者、价格等，中标供应商须列表通知采购人。修改有关订单数据，重新确认订购需求。书价（码洋）变更差额大于30%的，采购人有权变更订购数量。</w:t>
            </w:r>
          </w:p>
          <w:p w14:paraId="33EB457A">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▲1.9对采购人加急购买的图书，如当当、京东、亚马逊等网上书店有售，均可以采用网购形式，并及时配送给采购人。结算实洋价＝图书码洋价×中标折扣率。对于</w:t>
            </w:r>
            <w:bookmarkStart w:id="46" w:name="OLE_LINK4"/>
            <w:r>
              <w:rPr>
                <w:rFonts w:hint="eastAsia" w:ascii="宋体" w:hAnsi="宋体" w:cs="宋体"/>
                <w:color w:val="auto"/>
                <w:kern w:val="0"/>
                <w:szCs w:val="21"/>
                <w:highlight w:val="none"/>
              </w:rPr>
              <w:t>时效性较强且易过时</w:t>
            </w:r>
            <w:bookmarkEnd w:id="46"/>
            <w:r>
              <w:rPr>
                <w:rFonts w:hint="eastAsia" w:ascii="宋体" w:hAnsi="宋体" w:cs="宋体"/>
                <w:color w:val="auto"/>
                <w:kern w:val="0"/>
                <w:szCs w:val="21"/>
                <w:highlight w:val="none"/>
              </w:rPr>
              <w:t>的图书（如计算机类、考试类等），中标供应商须制定有效的快捷措施，确保及时到书。</w:t>
            </w:r>
          </w:p>
          <w:p w14:paraId="63D53063">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1.10凡不符合采购人采购内容、范围及装帧要求的图书；非采购人订购的图书；存在印刷图文不清、装订错误、污损、缺附件、光盘破损等质量问题的图书；任何国家法规明令禁止出版发行的图书；意识形态问题图书等。无论图书是否加工、验收，采购人有权</w:t>
            </w:r>
            <w:bookmarkStart w:id="47" w:name="OLE_LINK6"/>
            <w:r>
              <w:rPr>
                <w:rFonts w:hint="eastAsia" w:ascii="宋体" w:hAnsi="宋体" w:cs="宋体"/>
                <w:color w:val="auto"/>
                <w:kern w:val="0"/>
                <w:szCs w:val="21"/>
                <w:highlight w:val="none"/>
              </w:rPr>
              <w:t>无条件退货或调换</w:t>
            </w:r>
            <w:bookmarkEnd w:id="47"/>
            <w:r>
              <w:rPr>
                <w:rFonts w:hint="eastAsia" w:ascii="宋体" w:hAnsi="宋体" w:cs="宋体"/>
                <w:color w:val="auto"/>
                <w:kern w:val="0"/>
                <w:szCs w:val="21"/>
                <w:highlight w:val="none"/>
              </w:rPr>
              <w:t>，由此造成的全部损失由中标供应商承担。</w:t>
            </w:r>
          </w:p>
          <w:p w14:paraId="04AE225B">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1.11中标供应商在图书发运前对其进行满足于运输距离、防潮、防霉、防破损装卸要求以及按采购人要求包装，以保证送交到采购人的图书没有任何质量问题。图书安全到达采购人指定地点，现场验收。随书提供与该批图书数量、品种、价格相符的送书清单。转账前根据中标供应商实际验收的图书入库清单提供纸质及电子版图书汇总清单各一份。</w:t>
            </w:r>
          </w:p>
          <w:p w14:paraId="2768AF1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1.12书款与发货单不相符时，采购人及时通知中标供应商核算。本地中标供应商接到通知之日起3个工作日内，外地中标供应商接到通知之日起5个工作日内核对。如不能在此期间确认核算的，以采购人验收的实际数额结算书款。</w:t>
            </w:r>
          </w:p>
          <w:p w14:paraId="7612ABE5">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1.13中标供应商每个月主动提供准确的未到图书清单及未到图书原因说明。</w:t>
            </w:r>
          </w:p>
          <w:p w14:paraId="45597185">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1.14图书经采购人图书集成管理系统典藏之日起一年内为质保期。质保期内，图书流通过程中（非人为因素）发现的质量问题、加工有误、编目数据有误、RFID电子标签或防盗磁条错误等问题，中标供应商须负责及时补书或重新加工图书，一切相关费用由中标供应商承担。</w:t>
            </w:r>
          </w:p>
          <w:p w14:paraId="1364C29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1.15文明施工，做好加工场地的清洁卫生。中标供应商加工完图书后需要清洁电脑、桌子、地板，将垃圾运送至垃圾回收处。</w:t>
            </w:r>
          </w:p>
          <w:p w14:paraId="1B895147">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▲1.16如中标供应商被终止供货资格后，对已完成验收结算的图书仍承担相应的质量责任。</w:t>
            </w:r>
          </w:p>
          <w:p w14:paraId="7DFFDC6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1.17中标供应商有举办线下及线上图书采购会或馆配会的能力。</w:t>
            </w:r>
          </w:p>
          <w:p w14:paraId="1498C8D9">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2.技术要求</w:t>
            </w:r>
          </w:p>
          <w:p w14:paraId="445DDA3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2.1图书采访数据要求</w:t>
            </w:r>
          </w:p>
          <w:p w14:paraId="5F8A32D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中标供应商通过电子网站、电子邮件等方式提供新书征订书目数据和机读预编目数据（数据要求参见《中国机读目录格式使用手册》、《CALIS联机合作编目手册》及附表二：中文图书编目MARC字段要求）给采购人，且数据完全符合采购人的图书集成管理系统的格式及运行需求，在采购人的图书集成管理系统能无障碍使用。</w:t>
            </w:r>
          </w:p>
          <w:p w14:paraId="53CD7CC2">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2.1.2采访数据配送率达100%，其中国家图书馆标准数据占95%以上（影印版图书采用CALIS标准数据）。</w:t>
            </w:r>
          </w:p>
          <w:p w14:paraId="0D37F4B9">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▲2.2采购及反馈要求</w:t>
            </w:r>
          </w:p>
          <w:p w14:paraId="36B4134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2.2.1订单查重：提供本批订单与历史订单查重服务；本批订单互相查重服务。如发现有重，须及时与采购人确认。</w:t>
            </w:r>
          </w:p>
          <w:p w14:paraId="355576B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2.2.2复本量：一般情况下采购人复本量为1—4册，如出现采购量异常，及时与采购人确认。 </w:t>
            </w:r>
          </w:p>
          <w:p w14:paraId="2AB85373">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2.2.3大码洋图书：采购人认定单册码洋超过150元的图书为大码洋图书，一般仅订1册。如订单超过1册，及时与采购人确认。</w:t>
            </w:r>
          </w:p>
          <w:p w14:paraId="7C663E1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2.2.4影印版的书籍一般订1册。如超过1册，及时与采购人确认。</w:t>
            </w:r>
          </w:p>
          <w:p w14:paraId="7969C87B">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2.2.5对订购不到的图书，要及时回告，以便采购人删除书目订单记录。</w:t>
            </w:r>
          </w:p>
          <w:p w14:paraId="6A3D10E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2.3图书分编要求</w:t>
            </w:r>
          </w:p>
          <w:p w14:paraId="43BDDE8F">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2.3.1中标供应商派出服务团队人员中至少包括1名编目人员（编目人员具有CALIS中文三级编目员资格，备证书核查，且接受对采购人的图书集成管理系统操作及编目规则等内容要求的培训后，合同期间原则上不予更换）到采购人指定地点进行数据著录。</w:t>
            </w:r>
          </w:p>
          <w:p w14:paraId="660FE4B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2.3.2中标供应商在送交每一批图书时，随书提供规范的MARC机读编目数据（按《中国图书馆分类法》最新版进行分类标引）。中文图书及附件的 CNMARC数据格式符合《中国机读目录格式使用手册》的著录格式；影印版图书及附件的 USMARC 数据格式符合《西文文献著录条例》和《英美编目规则》的著录格式。每条编目数据的字段著录标准规范，分类标引尽量细化、准确。每一条机读目录数据能准确、全面地揭示图书的内容特征及外形特征。编目数据完全符合采购人的图书集成管理系统的格式及运行要求，能在采购人的图书集成管理系统无障碍使用。编目数据配送率达100%，其中国家图书馆标准数据占95%以上（影印版图书采用CALIS标准数据）（见附表二：中文图书编目MARC字段要求）。所产生的一切费用均包含在本项目总报价中。</w:t>
            </w:r>
          </w:p>
          <w:p w14:paraId="0AC65FB5">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2.3.3依据《中国图书馆分类法》第五版及《南宁师范大学图书馆图书分编细则》对图书进行分类标引。</w:t>
            </w:r>
          </w:p>
          <w:p w14:paraId="775255B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2.3.4中文图书纸质附件的编目加工要求</w:t>
            </w:r>
          </w:p>
          <w:p w14:paraId="2CAEC803">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图书附件如有自己的独立题名，内容较多且独立，总页数超过60页以上，按普通图书分编加工处理，并在所属图书的机读目录数据中的附注项说明其附件的条形码和ISBN号。如果主件和附件的题名不一致时，要求在各自的编目数据的附注项中进行相互链接说明；如果附件的总页数低于60页以下，无需加工，但须与图书主件一起发货送交采购人。</w:t>
            </w:r>
          </w:p>
          <w:p w14:paraId="483BEB0A">
            <w:pPr>
              <w:spacing w:line="360" w:lineRule="exact"/>
              <w:ind w:firstLine="420" w:firstLineChars="200"/>
              <w:rPr>
                <w:rFonts w:ascii="宋体" w:hAnsi="宋体" w:cs="宋体"/>
                <w:color w:val="auto"/>
                <w:kern w:val="0"/>
                <w:szCs w:val="21"/>
                <w:highlight w:val="none"/>
              </w:rPr>
            </w:pPr>
            <w:bookmarkStart w:id="48" w:name="OLE_LINK7"/>
            <w:r>
              <w:rPr>
                <w:rFonts w:hint="eastAsia" w:ascii="宋体" w:hAnsi="宋体" w:cs="宋体"/>
                <w:color w:val="auto"/>
                <w:kern w:val="0"/>
                <w:szCs w:val="21"/>
                <w:highlight w:val="none"/>
              </w:rPr>
              <w:t>▲2.3.5对采购人已有的不少于800种非招标图书（捐赠图书）进行免费分编。</w:t>
            </w:r>
            <w:bookmarkEnd w:id="48"/>
          </w:p>
          <w:p w14:paraId="3DB4B13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2.4图书加工要求</w:t>
            </w:r>
          </w:p>
          <w:p w14:paraId="57FEF82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标供应商根据采购人要求提供盖章、永久性磁条、RFID标签、条码、书标、色标、覆膜、数据转换、馆藏地址修改等图书的全部加工工作，承担全套加工服务及相应耗材。中标供应商至少派出2名图书加工人员到采购人指定地点进行图书加工。</w:t>
            </w:r>
          </w:p>
          <w:p w14:paraId="6B83997B">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2.4.1盖馆藏章。印油为红色，盖2处，一处在书名页（居中，不要挡文字）；另一处在书口中间（居中，字体朝向封面）。</w:t>
            </w:r>
          </w:p>
          <w:p w14:paraId="32A3FA4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2.4.2贴磁条。采用16CM的永久性磁条，粘贴以不易发现为要，粘贴在书本第一页为准后数第10页位置。如临时调整粘贴的具体要求，则另行通知。</w:t>
            </w:r>
          </w:p>
          <w:p w14:paraId="57C5FDC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2.4.3贴条形码。每本书贴4cm×2cm材质为PET纸张，碳带为全树脂打印的同一号条形码2张。1张贴在书名页（天头居中，不要挡文字），另1张贴在最后一页（天头居中，不要挡文字）。同一批书条形码必须连续。所有随书光盘按要求装牛皮纸袋，并在纸袋的左上角粘贴不干胶书标一枚及在光盘下部位置粘贴光盘条形码。</w:t>
            </w:r>
          </w:p>
          <w:p w14:paraId="61A51EF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2.4.4 贴RFID标签。将 RFID 电子标签粘贴在以书本最后一页为准倒数第10页位置。如临时调整粘贴的具体要求，则另行通知。（见附表三：RFID标签）</w:t>
            </w:r>
          </w:p>
          <w:p w14:paraId="16A1F6F9">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2.4.5贴书标。打印书标，加贴书标（贴在书脊的最下端），色标，覆膜，更改馆藏地址，RFID标签数据转换。</w:t>
            </w:r>
          </w:p>
          <w:p w14:paraId="5E8C70F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▲2.4.6将加工完成的图书打包、运送到五个校区（明秀、五合、武鸣、建政、长岗）指定位置定位、上架，全部费用由中标供应商承担。</w:t>
            </w:r>
          </w:p>
          <w:p w14:paraId="4CD7A580">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▲2.4.7中标供应商在运送加工后图书至各校区的过程中须妥善保管图书，确保图书完整无损。如有损坏、遗失等，中标供应商须负责及时补书、重新加工，全部费用由中标供应商承担。</w:t>
            </w:r>
          </w:p>
          <w:p w14:paraId="07F5088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▲2.4.8不按采购人加工要求进行图书加工的，采购人有权要求中标供应商重新加工或更换图书或退书，由此造成的全部损失由中标供应商承担。</w:t>
            </w:r>
          </w:p>
          <w:p w14:paraId="5E55D606">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▲2.4.9中标供应商负责送到采购人指定场地加工图书，采购人保留合同期内调整加工场地权利，调整加工场地时，图书搬迁所产生的费用由中标供应商承担。</w:t>
            </w:r>
          </w:p>
        </w:tc>
      </w:tr>
      <w:tr w14:paraId="6F90A7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0" w:type="dxa"/>
            <w:gridSpan w:val="4"/>
            <w:tcBorders>
              <w:top w:val="single" w:color="auto" w:sz="4" w:space="0"/>
              <w:left w:val="single" w:color="auto" w:sz="4" w:space="0"/>
              <w:bottom w:val="single" w:color="auto" w:sz="4" w:space="0"/>
              <w:right w:val="single" w:color="auto" w:sz="4" w:space="0"/>
            </w:tcBorders>
          </w:tcPr>
          <w:p w14:paraId="14FAAB77">
            <w:pPr>
              <w:spacing w:line="360" w:lineRule="exact"/>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b/>
                <w:color w:val="auto"/>
                <w:szCs w:val="21"/>
                <w:highlight w:val="none"/>
              </w:rPr>
              <w:t>一、商务要求</w:t>
            </w:r>
          </w:p>
        </w:tc>
      </w:tr>
      <w:tr w14:paraId="39EB79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1B7BBC8F">
            <w:pPr>
              <w:spacing w:line="360" w:lineRule="exact"/>
              <w:jc w:val="center"/>
              <w:rPr>
                <w:rFonts w:ascii="宋体" w:hAnsi="宋体"/>
                <w:color w:val="auto"/>
                <w:szCs w:val="21"/>
                <w:highlight w:val="none"/>
              </w:rPr>
            </w:pPr>
            <w:r>
              <w:rPr>
                <w:rFonts w:hint="eastAsia" w:ascii="宋体" w:hAnsi="宋体"/>
                <w:color w:val="auto"/>
                <w:szCs w:val="21"/>
                <w:highlight w:val="none"/>
              </w:rPr>
              <w:t>合同签订期</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74FD712B">
            <w:pPr>
              <w:spacing w:line="360" w:lineRule="exact"/>
              <w:rPr>
                <w:rFonts w:ascii="宋体" w:hAnsi="宋体"/>
                <w:color w:val="auto"/>
                <w:szCs w:val="21"/>
                <w:highlight w:val="none"/>
              </w:rPr>
            </w:pPr>
            <w:r>
              <w:rPr>
                <w:rFonts w:hint="eastAsia" w:ascii="宋体" w:hAnsi="宋体"/>
                <w:color w:val="auto"/>
                <w:szCs w:val="21"/>
                <w:highlight w:val="none"/>
              </w:rPr>
              <w:t>中标供应商在收到中标通知书25个日历日内与采购人完成合同签订。</w:t>
            </w:r>
          </w:p>
        </w:tc>
      </w:tr>
      <w:tr w14:paraId="4129C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19AC9EFE">
            <w:pPr>
              <w:spacing w:line="360" w:lineRule="exact"/>
              <w:jc w:val="center"/>
              <w:rPr>
                <w:rFonts w:ascii="宋体" w:hAnsi="宋体"/>
                <w:color w:val="auto"/>
                <w:szCs w:val="21"/>
                <w:highlight w:val="none"/>
              </w:rPr>
            </w:pPr>
            <w:r>
              <w:rPr>
                <w:rFonts w:hint="eastAsia" w:ascii="宋体" w:hAnsi="宋体"/>
                <w:color w:val="auto"/>
                <w:szCs w:val="21"/>
                <w:highlight w:val="none"/>
              </w:rPr>
              <w:t>服务期及地点</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0E5C30DF">
            <w:pPr>
              <w:numPr>
                <w:ilvl w:val="0"/>
                <w:numId w:val="3"/>
              </w:numPr>
              <w:spacing w:line="360" w:lineRule="exact"/>
              <w:rPr>
                <w:rFonts w:ascii="宋体" w:hAnsi="宋体"/>
                <w:color w:val="auto"/>
                <w:szCs w:val="21"/>
                <w:highlight w:val="none"/>
              </w:rPr>
            </w:pPr>
            <w:r>
              <w:rPr>
                <w:rFonts w:hint="eastAsia" w:ascii="宋体" w:hAnsi="宋体"/>
                <w:color w:val="auto"/>
                <w:szCs w:val="21"/>
                <w:highlight w:val="none"/>
              </w:rPr>
              <w:t>服务期：自签订合同之日起至2027年12 月31日止。</w:t>
            </w:r>
          </w:p>
          <w:p w14:paraId="01CB9024">
            <w:pPr>
              <w:numPr>
                <w:ilvl w:val="0"/>
                <w:numId w:val="3"/>
              </w:numPr>
              <w:spacing w:line="360" w:lineRule="exact"/>
              <w:rPr>
                <w:rFonts w:ascii="宋体" w:hAnsi="宋体"/>
                <w:color w:val="auto"/>
                <w:szCs w:val="21"/>
                <w:highlight w:val="none"/>
              </w:rPr>
            </w:pPr>
            <w:r>
              <w:rPr>
                <w:rFonts w:hint="eastAsia" w:ascii="宋体" w:hAnsi="宋体"/>
                <w:color w:val="auto"/>
                <w:szCs w:val="21"/>
                <w:highlight w:val="none"/>
              </w:rPr>
              <w:t>合同履约期：自签订合同之日起至2026年11月10日前执行合同总金额的67%，至2027年10月31日前完成全部合同金额。</w:t>
            </w:r>
          </w:p>
          <w:p w14:paraId="7965603C">
            <w:pPr>
              <w:spacing w:line="360" w:lineRule="exact"/>
              <w:rPr>
                <w:rFonts w:ascii="宋体" w:hAnsi="宋体"/>
                <w:color w:val="auto"/>
                <w:szCs w:val="21"/>
                <w:highlight w:val="none"/>
              </w:rPr>
            </w:pPr>
            <w:r>
              <w:rPr>
                <w:rFonts w:hint="eastAsia" w:ascii="宋体" w:hAnsi="宋体"/>
                <w:color w:val="auto"/>
                <w:szCs w:val="21"/>
                <w:highlight w:val="none"/>
              </w:rPr>
              <w:t>3.服务地点：广西南宁市采购人指定地点。</w:t>
            </w:r>
          </w:p>
        </w:tc>
      </w:tr>
      <w:tr w14:paraId="7A569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7C0EA781">
            <w:pPr>
              <w:spacing w:line="360" w:lineRule="exact"/>
              <w:jc w:val="center"/>
              <w:rPr>
                <w:rFonts w:ascii="宋体" w:hAnsi="宋体"/>
                <w:color w:val="auto"/>
                <w:szCs w:val="21"/>
                <w:highlight w:val="none"/>
              </w:rPr>
            </w:pPr>
            <w:r>
              <w:rPr>
                <w:rFonts w:hint="eastAsia" w:ascii="宋体" w:hAnsi="宋体"/>
                <w:color w:val="auto"/>
                <w:szCs w:val="21"/>
                <w:highlight w:val="none"/>
              </w:rPr>
              <w:t>质</w:t>
            </w:r>
            <w:r>
              <w:rPr>
                <w:rFonts w:ascii="宋体" w:hAnsi="宋体"/>
                <w:color w:val="auto"/>
                <w:szCs w:val="21"/>
                <w:highlight w:val="none"/>
              </w:rPr>
              <w:t>保期</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593CE82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1.按国家有关产品“三包”规定执行“三包”，若</w:t>
            </w:r>
            <w:r>
              <w:rPr>
                <w:rFonts w:ascii="宋体" w:hAnsi="宋体"/>
                <w:color w:val="auto"/>
                <w:szCs w:val="21"/>
                <w:highlight w:val="none"/>
              </w:rPr>
              <w:t>中标供应商承诺质保期优于国家</w:t>
            </w:r>
            <w:r>
              <w:rPr>
                <w:rFonts w:hint="eastAsia" w:ascii="宋体" w:hAnsi="宋体"/>
                <w:color w:val="auto"/>
                <w:szCs w:val="21"/>
                <w:highlight w:val="none"/>
              </w:rPr>
              <w:t>“三包”规定或</w:t>
            </w:r>
            <w:r>
              <w:rPr>
                <w:rFonts w:ascii="宋体" w:hAnsi="宋体"/>
                <w:color w:val="auto"/>
                <w:szCs w:val="21"/>
                <w:highlight w:val="none"/>
              </w:rPr>
              <w:t>优于招标文件规定的</w:t>
            </w:r>
            <w:r>
              <w:rPr>
                <w:rFonts w:hint="eastAsia" w:ascii="宋体" w:hAnsi="宋体"/>
                <w:color w:val="auto"/>
                <w:szCs w:val="21"/>
                <w:highlight w:val="none"/>
              </w:rPr>
              <w:t>，合同</w:t>
            </w:r>
            <w:r>
              <w:rPr>
                <w:rFonts w:ascii="宋体" w:hAnsi="宋体"/>
                <w:color w:val="auto"/>
                <w:szCs w:val="21"/>
                <w:highlight w:val="none"/>
              </w:rPr>
              <w:t>履行时按中标供应商承诺执行</w:t>
            </w:r>
            <w:r>
              <w:rPr>
                <w:rFonts w:hint="eastAsia" w:ascii="宋体" w:hAnsi="宋体"/>
                <w:color w:val="auto"/>
                <w:szCs w:val="21"/>
                <w:highlight w:val="none"/>
              </w:rPr>
              <w:t>。</w:t>
            </w:r>
          </w:p>
          <w:p w14:paraId="10A3671B">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.本项目图书质保期为经采购人</w:t>
            </w:r>
            <w:r>
              <w:rPr>
                <w:rFonts w:hint="eastAsia" w:ascii="宋体" w:hAnsi="宋体" w:cs="宋体"/>
                <w:color w:val="auto"/>
                <w:kern w:val="0"/>
                <w:szCs w:val="21"/>
                <w:highlight w:val="none"/>
              </w:rPr>
              <w:t>图书集成管理系统</w:t>
            </w:r>
            <w:r>
              <w:rPr>
                <w:rFonts w:hint="eastAsia" w:ascii="宋体" w:hAnsi="宋体"/>
                <w:color w:val="auto"/>
                <w:szCs w:val="21"/>
                <w:highlight w:val="none"/>
              </w:rPr>
              <w:t>典藏之日起一年之内。</w:t>
            </w:r>
          </w:p>
          <w:p w14:paraId="67B73419">
            <w:pPr>
              <w:spacing w:line="36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质</w:t>
            </w:r>
            <w:r>
              <w:rPr>
                <w:rFonts w:ascii="宋体" w:hAnsi="宋体"/>
                <w:color w:val="auto"/>
                <w:szCs w:val="21"/>
                <w:highlight w:val="none"/>
              </w:rPr>
              <w:t>保期</w:t>
            </w:r>
            <w:r>
              <w:rPr>
                <w:rFonts w:hint="eastAsia" w:ascii="宋体" w:hAnsi="宋体"/>
                <w:color w:val="auto"/>
                <w:szCs w:val="21"/>
                <w:highlight w:val="none"/>
              </w:rPr>
              <w:t>内，图书在使用过程中发现有非人为因素所引起的缺页、破损等质量问题图书，要求中标供应商无条件退换。</w:t>
            </w:r>
          </w:p>
        </w:tc>
      </w:tr>
      <w:tr w14:paraId="3C6D2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665BD4DD">
            <w:pPr>
              <w:spacing w:line="360" w:lineRule="exact"/>
              <w:jc w:val="center"/>
              <w:rPr>
                <w:rFonts w:ascii="宋体" w:hAnsi="宋体"/>
                <w:color w:val="auto"/>
                <w:szCs w:val="21"/>
                <w:highlight w:val="none"/>
              </w:rPr>
            </w:pPr>
            <w:r>
              <w:rPr>
                <w:rFonts w:hint="eastAsia" w:ascii="宋体" w:hAnsi="宋体"/>
                <w:color w:val="auto"/>
                <w:szCs w:val="21"/>
                <w:highlight w:val="none"/>
              </w:rPr>
              <w:t>售</w:t>
            </w:r>
            <w:r>
              <w:rPr>
                <w:rFonts w:ascii="宋体" w:hAnsi="宋体"/>
                <w:color w:val="auto"/>
                <w:szCs w:val="21"/>
                <w:highlight w:val="none"/>
              </w:rPr>
              <w:t>后服务要求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6C02219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1.送货上门，按采购人要求包装并运送至指定地点。</w:t>
            </w:r>
          </w:p>
          <w:p w14:paraId="28CF68A3">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2.中标供应商负责处理解决货物出现的质量及安全问题并承担一切费用。</w:t>
            </w:r>
          </w:p>
          <w:p w14:paraId="37EDF37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3.遇质量问题或其他突发情况，中标供应商在接到采购人通知后，需要在2小时内作出响应，12小时内到达现场。</w:t>
            </w:r>
          </w:p>
          <w:p w14:paraId="3EA28D5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4.项目供货过程中产生的残留物或垃圾，需由中标供应商自行清理至垃圾回收处。</w:t>
            </w:r>
          </w:p>
          <w:p w14:paraId="7D157D1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5.质保期过后，中标供应商为采购人提供电话咨询形式的技术援助，解答采购人在使用中标供应商所供应图书中遇到的问题，及时为采购人提出解决问题的建议，并不予收费。</w:t>
            </w:r>
          </w:p>
        </w:tc>
      </w:tr>
      <w:tr w14:paraId="1EBAA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4347A356">
            <w:pPr>
              <w:snapToGrid w:val="0"/>
              <w:spacing w:line="360" w:lineRule="exact"/>
              <w:jc w:val="center"/>
              <w:rPr>
                <w:rFonts w:ascii="宋体" w:hAnsi="宋体" w:cs="宋体"/>
                <w:color w:val="auto"/>
                <w:kern w:val="0"/>
                <w:szCs w:val="21"/>
                <w:highlight w:val="none"/>
              </w:rPr>
            </w:pPr>
            <w:r>
              <w:rPr>
                <w:rFonts w:hint="eastAsia" w:ascii="宋体" w:hAnsi="宋体"/>
                <w:color w:val="auto"/>
                <w:szCs w:val="21"/>
                <w:highlight w:val="none"/>
              </w:rPr>
              <w:t>付款方式</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2E51FF66">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1.本项目中标供应商可分批供货，在项目服务时间内最多可分六批供货。</w:t>
            </w:r>
          </w:p>
          <w:p w14:paraId="1ABFA7C6">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2.中标供应商批次到货后，采购人按照合同进行验收，签署该批次验收单。</w:t>
            </w:r>
          </w:p>
          <w:p w14:paraId="459427DA">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3中标供应商对该批书办理差、错图书的退书手续后，按实际验收合格图书的实洋价合计值（实洋价合计值＝图书码洋价合计值×中标折扣率）结算应付货款，并在该批次验收单上注明退书货款及应付货款。</w:t>
            </w:r>
          </w:p>
          <w:p w14:paraId="5FC9B6A0">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4.双方核对货款金额无误后，中标供应商开具</w:t>
            </w:r>
            <w:r>
              <w:rPr>
                <w:color w:val="auto"/>
                <w:highlight w:val="none"/>
              </w:rPr>
              <w:t>当批供货图书</w:t>
            </w:r>
            <w:r>
              <w:rPr>
                <w:rFonts w:hint="eastAsia"/>
                <w:color w:val="auto"/>
                <w:highlight w:val="none"/>
              </w:rPr>
              <w:t>等</w:t>
            </w:r>
            <w:r>
              <w:rPr>
                <w:color w:val="auto"/>
                <w:highlight w:val="none"/>
              </w:rPr>
              <w:t>额发票</w:t>
            </w:r>
            <w:r>
              <w:rPr>
                <w:rFonts w:hint="eastAsia" w:ascii="宋体" w:hAnsi="宋体"/>
                <w:color w:val="auto"/>
                <w:szCs w:val="21"/>
                <w:highlight w:val="none"/>
              </w:rPr>
              <w:t>并提供</w:t>
            </w:r>
            <w:r>
              <w:rPr>
                <w:rFonts w:hint="eastAsia" w:ascii="宋体" w:hAnsi="宋体" w:cs="宋体"/>
                <w:color w:val="auto"/>
                <w:kern w:val="0"/>
                <w:szCs w:val="21"/>
                <w:highlight w:val="none"/>
              </w:rPr>
              <w:t>纸质及电子版图书汇总清单各一份，</w:t>
            </w:r>
            <w:r>
              <w:rPr>
                <w:rFonts w:hint="eastAsia" w:ascii="宋体" w:hAnsi="宋体"/>
                <w:color w:val="auto"/>
                <w:szCs w:val="21"/>
                <w:highlight w:val="none"/>
              </w:rPr>
              <w:t xml:space="preserve">向采购人提出付款申请；采购人在 </w:t>
            </w:r>
            <w:r>
              <w:rPr>
                <w:rFonts w:ascii="宋体" w:hAnsi="宋体"/>
                <w:color w:val="auto"/>
                <w:szCs w:val="21"/>
                <w:highlight w:val="none"/>
              </w:rPr>
              <w:t>10</w:t>
            </w:r>
            <w:r>
              <w:rPr>
                <w:rFonts w:hint="eastAsia" w:ascii="宋体" w:hAnsi="宋体"/>
                <w:color w:val="auto"/>
                <w:szCs w:val="21"/>
                <w:highlight w:val="none"/>
              </w:rPr>
              <w:t>个工作日内办理好转账业务。</w:t>
            </w:r>
          </w:p>
          <w:p w14:paraId="58700F8F">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票据要求：中标供应商必须按照采购人要求提供真实、有效、合法的正式发票。一旦发现中标供应商提供虚假发票，除须向采购人补开合法发票外，采购人有权终止合同，中标供应商不得提出异议，因终止合同而产生的一切损失均由中标供应商承担。</w:t>
            </w:r>
          </w:p>
          <w:p w14:paraId="5E11CF51">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6.本项目无预付款。</w:t>
            </w:r>
          </w:p>
          <w:p w14:paraId="6C4B459E">
            <w:pPr>
              <w:snapToGrid w:val="0"/>
              <w:spacing w:line="360" w:lineRule="exact"/>
              <w:ind w:firstLine="420" w:firstLineChars="200"/>
              <w:jc w:val="left"/>
              <w:rPr>
                <w:rFonts w:ascii="宋体" w:hAnsi="宋体" w:cs="宋体"/>
                <w:color w:val="auto"/>
                <w:szCs w:val="21"/>
                <w:highlight w:val="none"/>
              </w:rPr>
            </w:pPr>
            <w:r>
              <w:rPr>
                <w:rFonts w:hint="eastAsia" w:ascii="宋体" w:hAnsi="宋体"/>
                <w:color w:val="auto"/>
                <w:szCs w:val="21"/>
                <w:highlight w:val="none"/>
              </w:rPr>
              <w:t>7.本合同使用货币币制如未作特别说明均为人民币。</w:t>
            </w:r>
          </w:p>
        </w:tc>
      </w:tr>
      <w:tr w14:paraId="05CC2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7A9F892D">
            <w:pPr>
              <w:spacing w:line="360" w:lineRule="exact"/>
              <w:jc w:val="center"/>
              <w:rPr>
                <w:rFonts w:ascii="宋体" w:hAnsi="宋体"/>
                <w:color w:val="auto"/>
                <w:szCs w:val="21"/>
                <w:highlight w:val="none"/>
              </w:rPr>
            </w:pPr>
            <w:r>
              <w:rPr>
                <w:rFonts w:hint="eastAsia" w:ascii="宋体" w:hAnsi="宋体"/>
                <w:color w:val="auto"/>
                <w:szCs w:val="21"/>
                <w:highlight w:val="none"/>
              </w:rPr>
              <w:t>报价要求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555E769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折扣率报价：投标供应商根据自身投标总成本【指图书成本及利润、运抵指定交货地点的各种费用（含装卸费）、图书加工服务费及耗材（芯片、条形码、书标、标签、保护膜等材料）、保险费、售后服务、产品质保、税金及其他所有成本费用的总和，以及有形或无形及可预计或不可预计的费用均由供应商负责】的情况，报出本项目图书的投标折扣率，供货周期内，所有图书采购均按实洋价付款，图书出版的标价为码洋价。实洋价合计值＝码洋价合计值×中标折扣率。</w:t>
            </w:r>
          </w:p>
          <w:p w14:paraId="23F8406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2.本分标实洋合计值即本分标采购预算金额，即中标供应商的具体合同实洋金额。</w:t>
            </w:r>
          </w:p>
        </w:tc>
      </w:tr>
      <w:tr w14:paraId="1AE41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02FD9610">
            <w:pPr>
              <w:spacing w:line="360" w:lineRule="exact"/>
              <w:jc w:val="center"/>
              <w:rPr>
                <w:rFonts w:ascii="宋体" w:hAnsi="宋体"/>
                <w:color w:val="auto"/>
                <w:szCs w:val="21"/>
                <w:highlight w:val="none"/>
              </w:rPr>
            </w:pPr>
            <w:r>
              <w:rPr>
                <w:rFonts w:hint="eastAsia" w:ascii="宋体" w:hAnsi="宋体"/>
                <w:color w:val="auto"/>
                <w:szCs w:val="21"/>
                <w:highlight w:val="none"/>
              </w:rPr>
              <w:t>验收要</w:t>
            </w:r>
            <w:r>
              <w:rPr>
                <w:rFonts w:ascii="宋体" w:hAnsi="宋体"/>
                <w:color w:val="auto"/>
                <w:szCs w:val="21"/>
                <w:highlight w:val="none"/>
              </w:rPr>
              <w:t>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55728561">
            <w:pPr>
              <w:spacing w:line="360" w:lineRule="atLeast"/>
              <w:ind w:right="-57" w:rightChars="-27" w:firstLine="420" w:firstLineChars="200"/>
              <w:rPr>
                <w:rFonts w:ascii="宋体" w:hAnsi="宋体"/>
                <w:color w:val="auto"/>
                <w:szCs w:val="21"/>
                <w:highlight w:val="none"/>
              </w:rPr>
            </w:pPr>
            <w:r>
              <w:rPr>
                <w:rFonts w:hint="eastAsia" w:ascii="宋体" w:hAnsi="宋体"/>
                <w:color w:val="auto"/>
                <w:szCs w:val="21"/>
                <w:highlight w:val="none"/>
              </w:rPr>
              <w:t>1.采购人在中华人民共和国境内使用中</w:t>
            </w:r>
            <w:r>
              <w:rPr>
                <w:rFonts w:ascii="宋体" w:hAnsi="宋体"/>
                <w:color w:val="auto"/>
                <w:szCs w:val="21"/>
                <w:highlight w:val="none"/>
              </w:rPr>
              <w:t>标</w:t>
            </w:r>
            <w:r>
              <w:rPr>
                <w:rFonts w:hint="eastAsia" w:ascii="宋体" w:hAnsi="宋体"/>
                <w:color w:val="auto"/>
                <w:szCs w:val="21"/>
                <w:highlight w:val="none"/>
              </w:rPr>
              <w:t>供应商提供的服务（含</w:t>
            </w:r>
            <w:r>
              <w:rPr>
                <w:rFonts w:ascii="宋体" w:hAnsi="宋体"/>
                <w:color w:val="auto"/>
                <w:szCs w:val="21"/>
                <w:highlight w:val="none"/>
              </w:rPr>
              <w:t>所供图书</w:t>
            </w:r>
            <w:r>
              <w:rPr>
                <w:rFonts w:hint="eastAsia" w:ascii="宋体" w:hAnsi="宋体"/>
                <w:color w:val="auto"/>
                <w:szCs w:val="21"/>
                <w:highlight w:val="none"/>
              </w:rPr>
              <w:t>）时免受第三方提出的侵犯其专利权或其它知识产权的起诉。如果第三方提出侵权指控，中标供应商应承担由此而引起的一切法律责任和费用。</w:t>
            </w:r>
          </w:p>
          <w:p w14:paraId="2573C278">
            <w:pPr>
              <w:spacing w:line="360" w:lineRule="atLeast"/>
              <w:ind w:right="-57" w:rightChars="-27"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.采购人将同时按照招标文件以及中</w:t>
            </w:r>
            <w:r>
              <w:rPr>
                <w:rFonts w:ascii="宋体" w:hAnsi="宋体"/>
                <w:color w:val="auto"/>
                <w:szCs w:val="21"/>
                <w:highlight w:val="none"/>
              </w:rPr>
              <w:t>标</w:t>
            </w:r>
            <w:r>
              <w:rPr>
                <w:rFonts w:hint="eastAsia" w:ascii="宋体" w:hAnsi="宋体"/>
                <w:color w:val="auto"/>
                <w:szCs w:val="21"/>
                <w:highlight w:val="none"/>
              </w:rPr>
              <w:t>供应商投标文件承诺的条款进行逐项验收，如项目验收不合格，由中标供应商返工直至合格，有关返工、再行验收，以及给采购单位造成的损失等费用由中标供应商承担。</w:t>
            </w:r>
          </w:p>
          <w:p w14:paraId="64F8331C">
            <w:pPr>
              <w:spacing w:line="360" w:lineRule="atLeast"/>
              <w:ind w:right="-57" w:rightChars="-27"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.中标供应商提供的图书，必须是合法合规的正版图书，如有违反，采购人可无条件退货并解除合同，一切责任及损失由中标供应商自行承担，采购人保留追究其虚假承诺的权利。</w:t>
            </w:r>
          </w:p>
          <w:p w14:paraId="20CD97E2">
            <w:pPr>
              <w:spacing w:line="360" w:lineRule="atLeast"/>
              <w:ind w:right="-57" w:rightChars="-27"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.验收过程中所产生的一切费用均由中标供应商承担，已包含在投标报价中。</w:t>
            </w:r>
          </w:p>
          <w:p w14:paraId="0A48835C">
            <w:pPr>
              <w:spacing w:line="360" w:lineRule="exact"/>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.其他补充事项详见招标文件合同主要条款格式部分。</w:t>
            </w:r>
          </w:p>
        </w:tc>
      </w:tr>
      <w:tr w14:paraId="77063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3AE4CFD7">
            <w:pPr>
              <w:spacing w:line="360" w:lineRule="exact"/>
              <w:rPr>
                <w:rFonts w:ascii="宋体" w:hAnsi="宋体"/>
                <w:color w:val="auto"/>
                <w:szCs w:val="21"/>
                <w:highlight w:val="none"/>
              </w:rPr>
            </w:pPr>
            <w:r>
              <w:rPr>
                <w:rFonts w:hint="eastAsia" w:ascii="宋体" w:hAnsi="宋体"/>
                <w:b/>
                <w:bCs/>
                <w:color w:val="auto"/>
                <w:szCs w:val="21"/>
                <w:highlight w:val="none"/>
              </w:rPr>
              <w:t>二、与实现项目目标相关的其他要求</w:t>
            </w:r>
          </w:p>
        </w:tc>
      </w:tr>
      <w:tr w14:paraId="6C2C9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44A43FB3">
            <w:pPr>
              <w:spacing w:line="360" w:lineRule="exact"/>
              <w:rPr>
                <w:rFonts w:ascii="宋体" w:hAnsi="宋体"/>
                <w:b/>
                <w:color w:val="auto"/>
                <w:szCs w:val="21"/>
                <w:highlight w:val="none"/>
              </w:rPr>
            </w:pPr>
            <w:r>
              <w:rPr>
                <w:rFonts w:hint="eastAsia" w:ascii="宋体" w:hAnsi="宋体"/>
                <w:b/>
                <w:color w:val="auto"/>
                <w:szCs w:val="21"/>
                <w:highlight w:val="none"/>
              </w:rPr>
              <w:t>（一）投标人的履约能力要求</w:t>
            </w:r>
          </w:p>
        </w:tc>
      </w:tr>
      <w:tr w14:paraId="1E4AD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06A8F187">
            <w:pPr>
              <w:spacing w:line="360" w:lineRule="exact"/>
              <w:rPr>
                <w:rFonts w:ascii="宋体" w:hAnsi="宋体"/>
                <w:color w:val="auto"/>
                <w:szCs w:val="21"/>
                <w:highlight w:val="none"/>
              </w:rPr>
            </w:pPr>
            <w:r>
              <w:rPr>
                <w:rFonts w:hint="eastAsia" w:ascii="宋体" w:hAnsi="宋体"/>
                <w:color w:val="auto"/>
                <w:szCs w:val="21"/>
                <w:highlight w:val="none"/>
              </w:rPr>
              <w:t>政策性加分条件</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1A468437">
            <w:pPr>
              <w:spacing w:line="360" w:lineRule="exact"/>
              <w:rPr>
                <w:rFonts w:ascii="宋体" w:hAnsi="宋体"/>
                <w:color w:val="auto"/>
                <w:szCs w:val="21"/>
                <w:highlight w:val="none"/>
              </w:rPr>
            </w:pPr>
            <w:r>
              <w:rPr>
                <w:rFonts w:hint="eastAsia" w:ascii="宋体" w:hAnsi="宋体"/>
                <w:color w:val="auto"/>
                <w:szCs w:val="21"/>
                <w:highlight w:val="none"/>
              </w:rPr>
              <w:t>见本招标文件第四章“评审程序、评审方法和评审标准”。</w:t>
            </w:r>
          </w:p>
        </w:tc>
      </w:tr>
      <w:tr w14:paraId="1B934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397FB49E">
            <w:pPr>
              <w:spacing w:line="360" w:lineRule="exact"/>
              <w:rPr>
                <w:rFonts w:ascii="宋体" w:hAnsi="宋体"/>
                <w:color w:val="auto"/>
                <w:szCs w:val="21"/>
                <w:highlight w:val="none"/>
              </w:rPr>
            </w:pPr>
            <w:r>
              <w:rPr>
                <w:rFonts w:hint="eastAsia" w:ascii="宋体" w:hAnsi="宋体"/>
                <w:color w:val="auto"/>
                <w:szCs w:val="21"/>
                <w:highlight w:val="none"/>
              </w:rPr>
              <w:t>质量管理体系要求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7340E4B7">
            <w:pPr>
              <w:spacing w:line="360" w:lineRule="exact"/>
              <w:rPr>
                <w:rFonts w:ascii="宋体" w:hAnsi="宋体"/>
                <w:color w:val="auto"/>
                <w:szCs w:val="21"/>
                <w:highlight w:val="none"/>
              </w:rPr>
            </w:pPr>
            <w:r>
              <w:rPr>
                <w:rFonts w:hint="eastAsia" w:ascii="宋体" w:hAnsi="宋体"/>
                <w:color w:val="auto"/>
                <w:szCs w:val="21"/>
                <w:highlight w:val="none"/>
              </w:rPr>
              <w:t>如有，请于投标文件中自行提供。</w:t>
            </w:r>
          </w:p>
        </w:tc>
      </w:tr>
      <w:tr w14:paraId="42B71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7B0E4C5A">
            <w:pPr>
              <w:spacing w:line="360" w:lineRule="exact"/>
              <w:rPr>
                <w:rFonts w:ascii="宋体" w:hAnsi="宋体"/>
                <w:color w:val="auto"/>
                <w:szCs w:val="21"/>
                <w:highlight w:val="none"/>
              </w:rPr>
            </w:pPr>
            <w:r>
              <w:rPr>
                <w:rFonts w:hint="eastAsia" w:ascii="宋体" w:hAnsi="宋体"/>
                <w:color w:val="auto"/>
                <w:szCs w:val="21"/>
                <w:highlight w:val="none"/>
              </w:rPr>
              <w:t>业绩要求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6E941A05">
            <w:pPr>
              <w:spacing w:line="360" w:lineRule="exact"/>
              <w:rPr>
                <w:rFonts w:ascii="宋体" w:hAnsi="宋体"/>
                <w:color w:val="auto"/>
                <w:szCs w:val="21"/>
                <w:highlight w:val="none"/>
              </w:rPr>
            </w:pPr>
            <w:r>
              <w:rPr>
                <w:rFonts w:hint="eastAsia" w:ascii="宋体" w:hAnsi="宋体"/>
                <w:color w:val="auto"/>
                <w:szCs w:val="21"/>
                <w:highlight w:val="none"/>
              </w:rPr>
              <w:t>如有，请于投标文件中自行提供。</w:t>
            </w:r>
          </w:p>
        </w:tc>
      </w:tr>
      <w:tr w14:paraId="0E1FCE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063DDBA4">
            <w:pPr>
              <w:tabs>
                <w:tab w:val="left" w:pos="180"/>
                <w:tab w:val="left" w:pos="1620"/>
              </w:tabs>
              <w:spacing w:line="360" w:lineRule="exact"/>
              <w:rPr>
                <w:rFonts w:ascii="宋体" w:hAnsi="宋体" w:cs="宋体"/>
                <w:bCs/>
                <w:color w:val="auto"/>
                <w:szCs w:val="21"/>
                <w:highlight w:val="none"/>
              </w:rPr>
            </w:pPr>
            <w:r>
              <w:rPr>
                <w:rFonts w:hint="eastAsia" w:ascii="宋体" w:hAnsi="宋体"/>
                <w:b/>
                <w:color w:val="auto"/>
                <w:szCs w:val="21"/>
                <w:highlight w:val="none"/>
              </w:rPr>
              <w:t>（二）验收标准</w:t>
            </w:r>
          </w:p>
        </w:tc>
      </w:tr>
      <w:tr w14:paraId="0D4017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754CD54D">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1.以满足采购单位货物要求及服务要求为标准。</w:t>
            </w:r>
          </w:p>
          <w:p w14:paraId="1F9FD47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其他未尽事宜应严格按照《关于印发广西壮族自治区政府采购项目履约验收管理办法的通知》[桂财采〔2015〕22号]以及《财政部关于进一步加强政府采购需求和履约验收管理的指导意见》[财库〔2016〕205号]规定执行。</w:t>
            </w:r>
          </w:p>
          <w:p w14:paraId="51A6F634">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3.服务过程中，涉及实行强制标准认证制度、生产许可证制度、销售或经营许可证制度、注册证制度等，中标供应商均应提供相关有效的证书复印件。</w:t>
            </w:r>
          </w:p>
        </w:tc>
      </w:tr>
      <w:tr w14:paraId="25438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6ECC0E0A">
            <w:pPr>
              <w:spacing w:line="360" w:lineRule="exact"/>
              <w:rPr>
                <w:rFonts w:ascii="宋体" w:hAnsi="宋体"/>
                <w:color w:val="auto"/>
                <w:szCs w:val="21"/>
                <w:highlight w:val="none"/>
              </w:rPr>
            </w:pPr>
            <w:r>
              <w:rPr>
                <w:rFonts w:hint="eastAsia" w:ascii="宋体" w:hAnsi="宋体"/>
                <w:b/>
                <w:color w:val="auto"/>
                <w:szCs w:val="21"/>
                <w:highlight w:val="none"/>
              </w:rPr>
              <w:t>（三）进口产品及核心产品说明</w:t>
            </w:r>
          </w:p>
        </w:tc>
      </w:tr>
      <w:tr w14:paraId="0E572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29AA8904">
            <w:pPr>
              <w:spacing w:line="360" w:lineRule="exact"/>
              <w:ind w:firstLine="435"/>
              <w:rPr>
                <w:rFonts w:ascii="宋体" w:hAnsi="宋体"/>
                <w:color w:val="auto"/>
                <w:szCs w:val="21"/>
                <w:highlight w:val="none"/>
              </w:rPr>
            </w:pPr>
            <w:r>
              <w:rPr>
                <w:rFonts w:hint="eastAsia" w:ascii="宋体" w:hAnsi="宋体"/>
                <w:color w:val="auto"/>
                <w:szCs w:val="21"/>
                <w:highlight w:val="none"/>
              </w:rPr>
              <w:t>本项目为服务类项目，无进</w:t>
            </w:r>
            <w:r>
              <w:rPr>
                <w:rFonts w:ascii="宋体" w:hAnsi="宋体"/>
                <w:color w:val="auto"/>
                <w:szCs w:val="21"/>
                <w:highlight w:val="none"/>
              </w:rPr>
              <w:t>口产品和</w:t>
            </w:r>
            <w:r>
              <w:rPr>
                <w:rFonts w:hint="eastAsia" w:ascii="宋体" w:hAnsi="宋体"/>
                <w:color w:val="auto"/>
                <w:szCs w:val="21"/>
                <w:highlight w:val="none"/>
              </w:rPr>
              <w:t>核心产品。</w:t>
            </w:r>
          </w:p>
        </w:tc>
      </w:tr>
      <w:tr w14:paraId="1FBCA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3F93AF66">
            <w:pPr>
              <w:spacing w:line="360" w:lineRule="exact"/>
              <w:rPr>
                <w:rFonts w:ascii="宋体" w:hAnsi="宋体"/>
                <w:b/>
                <w:color w:val="auto"/>
                <w:szCs w:val="21"/>
                <w:highlight w:val="none"/>
              </w:rPr>
            </w:pPr>
            <w:r>
              <w:rPr>
                <w:rFonts w:hint="eastAsia" w:ascii="宋体" w:hAnsi="宋体"/>
                <w:b/>
                <w:color w:val="auto"/>
                <w:szCs w:val="21"/>
                <w:highlight w:val="none"/>
              </w:rPr>
              <w:t>（四）其他要求</w:t>
            </w:r>
          </w:p>
        </w:tc>
      </w:tr>
      <w:tr w14:paraId="76AC8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235EDD9A">
            <w:pPr>
              <w:spacing w:line="360" w:lineRule="exact"/>
              <w:jc w:val="center"/>
              <w:rPr>
                <w:rFonts w:ascii="宋体" w:hAnsi="宋体"/>
                <w:color w:val="auto"/>
                <w:szCs w:val="21"/>
                <w:highlight w:val="none"/>
              </w:rPr>
            </w:pPr>
            <w:r>
              <w:rPr>
                <w:rFonts w:hint="eastAsia" w:ascii="宋体" w:hAnsi="宋体"/>
                <w:color w:val="auto"/>
                <w:szCs w:val="21"/>
                <w:highlight w:val="none"/>
              </w:rPr>
              <w:t>▲</w:t>
            </w:r>
            <w:r>
              <w:rPr>
                <w:rFonts w:hint="eastAsia" w:ascii="宋体" w:hAnsi="宋体" w:cs="宋体"/>
                <w:b/>
                <w:color w:val="auto"/>
                <w:szCs w:val="21"/>
                <w:highlight w:val="none"/>
                <w:u w:val="single"/>
              </w:rPr>
              <w:t>有效报价范围</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09681E70">
            <w:pPr>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u w:val="single"/>
              </w:rPr>
              <w:t>1</w:t>
            </w:r>
            <w:r>
              <w:rPr>
                <w:rFonts w:ascii="宋体" w:hAnsi="宋体" w:cs="宋体"/>
                <w:b/>
                <w:color w:val="auto"/>
                <w:szCs w:val="21"/>
                <w:highlight w:val="none"/>
                <w:u w:val="single"/>
              </w:rPr>
              <w:t>.</w:t>
            </w:r>
            <w:r>
              <w:rPr>
                <w:rFonts w:hint="eastAsia" w:ascii="宋体" w:hAnsi="宋体" w:cs="宋体"/>
                <w:b/>
                <w:color w:val="auto"/>
                <w:szCs w:val="21"/>
                <w:highlight w:val="none"/>
                <w:u w:val="single"/>
              </w:rPr>
              <w:t>有效报价范围为：0%≤投标</w:t>
            </w:r>
            <w:r>
              <w:rPr>
                <w:rFonts w:ascii="宋体" w:hAnsi="宋体" w:cs="宋体"/>
                <w:b/>
                <w:color w:val="auto"/>
                <w:szCs w:val="21"/>
                <w:highlight w:val="none"/>
                <w:u w:val="single"/>
              </w:rPr>
              <w:t>人</w:t>
            </w:r>
            <w:r>
              <w:rPr>
                <w:rFonts w:hint="eastAsia" w:ascii="宋体" w:hAnsi="宋体" w:cs="宋体"/>
                <w:b/>
                <w:color w:val="auto"/>
                <w:szCs w:val="21"/>
                <w:highlight w:val="none"/>
                <w:u w:val="single"/>
              </w:rPr>
              <w:t>折扣</w:t>
            </w:r>
            <w:r>
              <w:rPr>
                <w:rFonts w:ascii="宋体" w:hAnsi="宋体" w:cs="宋体"/>
                <w:b/>
                <w:color w:val="auto"/>
                <w:szCs w:val="21"/>
                <w:highlight w:val="none"/>
                <w:u w:val="single"/>
              </w:rPr>
              <w:t>率</w:t>
            </w:r>
            <w:r>
              <w:rPr>
                <w:rFonts w:hint="eastAsia" w:ascii="宋体" w:hAnsi="宋体" w:cs="宋体"/>
                <w:b/>
                <w:color w:val="auto"/>
                <w:szCs w:val="21"/>
                <w:highlight w:val="none"/>
                <w:u w:val="single"/>
              </w:rPr>
              <w:t>报价≤80%</w:t>
            </w:r>
            <w:r>
              <w:rPr>
                <w:rFonts w:hint="eastAsia" w:ascii="宋体" w:hAnsi="宋体" w:cs="宋体"/>
                <w:color w:val="auto"/>
                <w:szCs w:val="21"/>
                <w:highlight w:val="none"/>
              </w:rPr>
              <w:t>。</w:t>
            </w:r>
          </w:p>
          <w:p w14:paraId="7A6458B8">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w:t>
            </w:r>
            <w:r>
              <w:rPr>
                <w:rFonts w:hint="eastAsia"/>
                <w:color w:val="auto"/>
                <w:highlight w:val="none"/>
              </w:rPr>
              <w:t>本项目</w:t>
            </w:r>
            <w:r>
              <w:rPr>
                <w:rFonts w:hint="eastAsia" w:ascii="宋体" w:hAnsi="宋体"/>
                <w:color w:val="auto"/>
                <w:szCs w:val="21"/>
                <w:highlight w:val="none"/>
              </w:rPr>
              <w:t>按折扣率进行报价，</w:t>
            </w:r>
            <w:r>
              <w:rPr>
                <w:rFonts w:hint="eastAsia" w:ascii="宋体" w:hAnsi="宋体"/>
                <w:b/>
                <w:color w:val="auto"/>
                <w:szCs w:val="21"/>
                <w:highlight w:val="none"/>
              </w:rPr>
              <w:t>投标人对本项目只能有一个报价，采购人不接受有选择的报价，否则投标无效。</w:t>
            </w:r>
          </w:p>
        </w:tc>
      </w:tr>
      <w:tr w14:paraId="1D319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61" w:hRule="atLeast"/>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53CC83A0">
            <w:pPr>
              <w:spacing w:line="360" w:lineRule="exact"/>
              <w:jc w:val="center"/>
              <w:rPr>
                <w:rFonts w:ascii="宋体" w:hAnsi="宋体"/>
                <w:color w:val="auto"/>
                <w:szCs w:val="21"/>
                <w:highlight w:val="none"/>
              </w:rPr>
            </w:pPr>
            <w:r>
              <w:rPr>
                <w:rFonts w:hint="eastAsia" w:ascii="宋体" w:hAnsi="宋体"/>
                <w:color w:val="auto"/>
                <w:szCs w:val="21"/>
                <w:highlight w:val="none"/>
              </w:rPr>
              <w:t>服务方案及</w:t>
            </w:r>
            <w:r>
              <w:rPr>
                <w:rFonts w:ascii="宋体" w:hAnsi="宋体"/>
                <w:color w:val="auto"/>
                <w:szCs w:val="21"/>
                <w:highlight w:val="none"/>
              </w:rPr>
              <w:t>其他要求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67E27CF2">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投标人根据自身情况，结合项目采购需求及评标办法（见招标文件第四章）提供针对本项目的服务方案（包括但不限于服务措施、图书配送方案、售后服务方案、新书查缺补漏补藏服务、声明有无定期回访、有无其他增值服务、能否实现本地化服务等）及编目质量和加工能力证明。</w:t>
            </w:r>
          </w:p>
          <w:p w14:paraId="76E0385C">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根据项目服务需求投入与项目相适应的服务人员团队（附人员名单），如有并附人员专业技术资格证书或职称证书等材料。</w:t>
            </w:r>
          </w:p>
          <w:p w14:paraId="12DF2992">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如有，请提供相关</w:t>
            </w:r>
            <w:r>
              <w:rPr>
                <w:rFonts w:ascii="宋体" w:hAnsi="宋体"/>
                <w:color w:val="auto"/>
                <w:szCs w:val="21"/>
                <w:highlight w:val="none"/>
              </w:rPr>
              <w:t>能力</w:t>
            </w:r>
            <w:r>
              <w:rPr>
                <w:rFonts w:hint="eastAsia" w:ascii="宋体" w:hAnsi="宋体"/>
                <w:color w:val="auto"/>
                <w:szCs w:val="21"/>
                <w:highlight w:val="none"/>
              </w:rPr>
              <w:t>证明或业绩证明，或相关认证证书、奖项等。</w:t>
            </w:r>
          </w:p>
          <w:p w14:paraId="164A7B2B">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4.其他：</w:t>
            </w:r>
          </w:p>
          <w:p w14:paraId="4263CBC8">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（1）投标人须具有数据服务及加工服务的专业人员。</w:t>
            </w:r>
          </w:p>
          <w:p w14:paraId="098D831D">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（2）投标人须定期发布征订书目等图书信息，向图书馆推荐教学、科研所需的新书。</w:t>
            </w:r>
          </w:p>
          <w:p w14:paraId="14EB9FA4">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（3）投标人图书来源渠道广，图书品种丰富，应能覆盖学校所有学科。</w:t>
            </w:r>
          </w:p>
          <w:p w14:paraId="2E582195">
            <w:pPr>
              <w:widowControl/>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4）投标人所提供的中小学教材必须是符合国家法律规定的正版教材，提供经法定代表人签字确认的正版、合规性承诺函及近三年（2023年起）为高校图书馆提供教材的合作证明（以合同扫描件和加盖图书馆公章的供货情况证明材料为准）。</w:t>
            </w:r>
          </w:p>
          <w:p w14:paraId="060D2427">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（5）投标人具有良好的图书配送服务系统。</w:t>
            </w:r>
          </w:p>
          <w:p w14:paraId="4130A989">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（6）投标人不得以任何形式和理由转包中标项目。</w:t>
            </w:r>
          </w:p>
          <w:p w14:paraId="02E4BD8C">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（7）其他未尽事宜由采购人和中标供应商双方在采购合同中详细约定。</w:t>
            </w:r>
          </w:p>
          <w:p w14:paraId="1C484FFF">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5.项目服务方案由投标人根据自身能力提供方案及承诺，对于以虚假承诺谋取中标的投标人将自行承担后果，其违法行为将报监督管理部门处理。</w:t>
            </w:r>
          </w:p>
        </w:tc>
      </w:tr>
      <w:tr w14:paraId="2BEFE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9350" w:type="dxa"/>
            <w:gridSpan w:val="4"/>
            <w:vAlign w:val="center"/>
          </w:tcPr>
          <w:p w14:paraId="13512B1E">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b/>
                <w:bCs/>
                <w:color w:val="auto"/>
                <w:sz w:val="32"/>
                <w:szCs w:val="32"/>
                <w:highlight w:val="none"/>
              </w:rPr>
              <w:t>标项二</w:t>
            </w:r>
          </w:p>
        </w:tc>
      </w:tr>
      <w:tr w14:paraId="4E72B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1192" w:type="dxa"/>
            <w:vAlign w:val="center"/>
          </w:tcPr>
          <w:p w14:paraId="2D25C02F">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301" w:type="dxa"/>
            <w:vAlign w:val="center"/>
          </w:tcPr>
          <w:p w14:paraId="1C4A890B">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948" w:type="dxa"/>
            <w:vAlign w:val="center"/>
          </w:tcPr>
          <w:p w14:paraId="727826C9">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5909" w:type="dxa"/>
            <w:vAlign w:val="center"/>
          </w:tcPr>
          <w:p w14:paraId="0674EB47">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技术要求及需求</w:t>
            </w:r>
          </w:p>
        </w:tc>
      </w:tr>
      <w:tr w14:paraId="05B4A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1192" w:type="dxa"/>
            <w:vAlign w:val="center"/>
          </w:tcPr>
          <w:p w14:paraId="22290258">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301" w:type="dxa"/>
            <w:vAlign w:val="center"/>
          </w:tcPr>
          <w:p w14:paraId="1A4BAA56">
            <w:pPr>
              <w:widowControl/>
              <w:spacing w:line="360" w:lineRule="exact"/>
              <w:jc w:val="center"/>
              <w:rPr>
                <w:rFonts w:ascii="宋体" w:hAnsi="宋体" w:cs="宋体"/>
                <w:color w:val="auto"/>
                <w:szCs w:val="21"/>
                <w:highlight w:val="none"/>
              </w:rPr>
            </w:pPr>
            <w:r>
              <w:rPr>
                <w:rFonts w:hint="eastAsia" w:ascii="宋体" w:hAnsi="宋体" w:cs="宋体"/>
                <w:color w:val="auto"/>
                <w:kern w:val="0"/>
                <w:szCs w:val="21"/>
                <w:highlight w:val="none"/>
              </w:rPr>
              <w:t>中文纸质图书、教材采购加工服务（二）</w:t>
            </w:r>
          </w:p>
        </w:tc>
        <w:tc>
          <w:tcPr>
            <w:tcW w:w="948" w:type="dxa"/>
            <w:vAlign w:val="center"/>
          </w:tcPr>
          <w:p w14:paraId="63D259D7">
            <w:pPr>
              <w:spacing w:line="360" w:lineRule="exact"/>
              <w:jc w:val="center"/>
              <w:rPr>
                <w:rFonts w:ascii="宋体" w:hAnsi="宋体" w:cs="宋体"/>
                <w:color w:val="auto"/>
                <w:szCs w:val="21"/>
                <w:highlight w:val="none"/>
              </w:rPr>
            </w:pPr>
            <w:r>
              <w:rPr>
                <w:rFonts w:hint="eastAsia" w:ascii="宋体" w:hAnsi="宋体"/>
                <w:color w:val="auto"/>
                <w:szCs w:val="21"/>
                <w:highlight w:val="none"/>
              </w:rPr>
              <w:t>1批</w:t>
            </w:r>
          </w:p>
        </w:tc>
        <w:tc>
          <w:tcPr>
            <w:tcW w:w="5909" w:type="dxa"/>
            <w:vAlign w:val="center"/>
          </w:tcPr>
          <w:p w14:paraId="17CD7A94">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一、图书要求</w:t>
            </w:r>
          </w:p>
          <w:p w14:paraId="40E441B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1.图书符合南宁师范大学专业及学科设置，在层次类别上以本科教学及研究生教学、博硕点建设为主，兼顾一般性读物。每种图书的复本量一般为1-4册。</w:t>
            </w:r>
          </w:p>
          <w:p w14:paraId="0FB96A3D">
            <w:pPr>
              <w:spacing w:line="360" w:lineRule="exact"/>
              <w:ind w:firstLine="420" w:firstLineChars="200"/>
              <w:rPr>
                <w:color w:val="auto"/>
                <w:highlight w:val="none"/>
              </w:rPr>
            </w:pPr>
            <w:r>
              <w:rPr>
                <w:rFonts w:hint="eastAsia" w:ascii="宋体" w:hAnsi="宋体" w:cs="宋体"/>
                <w:color w:val="auto"/>
                <w:kern w:val="0"/>
                <w:szCs w:val="21"/>
                <w:highlight w:val="none"/>
              </w:rPr>
              <w:t>▲2.中标供应商须每年（注意：共两年）提供不少于2万实洋，不超过6万实洋的现行中小学教材。结算实洋价＝图书码洋价×中标折扣率。</w:t>
            </w:r>
          </w:p>
          <w:p w14:paraId="572D6373">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   3.提供三目书目（《社科新书目》《科技新书目》《全国新书目》）、出版社自编书目、中标供应商专题书目等。</w:t>
            </w:r>
          </w:p>
          <w:p w14:paraId="034D22F3">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二、具体工作要求</w:t>
            </w:r>
          </w:p>
          <w:p w14:paraId="41427488">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1.服务要求</w:t>
            </w:r>
          </w:p>
          <w:p w14:paraId="2D7D5E5A">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▲1.1中标供应商确保提供采购人的订购书目是正版图书。盗版图书一经发现，除假一赔十外，并按政府采购合同条款相关规定处罚，直至双方解除合同。</w:t>
            </w:r>
          </w:p>
          <w:p w14:paraId="3D995E1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1.2中标供应商提供规范、详实、准确的新书征订书目数据。要求每月至少更新2次，每次2000条左右，文理分类，每1000条左右一个数据包，科技专业图书品种数量不少于25％，年提供采访书目数据总量不少于8万条，数据来源要求100%覆盖核心出版社（见附表一：核心出版社目录）、全国500家以上出版社及当年三目新书数据。提供有利于采购人提高图书采访及馆藏质量的个性化服务，如专题书目等。及时提供全国性书展、书市的采访数据。书目采访数据包括正题名、著者（译者、编者等）、ISBN号、版别（本）、出版地、出版者、出版时间、价格、类号、页码、开本、装帧、内容提要等字段项目。影印版图书除提供以上字段外，还提供英文书名、著者英文姓名。其数据完全符合采购人图书集成管理系统（汇文系统，下同）的格式及运行要求，提供的所有数据都能在图书集成管理系统中无障碍使用。上述所产生的一切费用，都包含在本项目报价中。中标供应商不论何种原因故意隐藏图书出版信息或不提供可获得的图书，如采购人直接从出版社获得相应的图书出版信息的，中标供应商向采购人赔付图书价格五倍的书款，同时采购人有权终止与中标供应商签订的供货合同。</w:t>
            </w:r>
          </w:p>
          <w:p w14:paraId="3FBC59F3">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▲1.3重点图书需求。满足采购人采购师范专业认证图书和</w:t>
            </w:r>
            <w:r>
              <w:rPr>
                <w:rFonts w:hint="eastAsia" w:ascii="宋体" w:hAnsi="宋体"/>
                <w:color w:val="auto"/>
                <w:szCs w:val="21"/>
                <w:highlight w:val="none"/>
              </w:rPr>
              <w:t>博士点申报建设图书</w:t>
            </w:r>
            <w:r>
              <w:rPr>
                <w:rFonts w:hint="eastAsia" w:ascii="宋体" w:hAnsi="宋体" w:cs="宋体"/>
                <w:color w:val="auto"/>
                <w:kern w:val="0"/>
                <w:szCs w:val="21"/>
                <w:highlight w:val="none"/>
              </w:rPr>
              <w:t>需求，师范认证图书包括学前教育、初等教育、中等教育、特殊教育的全科目课程标准、教学参考书、教学辅导书等教育类图书书目。</w:t>
            </w:r>
            <w:r>
              <w:rPr>
                <w:rFonts w:hint="eastAsia" w:ascii="宋体" w:hAnsi="宋体"/>
                <w:color w:val="auto"/>
                <w:szCs w:val="21"/>
                <w:highlight w:val="none"/>
              </w:rPr>
              <w:t>博士点申报建设图书包括数学、地理、马克思主义、信息与通信工程、计算机技术、汉语言文学等专业</w:t>
            </w:r>
            <w:r>
              <w:rPr>
                <w:rFonts w:cs="宋体"/>
                <w:color w:val="auto"/>
                <w:szCs w:val="21"/>
                <w:highlight w:val="none"/>
              </w:rPr>
              <w:t>图书书目</w:t>
            </w:r>
            <w:r>
              <w:rPr>
                <w:rFonts w:hint="eastAsia" w:cs="宋体"/>
                <w:color w:val="auto"/>
                <w:szCs w:val="21"/>
                <w:highlight w:val="none"/>
              </w:rPr>
              <w:t>。</w:t>
            </w:r>
          </w:p>
          <w:p w14:paraId="37D389D5">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1.4以下的图书不包含在本次采购范围中：散页、开本尺寸小于18CM，活页，乐谱，袋装书，试卷集、挂图、配磁带书、少于40页以下图书；纯光盘；不符合办学层次要求的图书，如高职高专、成教、自考等图书；无文字仅插图、类似记事本图书；少数民族文字图书。若发现采购人书目订单内包含上述范围内图书，中标供应商须及时告知采购人，由采购人确认。影印版图书也须由采购人确认。</w:t>
            </w:r>
          </w:p>
          <w:p w14:paraId="495B7FF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1.5订单处理方式。中标供应商收到采购人发送书目订单（MARC格式或EXCEL格式）后的3个工作日内，反馈给采购人进行订单确认。</w:t>
            </w:r>
          </w:p>
          <w:p w14:paraId="564889BB">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1.6中标供应商保证按采购人订购的图书品种、数量及时供货，期货图书下达订单后两个月内到书率不低于85%，全年到书率达92%以上；现货图书下达订单后一个月内到书率不低于90%，两个月到书率达95%以上（能够提供出版社证明的不计入未到图书）。中标供应商主动提供未到书清单，说明原因，尽快设法补订未到图书。两月内如中标供应商订单总数到书率低于85%（未出版图书、绝版书不计在内），采购人可视其为不具备供货能力，并可单方面提出终止供货合同，取消未到货订单。中标供应商提供保证到书率的措施；为尽可能消除因中标供应商不能按合同规定要求供货所造成的影响，采购人有权采取相应的补救措施（如向其他中标供应商补订），由此给采购人造成的各项损失或增加的各项费用（如折让损失、邮费、数据费、加工费）等均由违约的中标供应商承担，从图书结算款中扣除。由于出版社原因造成图书不能按时交书的，及时告知采购人。</w:t>
            </w:r>
          </w:p>
          <w:p w14:paraId="37D8BFD3">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所有图书订购的品种、复本均由采购人决定。中标供应商须严格按照采购人报送的订单及订数配送图书，不得自行搭配。如验收发现与订单不符（包括重发），中标供应商须无条件接受退货，由此造成的全部损失由中标供应商负责。</w:t>
            </w:r>
          </w:p>
          <w:p w14:paraId="1143C2EB">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▲1.8实际到书与书目订单有变化的，如ISBN号、书名、著者、价格等，中标供应商须列表通知采购人。修改有关订单数据，重新确认订购需求。书价（码洋）变更差额大于30%的，采购人有权变更订购数量。</w:t>
            </w:r>
          </w:p>
          <w:p w14:paraId="6F996CD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对采购人加急购买的图书，如当当、京东、亚马逊等网上书店有售，均可以采用网购形式，并及时配送给采购人。结算实洋价＝图书码洋价×中标折扣率。对于时效性较强且易过时的图书（如计算机类、考试类等），中标供应商须制定有效的快捷措施，确保及时到书。</w:t>
            </w:r>
          </w:p>
          <w:p w14:paraId="6BF23CAA">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1.10凡不符合采购人采购内容、范围及装帧要求的图书；非采购人订购的图书；存在印刷图文不清、装订错误、污损、缺附件、光盘破损等质量问题的图书；任何国家法规明令禁止出版发行的图书；意识形态问题图书等。无论图书是否加工、验收，采购人有权无条件退货或调换，由此造成的全部损失由中标供应商承担。</w:t>
            </w:r>
          </w:p>
          <w:p w14:paraId="470E32A1">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1.11中标供应商在图书发运前对其进行满足于运输距离、防潮、防霉、防破损装卸要求以及按采购人要求包装，以保证送交到采购人的图书没有任何质量问题。图书安全到达采购人指定地点，现场验收。随书提供与该批图书数量、品种、价格相符的送书清单。转账前根据中标供应商实际验收的图书入库清单提供纸质及电子版图书汇总清单各一份。</w:t>
            </w:r>
          </w:p>
          <w:p w14:paraId="06B9217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1.12书款与发货单不相符时，采购人及时通知中标供应商核算。本地中标供应商接到通知之日起3个工作日内，外地中标供应商接到通知之日起5个工作日内核对。如不能在此期间确认核算的，以采购人验收的实际数额结算书款。</w:t>
            </w:r>
          </w:p>
          <w:p w14:paraId="0746411B">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1.13中标供应商每个月主动提供准确的未到图书清单及未到图书原因说明。</w:t>
            </w:r>
          </w:p>
          <w:p w14:paraId="2D3C5EF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1.14图书经采购人图书集成管理系统典藏之日起一年内为质保期。质保期内，图书流通过程中（非人为因素）发现的质量问题、加工有误、编目数据有误、RFID电子标签或防盗磁条错误等问题，中标供应商须负责及时补书或重新加工图书，一切相关费用由中标供应商承担。</w:t>
            </w:r>
          </w:p>
          <w:p w14:paraId="0014A98A">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1.15文明施工，做好加工场地的清洁卫生。中标供应商加工完图书后需要清洁电脑、桌子、地板，将垃圾运送至垃圾回收处。</w:t>
            </w:r>
          </w:p>
          <w:p w14:paraId="33B8CB41">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▲1.16如中标供应商被终止供货资格后，对已完成验收结算的图书仍承担相应的质量责任。</w:t>
            </w:r>
          </w:p>
          <w:p w14:paraId="655B066B">
            <w:pPr>
              <w:spacing w:line="360" w:lineRule="exact"/>
              <w:ind w:firstLine="420" w:firstLineChars="200"/>
              <w:rPr>
                <w:rFonts w:ascii="宋体" w:hAnsi="宋体" w:cs="宋体"/>
                <w:strike/>
                <w:color w:val="auto"/>
                <w:kern w:val="0"/>
                <w:szCs w:val="21"/>
                <w:highlight w:val="none"/>
              </w:rPr>
            </w:pPr>
            <w:r>
              <w:rPr>
                <w:rFonts w:hint="eastAsia" w:ascii="宋体" w:hAnsi="宋体" w:cs="宋体"/>
                <w:color w:val="auto"/>
                <w:kern w:val="0"/>
                <w:szCs w:val="21"/>
                <w:highlight w:val="none"/>
              </w:rPr>
              <w:t>1.17中标供应商有举办线下及线上图书采购会或馆配会的能力。</w:t>
            </w:r>
          </w:p>
          <w:p w14:paraId="050D91AF">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2.技术要求</w:t>
            </w:r>
          </w:p>
          <w:p w14:paraId="749AA90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2.1图书采访数据要求</w:t>
            </w:r>
          </w:p>
          <w:p w14:paraId="6C539C87">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中标供应商通过电子网站、电子邮件等方式提供新书征订书目数据和机读预编目数据（数据要求参见《中国机读目录格式使用手册》、《CALIS联机合作编目手册》及附表二：中文图书编目MARC字段要求）给采购人，且数据完全符合采购人的图书集成管理系统的格式及运行需求，在采购人的图书集成管理系统能无障碍使用。</w:t>
            </w:r>
          </w:p>
          <w:p w14:paraId="5EA8D45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2.1.2采访数据配送率达100%，其中国家图书馆标准数据占95%以上（影印版图书采用CALIS标准数据）。</w:t>
            </w:r>
          </w:p>
          <w:p w14:paraId="0DE7CE3A">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▲2.2采购及反馈要求</w:t>
            </w:r>
          </w:p>
          <w:p w14:paraId="10DF43C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2.2.1订单查重：提供本批订单与历史订单查重服务；本批订单互相查重服务。如发现有重，须及时与采购人确认。</w:t>
            </w:r>
          </w:p>
          <w:p w14:paraId="60376E9F">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2.2.2复本量：一般情况下采购人复本量为1—4册，如出现采购量异常，及时与采购人确认。 </w:t>
            </w:r>
          </w:p>
          <w:p w14:paraId="499BC159">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2.2.3大码洋图书：采购人认定单册码洋超过150元的图书为大码洋图书，一般仅订1册。如订单超过1册，及时与采购人确认。</w:t>
            </w:r>
          </w:p>
          <w:p w14:paraId="77554946">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2.2.4影印版的书籍一般订1册。如超过1册，及时与采购人确认。</w:t>
            </w:r>
          </w:p>
          <w:p w14:paraId="1DE8E962">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2.2.5对订购不到的图书，要及时回告，以便采购人删除书目订单记录。</w:t>
            </w:r>
          </w:p>
          <w:p w14:paraId="0B4E1E42">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2.3图书分编要求</w:t>
            </w:r>
          </w:p>
          <w:p w14:paraId="4EEB92A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2.3.1中标供应商派出服务团队人员中至少包括1名编目人员（编目人员具有CALIS中文三级编目员资格，备证书核查，且接受对采购人的图书集成管理系统操作及编目规则等内容要求的培训后，合同期间原则上不予更换）到采购人指定地点进行数据著录。</w:t>
            </w:r>
          </w:p>
          <w:p w14:paraId="3E661837">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2.3.2中标供应商在送交每一批图书时，随书提供规范的MARC机读编目数据（按《中国图书馆分类法》最新版进行分类标引）。中文图书及附件的 CNMARC数据格式符合《中国机读目录格式使用手册》的著录格式；影印版图书及附件的 USMARC 数据格式符合《西文文献著录条例》和《英美编目规则》的著录格式。每条编目数据的字段著录标准规范，分类标引尽量细化、准确。每一条机读目录数据能准确、全面地揭示图书的内容特征及外形特征。编目数据完全符合采购人的图书集成管理系统的格式及运行要求，能在采购人的图书集成管理系统无障碍使用。编目数据配送率达100%，其中国家图书馆标准数据占95%以上（影印版图书采用CALIS标准数据）（见附表二：中文图书编目MARC字段要求）。所产生的一切费用均包含在本项目总报价中。</w:t>
            </w:r>
          </w:p>
          <w:p w14:paraId="6DBBC002">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2.3.3依据《中国图书馆分类法》第五版及《南宁师范大学图书馆图书分编细则》对图书进行分类标引。</w:t>
            </w:r>
          </w:p>
          <w:p w14:paraId="56C1F83F">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2.3.4中文图书纸质附件的编目加工要求</w:t>
            </w:r>
          </w:p>
          <w:p w14:paraId="6A5D7BE6">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图书附件如有自己的独立题名，内容较多且独立，总页数超过60页以上，按普通图书分编加工处理，并在所属图书的机读目录数据中的附注项说明其附件的条形码和ISBN号。如果主件和附件的题名不一致时，要求在各自的编目数据的附注项中进行相互链接说明；如果附件的总页数低于60页以下，无需加工，但须与图书主件一起发货送交采购人。</w:t>
            </w:r>
          </w:p>
          <w:p w14:paraId="1F671FCA">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▲2.3.5对采购人已有的不少于800种非招标图书（捐赠图书）进行免费分编。</w:t>
            </w:r>
          </w:p>
          <w:p w14:paraId="523B5E2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2.4图书加工要求</w:t>
            </w:r>
          </w:p>
          <w:p w14:paraId="4A98BD5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标供应商根据采购人要求提供盖章、永久性磁条、RFID标签、条码、书标、色标、覆膜、数据转换、馆藏地址修改等图书的全部加工工作，承担全套加工服务及相应耗材。中标供应商至少派出2名图书加工人员到采购人指定地点进行图书加工。</w:t>
            </w:r>
          </w:p>
          <w:p w14:paraId="60A56A8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2.4.1盖馆藏章。印油为红色，盖2处，一处在书名页（居中，不要挡文字）；另一处在书口中间（居中，字体朝向封面）。</w:t>
            </w:r>
          </w:p>
          <w:p w14:paraId="44F4C3C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2.4.2贴磁条。采用16CM的永久性磁条，粘贴以不易发现为要，粘贴在书本第一页为准后数第10页位置。如临时调整粘贴的具体要求，则另行通知。</w:t>
            </w:r>
          </w:p>
          <w:p w14:paraId="7D07004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2.4.3贴条形码。每本书贴4cm×2cm材质为PET纸张，碳带为全树脂打印的同一号条形码2张。1张贴在书名页（天头居中，不要挡文字），另1张贴在最后一页（天头居中，不要挡文字）。同一批书条形码必须连续。所有随书光盘按要求装牛皮纸袋，并在纸袋的左上角粘贴不干胶书标一枚及在光盘下部位置粘贴光盘条形码。</w:t>
            </w:r>
          </w:p>
          <w:p w14:paraId="10A3A2D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2.4.4 贴RFID标签。将 RFID 电子标签粘贴在以书本最后一页为准倒数第10页位置。如临时调整粘贴的具体要求，则另行通知。（见附表三：RFID标签）</w:t>
            </w:r>
          </w:p>
          <w:p w14:paraId="70AA677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2.4.5贴书标。打印书标，加贴书标（贴在书脊的最下端），色标，覆膜，更改馆藏地址，RFID标签数据转换。</w:t>
            </w:r>
          </w:p>
          <w:p w14:paraId="5450593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▲2.4.6将加工完成的图书打包、运送到五个校区（明秀、五合、武鸣、建政、长岗）指定位置定位、上架，全部费用由中标供应商承担。</w:t>
            </w:r>
          </w:p>
          <w:p w14:paraId="297C2957">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▲2.4.7中标供应商在运送加工后图书至各校区的过程中须妥善保管图书，确保图书完整无损。如有损坏、遗失等，中标供应商须负责及时补书、重新加工，全部费用由中标供应商承担。</w:t>
            </w:r>
          </w:p>
          <w:p w14:paraId="1B4AC09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▲2.4.8不按采购人加工要求进行图书加工的，采购人有权要求中标供应商重新加工或更换图书或退书，由此造成的全部损失由中标供应商承担。</w:t>
            </w:r>
          </w:p>
          <w:p w14:paraId="1DCABCAB">
            <w:pPr>
              <w:spacing w:line="36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▲2.4.9中标供应商负责送到采购人指定场地加工图书，采购人保留合同期内调整加工场地权利，调整加工场地时，图书搬迁所产生的费用由中标供应商承担。</w:t>
            </w:r>
          </w:p>
        </w:tc>
      </w:tr>
      <w:tr w14:paraId="3E4F7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0" w:type="dxa"/>
            <w:gridSpan w:val="4"/>
            <w:tcBorders>
              <w:top w:val="single" w:color="auto" w:sz="4" w:space="0"/>
              <w:left w:val="single" w:color="auto" w:sz="4" w:space="0"/>
              <w:bottom w:val="single" w:color="auto" w:sz="4" w:space="0"/>
              <w:right w:val="single" w:color="auto" w:sz="4" w:space="0"/>
            </w:tcBorders>
          </w:tcPr>
          <w:p w14:paraId="7EE55088">
            <w:pPr>
              <w:spacing w:line="360" w:lineRule="exact"/>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b/>
                <w:color w:val="auto"/>
                <w:szCs w:val="21"/>
                <w:highlight w:val="none"/>
              </w:rPr>
              <w:t>一、商务要求</w:t>
            </w:r>
          </w:p>
        </w:tc>
      </w:tr>
      <w:tr w14:paraId="390CB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0A55CD85">
            <w:pPr>
              <w:spacing w:line="360" w:lineRule="exact"/>
              <w:jc w:val="center"/>
              <w:rPr>
                <w:rFonts w:ascii="宋体" w:hAnsi="宋体"/>
                <w:color w:val="auto"/>
                <w:szCs w:val="21"/>
                <w:highlight w:val="none"/>
              </w:rPr>
            </w:pPr>
            <w:r>
              <w:rPr>
                <w:rFonts w:hint="eastAsia" w:ascii="宋体" w:hAnsi="宋体"/>
                <w:color w:val="auto"/>
                <w:szCs w:val="21"/>
                <w:highlight w:val="none"/>
              </w:rPr>
              <w:t>合同签订期</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18BA2AE8">
            <w:pPr>
              <w:spacing w:line="360" w:lineRule="exact"/>
              <w:rPr>
                <w:rFonts w:ascii="宋体" w:hAnsi="宋体"/>
                <w:color w:val="auto"/>
                <w:szCs w:val="21"/>
                <w:highlight w:val="none"/>
              </w:rPr>
            </w:pPr>
            <w:r>
              <w:rPr>
                <w:rFonts w:hint="eastAsia" w:ascii="宋体" w:hAnsi="宋体"/>
                <w:color w:val="auto"/>
                <w:szCs w:val="21"/>
                <w:highlight w:val="none"/>
              </w:rPr>
              <w:t>中标供应商在收到中标通知书25个日历日内与采购人完成合同签订。</w:t>
            </w:r>
          </w:p>
        </w:tc>
      </w:tr>
      <w:tr w14:paraId="59A8F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375363C1">
            <w:pPr>
              <w:spacing w:line="360" w:lineRule="exact"/>
              <w:jc w:val="center"/>
              <w:rPr>
                <w:rFonts w:ascii="宋体" w:hAnsi="宋体"/>
                <w:color w:val="auto"/>
                <w:szCs w:val="21"/>
                <w:highlight w:val="none"/>
              </w:rPr>
            </w:pPr>
            <w:r>
              <w:rPr>
                <w:rFonts w:hint="eastAsia" w:ascii="宋体" w:hAnsi="宋体"/>
                <w:color w:val="auto"/>
                <w:szCs w:val="21"/>
                <w:highlight w:val="none"/>
              </w:rPr>
              <w:t>服务期及地点</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1526B52A">
            <w:pPr>
              <w:spacing w:line="360" w:lineRule="exac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服务期：自签订合同之日起至2027年12 月31日止。</w:t>
            </w:r>
          </w:p>
          <w:p w14:paraId="0900BBC4">
            <w:pPr>
              <w:spacing w:line="360" w:lineRule="exac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合同履约期：自签订合同之日起至2026年11月10日前执行合同总金额的67%，至2027年10月31日前完成全部合同金额。</w:t>
            </w:r>
          </w:p>
          <w:p w14:paraId="7C3007D2">
            <w:pPr>
              <w:spacing w:line="360" w:lineRule="exact"/>
              <w:rPr>
                <w:rFonts w:ascii="宋体" w:hAnsi="宋体"/>
                <w:color w:val="auto"/>
                <w:szCs w:val="21"/>
                <w:highlight w:val="none"/>
              </w:rPr>
            </w:pPr>
            <w:r>
              <w:rPr>
                <w:rFonts w:hint="eastAsia" w:ascii="宋体" w:hAnsi="宋体"/>
                <w:color w:val="auto"/>
                <w:szCs w:val="21"/>
                <w:highlight w:val="none"/>
              </w:rPr>
              <w:t>3.服务地点：广西南宁市采购人指定地点。</w:t>
            </w:r>
          </w:p>
        </w:tc>
      </w:tr>
      <w:tr w14:paraId="41EC1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42233F87">
            <w:pPr>
              <w:spacing w:line="360" w:lineRule="exact"/>
              <w:jc w:val="center"/>
              <w:rPr>
                <w:rFonts w:ascii="宋体" w:hAnsi="宋体"/>
                <w:color w:val="auto"/>
                <w:szCs w:val="21"/>
                <w:highlight w:val="none"/>
              </w:rPr>
            </w:pPr>
            <w:r>
              <w:rPr>
                <w:rFonts w:hint="eastAsia" w:ascii="宋体" w:hAnsi="宋体"/>
                <w:color w:val="auto"/>
                <w:szCs w:val="21"/>
                <w:highlight w:val="none"/>
              </w:rPr>
              <w:t>质</w:t>
            </w:r>
            <w:r>
              <w:rPr>
                <w:rFonts w:ascii="宋体" w:hAnsi="宋体"/>
                <w:color w:val="auto"/>
                <w:szCs w:val="21"/>
                <w:highlight w:val="none"/>
              </w:rPr>
              <w:t>保期</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5D48E4A0">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1.按国家有关产品“三包”规定执行“三包”，若</w:t>
            </w:r>
            <w:r>
              <w:rPr>
                <w:rFonts w:ascii="宋体" w:hAnsi="宋体"/>
                <w:color w:val="auto"/>
                <w:szCs w:val="21"/>
                <w:highlight w:val="none"/>
              </w:rPr>
              <w:t>中标供应商承诺质保期优于国家</w:t>
            </w:r>
            <w:r>
              <w:rPr>
                <w:rFonts w:hint="eastAsia" w:ascii="宋体" w:hAnsi="宋体"/>
                <w:color w:val="auto"/>
                <w:szCs w:val="21"/>
                <w:highlight w:val="none"/>
              </w:rPr>
              <w:t>“三包”规定或</w:t>
            </w:r>
            <w:r>
              <w:rPr>
                <w:rFonts w:ascii="宋体" w:hAnsi="宋体"/>
                <w:color w:val="auto"/>
                <w:szCs w:val="21"/>
                <w:highlight w:val="none"/>
              </w:rPr>
              <w:t>优于招标文件规定的</w:t>
            </w:r>
            <w:r>
              <w:rPr>
                <w:rFonts w:hint="eastAsia" w:ascii="宋体" w:hAnsi="宋体"/>
                <w:color w:val="auto"/>
                <w:szCs w:val="21"/>
                <w:highlight w:val="none"/>
              </w:rPr>
              <w:t>，合同</w:t>
            </w:r>
            <w:r>
              <w:rPr>
                <w:rFonts w:ascii="宋体" w:hAnsi="宋体"/>
                <w:color w:val="auto"/>
                <w:szCs w:val="21"/>
                <w:highlight w:val="none"/>
              </w:rPr>
              <w:t>履行时按中标供应商承诺执行</w:t>
            </w:r>
            <w:r>
              <w:rPr>
                <w:rFonts w:hint="eastAsia" w:ascii="宋体" w:hAnsi="宋体"/>
                <w:color w:val="auto"/>
                <w:szCs w:val="21"/>
                <w:highlight w:val="none"/>
              </w:rPr>
              <w:t>。</w:t>
            </w:r>
          </w:p>
          <w:p w14:paraId="5077AC02">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.本项目图书质保期为经采购人</w:t>
            </w:r>
            <w:r>
              <w:rPr>
                <w:rFonts w:hint="eastAsia" w:ascii="宋体" w:hAnsi="宋体" w:cs="宋体"/>
                <w:color w:val="auto"/>
                <w:kern w:val="0"/>
                <w:szCs w:val="21"/>
                <w:highlight w:val="none"/>
              </w:rPr>
              <w:t>图书集成管理系统</w:t>
            </w:r>
            <w:r>
              <w:rPr>
                <w:rFonts w:hint="eastAsia" w:ascii="宋体" w:hAnsi="宋体"/>
                <w:color w:val="auto"/>
                <w:szCs w:val="21"/>
                <w:highlight w:val="none"/>
              </w:rPr>
              <w:t>典藏之日起一年之内。</w:t>
            </w:r>
          </w:p>
          <w:p w14:paraId="1A0EB96C">
            <w:pPr>
              <w:spacing w:line="36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质</w:t>
            </w:r>
            <w:r>
              <w:rPr>
                <w:rFonts w:ascii="宋体" w:hAnsi="宋体"/>
                <w:color w:val="auto"/>
                <w:szCs w:val="21"/>
                <w:highlight w:val="none"/>
              </w:rPr>
              <w:t>保期</w:t>
            </w:r>
            <w:r>
              <w:rPr>
                <w:rFonts w:hint="eastAsia" w:ascii="宋体" w:hAnsi="宋体"/>
                <w:color w:val="auto"/>
                <w:szCs w:val="21"/>
                <w:highlight w:val="none"/>
              </w:rPr>
              <w:t>内，图书在使用过程中发现有非人为因素所引起的缺页、破损等质量问题图书，要求中标供应商无条件退换。</w:t>
            </w:r>
          </w:p>
        </w:tc>
      </w:tr>
      <w:tr w14:paraId="44802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1A6A6660">
            <w:pPr>
              <w:spacing w:line="360" w:lineRule="exact"/>
              <w:jc w:val="center"/>
              <w:rPr>
                <w:rFonts w:ascii="宋体" w:hAnsi="宋体"/>
                <w:color w:val="auto"/>
                <w:szCs w:val="21"/>
                <w:highlight w:val="none"/>
              </w:rPr>
            </w:pPr>
            <w:r>
              <w:rPr>
                <w:rFonts w:hint="eastAsia" w:ascii="宋体" w:hAnsi="宋体"/>
                <w:color w:val="auto"/>
                <w:szCs w:val="21"/>
                <w:highlight w:val="none"/>
              </w:rPr>
              <w:t>售</w:t>
            </w:r>
            <w:r>
              <w:rPr>
                <w:rFonts w:ascii="宋体" w:hAnsi="宋体"/>
                <w:color w:val="auto"/>
                <w:szCs w:val="21"/>
                <w:highlight w:val="none"/>
              </w:rPr>
              <w:t>后服务要求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7EE63E4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1.送货上门，按采购人要求包装并运送至指定地点。</w:t>
            </w:r>
          </w:p>
          <w:p w14:paraId="61EFF59E">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2.中标供应商负责处理解决货物出现的质量及安全问题并承担一切费用。</w:t>
            </w:r>
          </w:p>
          <w:p w14:paraId="4DAEA7B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3.遇质量问题或其他突发情况，中标供应商在接到采购人通知后，需要在2小时内作出响应，12小时内到达现场。</w:t>
            </w:r>
          </w:p>
          <w:p w14:paraId="4064A784">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4.项目供货过程中产生的残留物或垃圾，需由中标供应商自行清理至垃圾回收处。</w:t>
            </w:r>
          </w:p>
          <w:p w14:paraId="707B47D8">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5.质保期过后，中标供应商为采购人提供电话咨询形式的技术援助，解答采购人在使用中标供应商所供应图书中遇到的问题，及时为采购人提出解决问题的建议，并不予收费。</w:t>
            </w:r>
          </w:p>
        </w:tc>
      </w:tr>
      <w:tr w14:paraId="7607C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02A36A7B">
            <w:pPr>
              <w:snapToGrid w:val="0"/>
              <w:spacing w:line="360" w:lineRule="exact"/>
              <w:jc w:val="center"/>
              <w:rPr>
                <w:rFonts w:ascii="宋体" w:hAnsi="宋体" w:cs="宋体"/>
                <w:color w:val="auto"/>
                <w:kern w:val="0"/>
                <w:szCs w:val="21"/>
                <w:highlight w:val="none"/>
              </w:rPr>
            </w:pPr>
            <w:r>
              <w:rPr>
                <w:rFonts w:hint="eastAsia" w:ascii="宋体" w:hAnsi="宋体"/>
                <w:color w:val="auto"/>
                <w:szCs w:val="21"/>
                <w:highlight w:val="none"/>
              </w:rPr>
              <w:t>付款方式</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5238A62E">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1.本项目中标供应商可分批供货，在项目服务时间内最多可分六批供货。</w:t>
            </w:r>
          </w:p>
          <w:p w14:paraId="624C2713">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2.中标供应商批次到货后，采购人按照合同进行验收，签署该批次验收单。</w:t>
            </w:r>
          </w:p>
          <w:p w14:paraId="1E83F81E">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3中标供应商对该批书办理差、错图书的退书手续后，按实际验收合格图书的实洋价合计值（实洋价合计值＝图书码洋价合计值×中标折扣率）结算应付货款，并在该批次验收单上注明退书货款及应付货款。</w:t>
            </w:r>
          </w:p>
          <w:p w14:paraId="47D2662C">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4.双方核对货款金额无误后，中标供应商开具</w:t>
            </w:r>
            <w:r>
              <w:rPr>
                <w:color w:val="auto"/>
                <w:highlight w:val="none"/>
              </w:rPr>
              <w:t>当批供货图书</w:t>
            </w:r>
            <w:r>
              <w:rPr>
                <w:rFonts w:hint="eastAsia"/>
                <w:color w:val="auto"/>
                <w:highlight w:val="none"/>
              </w:rPr>
              <w:t>等</w:t>
            </w:r>
            <w:r>
              <w:rPr>
                <w:color w:val="auto"/>
                <w:highlight w:val="none"/>
              </w:rPr>
              <w:t>额发票</w:t>
            </w:r>
            <w:r>
              <w:rPr>
                <w:rFonts w:hint="eastAsia" w:ascii="宋体" w:hAnsi="宋体"/>
                <w:color w:val="auto"/>
                <w:szCs w:val="21"/>
                <w:highlight w:val="none"/>
              </w:rPr>
              <w:t>并提供</w:t>
            </w:r>
            <w:r>
              <w:rPr>
                <w:rFonts w:hint="eastAsia" w:ascii="宋体" w:hAnsi="宋体" w:cs="宋体"/>
                <w:color w:val="auto"/>
                <w:kern w:val="0"/>
                <w:szCs w:val="21"/>
                <w:highlight w:val="none"/>
              </w:rPr>
              <w:t>纸质及电子版图书汇总清单各一份，</w:t>
            </w:r>
            <w:r>
              <w:rPr>
                <w:rFonts w:hint="eastAsia" w:ascii="宋体" w:hAnsi="宋体"/>
                <w:color w:val="auto"/>
                <w:szCs w:val="21"/>
                <w:highlight w:val="none"/>
              </w:rPr>
              <w:t xml:space="preserve">向采购人提出付款申请；采购人在 </w:t>
            </w:r>
            <w:r>
              <w:rPr>
                <w:rFonts w:ascii="宋体" w:hAnsi="宋体"/>
                <w:color w:val="auto"/>
                <w:szCs w:val="21"/>
                <w:highlight w:val="none"/>
              </w:rPr>
              <w:t>10</w:t>
            </w:r>
            <w:r>
              <w:rPr>
                <w:rFonts w:hint="eastAsia" w:ascii="宋体" w:hAnsi="宋体"/>
                <w:color w:val="auto"/>
                <w:szCs w:val="21"/>
                <w:highlight w:val="none"/>
              </w:rPr>
              <w:t>个工作日内办理好转账业务。</w:t>
            </w:r>
          </w:p>
          <w:p w14:paraId="6DA68691">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票据要求：中标供应商必须按照采购人要求提供真实、有效、合法的正式发票。一旦发现中标供应商提供虚假发票，除须向采购人补开合法发票外，采购人有权终止合同，中标供应商不得提出异议，因终止合同而产生的一切损失均由中标供应商承担。</w:t>
            </w:r>
          </w:p>
          <w:p w14:paraId="288547B0">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6.本项目无预付款。</w:t>
            </w:r>
          </w:p>
          <w:p w14:paraId="1C1BEAB4">
            <w:pPr>
              <w:snapToGrid w:val="0"/>
              <w:spacing w:line="360" w:lineRule="exact"/>
              <w:ind w:firstLine="420" w:firstLineChars="200"/>
              <w:jc w:val="left"/>
              <w:rPr>
                <w:rFonts w:ascii="宋体" w:hAnsi="宋体" w:cs="宋体"/>
                <w:color w:val="auto"/>
                <w:szCs w:val="21"/>
                <w:highlight w:val="none"/>
              </w:rPr>
            </w:pPr>
            <w:r>
              <w:rPr>
                <w:rFonts w:hint="eastAsia" w:ascii="宋体" w:hAnsi="宋体"/>
                <w:color w:val="auto"/>
                <w:szCs w:val="21"/>
                <w:highlight w:val="none"/>
              </w:rPr>
              <w:t>7.本合同使用货币币制如未作特别说明均为人民币。</w:t>
            </w:r>
          </w:p>
        </w:tc>
      </w:tr>
      <w:tr w14:paraId="4053FB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231C462C">
            <w:pPr>
              <w:spacing w:line="360" w:lineRule="exact"/>
              <w:jc w:val="center"/>
              <w:rPr>
                <w:rFonts w:ascii="宋体" w:hAnsi="宋体"/>
                <w:color w:val="auto"/>
                <w:szCs w:val="21"/>
                <w:highlight w:val="none"/>
              </w:rPr>
            </w:pPr>
            <w:r>
              <w:rPr>
                <w:rFonts w:hint="eastAsia" w:ascii="宋体" w:hAnsi="宋体"/>
                <w:color w:val="auto"/>
                <w:szCs w:val="21"/>
                <w:highlight w:val="none"/>
              </w:rPr>
              <w:t>报价要求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0EBCC501">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折扣率报价：投标供应商根据自身投标总成本【指图书成本及利润、运抵指定交货地点的各种费用（含装卸费）、图书加工服务费及耗材（芯片、条形码、书标、标签、保护膜等材料）、保险费、售后服务、产品质保、税金及其他所有成本费用的总和，以及有形或无形及可预计或不可预计的费用均由供应商负责】的情况，报出本项目图书的投标折扣率，供货周期内，所有图书采购均按实洋价付款，图书出版的标价为码洋价。实洋价合计值＝码洋价合计值×中标折扣率。</w:t>
            </w:r>
          </w:p>
          <w:p w14:paraId="7ADE619F">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2.本分标实洋合计值即本分标采购预算金额，即中标供应商的具体合同实洋金额。</w:t>
            </w:r>
          </w:p>
        </w:tc>
      </w:tr>
      <w:tr w14:paraId="5F846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70EB4A34">
            <w:pPr>
              <w:spacing w:line="360" w:lineRule="exact"/>
              <w:jc w:val="center"/>
              <w:rPr>
                <w:rFonts w:ascii="宋体" w:hAnsi="宋体"/>
                <w:color w:val="auto"/>
                <w:szCs w:val="21"/>
                <w:highlight w:val="none"/>
              </w:rPr>
            </w:pPr>
            <w:r>
              <w:rPr>
                <w:rFonts w:hint="eastAsia" w:ascii="宋体" w:hAnsi="宋体"/>
                <w:color w:val="auto"/>
                <w:szCs w:val="21"/>
                <w:highlight w:val="none"/>
              </w:rPr>
              <w:t>验收要</w:t>
            </w:r>
            <w:r>
              <w:rPr>
                <w:rFonts w:ascii="宋体" w:hAnsi="宋体"/>
                <w:color w:val="auto"/>
                <w:szCs w:val="21"/>
                <w:highlight w:val="none"/>
              </w:rPr>
              <w:t>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0D8AA0BC">
            <w:pPr>
              <w:spacing w:line="360" w:lineRule="atLeast"/>
              <w:ind w:right="-57" w:rightChars="-27" w:firstLine="420" w:firstLineChars="200"/>
              <w:rPr>
                <w:rFonts w:ascii="宋体" w:hAnsi="宋体"/>
                <w:color w:val="auto"/>
                <w:szCs w:val="21"/>
                <w:highlight w:val="none"/>
              </w:rPr>
            </w:pPr>
            <w:r>
              <w:rPr>
                <w:rFonts w:hint="eastAsia" w:ascii="宋体" w:hAnsi="宋体"/>
                <w:color w:val="auto"/>
                <w:szCs w:val="21"/>
                <w:highlight w:val="none"/>
              </w:rPr>
              <w:t>1.采购人在中华人民共和国境内使用中</w:t>
            </w:r>
            <w:r>
              <w:rPr>
                <w:rFonts w:ascii="宋体" w:hAnsi="宋体"/>
                <w:color w:val="auto"/>
                <w:szCs w:val="21"/>
                <w:highlight w:val="none"/>
              </w:rPr>
              <w:t>标</w:t>
            </w:r>
            <w:r>
              <w:rPr>
                <w:rFonts w:hint="eastAsia" w:ascii="宋体" w:hAnsi="宋体"/>
                <w:color w:val="auto"/>
                <w:szCs w:val="21"/>
                <w:highlight w:val="none"/>
              </w:rPr>
              <w:t>供应商提供的服务（含</w:t>
            </w:r>
            <w:r>
              <w:rPr>
                <w:rFonts w:ascii="宋体" w:hAnsi="宋体"/>
                <w:color w:val="auto"/>
                <w:szCs w:val="21"/>
                <w:highlight w:val="none"/>
              </w:rPr>
              <w:t>所供图书</w:t>
            </w:r>
            <w:r>
              <w:rPr>
                <w:rFonts w:hint="eastAsia" w:ascii="宋体" w:hAnsi="宋体"/>
                <w:color w:val="auto"/>
                <w:szCs w:val="21"/>
                <w:highlight w:val="none"/>
              </w:rPr>
              <w:t>）时免受第三方提出的侵犯其专利权或其它知识产权的起诉。如果第三方提出侵权指控，中标供应商应承担由此而引起的一切法律责任和费用。</w:t>
            </w:r>
          </w:p>
          <w:p w14:paraId="1A44F8E2">
            <w:pPr>
              <w:spacing w:line="360" w:lineRule="atLeast"/>
              <w:ind w:right="-57" w:rightChars="-27"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.采购人将同时按照招标文件以及中</w:t>
            </w:r>
            <w:r>
              <w:rPr>
                <w:rFonts w:ascii="宋体" w:hAnsi="宋体"/>
                <w:color w:val="auto"/>
                <w:szCs w:val="21"/>
                <w:highlight w:val="none"/>
              </w:rPr>
              <w:t>标</w:t>
            </w:r>
            <w:r>
              <w:rPr>
                <w:rFonts w:hint="eastAsia" w:ascii="宋体" w:hAnsi="宋体"/>
                <w:color w:val="auto"/>
                <w:szCs w:val="21"/>
                <w:highlight w:val="none"/>
              </w:rPr>
              <w:t>供应商投标文件承诺的条款进行逐项验收，如项目验收不合格，由中标供应商返工直至合格，有关返工、再行验收，以及给采购单位造成的损失等费用由中标供应商承担。</w:t>
            </w:r>
          </w:p>
          <w:p w14:paraId="630CAC7F">
            <w:pPr>
              <w:spacing w:line="360" w:lineRule="atLeast"/>
              <w:ind w:right="-57" w:rightChars="-27"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.中标供应商提供的图书，必须是合法合规的正版图书，如有违反，采购人可无条件退货并解除合同，一切责任及损失由中标供应商自行承担，采购人保留追究其虚假承诺的权利。</w:t>
            </w:r>
          </w:p>
          <w:p w14:paraId="78427F64">
            <w:pPr>
              <w:spacing w:line="360" w:lineRule="atLeast"/>
              <w:ind w:right="-57" w:rightChars="-27"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.验收过程中所产生的一切费用均由中标供应商承担，已包含在投标报价中。</w:t>
            </w:r>
          </w:p>
          <w:p w14:paraId="2A1E17D1">
            <w:pPr>
              <w:spacing w:line="360" w:lineRule="exact"/>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.其他补充事项详见招标文件合同主要条款格式部分。</w:t>
            </w:r>
          </w:p>
        </w:tc>
      </w:tr>
      <w:tr w14:paraId="3AC9D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74E61BEA">
            <w:pPr>
              <w:spacing w:line="360" w:lineRule="exact"/>
              <w:rPr>
                <w:rFonts w:ascii="宋体" w:hAnsi="宋体"/>
                <w:color w:val="auto"/>
                <w:szCs w:val="21"/>
                <w:highlight w:val="none"/>
              </w:rPr>
            </w:pPr>
            <w:r>
              <w:rPr>
                <w:rFonts w:hint="eastAsia" w:ascii="宋体" w:hAnsi="宋体"/>
                <w:b/>
                <w:bCs/>
                <w:color w:val="auto"/>
                <w:szCs w:val="21"/>
                <w:highlight w:val="none"/>
              </w:rPr>
              <w:t>二、与实现项目目标相关的其他要求</w:t>
            </w:r>
          </w:p>
        </w:tc>
      </w:tr>
      <w:tr w14:paraId="4FB4F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6BE51DCC">
            <w:pPr>
              <w:spacing w:line="360" w:lineRule="exact"/>
              <w:rPr>
                <w:rFonts w:ascii="宋体" w:hAnsi="宋体"/>
                <w:b/>
                <w:color w:val="auto"/>
                <w:szCs w:val="21"/>
                <w:highlight w:val="none"/>
              </w:rPr>
            </w:pPr>
            <w:r>
              <w:rPr>
                <w:rFonts w:hint="eastAsia" w:ascii="宋体" w:hAnsi="宋体"/>
                <w:b/>
                <w:color w:val="auto"/>
                <w:szCs w:val="21"/>
                <w:highlight w:val="none"/>
              </w:rPr>
              <w:t>（一）投标人的履约能力要求</w:t>
            </w:r>
          </w:p>
        </w:tc>
      </w:tr>
      <w:tr w14:paraId="7D1FBB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6CF7B682">
            <w:pPr>
              <w:spacing w:line="360" w:lineRule="exact"/>
              <w:rPr>
                <w:rFonts w:ascii="宋体" w:hAnsi="宋体"/>
                <w:color w:val="auto"/>
                <w:szCs w:val="21"/>
                <w:highlight w:val="none"/>
              </w:rPr>
            </w:pPr>
            <w:r>
              <w:rPr>
                <w:rFonts w:hint="eastAsia" w:ascii="宋体" w:hAnsi="宋体"/>
                <w:color w:val="auto"/>
                <w:szCs w:val="21"/>
                <w:highlight w:val="none"/>
              </w:rPr>
              <w:t>政策性加分条件</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762178AF">
            <w:pPr>
              <w:spacing w:line="360" w:lineRule="exact"/>
              <w:rPr>
                <w:rFonts w:ascii="宋体" w:hAnsi="宋体"/>
                <w:color w:val="auto"/>
                <w:szCs w:val="21"/>
                <w:highlight w:val="none"/>
              </w:rPr>
            </w:pPr>
            <w:r>
              <w:rPr>
                <w:rFonts w:hint="eastAsia" w:ascii="宋体" w:hAnsi="宋体"/>
                <w:color w:val="auto"/>
                <w:szCs w:val="21"/>
                <w:highlight w:val="none"/>
              </w:rPr>
              <w:t>见本招标文件第四章“评审程序、评审方法和评审标准”。</w:t>
            </w:r>
          </w:p>
        </w:tc>
      </w:tr>
      <w:tr w14:paraId="6F901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456137D6">
            <w:pPr>
              <w:spacing w:line="360" w:lineRule="exact"/>
              <w:rPr>
                <w:rFonts w:ascii="宋体" w:hAnsi="宋体"/>
                <w:color w:val="auto"/>
                <w:szCs w:val="21"/>
                <w:highlight w:val="none"/>
              </w:rPr>
            </w:pPr>
            <w:r>
              <w:rPr>
                <w:rFonts w:hint="eastAsia" w:ascii="宋体" w:hAnsi="宋体"/>
                <w:color w:val="auto"/>
                <w:szCs w:val="21"/>
                <w:highlight w:val="none"/>
              </w:rPr>
              <w:t>质量管理体系要求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3DA7F5DE">
            <w:pPr>
              <w:spacing w:line="360" w:lineRule="exact"/>
              <w:rPr>
                <w:rFonts w:ascii="宋体" w:hAnsi="宋体"/>
                <w:color w:val="auto"/>
                <w:szCs w:val="21"/>
                <w:highlight w:val="none"/>
              </w:rPr>
            </w:pPr>
            <w:r>
              <w:rPr>
                <w:rFonts w:hint="eastAsia" w:ascii="宋体" w:hAnsi="宋体"/>
                <w:color w:val="auto"/>
                <w:szCs w:val="21"/>
                <w:highlight w:val="none"/>
              </w:rPr>
              <w:t>如有，请于投标文件中自行提供。</w:t>
            </w:r>
          </w:p>
        </w:tc>
      </w:tr>
      <w:tr w14:paraId="617C00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062BFA90">
            <w:pPr>
              <w:spacing w:line="360" w:lineRule="exact"/>
              <w:rPr>
                <w:rFonts w:ascii="宋体" w:hAnsi="宋体"/>
                <w:color w:val="auto"/>
                <w:szCs w:val="21"/>
                <w:highlight w:val="none"/>
              </w:rPr>
            </w:pPr>
            <w:r>
              <w:rPr>
                <w:rFonts w:hint="eastAsia" w:ascii="宋体" w:hAnsi="宋体"/>
                <w:color w:val="auto"/>
                <w:szCs w:val="21"/>
                <w:highlight w:val="none"/>
              </w:rPr>
              <w:t>业绩要求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60380DF3">
            <w:pPr>
              <w:spacing w:line="360" w:lineRule="exact"/>
              <w:rPr>
                <w:rFonts w:ascii="宋体" w:hAnsi="宋体"/>
                <w:color w:val="auto"/>
                <w:szCs w:val="21"/>
                <w:highlight w:val="none"/>
              </w:rPr>
            </w:pPr>
            <w:r>
              <w:rPr>
                <w:rFonts w:hint="eastAsia" w:ascii="宋体" w:hAnsi="宋体"/>
                <w:color w:val="auto"/>
                <w:szCs w:val="21"/>
                <w:highlight w:val="none"/>
              </w:rPr>
              <w:t>如有，请于投标文件中自行提供。</w:t>
            </w:r>
          </w:p>
        </w:tc>
      </w:tr>
      <w:tr w14:paraId="3BD00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6D2B93C0">
            <w:pPr>
              <w:tabs>
                <w:tab w:val="left" w:pos="180"/>
                <w:tab w:val="left" w:pos="1620"/>
              </w:tabs>
              <w:spacing w:line="360" w:lineRule="exact"/>
              <w:rPr>
                <w:rFonts w:ascii="宋体" w:hAnsi="宋体" w:cs="宋体"/>
                <w:bCs/>
                <w:color w:val="auto"/>
                <w:szCs w:val="21"/>
                <w:highlight w:val="none"/>
              </w:rPr>
            </w:pPr>
            <w:r>
              <w:rPr>
                <w:rFonts w:hint="eastAsia" w:ascii="宋体" w:hAnsi="宋体"/>
                <w:b/>
                <w:color w:val="auto"/>
                <w:szCs w:val="21"/>
                <w:highlight w:val="none"/>
              </w:rPr>
              <w:t>（二）验收标准</w:t>
            </w:r>
          </w:p>
        </w:tc>
      </w:tr>
      <w:tr w14:paraId="006B87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377CB67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1.以满足采购单位货物要求及服务要求为标准。</w:t>
            </w:r>
          </w:p>
          <w:p w14:paraId="4670A18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其他未尽事宜应严格按照《关于印发广西壮族自治区政府采购项目履约验收管理办法的通知》[桂财采〔2015〕22号]以及《财政部关于进一步加强政府采购需求和履约验收管理的指导意见》[财库〔2016〕205号]规定执行。</w:t>
            </w:r>
          </w:p>
          <w:p w14:paraId="69F1E85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3.服务过程中，涉及实行强制标准认证制度、生产许可证制度、销售或经营许可证制度、注册证制度等，中标供应商均应提供相关有效的证书复印件。</w:t>
            </w:r>
          </w:p>
        </w:tc>
      </w:tr>
      <w:tr w14:paraId="55252F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383B4725">
            <w:pPr>
              <w:spacing w:line="360" w:lineRule="exact"/>
              <w:rPr>
                <w:rFonts w:ascii="宋体" w:hAnsi="宋体"/>
                <w:color w:val="auto"/>
                <w:szCs w:val="21"/>
                <w:highlight w:val="none"/>
              </w:rPr>
            </w:pPr>
            <w:r>
              <w:rPr>
                <w:rFonts w:hint="eastAsia" w:ascii="宋体" w:hAnsi="宋体"/>
                <w:b/>
                <w:color w:val="auto"/>
                <w:szCs w:val="21"/>
                <w:highlight w:val="none"/>
              </w:rPr>
              <w:t>（三）进口产品及核心产品说明</w:t>
            </w:r>
          </w:p>
        </w:tc>
      </w:tr>
      <w:tr w14:paraId="416F6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0E89397E">
            <w:pPr>
              <w:spacing w:line="360" w:lineRule="exact"/>
              <w:ind w:firstLine="435"/>
              <w:rPr>
                <w:rFonts w:ascii="宋体" w:hAnsi="宋体"/>
                <w:color w:val="auto"/>
                <w:szCs w:val="21"/>
                <w:highlight w:val="none"/>
              </w:rPr>
            </w:pPr>
            <w:r>
              <w:rPr>
                <w:rFonts w:hint="eastAsia" w:ascii="宋体" w:hAnsi="宋体"/>
                <w:color w:val="auto"/>
                <w:szCs w:val="21"/>
                <w:highlight w:val="none"/>
              </w:rPr>
              <w:t>本项目为服务类项目，无进</w:t>
            </w:r>
            <w:r>
              <w:rPr>
                <w:rFonts w:ascii="宋体" w:hAnsi="宋体"/>
                <w:color w:val="auto"/>
                <w:szCs w:val="21"/>
                <w:highlight w:val="none"/>
              </w:rPr>
              <w:t>口产品和</w:t>
            </w:r>
            <w:r>
              <w:rPr>
                <w:rFonts w:hint="eastAsia" w:ascii="宋体" w:hAnsi="宋体"/>
                <w:color w:val="auto"/>
                <w:szCs w:val="21"/>
                <w:highlight w:val="none"/>
              </w:rPr>
              <w:t>核心产品。</w:t>
            </w:r>
          </w:p>
        </w:tc>
      </w:tr>
      <w:tr w14:paraId="0F0B5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68FB62D4">
            <w:pPr>
              <w:spacing w:line="360" w:lineRule="exact"/>
              <w:rPr>
                <w:rFonts w:ascii="宋体" w:hAnsi="宋体"/>
                <w:b/>
                <w:color w:val="auto"/>
                <w:szCs w:val="21"/>
                <w:highlight w:val="none"/>
              </w:rPr>
            </w:pPr>
            <w:r>
              <w:rPr>
                <w:rFonts w:hint="eastAsia" w:ascii="宋体" w:hAnsi="宋体"/>
                <w:b/>
                <w:color w:val="auto"/>
                <w:szCs w:val="21"/>
                <w:highlight w:val="none"/>
              </w:rPr>
              <w:t>（四）其他要求</w:t>
            </w:r>
          </w:p>
        </w:tc>
      </w:tr>
      <w:tr w14:paraId="1A65F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4084CDB5">
            <w:pPr>
              <w:spacing w:line="360" w:lineRule="exact"/>
              <w:jc w:val="center"/>
              <w:rPr>
                <w:rFonts w:ascii="宋体" w:hAnsi="宋体"/>
                <w:color w:val="auto"/>
                <w:szCs w:val="21"/>
                <w:highlight w:val="none"/>
              </w:rPr>
            </w:pPr>
            <w:r>
              <w:rPr>
                <w:rFonts w:hint="eastAsia" w:ascii="宋体" w:hAnsi="宋体"/>
                <w:color w:val="auto"/>
                <w:szCs w:val="21"/>
                <w:highlight w:val="none"/>
              </w:rPr>
              <w:t>▲</w:t>
            </w:r>
            <w:r>
              <w:rPr>
                <w:rFonts w:hint="eastAsia" w:ascii="宋体" w:hAnsi="宋体" w:cs="宋体"/>
                <w:b/>
                <w:color w:val="auto"/>
                <w:szCs w:val="21"/>
                <w:highlight w:val="none"/>
                <w:u w:val="single"/>
              </w:rPr>
              <w:t>有效报价范围</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41D47956">
            <w:pPr>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u w:val="single"/>
              </w:rPr>
              <w:t>1</w:t>
            </w:r>
            <w:r>
              <w:rPr>
                <w:rFonts w:ascii="宋体" w:hAnsi="宋体" w:cs="宋体"/>
                <w:b/>
                <w:color w:val="auto"/>
                <w:szCs w:val="21"/>
                <w:highlight w:val="none"/>
                <w:u w:val="single"/>
              </w:rPr>
              <w:t>.</w:t>
            </w:r>
            <w:r>
              <w:rPr>
                <w:rFonts w:hint="eastAsia" w:ascii="宋体" w:hAnsi="宋体" w:cs="宋体"/>
                <w:b/>
                <w:color w:val="auto"/>
                <w:szCs w:val="21"/>
                <w:highlight w:val="none"/>
                <w:u w:val="single"/>
              </w:rPr>
              <w:t>有效报价范围为：0%≤投标</w:t>
            </w:r>
            <w:r>
              <w:rPr>
                <w:rFonts w:ascii="宋体" w:hAnsi="宋体" w:cs="宋体"/>
                <w:b/>
                <w:color w:val="auto"/>
                <w:szCs w:val="21"/>
                <w:highlight w:val="none"/>
                <w:u w:val="single"/>
              </w:rPr>
              <w:t>人</w:t>
            </w:r>
            <w:r>
              <w:rPr>
                <w:rFonts w:hint="eastAsia" w:ascii="宋体" w:hAnsi="宋体" w:cs="宋体"/>
                <w:b/>
                <w:color w:val="auto"/>
                <w:szCs w:val="21"/>
                <w:highlight w:val="none"/>
                <w:u w:val="single"/>
              </w:rPr>
              <w:t>折扣</w:t>
            </w:r>
            <w:r>
              <w:rPr>
                <w:rFonts w:ascii="宋体" w:hAnsi="宋体" w:cs="宋体"/>
                <w:b/>
                <w:color w:val="auto"/>
                <w:szCs w:val="21"/>
                <w:highlight w:val="none"/>
                <w:u w:val="single"/>
              </w:rPr>
              <w:t>率</w:t>
            </w:r>
            <w:r>
              <w:rPr>
                <w:rFonts w:hint="eastAsia" w:ascii="宋体" w:hAnsi="宋体" w:cs="宋体"/>
                <w:b/>
                <w:color w:val="auto"/>
                <w:szCs w:val="21"/>
                <w:highlight w:val="none"/>
                <w:u w:val="single"/>
              </w:rPr>
              <w:t>报价≤80%</w:t>
            </w:r>
            <w:r>
              <w:rPr>
                <w:rFonts w:hint="eastAsia" w:ascii="宋体" w:hAnsi="宋体" w:cs="宋体"/>
                <w:color w:val="auto"/>
                <w:szCs w:val="21"/>
                <w:highlight w:val="none"/>
              </w:rPr>
              <w:t>。</w:t>
            </w:r>
          </w:p>
          <w:p w14:paraId="0F3FB741">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w:t>
            </w:r>
            <w:r>
              <w:rPr>
                <w:rFonts w:hint="eastAsia"/>
                <w:color w:val="auto"/>
                <w:highlight w:val="none"/>
              </w:rPr>
              <w:t>本项目</w:t>
            </w:r>
            <w:r>
              <w:rPr>
                <w:rFonts w:hint="eastAsia" w:ascii="宋体" w:hAnsi="宋体"/>
                <w:color w:val="auto"/>
                <w:szCs w:val="21"/>
                <w:highlight w:val="none"/>
              </w:rPr>
              <w:t>按折扣率进行报价，</w:t>
            </w:r>
            <w:r>
              <w:rPr>
                <w:rFonts w:hint="eastAsia" w:ascii="宋体" w:hAnsi="宋体"/>
                <w:b/>
                <w:color w:val="auto"/>
                <w:szCs w:val="21"/>
                <w:highlight w:val="none"/>
              </w:rPr>
              <w:t>投标人对本项目只能有一个报价，采购人不接受有选择的报价，否则投标无效。</w:t>
            </w:r>
          </w:p>
        </w:tc>
      </w:tr>
      <w:tr w14:paraId="010658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54F66AD1">
            <w:pPr>
              <w:spacing w:line="360" w:lineRule="exact"/>
              <w:jc w:val="center"/>
              <w:rPr>
                <w:rFonts w:ascii="宋体" w:hAnsi="宋体"/>
                <w:color w:val="auto"/>
                <w:szCs w:val="21"/>
                <w:highlight w:val="none"/>
              </w:rPr>
            </w:pPr>
            <w:r>
              <w:rPr>
                <w:rFonts w:hint="eastAsia" w:ascii="宋体" w:hAnsi="宋体"/>
                <w:color w:val="auto"/>
                <w:szCs w:val="21"/>
                <w:highlight w:val="none"/>
              </w:rPr>
              <w:t>服务方案及</w:t>
            </w:r>
            <w:r>
              <w:rPr>
                <w:rFonts w:ascii="宋体" w:hAnsi="宋体"/>
                <w:color w:val="auto"/>
                <w:szCs w:val="21"/>
                <w:highlight w:val="none"/>
              </w:rPr>
              <w:t>其他要求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0C6CBC01">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人根据自身情况，结合项目采购需求及评标办法（见招标文件第四章）提供针对本项目的服务方案（包括但不限于服务措施、图书配送方案、售后服务方案、新书查缺补漏补藏服务、声明有无定期回访、有无其他增值服务、能否实现本地化服务等）及编目质量和加工能力证明。</w:t>
            </w:r>
          </w:p>
          <w:p w14:paraId="4275314E">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根据项目服务需求投入与项目相适应的服务人员团队（附人员名单），如有并附人员专业技术资格证书或职称证书等材料。</w:t>
            </w:r>
          </w:p>
          <w:p w14:paraId="24F146FE">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如有，请提供相关</w:t>
            </w:r>
            <w:r>
              <w:rPr>
                <w:rFonts w:ascii="宋体" w:hAnsi="宋体"/>
                <w:color w:val="auto"/>
                <w:szCs w:val="21"/>
                <w:highlight w:val="none"/>
              </w:rPr>
              <w:t>能力</w:t>
            </w:r>
            <w:r>
              <w:rPr>
                <w:rFonts w:hint="eastAsia" w:ascii="宋体" w:hAnsi="宋体"/>
                <w:color w:val="auto"/>
                <w:szCs w:val="21"/>
                <w:highlight w:val="none"/>
              </w:rPr>
              <w:t>证明或业绩证明，或相关认证证书、奖项等。</w:t>
            </w:r>
          </w:p>
          <w:p w14:paraId="573D46F4">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4.其他：</w:t>
            </w:r>
          </w:p>
          <w:p w14:paraId="64D7DFD2">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（1）投标人须具有数据服务及加工服务的专业人员。</w:t>
            </w:r>
          </w:p>
          <w:p w14:paraId="48B26BAE">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（2）投标人须定期发布征订书目等图书信息，向图书馆推荐教学、科研所需的新书。</w:t>
            </w:r>
          </w:p>
          <w:p w14:paraId="7FD9DDBB">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（3）投标人图书来源渠道广，图书品种丰富，应能覆盖学校所有学科。</w:t>
            </w:r>
          </w:p>
          <w:p w14:paraId="641C41DF">
            <w:pPr>
              <w:widowControl/>
              <w:spacing w:line="360" w:lineRule="exact"/>
              <w:ind w:firstLine="420" w:firstLineChars="200"/>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4）投标人所提供的中小学教材必须是符合国家法律规定的正版教材，提供经法定代表人签字确认的正版、合规性承诺函及近三年（2023年起）为高校图书馆提供教材的合作证明（以合同扫描件和加盖图书馆公章的供货情况证明材料为准）。</w:t>
            </w:r>
          </w:p>
          <w:p w14:paraId="2B17FA6E">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（5）投标人具有良好的图书配送服务系统。</w:t>
            </w:r>
          </w:p>
          <w:p w14:paraId="51EF0F73">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（6）投标人不得以任何形式和理由转包中标项目。</w:t>
            </w:r>
          </w:p>
          <w:p w14:paraId="5B307F2D">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（7）其他未尽事宜由采购人和中标供应商双方在采购合同中详细约定。</w:t>
            </w:r>
          </w:p>
          <w:p w14:paraId="6E8BB75D">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5.项目服务方案由投标人根据自身能力提供方案及承诺，对于以虚假承诺谋取中标的投标人将自行承担后果，其违法行为将报监督管理部门处理。</w:t>
            </w:r>
          </w:p>
        </w:tc>
      </w:tr>
    </w:tbl>
    <w:p w14:paraId="6B85DD36">
      <w:pPr>
        <w:jc w:val="center"/>
        <w:rPr>
          <w:rFonts w:ascii="宋体" w:hAnsi="宋体" w:cs="Arial Unicode MS"/>
          <w:b/>
          <w:bCs/>
          <w:color w:val="auto"/>
          <w:sz w:val="32"/>
          <w:szCs w:val="32"/>
          <w:highlight w:val="none"/>
        </w:rPr>
      </w:pPr>
    </w:p>
    <w:p w14:paraId="09844912">
      <w:pPr>
        <w:jc w:val="center"/>
        <w:rPr>
          <w:rFonts w:ascii="宋体" w:hAnsi="宋体" w:cs="Arial Unicode MS"/>
          <w:b/>
          <w:bCs/>
          <w:color w:val="auto"/>
          <w:sz w:val="32"/>
          <w:szCs w:val="32"/>
          <w:highlight w:val="none"/>
        </w:rPr>
      </w:pPr>
    </w:p>
    <w:p w14:paraId="32F3FE7F">
      <w:pPr>
        <w:jc w:val="center"/>
        <w:rPr>
          <w:rFonts w:ascii="宋体" w:hAnsi="宋体" w:cs="Arial Unicode MS"/>
          <w:b/>
          <w:bCs/>
          <w:color w:val="auto"/>
          <w:sz w:val="32"/>
          <w:szCs w:val="32"/>
          <w:highlight w:val="none"/>
        </w:rPr>
      </w:pPr>
    </w:p>
    <w:p w14:paraId="55772880">
      <w:pPr>
        <w:jc w:val="center"/>
        <w:rPr>
          <w:rFonts w:ascii="宋体" w:hAnsi="宋体" w:cs="Arial Unicode MS"/>
          <w:b/>
          <w:bCs/>
          <w:color w:val="auto"/>
          <w:sz w:val="32"/>
          <w:szCs w:val="32"/>
          <w:highlight w:val="none"/>
        </w:rPr>
      </w:pPr>
    </w:p>
    <w:p w14:paraId="57599296">
      <w:pPr>
        <w:jc w:val="center"/>
        <w:rPr>
          <w:rFonts w:ascii="宋体" w:hAnsi="宋体" w:cs="Arial Unicode MS"/>
          <w:b/>
          <w:bCs/>
          <w:color w:val="auto"/>
          <w:sz w:val="32"/>
          <w:szCs w:val="32"/>
          <w:highlight w:val="none"/>
        </w:rPr>
      </w:pPr>
    </w:p>
    <w:p w14:paraId="22596766">
      <w:pPr>
        <w:jc w:val="center"/>
        <w:rPr>
          <w:rFonts w:ascii="宋体" w:hAnsi="宋体" w:cs="Arial Unicode MS"/>
          <w:b/>
          <w:bCs/>
          <w:color w:val="auto"/>
          <w:sz w:val="32"/>
          <w:szCs w:val="32"/>
          <w:highlight w:val="none"/>
        </w:rPr>
      </w:pPr>
    </w:p>
    <w:p w14:paraId="5AE084E7">
      <w:pPr>
        <w:jc w:val="center"/>
        <w:rPr>
          <w:rFonts w:ascii="宋体" w:hAnsi="宋体" w:cs="Arial Unicode MS"/>
          <w:b/>
          <w:bCs/>
          <w:color w:val="auto"/>
          <w:sz w:val="32"/>
          <w:szCs w:val="32"/>
          <w:highlight w:val="none"/>
        </w:rPr>
      </w:pPr>
    </w:p>
    <w:p w14:paraId="72576B61">
      <w:pPr>
        <w:jc w:val="center"/>
        <w:rPr>
          <w:rFonts w:ascii="宋体" w:hAnsi="宋体" w:cs="Arial Unicode MS"/>
          <w:b/>
          <w:bCs/>
          <w:color w:val="auto"/>
          <w:sz w:val="32"/>
          <w:szCs w:val="32"/>
          <w:highlight w:val="none"/>
        </w:rPr>
      </w:pPr>
    </w:p>
    <w:p w14:paraId="1EBF63CC">
      <w:pPr>
        <w:jc w:val="center"/>
        <w:rPr>
          <w:rFonts w:ascii="宋体" w:hAnsi="宋体" w:cs="Arial Unicode MS"/>
          <w:b/>
          <w:bCs/>
          <w:color w:val="auto"/>
          <w:sz w:val="32"/>
          <w:szCs w:val="32"/>
          <w:highlight w:val="none"/>
        </w:rPr>
      </w:pPr>
    </w:p>
    <w:tbl>
      <w:tblPr>
        <w:tblStyle w:val="50"/>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4"/>
        <w:gridCol w:w="1272"/>
        <w:gridCol w:w="960"/>
        <w:gridCol w:w="5759"/>
      </w:tblGrid>
      <w:tr w14:paraId="367D3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8805" w:type="dxa"/>
            <w:gridSpan w:val="4"/>
            <w:vAlign w:val="center"/>
          </w:tcPr>
          <w:p w14:paraId="2F6450D1">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b/>
                <w:bCs/>
                <w:color w:val="auto"/>
                <w:sz w:val="32"/>
                <w:szCs w:val="32"/>
                <w:highlight w:val="none"/>
              </w:rPr>
              <w:t>标项三</w:t>
            </w:r>
          </w:p>
        </w:tc>
      </w:tr>
      <w:tr w14:paraId="6C345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814" w:type="dxa"/>
            <w:vAlign w:val="center"/>
          </w:tcPr>
          <w:p w14:paraId="7C708B1F">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72" w:type="dxa"/>
            <w:vAlign w:val="center"/>
          </w:tcPr>
          <w:p w14:paraId="04963148">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960" w:type="dxa"/>
            <w:vAlign w:val="center"/>
          </w:tcPr>
          <w:p w14:paraId="10ED44F1">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5759" w:type="dxa"/>
            <w:vAlign w:val="center"/>
          </w:tcPr>
          <w:p w14:paraId="797A8459">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技术要求及需求</w:t>
            </w:r>
          </w:p>
        </w:tc>
      </w:tr>
      <w:tr w14:paraId="3E6FC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0" w:hRule="atLeast"/>
          <w:jc w:val="center"/>
        </w:trPr>
        <w:tc>
          <w:tcPr>
            <w:tcW w:w="814" w:type="dxa"/>
            <w:vAlign w:val="center"/>
          </w:tcPr>
          <w:p w14:paraId="2DFC716E">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72" w:type="dxa"/>
            <w:vAlign w:val="center"/>
          </w:tcPr>
          <w:p w14:paraId="48985ADB">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中文纸质图书采购加工服务（一）</w:t>
            </w:r>
          </w:p>
        </w:tc>
        <w:tc>
          <w:tcPr>
            <w:tcW w:w="960" w:type="dxa"/>
            <w:vAlign w:val="center"/>
          </w:tcPr>
          <w:p w14:paraId="17E271DB">
            <w:pPr>
              <w:spacing w:line="360" w:lineRule="exact"/>
              <w:jc w:val="center"/>
              <w:rPr>
                <w:rFonts w:ascii="宋体" w:hAnsi="宋体"/>
                <w:color w:val="auto"/>
                <w:szCs w:val="21"/>
                <w:highlight w:val="none"/>
              </w:rPr>
            </w:pPr>
            <w:r>
              <w:rPr>
                <w:rFonts w:hint="eastAsia" w:ascii="宋体" w:hAnsi="宋体"/>
                <w:color w:val="auto"/>
                <w:szCs w:val="21"/>
                <w:highlight w:val="none"/>
              </w:rPr>
              <w:t>1批</w:t>
            </w:r>
          </w:p>
        </w:tc>
        <w:tc>
          <w:tcPr>
            <w:tcW w:w="5759" w:type="dxa"/>
            <w:vAlign w:val="center"/>
          </w:tcPr>
          <w:p w14:paraId="6536A06B">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一、图书要求</w:t>
            </w:r>
          </w:p>
          <w:p w14:paraId="7BB51C1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1.图书符合南宁师范大学专业及学科设置，在层次类别上以本科教学及研究生教学、博硕点建设为主，兼顾一般性读物。每种图书的复本量一般为 1-4册。</w:t>
            </w:r>
          </w:p>
          <w:p w14:paraId="6E0445F2">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2.中标供应商提供三目书目（《社科新书目》、《科技新书目》、《全国新书目》）、出版社自编书目及中标供应商</w:t>
            </w:r>
            <w:r>
              <w:rPr>
                <w:rFonts w:hint="eastAsia" w:ascii="宋体" w:hAnsi="宋体" w:cs="宋体"/>
                <w:color w:val="auto"/>
                <w:szCs w:val="21"/>
                <w:highlight w:val="none"/>
              </w:rPr>
              <w:t>专题书目等。</w:t>
            </w:r>
          </w:p>
          <w:p w14:paraId="34FC44C8">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二、具体工作要求</w:t>
            </w:r>
          </w:p>
          <w:p w14:paraId="4CE78DD6">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1.服务要求</w:t>
            </w:r>
          </w:p>
          <w:p w14:paraId="6A393B22">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1.1中标供应商确保提供采购人的订购书目是正版图书。盗版图书一经发现，除假一赔十外，并按政府采购合同条款相关规定处罚，直至双方解除合同。</w:t>
            </w:r>
          </w:p>
          <w:p w14:paraId="309E72E0">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1.2中标供应商提供规范、详实、准确的新书征订书目数据。要求每月至少更新2次，每次2000条左右，文理分类，每1000条左右一个数据包，科技专业图书品种数量不少于25％，年提供采访书目数据总量不少于8万条，数据来源要求100%覆盖核心出版社（见附表一：核心出版社目录）、全国500家以上出版社及当年三目新书数据。提供有利于采购人提高图书采访及馆藏质量的个性化服务，如专题书目等。及时提供全国性书展、书市的采访数据。书目采访数据包括正题名、著者（译者、编者等）、ISBN号、版别（本）、出版地、出版者、出版时间、价格、类号、页码、开本、装帧、内容提要等字段项目。影印版图书除提供以上字段外，还提供英文书名、著者英文姓名。其数据完全符合采购人图书集成管理系统（汇文系统，下同）的格式及运行要求，提供的所有数据都能在图书集成管理系统中无障碍使用。上述所产生的一切费用，都包含在本项目报价中。中标供应商不论何种原因故意隐藏图书出版信息或不提供可获得的图书，如采购人直接从出版社获得相应的图书出版信息的，中标供应商向采购人赔付图书价格五倍的书款，同时采购人有权终止与中标供应商签订的供货合同。</w:t>
            </w:r>
          </w:p>
          <w:p w14:paraId="49A9C7F4">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1.3重点图书需求。满足采购人采购师范专业认证图书和</w:t>
            </w:r>
            <w:r>
              <w:rPr>
                <w:rFonts w:hint="eastAsia" w:ascii="宋体" w:hAnsi="宋体"/>
                <w:color w:val="auto"/>
                <w:szCs w:val="21"/>
                <w:highlight w:val="none"/>
              </w:rPr>
              <w:t>博士点申报建设图书</w:t>
            </w:r>
            <w:r>
              <w:rPr>
                <w:rFonts w:hint="eastAsia" w:ascii="宋体" w:hAnsi="宋体" w:cs="宋体"/>
                <w:color w:val="auto"/>
                <w:kern w:val="0"/>
                <w:szCs w:val="21"/>
                <w:highlight w:val="none"/>
              </w:rPr>
              <w:t>需求，师范认证图书包括学前教育、初等教育、中等教育、特殊教育的全科目课程标准、教学参考书、教学辅导书等教育类图书书目。</w:t>
            </w:r>
            <w:r>
              <w:rPr>
                <w:rFonts w:hint="eastAsia" w:ascii="宋体" w:hAnsi="宋体"/>
                <w:color w:val="auto"/>
                <w:szCs w:val="21"/>
                <w:highlight w:val="none"/>
              </w:rPr>
              <w:t>博士点申报建设图书包括数学、地理、马克思主义、信息与通信工程、计算机技术、汉语言文学等专业</w:t>
            </w:r>
            <w:r>
              <w:rPr>
                <w:rFonts w:cs="宋体"/>
                <w:color w:val="auto"/>
                <w:szCs w:val="21"/>
                <w:highlight w:val="none"/>
              </w:rPr>
              <w:t>图书书目</w:t>
            </w:r>
            <w:r>
              <w:rPr>
                <w:rFonts w:hint="eastAsia" w:cs="宋体"/>
                <w:color w:val="auto"/>
                <w:szCs w:val="21"/>
                <w:highlight w:val="none"/>
              </w:rPr>
              <w:t>。</w:t>
            </w:r>
          </w:p>
          <w:p w14:paraId="1168A78C">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1.4以下的图书不包含在本次采购范围中：散页、开本尺寸小于18CM，活页，乐谱，袋装书，试卷集、挂图、配磁带书、少于40页以下纯光盘；不符合办学层次要求的图书，如高职高专、成教、自考等图书；无文字仅插图、类似记事本图书；少数民族文字的图书。若发现采购人书目订单内包含上述范围内图书，中标供应商须及时告知采购人，由采购人确认。影印版图书也须由采购人确认。</w:t>
            </w:r>
          </w:p>
          <w:p w14:paraId="76F0596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1.5订单处理方式。中标供应商收到采购人发送书目订单（MARC格式或EXCEL格式）后的3个工作日内，反馈给采购人进行订单确认。</w:t>
            </w:r>
          </w:p>
          <w:p w14:paraId="7DA2E9C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1.6中标供应商保证按采购人订购的图书品种、数量及时供货，期货图书下达订单后两个月内到书率不低于85%，全年到书率达92%以上；现货图书下达订单后一个月内到书率不低于90%，两个月到书率达95%以上（能够提供出版社证明的不计入未到图书）。中标供应商主动提供未到书清单，说明原因，尽快设法补订未到图书。两月内如中标供应商订单总数到书率低于85%（未出版图书、绝版书不计在内），采购人可视其为不具备供货能力，并可单方面提出终止供货合同，取消未到货订单。中标供应商提供保证到书率的措施；为尽可能消除因中标供应商不能按合同规定要求供货所造成的影响，采购人有权采取相应的补救措施（如向其他中标供应商补订），由此给采购人造成的各项损失或增加的各项费用（如折让损失、邮费、数据费、加工费）等均由违约的中标供应商承担，从图书结算款中扣除。由于出版社原因造成图书不能按时交书的，及时告知采购人。</w:t>
            </w:r>
          </w:p>
          <w:p w14:paraId="6DEF995C">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1.7所有图书订购的品种、复本均由采购人决定。中标供应商须严格按照采购人报送的订单及订数配送图书，不得自行搭配。如验收发现与订单不符（包括重发），中标供应商须无条件接受退货，由此造成的全部损失由中标供应商负责。</w:t>
            </w:r>
          </w:p>
          <w:p w14:paraId="1BDB5A6E">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1.8实际到书与书目订单有变化的，如ISBN号、书名、著者、价格等，中标供应商须列表通知采购人。修改有关订单数据，重新确认订购需求。书价（码洋）变更差额大于30%的，采购人有权变更订购数量。</w:t>
            </w:r>
          </w:p>
          <w:p w14:paraId="4928F91D">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1.9对采购人加急购买的图书，如当当、京东、亚马逊等网上书店有售，均可以采用网购形式，并及时配送给采购人。结算实洋价＝图书码洋价×中标折扣率。对于时效性较强且易过时的图书（如计算机类、考试类等），中标供应商须制定有效的快捷措施，确保及时到书。</w:t>
            </w:r>
          </w:p>
          <w:p w14:paraId="43E9AE7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1.10凡不符合采购人采购内容、范围及装帧要求的图书；非采购人订购的图书；存在印刷图文不清、装订错误、污损、缺附件、光盘破损等质量问题的图书；任何国家法规明令禁止出版发行的图书；意识形态问题图书等。无论图书是否加工、验收，采购人有权无条件退货或调换，由此造成的全部损失由中标供应商承担。</w:t>
            </w:r>
          </w:p>
          <w:p w14:paraId="76D7F342">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1.11中标供应商在图书发运前对其进行满足于运输距离、防潮、防霉、防破损装卸要求以及按采购人要求包装，以保证送交到采购人的图书没有任何质量问题。图书安全到达采购人指定地点，现场验收。随书提供与该批图书数量、品种、价格相符的送书清单。转账前根据中标供应商实际验收的图书入库清单提供纸质及电子版图书汇总清单各一份。</w:t>
            </w:r>
          </w:p>
          <w:p w14:paraId="559C22D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1.12书款与发货单不相符时，采购人及时通知中标供应商核算。本地中标供应商接到通知之日起2个工作日内，外地中标供应商接到通知之日起3个工作日内核对，如不能在此期间确认核算的，以采购人验收的实际数额结算书款。</w:t>
            </w:r>
          </w:p>
          <w:p w14:paraId="61F243B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1.13中标供应商每个月主动提供准确的未到图书清单及未到图书原因说明。</w:t>
            </w:r>
          </w:p>
          <w:p w14:paraId="261D8021">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1.14中标供应商有举办线下及线上图书采购会或馆配会的能力。</w:t>
            </w:r>
          </w:p>
          <w:p w14:paraId="54C93CF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1.15图书经采购人图书集成管理系统典藏之日起一年内为质保期。质保期内，图书流通过程中（非人为因素）发现的质量问题、加工有误、编目数据有误、RFID电子标签或防盗磁条错误等问题，中标供应商须负责及时补书或重新加工图书，一切相关费用由中标供应商承担。</w:t>
            </w:r>
          </w:p>
          <w:p w14:paraId="4735AF4B">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1.16文明施工，做好加工场地的清洁卫生。中标供应商加工完图书后需要清洁电脑、桌子、地板，将垃圾运送至垃圾回收处。</w:t>
            </w:r>
          </w:p>
          <w:p w14:paraId="7192B3F9">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1.17如中标供应商被终止供货资格后，对已完成验收结算的图书仍承担相应的质量责任。</w:t>
            </w:r>
          </w:p>
          <w:p w14:paraId="7A46EFDD">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2.技术要求</w:t>
            </w:r>
          </w:p>
          <w:p w14:paraId="0E6CD88A">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2.1图书采访数据要求</w:t>
            </w:r>
          </w:p>
          <w:p w14:paraId="00BBE54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中标供应商通过电子网站、电子邮件等方式提供新书征订书目数据和机读预编目数据（数据要求参见《中国机读目录格式使用手册》、《CALIS联机合作编目手册》及附表二：中文图书编目MARC字段要求）给采购人，且数据完全符合采购人的图书集成管理系统的格式及运行需求，在采购人的图书集成管理系统能无障碍使用。</w:t>
            </w:r>
          </w:p>
          <w:p w14:paraId="4358732B">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2.1.2采访数据配送率达100%，其中国家图书馆标准数据占98%以上（影印版图书采用CALIS标准数据）。</w:t>
            </w:r>
          </w:p>
          <w:p w14:paraId="33471B4E">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2.2采购及反馈要求</w:t>
            </w:r>
          </w:p>
          <w:p w14:paraId="49EF46B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2.2.1订单查重：提供本批订单与历史订单查重服务；本批订单互相查重服务。如发现有重，须及时与采购人确认。</w:t>
            </w:r>
          </w:p>
          <w:p w14:paraId="7B79C4D5">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2.2.2复本量：一般情况下采购人复本量为1—4册，如出现采购量异常，及时与采购人确认。 </w:t>
            </w:r>
          </w:p>
          <w:p w14:paraId="0981091B">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2.2.3大码洋图书：采购人认定单册码洋超过150元的图书为大码洋图书，一般仅订1册。如订单超过1册，及时与采购人确认。</w:t>
            </w:r>
          </w:p>
          <w:p w14:paraId="36470FA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2.2.4影印版的书籍一般订1册。如超过1册，及时与采购人确认。</w:t>
            </w:r>
          </w:p>
          <w:p w14:paraId="5F31228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2.2.5对订购不到的图书，要及时回告，以便采购人删除书目订单记录。</w:t>
            </w:r>
          </w:p>
          <w:p w14:paraId="7B06AE91">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2.3图书分编要求</w:t>
            </w:r>
          </w:p>
          <w:p w14:paraId="4A63F7D9">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2.3.1中标供应商派出服务团队人员中至少包括1名编目人员（编目人员具有CALIS中文三级编目员资格，备证书核查，且接受对采购人的图书集成管理系统操作及编目规则等内容要求的培训后，合同期间原则上不予更换）到采购人指定地点进行数据著录。</w:t>
            </w:r>
          </w:p>
          <w:p w14:paraId="78280D61">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2.3.2中标供应商在送交每一批图书时，随书提供规范的MARC机读编目数据（按《中国图书馆分类法》最新版进行分类标引）。中文图书及附件的 CNMARC数据格式符合《中国机读目录格式使用手册》的著录格式；影印版图书及附件的 USMARC 数据格式符合《西文文献著录条例》和《英美编目规则》的著录格式。每条编目数据的字段著录标准规范，分类标引尽量细化、准确。每一条机读目录数据能准确、全面地揭示图书的内容特征及外形特征。编目数据完全符合采购人的图书集成管理系统的格式及运行要求，能在采购人的图书集成管理系统无障碍使用。编目数据配送率达100%，其中国家图书馆标准数据占95%以上（影印版图书采用CALIS标准数据）（见附表二：中文图书编目MARC字段要求）。所产生的一切费用均包含在本项目总报价中。</w:t>
            </w:r>
          </w:p>
          <w:p w14:paraId="3396425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2.3.3依据《中国图书馆分类法》第五版及《南宁师范大学图书馆图书分编细则》对图书进行分类标引。</w:t>
            </w:r>
          </w:p>
          <w:p w14:paraId="267CDB01">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2.3.4中文图书纸质附件的编目加工要求</w:t>
            </w:r>
          </w:p>
          <w:p w14:paraId="1EEA7A73">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图书附件如有自己的独立题名，内容较多且独立，总页数超过60页以上，按普通图书分编加工处理，并在所属图书的机读目录数据中的附注项说明其附件的条形码和ISBN号。如果主件和附件的题名不一致时，要求在各自的编目数据的附注项中进行相互链接说明；如果附件的总页数低于60页以下，无需加工，但须与图书主件一起发货送交采购人。</w:t>
            </w:r>
          </w:p>
          <w:p w14:paraId="24685363">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▲2.3.5对采购人已有的不少于800种非招标图书（捐赠图书）进行免费分编。</w:t>
            </w:r>
          </w:p>
          <w:p w14:paraId="5153CCF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2.4图书加工要求</w:t>
            </w:r>
          </w:p>
          <w:p w14:paraId="16EBDF7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标供应商根据采购人要求提供盖章、永久性磁条、RFID标签、条码、书标、色标、覆膜、数据转换、馆藏地址修改等图书的全部加工工作，承担全套加工服务及相应耗材。中标供应商至少派出2名图书加工人员到采购人指定地点进行图书加工。</w:t>
            </w:r>
          </w:p>
          <w:p w14:paraId="71E81AF0">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2.4.1盖馆藏章。印油为红色，盖2处，一处在书名页（居中，不要挡文字）；另一处在书口中间（居中，字体朝向封面）。</w:t>
            </w:r>
          </w:p>
          <w:p w14:paraId="705E530F">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2.4.2贴磁条。采用16CM的永久性磁条，粘贴以不易发现为要，粘贴在书本第一页为准后数第10页位置。如临时调整粘贴的具体要求，则另行通知。</w:t>
            </w:r>
          </w:p>
          <w:p w14:paraId="6DA5599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2.4.3贴条形码。每本书贴4cm×2cm材质为PET纸张，碳带为全树脂打印的同一号条形码2张。1张贴在书名页（天头居中，不要挡文字），另1张贴在最后一页（天头居中，不要挡文字）。同一批书条形码必须连续。所有随书光盘按要求装牛皮纸袋，并在纸袋的左上角粘贴不干胶书标一枚及在光盘下部位置粘贴光盘条形码。</w:t>
            </w:r>
          </w:p>
          <w:p w14:paraId="7B6BBCEA">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2.4.4 贴RFID标签。将 RFID 电子标签粘贴在以书本最后一页为准倒数第10页位置。如临时调整粘贴的具体要求，则另行通知。（见附表三：RFID标签）</w:t>
            </w:r>
          </w:p>
          <w:p w14:paraId="6F3B57F6">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2.4.5贴书标。打印书标，加贴书标（贴在书脊的最下端），色标，覆膜，更改馆藏地址，RFID标签数据转换。</w:t>
            </w:r>
          </w:p>
          <w:p w14:paraId="52AA7B6A">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▲2.4.6将加工完成的图书打包、运送到五个校区（明秀、五合、武鸣、建政、长岗）指定位置定位、上架，全部费用由中标供应商承担。</w:t>
            </w:r>
          </w:p>
          <w:p w14:paraId="714D85D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▲2.4.7中标供应商在运送加工后图书至各校区的过程中须妥善保管图书，确保图书完整无损。如有损坏、遗失等，中标供应商须负责及时补书、重新加工，全部费用由中标供应商承担。</w:t>
            </w:r>
          </w:p>
          <w:p w14:paraId="46159939">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▲2.4.8不按采购人加工要求进行图书加工的，采购人有权要求中标供应商重新加工或更换图书或退书，由此造成的全部损失由中标供应商承担。</w:t>
            </w:r>
          </w:p>
          <w:p w14:paraId="45A3F80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▲2.4.9中标供应商负责送到采购人指定场地加工图书，采购人保留合同期内调整加工场地权利，调整加工场地时，图书搬迁所产生的费用由中标供应商承担。</w:t>
            </w:r>
          </w:p>
        </w:tc>
      </w:tr>
      <w:tr w14:paraId="49C43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tcPr>
          <w:p w14:paraId="60C391FB">
            <w:pPr>
              <w:spacing w:line="360" w:lineRule="exact"/>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b/>
                <w:color w:val="auto"/>
                <w:szCs w:val="21"/>
                <w:highlight w:val="none"/>
              </w:rPr>
              <w:t>一、商务要求</w:t>
            </w:r>
          </w:p>
        </w:tc>
      </w:tr>
      <w:tr w14:paraId="4BB523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07898A9E">
            <w:pPr>
              <w:spacing w:line="360" w:lineRule="exact"/>
              <w:jc w:val="center"/>
              <w:rPr>
                <w:rFonts w:ascii="宋体" w:hAnsi="宋体"/>
                <w:color w:val="auto"/>
                <w:szCs w:val="21"/>
                <w:highlight w:val="none"/>
              </w:rPr>
            </w:pPr>
            <w:r>
              <w:rPr>
                <w:rFonts w:hint="eastAsia" w:ascii="宋体" w:hAnsi="宋体"/>
                <w:color w:val="auto"/>
                <w:szCs w:val="21"/>
                <w:highlight w:val="none"/>
              </w:rPr>
              <w:t>合同签订期</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4297917C">
            <w:pPr>
              <w:spacing w:line="360" w:lineRule="exact"/>
              <w:rPr>
                <w:rFonts w:ascii="宋体" w:hAnsi="宋体"/>
                <w:color w:val="auto"/>
                <w:szCs w:val="21"/>
                <w:highlight w:val="none"/>
              </w:rPr>
            </w:pPr>
            <w:r>
              <w:rPr>
                <w:rFonts w:hint="eastAsia" w:ascii="宋体" w:hAnsi="宋体"/>
                <w:color w:val="auto"/>
                <w:szCs w:val="21"/>
                <w:highlight w:val="none"/>
              </w:rPr>
              <w:t>中标供应商在收到中标通知书25个日历日内与采购人完成合同签订。</w:t>
            </w:r>
          </w:p>
        </w:tc>
      </w:tr>
      <w:tr w14:paraId="74699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7F2C576D">
            <w:pPr>
              <w:spacing w:line="360" w:lineRule="exact"/>
              <w:jc w:val="center"/>
              <w:rPr>
                <w:rFonts w:ascii="宋体" w:hAnsi="宋体"/>
                <w:color w:val="auto"/>
                <w:szCs w:val="21"/>
                <w:highlight w:val="none"/>
              </w:rPr>
            </w:pPr>
            <w:r>
              <w:rPr>
                <w:rFonts w:hint="eastAsia" w:ascii="宋体" w:hAnsi="宋体"/>
                <w:color w:val="auto"/>
                <w:szCs w:val="21"/>
                <w:highlight w:val="none"/>
              </w:rPr>
              <w:t>服务期及地点</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6322E183">
            <w:pPr>
              <w:spacing w:line="360" w:lineRule="exact"/>
              <w:rPr>
                <w:rFonts w:ascii="宋体" w:hAnsi="宋体"/>
                <w:color w:val="auto"/>
                <w:szCs w:val="21"/>
                <w:highlight w:val="none"/>
              </w:rPr>
            </w:pPr>
            <w:r>
              <w:rPr>
                <w:rFonts w:hint="eastAsia" w:ascii="宋体" w:hAnsi="宋体"/>
                <w:color w:val="auto"/>
                <w:szCs w:val="21"/>
                <w:highlight w:val="none"/>
              </w:rPr>
              <w:t>1.服务期：自签订合同之日起至2027年12 月31日止。</w:t>
            </w:r>
          </w:p>
          <w:p w14:paraId="4C32549A">
            <w:pPr>
              <w:spacing w:line="360" w:lineRule="exact"/>
              <w:rPr>
                <w:rFonts w:ascii="宋体" w:hAnsi="宋体"/>
                <w:color w:val="auto"/>
                <w:szCs w:val="21"/>
                <w:highlight w:val="none"/>
              </w:rPr>
            </w:pPr>
            <w:r>
              <w:rPr>
                <w:rFonts w:hint="eastAsia" w:ascii="宋体" w:hAnsi="宋体"/>
                <w:color w:val="auto"/>
                <w:szCs w:val="21"/>
                <w:highlight w:val="none"/>
              </w:rPr>
              <w:t>2.合同履约期：自签订合同之日起至2026年11月10日前执行合同总金额的67%，至2027年10月31日前完成全部合同金额。</w:t>
            </w:r>
          </w:p>
          <w:p w14:paraId="41E47502">
            <w:pPr>
              <w:spacing w:line="360" w:lineRule="exact"/>
              <w:rPr>
                <w:rFonts w:ascii="宋体" w:hAnsi="宋体"/>
                <w:color w:val="auto"/>
                <w:szCs w:val="21"/>
                <w:highlight w:val="none"/>
              </w:rPr>
            </w:pPr>
            <w:r>
              <w:rPr>
                <w:rFonts w:hint="eastAsia" w:ascii="宋体" w:hAnsi="宋体"/>
                <w:color w:val="auto"/>
                <w:szCs w:val="21"/>
                <w:highlight w:val="none"/>
              </w:rPr>
              <w:t>3.服务地点：广西南宁市采购人指定地点。</w:t>
            </w:r>
          </w:p>
        </w:tc>
      </w:tr>
      <w:tr w14:paraId="2D7EB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11FE11FE">
            <w:pPr>
              <w:spacing w:line="360" w:lineRule="exact"/>
              <w:jc w:val="center"/>
              <w:rPr>
                <w:rFonts w:ascii="宋体" w:hAnsi="宋体"/>
                <w:color w:val="auto"/>
                <w:szCs w:val="21"/>
                <w:highlight w:val="none"/>
              </w:rPr>
            </w:pPr>
            <w:r>
              <w:rPr>
                <w:rFonts w:hint="eastAsia" w:ascii="宋体" w:hAnsi="宋体"/>
                <w:color w:val="auto"/>
                <w:szCs w:val="21"/>
                <w:highlight w:val="none"/>
              </w:rPr>
              <w:t>质</w:t>
            </w:r>
            <w:r>
              <w:rPr>
                <w:rFonts w:ascii="宋体" w:hAnsi="宋体"/>
                <w:color w:val="auto"/>
                <w:szCs w:val="21"/>
                <w:highlight w:val="none"/>
              </w:rPr>
              <w:t>保期</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5B04F53E">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1.按国家有关产品“三包”规定执行“三包”，若</w:t>
            </w:r>
            <w:r>
              <w:rPr>
                <w:rFonts w:ascii="宋体" w:hAnsi="宋体"/>
                <w:color w:val="auto"/>
                <w:szCs w:val="21"/>
                <w:highlight w:val="none"/>
              </w:rPr>
              <w:t>中标供应商承诺质保期优于国家</w:t>
            </w:r>
            <w:r>
              <w:rPr>
                <w:rFonts w:hint="eastAsia" w:ascii="宋体" w:hAnsi="宋体"/>
                <w:color w:val="auto"/>
                <w:szCs w:val="21"/>
                <w:highlight w:val="none"/>
              </w:rPr>
              <w:t>“三包”规定或</w:t>
            </w:r>
            <w:r>
              <w:rPr>
                <w:rFonts w:ascii="宋体" w:hAnsi="宋体"/>
                <w:color w:val="auto"/>
                <w:szCs w:val="21"/>
                <w:highlight w:val="none"/>
              </w:rPr>
              <w:t>优于招标文件规定的</w:t>
            </w:r>
            <w:r>
              <w:rPr>
                <w:rFonts w:hint="eastAsia" w:ascii="宋体" w:hAnsi="宋体"/>
                <w:color w:val="auto"/>
                <w:szCs w:val="21"/>
                <w:highlight w:val="none"/>
              </w:rPr>
              <w:t>，合同</w:t>
            </w:r>
            <w:r>
              <w:rPr>
                <w:rFonts w:ascii="宋体" w:hAnsi="宋体"/>
                <w:color w:val="auto"/>
                <w:szCs w:val="21"/>
                <w:highlight w:val="none"/>
              </w:rPr>
              <w:t>履行时按中标供应商承诺执行</w:t>
            </w:r>
            <w:r>
              <w:rPr>
                <w:rFonts w:hint="eastAsia" w:ascii="宋体" w:hAnsi="宋体"/>
                <w:color w:val="auto"/>
                <w:szCs w:val="21"/>
                <w:highlight w:val="none"/>
              </w:rPr>
              <w:t>。</w:t>
            </w:r>
          </w:p>
          <w:p w14:paraId="68413FA9">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.本项目图书质保期为经采购人图书集成管理系统典藏之日起一年之内。</w:t>
            </w:r>
          </w:p>
          <w:p w14:paraId="2A342511">
            <w:pPr>
              <w:spacing w:line="36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质</w:t>
            </w:r>
            <w:r>
              <w:rPr>
                <w:rFonts w:ascii="宋体" w:hAnsi="宋体"/>
                <w:color w:val="auto"/>
                <w:szCs w:val="21"/>
                <w:highlight w:val="none"/>
              </w:rPr>
              <w:t>保期</w:t>
            </w:r>
            <w:r>
              <w:rPr>
                <w:rFonts w:hint="eastAsia" w:ascii="宋体" w:hAnsi="宋体"/>
                <w:color w:val="auto"/>
                <w:szCs w:val="21"/>
                <w:highlight w:val="none"/>
              </w:rPr>
              <w:t>内，图书在使用过程中发现有非人为因素所引起的缺页、破损等质量问题图书，要求中标供应商无条件退换。</w:t>
            </w:r>
          </w:p>
        </w:tc>
      </w:tr>
      <w:tr w14:paraId="2E07A8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71EC9596">
            <w:pPr>
              <w:spacing w:line="360" w:lineRule="exact"/>
              <w:jc w:val="center"/>
              <w:rPr>
                <w:rFonts w:ascii="宋体" w:hAnsi="宋体"/>
                <w:color w:val="auto"/>
                <w:szCs w:val="21"/>
                <w:highlight w:val="none"/>
              </w:rPr>
            </w:pPr>
            <w:r>
              <w:rPr>
                <w:rFonts w:hint="eastAsia" w:ascii="宋体" w:hAnsi="宋体"/>
                <w:color w:val="auto"/>
                <w:szCs w:val="21"/>
                <w:highlight w:val="none"/>
              </w:rPr>
              <w:t>售</w:t>
            </w:r>
            <w:r>
              <w:rPr>
                <w:rFonts w:ascii="宋体" w:hAnsi="宋体"/>
                <w:color w:val="auto"/>
                <w:szCs w:val="21"/>
                <w:highlight w:val="none"/>
              </w:rPr>
              <w:t>后服务要求</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1C33852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1.送货上门，按采购人要求包装并运送至指定地点。</w:t>
            </w:r>
          </w:p>
          <w:p w14:paraId="7F87946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2.中标供应商负责处理解决货物出现的质量及安全问题并承担一切费用。</w:t>
            </w:r>
          </w:p>
          <w:p w14:paraId="0F55744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3.遇质量问题或其他突发情况，中标供应商在接到采购人通知后，需要在2小时内作出响应，12小时内到达现场。</w:t>
            </w:r>
          </w:p>
          <w:p w14:paraId="5C5ADCF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4.项目供货过程中产生的残留物或垃圾，需由中标供应商自行清理至垃圾回收处。</w:t>
            </w:r>
          </w:p>
          <w:p w14:paraId="24DC2F1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5.质保期过后，中标供应商为采购人提供电话咨询形式的技术援助，解答采购人在使用中标供应商所供应图书中遇到的问题，及时为采购人提出解决问题的建议，并不予收费。</w:t>
            </w:r>
          </w:p>
        </w:tc>
      </w:tr>
      <w:tr w14:paraId="1FAB6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76D7145A">
            <w:pPr>
              <w:snapToGrid w:val="0"/>
              <w:spacing w:line="360" w:lineRule="exact"/>
              <w:jc w:val="center"/>
              <w:rPr>
                <w:rFonts w:ascii="宋体" w:hAnsi="宋体" w:cs="宋体"/>
                <w:color w:val="auto"/>
                <w:kern w:val="0"/>
                <w:szCs w:val="21"/>
                <w:highlight w:val="none"/>
              </w:rPr>
            </w:pPr>
            <w:r>
              <w:rPr>
                <w:rFonts w:hint="eastAsia" w:ascii="宋体" w:hAnsi="宋体"/>
                <w:color w:val="auto"/>
                <w:szCs w:val="21"/>
                <w:highlight w:val="none"/>
              </w:rPr>
              <w:t>付款方式</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3434BE34">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1.本项目中标供应商可分批供货，在项目服务时间内最多可分六批供货。</w:t>
            </w:r>
          </w:p>
          <w:p w14:paraId="66718DF5">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2.中标供应商批次到货后，采购人按照合同进行验收，签署该批次验收单。</w:t>
            </w:r>
          </w:p>
          <w:p w14:paraId="2D5FCB45">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3中标供应商对该批书办理差、错图书的退书手续后，按实际验收合格图书的实洋价合计值（实洋价合计值＝图书码洋价合计值×中标折扣率）结算应付货款，并在该批次验收单上注明退书货款及应付货款。</w:t>
            </w:r>
          </w:p>
          <w:p w14:paraId="4F05D2AF">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4.双方核对货款金额无误后，中标供应商开具</w:t>
            </w:r>
            <w:r>
              <w:rPr>
                <w:color w:val="auto"/>
                <w:highlight w:val="none"/>
              </w:rPr>
              <w:t>当批供货图书</w:t>
            </w:r>
            <w:r>
              <w:rPr>
                <w:rFonts w:hint="eastAsia"/>
                <w:color w:val="auto"/>
                <w:highlight w:val="none"/>
              </w:rPr>
              <w:t>等</w:t>
            </w:r>
            <w:r>
              <w:rPr>
                <w:color w:val="auto"/>
                <w:highlight w:val="none"/>
              </w:rPr>
              <w:t>额发票</w:t>
            </w:r>
            <w:r>
              <w:rPr>
                <w:rFonts w:hint="eastAsia" w:ascii="宋体" w:hAnsi="宋体"/>
                <w:color w:val="auto"/>
                <w:szCs w:val="21"/>
                <w:highlight w:val="none"/>
              </w:rPr>
              <w:t>并提供</w:t>
            </w:r>
            <w:r>
              <w:rPr>
                <w:rFonts w:hint="eastAsia" w:ascii="宋体" w:hAnsi="宋体" w:cs="宋体"/>
                <w:color w:val="auto"/>
                <w:kern w:val="0"/>
                <w:szCs w:val="21"/>
                <w:highlight w:val="none"/>
              </w:rPr>
              <w:t>纸质及电子版图书汇总清单各一份，</w:t>
            </w:r>
            <w:r>
              <w:rPr>
                <w:rFonts w:hint="eastAsia" w:ascii="宋体" w:hAnsi="宋体"/>
                <w:color w:val="auto"/>
                <w:szCs w:val="21"/>
                <w:highlight w:val="none"/>
              </w:rPr>
              <w:t xml:space="preserve">向采购人提出付款申请；采购人在 </w:t>
            </w:r>
            <w:r>
              <w:rPr>
                <w:rFonts w:ascii="宋体" w:hAnsi="宋体"/>
                <w:color w:val="auto"/>
                <w:szCs w:val="21"/>
                <w:highlight w:val="none"/>
              </w:rPr>
              <w:t>10</w:t>
            </w:r>
            <w:r>
              <w:rPr>
                <w:rFonts w:hint="eastAsia" w:ascii="宋体" w:hAnsi="宋体"/>
                <w:color w:val="auto"/>
                <w:szCs w:val="21"/>
                <w:highlight w:val="none"/>
              </w:rPr>
              <w:t>个工作日内办理好转账业务。</w:t>
            </w:r>
          </w:p>
          <w:p w14:paraId="2D705B64">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票据要求：中标供应商必须按照采购人要求提供真实、有效、合法的正式发票。一旦发现中标供应商提供虚假发票，除须向采购人补开合法发票外，采购人有权终止合同，中标供应商不得提出异议，因终止合同而产生的一切损失均由中标供应商承担。</w:t>
            </w:r>
          </w:p>
          <w:p w14:paraId="4A6EE0AC">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6.本项目无预付款。</w:t>
            </w:r>
          </w:p>
          <w:p w14:paraId="1AADFC0E">
            <w:pPr>
              <w:snapToGrid w:val="0"/>
              <w:spacing w:line="360" w:lineRule="exact"/>
              <w:ind w:firstLine="420" w:firstLineChars="200"/>
              <w:jc w:val="left"/>
              <w:rPr>
                <w:rFonts w:ascii="宋体" w:hAnsi="宋体" w:cs="宋体"/>
                <w:color w:val="auto"/>
                <w:szCs w:val="21"/>
                <w:highlight w:val="none"/>
              </w:rPr>
            </w:pPr>
            <w:r>
              <w:rPr>
                <w:rFonts w:hint="eastAsia" w:ascii="宋体" w:hAnsi="宋体"/>
                <w:color w:val="auto"/>
                <w:szCs w:val="21"/>
                <w:highlight w:val="none"/>
              </w:rPr>
              <w:t>7.本合同使用货币币制如未作特别说明均为人民币。</w:t>
            </w:r>
          </w:p>
        </w:tc>
      </w:tr>
      <w:tr w14:paraId="05545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0DEF8147">
            <w:pPr>
              <w:spacing w:line="360" w:lineRule="exact"/>
              <w:jc w:val="center"/>
              <w:rPr>
                <w:rFonts w:ascii="宋体" w:hAnsi="宋体"/>
                <w:color w:val="auto"/>
                <w:szCs w:val="21"/>
                <w:highlight w:val="none"/>
              </w:rPr>
            </w:pPr>
            <w:r>
              <w:rPr>
                <w:rFonts w:hint="eastAsia" w:ascii="宋体" w:hAnsi="宋体"/>
                <w:color w:val="auto"/>
                <w:szCs w:val="21"/>
                <w:highlight w:val="none"/>
              </w:rPr>
              <w:t>报价要求</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383F39A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折扣率报价：投标供应商根据自身投标总成本【指图书成本及利润、运抵指定交货地点的各种费用（含装卸费）、图书加工服务费及耗材（芯片、条形码、书标、标签、保护膜等材料）、保险费、售后服务、产品质保、税金及其他所有成本费用的总和，以及有形或无形及可预计或不可预计的费用均由供应商负责】的情况，报出本项目图书的投标折扣率，供货周期内，所有图书采购均按实洋价付款，图书出版的标价为码洋价。实洋价合计值＝码洋价合计值×中标折扣率。</w:t>
            </w:r>
          </w:p>
          <w:p w14:paraId="6C94036D">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2.本分标实洋合计值即本分标采购预算金额，即中标供应商的具体合同实洋金额。</w:t>
            </w:r>
          </w:p>
        </w:tc>
      </w:tr>
      <w:tr w14:paraId="0FED6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0E94B7A0">
            <w:pPr>
              <w:spacing w:line="360" w:lineRule="exact"/>
              <w:jc w:val="center"/>
              <w:rPr>
                <w:rFonts w:ascii="宋体" w:hAnsi="宋体"/>
                <w:color w:val="auto"/>
                <w:szCs w:val="21"/>
                <w:highlight w:val="none"/>
              </w:rPr>
            </w:pPr>
            <w:r>
              <w:rPr>
                <w:rFonts w:hint="eastAsia" w:ascii="宋体" w:hAnsi="宋体"/>
                <w:color w:val="auto"/>
                <w:szCs w:val="21"/>
                <w:highlight w:val="none"/>
              </w:rPr>
              <w:t>验收要</w:t>
            </w:r>
            <w:r>
              <w:rPr>
                <w:rFonts w:ascii="宋体" w:hAnsi="宋体"/>
                <w:color w:val="auto"/>
                <w:szCs w:val="21"/>
                <w:highlight w:val="none"/>
              </w:rPr>
              <w:t>求</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7A553077">
            <w:pPr>
              <w:spacing w:line="360" w:lineRule="atLeast"/>
              <w:ind w:right="-57" w:rightChars="-27" w:firstLine="420" w:firstLineChars="200"/>
              <w:rPr>
                <w:rFonts w:ascii="宋体" w:hAnsi="宋体"/>
                <w:color w:val="auto"/>
                <w:szCs w:val="21"/>
                <w:highlight w:val="none"/>
              </w:rPr>
            </w:pPr>
            <w:r>
              <w:rPr>
                <w:rFonts w:hint="eastAsia" w:ascii="宋体" w:hAnsi="宋体"/>
                <w:color w:val="auto"/>
                <w:szCs w:val="21"/>
                <w:highlight w:val="none"/>
              </w:rPr>
              <w:t>1.采购人在中华人民共和国境内使用中</w:t>
            </w:r>
            <w:r>
              <w:rPr>
                <w:rFonts w:ascii="宋体" w:hAnsi="宋体"/>
                <w:color w:val="auto"/>
                <w:szCs w:val="21"/>
                <w:highlight w:val="none"/>
              </w:rPr>
              <w:t>标</w:t>
            </w:r>
            <w:r>
              <w:rPr>
                <w:rFonts w:hint="eastAsia" w:ascii="宋体" w:hAnsi="宋体"/>
                <w:color w:val="auto"/>
                <w:szCs w:val="21"/>
                <w:highlight w:val="none"/>
              </w:rPr>
              <w:t>供应商提供的服务（含</w:t>
            </w:r>
            <w:r>
              <w:rPr>
                <w:rFonts w:ascii="宋体" w:hAnsi="宋体"/>
                <w:color w:val="auto"/>
                <w:szCs w:val="21"/>
                <w:highlight w:val="none"/>
              </w:rPr>
              <w:t>所供图书</w:t>
            </w:r>
            <w:r>
              <w:rPr>
                <w:rFonts w:hint="eastAsia" w:ascii="宋体" w:hAnsi="宋体"/>
                <w:color w:val="auto"/>
                <w:szCs w:val="21"/>
                <w:highlight w:val="none"/>
              </w:rPr>
              <w:t>）时免受第三方提出的侵犯其专利权或其它知识产权的起诉。如果第三方提出侵权指控，中标供应商应承担由此而引起的一切法律责任和费用。</w:t>
            </w:r>
          </w:p>
          <w:p w14:paraId="3131400A">
            <w:pPr>
              <w:spacing w:line="360" w:lineRule="atLeast"/>
              <w:ind w:right="-57" w:rightChars="-27"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.采购人将同时按照招标文件以及中</w:t>
            </w:r>
            <w:r>
              <w:rPr>
                <w:rFonts w:ascii="宋体" w:hAnsi="宋体"/>
                <w:color w:val="auto"/>
                <w:szCs w:val="21"/>
                <w:highlight w:val="none"/>
              </w:rPr>
              <w:t>标</w:t>
            </w:r>
            <w:r>
              <w:rPr>
                <w:rFonts w:hint="eastAsia" w:ascii="宋体" w:hAnsi="宋体"/>
                <w:color w:val="auto"/>
                <w:szCs w:val="21"/>
                <w:highlight w:val="none"/>
              </w:rPr>
              <w:t>供应商投标文件承诺的条款进行逐项验收，如项目验收不合格，由中标供应商返工直至合格，有关返工、再行验收，以及给采购单位造成的损失等费用由中标供应商承担。</w:t>
            </w:r>
          </w:p>
          <w:p w14:paraId="49728E62">
            <w:pPr>
              <w:spacing w:line="360" w:lineRule="atLeast"/>
              <w:ind w:right="-57" w:rightChars="-27"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.中标供应商提供的图书，必须是合法合规的正版图书，如有违反，采购人可无条件退货并解除合同，一切责任及损失由中标供应商自行承担，采购人保留追究其虚假承诺的权利。</w:t>
            </w:r>
          </w:p>
          <w:p w14:paraId="4ACD1BC5">
            <w:pPr>
              <w:spacing w:line="360" w:lineRule="atLeast"/>
              <w:ind w:right="-57" w:rightChars="-27"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.验收过程中所产生的一切费用均由中标供应商承担，已包含在投标报价中。</w:t>
            </w:r>
          </w:p>
          <w:p w14:paraId="39AF2A0F">
            <w:pPr>
              <w:spacing w:line="360" w:lineRule="exact"/>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.其他补充事项详见招标文件合同主要条款格式部分。</w:t>
            </w:r>
          </w:p>
        </w:tc>
      </w:tr>
      <w:tr w14:paraId="33483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2146C6E0">
            <w:pPr>
              <w:spacing w:line="360" w:lineRule="exact"/>
              <w:rPr>
                <w:rFonts w:ascii="宋体" w:hAnsi="宋体"/>
                <w:color w:val="auto"/>
                <w:szCs w:val="21"/>
                <w:highlight w:val="none"/>
              </w:rPr>
            </w:pPr>
            <w:r>
              <w:rPr>
                <w:rFonts w:hint="eastAsia" w:ascii="宋体" w:hAnsi="宋体"/>
                <w:b/>
                <w:bCs/>
                <w:color w:val="auto"/>
                <w:szCs w:val="21"/>
                <w:highlight w:val="none"/>
              </w:rPr>
              <w:t>二、与实现项目目标相关的其他要求</w:t>
            </w:r>
          </w:p>
        </w:tc>
      </w:tr>
      <w:tr w14:paraId="76232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74943E33">
            <w:pPr>
              <w:spacing w:line="360" w:lineRule="exact"/>
              <w:rPr>
                <w:rFonts w:ascii="宋体" w:hAnsi="宋体"/>
                <w:b/>
                <w:color w:val="auto"/>
                <w:szCs w:val="21"/>
                <w:highlight w:val="none"/>
              </w:rPr>
            </w:pPr>
            <w:r>
              <w:rPr>
                <w:rFonts w:hint="eastAsia" w:ascii="宋体" w:hAnsi="宋体"/>
                <w:b/>
                <w:color w:val="auto"/>
                <w:szCs w:val="21"/>
                <w:highlight w:val="none"/>
              </w:rPr>
              <w:t>（一）投标人的履约能力要求</w:t>
            </w:r>
          </w:p>
        </w:tc>
      </w:tr>
      <w:tr w14:paraId="397D8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3CF78772">
            <w:pPr>
              <w:spacing w:line="360" w:lineRule="exact"/>
              <w:rPr>
                <w:rFonts w:ascii="宋体" w:hAnsi="宋体"/>
                <w:color w:val="auto"/>
                <w:szCs w:val="21"/>
                <w:highlight w:val="none"/>
              </w:rPr>
            </w:pPr>
            <w:r>
              <w:rPr>
                <w:rFonts w:hint="eastAsia" w:ascii="宋体" w:hAnsi="宋体"/>
                <w:color w:val="auto"/>
                <w:szCs w:val="21"/>
                <w:highlight w:val="none"/>
              </w:rPr>
              <w:t>政策性加分条件</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7F13E678">
            <w:pPr>
              <w:spacing w:line="360" w:lineRule="exact"/>
              <w:rPr>
                <w:rFonts w:ascii="宋体" w:hAnsi="宋体"/>
                <w:color w:val="auto"/>
                <w:szCs w:val="21"/>
                <w:highlight w:val="none"/>
              </w:rPr>
            </w:pPr>
            <w:r>
              <w:rPr>
                <w:rFonts w:hint="eastAsia" w:ascii="宋体" w:hAnsi="宋体"/>
                <w:color w:val="auto"/>
                <w:szCs w:val="21"/>
                <w:highlight w:val="none"/>
              </w:rPr>
              <w:t>见本招标文件第四章“评审程序、评审方法和评审标准”。</w:t>
            </w:r>
          </w:p>
        </w:tc>
      </w:tr>
      <w:tr w14:paraId="70A27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1F27D3ED">
            <w:pPr>
              <w:spacing w:line="360" w:lineRule="exact"/>
              <w:rPr>
                <w:rFonts w:ascii="宋体" w:hAnsi="宋体"/>
                <w:color w:val="auto"/>
                <w:szCs w:val="21"/>
                <w:highlight w:val="none"/>
              </w:rPr>
            </w:pPr>
            <w:r>
              <w:rPr>
                <w:rFonts w:hint="eastAsia" w:ascii="宋体" w:hAnsi="宋体"/>
                <w:color w:val="auto"/>
                <w:szCs w:val="21"/>
                <w:highlight w:val="none"/>
              </w:rPr>
              <w:t>质量管理体系要求</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55F9F114">
            <w:pPr>
              <w:spacing w:line="360" w:lineRule="exact"/>
              <w:rPr>
                <w:rFonts w:ascii="宋体" w:hAnsi="宋体"/>
                <w:color w:val="auto"/>
                <w:szCs w:val="21"/>
                <w:highlight w:val="none"/>
              </w:rPr>
            </w:pPr>
            <w:r>
              <w:rPr>
                <w:rFonts w:hint="eastAsia" w:ascii="宋体" w:hAnsi="宋体"/>
                <w:color w:val="auto"/>
                <w:szCs w:val="21"/>
                <w:highlight w:val="none"/>
              </w:rPr>
              <w:t>如有，请于投标文件中自行提供。</w:t>
            </w:r>
          </w:p>
        </w:tc>
      </w:tr>
      <w:tr w14:paraId="22EFF5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24F4004A">
            <w:pPr>
              <w:spacing w:line="360" w:lineRule="exact"/>
              <w:rPr>
                <w:rFonts w:ascii="宋体" w:hAnsi="宋体"/>
                <w:color w:val="auto"/>
                <w:szCs w:val="21"/>
                <w:highlight w:val="none"/>
              </w:rPr>
            </w:pPr>
            <w:r>
              <w:rPr>
                <w:rFonts w:hint="eastAsia" w:ascii="宋体" w:hAnsi="宋体"/>
                <w:color w:val="auto"/>
                <w:szCs w:val="21"/>
                <w:highlight w:val="none"/>
              </w:rPr>
              <w:t>业绩要求</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3FBBCE8E">
            <w:pPr>
              <w:spacing w:line="360" w:lineRule="exact"/>
              <w:rPr>
                <w:rFonts w:ascii="宋体" w:hAnsi="宋体"/>
                <w:color w:val="auto"/>
                <w:szCs w:val="21"/>
                <w:highlight w:val="none"/>
              </w:rPr>
            </w:pPr>
            <w:r>
              <w:rPr>
                <w:rFonts w:hint="eastAsia" w:ascii="宋体" w:hAnsi="宋体"/>
                <w:color w:val="auto"/>
                <w:szCs w:val="21"/>
                <w:highlight w:val="none"/>
              </w:rPr>
              <w:t>如有，请于投标文件中自行提供。</w:t>
            </w:r>
          </w:p>
        </w:tc>
      </w:tr>
      <w:tr w14:paraId="1D759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6AB784FC">
            <w:pPr>
              <w:tabs>
                <w:tab w:val="left" w:pos="180"/>
                <w:tab w:val="left" w:pos="1620"/>
              </w:tabs>
              <w:spacing w:line="360" w:lineRule="exact"/>
              <w:rPr>
                <w:rFonts w:ascii="宋体" w:hAnsi="宋体" w:cs="宋体"/>
                <w:bCs/>
                <w:color w:val="auto"/>
                <w:szCs w:val="21"/>
                <w:highlight w:val="none"/>
              </w:rPr>
            </w:pPr>
            <w:r>
              <w:rPr>
                <w:rFonts w:hint="eastAsia" w:ascii="宋体" w:hAnsi="宋体"/>
                <w:b/>
                <w:color w:val="auto"/>
                <w:szCs w:val="21"/>
                <w:highlight w:val="none"/>
              </w:rPr>
              <w:t>（二）验收标准</w:t>
            </w:r>
          </w:p>
        </w:tc>
      </w:tr>
      <w:tr w14:paraId="5D37F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43BEA47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1.以满足采购单位货物要求及服务要求为标准。</w:t>
            </w:r>
          </w:p>
          <w:p w14:paraId="03B87EF1">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其他未尽事宜应严格按照《关于印发广西壮族自治区政府采购项目履约验收管理办法的通知》[桂财采〔2015〕22号]以及《财政部关于进一步加强政府采购需求和履约验收管理的指导意见》[财库〔2016〕205号]规定执行。</w:t>
            </w:r>
          </w:p>
          <w:p w14:paraId="57EA93E1">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3.服务过程中，涉及实行强制标准认证制度、生产许可证制度、销售或经营许可证制度、注册证制度等，中标供应商均应提供相关有效的证书复印件。</w:t>
            </w:r>
          </w:p>
        </w:tc>
      </w:tr>
      <w:tr w14:paraId="17FF7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4830ECF6">
            <w:pPr>
              <w:spacing w:line="360" w:lineRule="exact"/>
              <w:rPr>
                <w:rFonts w:ascii="宋体" w:hAnsi="宋体"/>
                <w:color w:val="auto"/>
                <w:szCs w:val="21"/>
                <w:highlight w:val="none"/>
              </w:rPr>
            </w:pPr>
            <w:r>
              <w:rPr>
                <w:rFonts w:hint="eastAsia" w:ascii="宋体" w:hAnsi="宋体"/>
                <w:b/>
                <w:color w:val="auto"/>
                <w:szCs w:val="21"/>
                <w:highlight w:val="none"/>
              </w:rPr>
              <w:t>（三）进口产品及核心产品说明</w:t>
            </w:r>
          </w:p>
        </w:tc>
      </w:tr>
      <w:tr w14:paraId="156DF0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3F9A16EA">
            <w:pPr>
              <w:spacing w:line="360" w:lineRule="exact"/>
              <w:ind w:firstLine="435"/>
              <w:rPr>
                <w:rFonts w:ascii="宋体" w:hAnsi="宋体"/>
                <w:color w:val="auto"/>
                <w:szCs w:val="21"/>
                <w:highlight w:val="none"/>
              </w:rPr>
            </w:pPr>
            <w:r>
              <w:rPr>
                <w:rFonts w:hint="eastAsia" w:ascii="宋体" w:hAnsi="宋体"/>
                <w:color w:val="auto"/>
                <w:szCs w:val="21"/>
                <w:highlight w:val="none"/>
              </w:rPr>
              <w:t>本项目为服务类项目，无进</w:t>
            </w:r>
            <w:r>
              <w:rPr>
                <w:rFonts w:ascii="宋体" w:hAnsi="宋体"/>
                <w:color w:val="auto"/>
                <w:szCs w:val="21"/>
                <w:highlight w:val="none"/>
              </w:rPr>
              <w:t>口产品和</w:t>
            </w:r>
            <w:r>
              <w:rPr>
                <w:rFonts w:hint="eastAsia" w:ascii="宋体" w:hAnsi="宋体"/>
                <w:color w:val="auto"/>
                <w:szCs w:val="21"/>
                <w:highlight w:val="none"/>
              </w:rPr>
              <w:t>核心产品。</w:t>
            </w:r>
          </w:p>
        </w:tc>
      </w:tr>
      <w:tr w14:paraId="46B75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35ACF171">
            <w:pPr>
              <w:spacing w:line="360" w:lineRule="exact"/>
              <w:rPr>
                <w:rFonts w:ascii="宋体" w:hAnsi="宋体"/>
                <w:b/>
                <w:color w:val="auto"/>
                <w:szCs w:val="21"/>
                <w:highlight w:val="none"/>
              </w:rPr>
            </w:pPr>
            <w:r>
              <w:rPr>
                <w:rFonts w:hint="eastAsia" w:ascii="宋体" w:hAnsi="宋体"/>
                <w:b/>
                <w:color w:val="auto"/>
                <w:szCs w:val="21"/>
                <w:highlight w:val="none"/>
              </w:rPr>
              <w:t>（四）其他要求</w:t>
            </w:r>
          </w:p>
        </w:tc>
      </w:tr>
      <w:tr w14:paraId="04ABF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0332F452">
            <w:pPr>
              <w:spacing w:line="360" w:lineRule="exact"/>
              <w:jc w:val="center"/>
              <w:rPr>
                <w:rFonts w:ascii="宋体" w:hAnsi="宋体"/>
                <w:color w:val="auto"/>
                <w:szCs w:val="21"/>
                <w:highlight w:val="none"/>
              </w:rPr>
            </w:pPr>
            <w:r>
              <w:rPr>
                <w:rFonts w:hint="eastAsia" w:ascii="宋体" w:hAnsi="宋体"/>
                <w:color w:val="auto"/>
                <w:szCs w:val="21"/>
                <w:highlight w:val="none"/>
              </w:rPr>
              <w:t>▲</w:t>
            </w:r>
            <w:r>
              <w:rPr>
                <w:rFonts w:hint="eastAsia" w:ascii="宋体" w:hAnsi="宋体" w:cs="宋体"/>
                <w:b/>
                <w:color w:val="auto"/>
                <w:szCs w:val="21"/>
                <w:highlight w:val="none"/>
                <w:u w:val="single"/>
              </w:rPr>
              <w:t>有效报价范围</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54D3AF20">
            <w:pPr>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u w:val="single"/>
              </w:rPr>
              <w:t>1</w:t>
            </w:r>
            <w:r>
              <w:rPr>
                <w:rFonts w:ascii="宋体" w:hAnsi="宋体" w:cs="宋体"/>
                <w:b/>
                <w:color w:val="auto"/>
                <w:szCs w:val="21"/>
                <w:highlight w:val="none"/>
                <w:u w:val="single"/>
              </w:rPr>
              <w:t>.</w:t>
            </w:r>
            <w:r>
              <w:rPr>
                <w:rFonts w:hint="eastAsia" w:ascii="宋体" w:hAnsi="宋体" w:cs="宋体"/>
                <w:b/>
                <w:color w:val="auto"/>
                <w:szCs w:val="21"/>
                <w:highlight w:val="none"/>
                <w:u w:val="single"/>
              </w:rPr>
              <w:t>有效报价范围为：0%≤投</w:t>
            </w:r>
            <w:r>
              <w:rPr>
                <w:rFonts w:ascii="宋体" w:hAnsi="宋体" w:cs="宋体"/>
                <w:b/>
                <w:color w:val="auto"/>
                <w:szCs w:val="21"/>
                <w:highlight w:val="none"/>
                <w:u w:val="single"/>
              </w:rPr>
              <w:t>标人</w:t>
            </w:r>
            <w:r>
              <w:rPr>
                <w:rFonts w:hint="eastAsia" w:ascii="宋体" w:hAnsi="宋体" w:cs="宋体"/>
                <w:b/>
                <w:color w:val="auto"/>
                <w:szCs w:val="21"/>
                <w:highlight w:val="none"/>
                <w:u w:val="single"/>
              </w:rPr>
              <w:t>折扣</w:t>
            </w:r>
            <w:r>
              <w:rPr>
                <w:rFonts w:ascii="宋体" w:hAnsi="宋体" w:cs="宋体"/>
                <w:b/>
                <w:color w:val="auto"/>
                <w:szCs w:val="21"/>
                <w:highlight w:val="none"/>
                <w:u w:val="single"/>
              </w:rPr>
              <w:t>率</w:t>
            </w:r>
            <w:r>
              <w:rPr>
                <w:rFonts w:hint="eastAsia" w:ascii="宋体" w:hAnsi="宋体" w:cs="宋体"/>
                <w:b/>
                <w:color w:val="auto"/>
                <w:szCs w:val="21"/>
                <w:highlight w:val="none"/>
                <w:u w:val="single"/>
              </w:rPr>
              <w:t>报价≤80%</w:t>
            </w:r>
            <w:r>
              <w:rPr>
                <w:rFonts w:hint="eastAsia" w:ascii="宋体" w:hAnsi="宋体" w:cs="宋体"/>
                <w:color w:val="auto"/>
                <w:szCs w:val="21"/>
                <w:highlight w:val="none"/>
              </w:rPr>
              <w:t>。</w:t>
            </w:r>
          </w:p>
          <w:p w14:paraId="57F24773">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w:t>
            </w:r>
            <w:r>
              <w:rPr>
                <w:rFonts w:hint="eastAsia"/>
                <w:color w:val="auto"/>
                <w:highlight w:val="none"/>
              </w:rPr>
              <w:t>本项目</w:t>
            </w:r>
            <w:r>
              <w:rPr>
                <w:rFonts w:hint="eastAsia" w:ascii="宋体" w:hAnsi="宋体"/>
                <w:color w:val="auto"/>
                <w:szCs w:val="21"/>
                <w:highlight w:val="none"/>
              </w:rPr>
              <w:t>按折扣率进行报价，</w:t>
            </w:r>
            <w:r>
              <w:rPr>
                <w:rFonts w:hint="eastAsia" w:ascii="宋体" w:hAnsi="宋体"/>
                <w:b/>
                <w:color w:val="auto"/>
                <w:szCs w:val="21"/>
                <w:highlight w:val="none"/>
              </w:rPr>
              <w:t>投标人对本项目只能有一个报价，采购人不接受有选择的报价，否则投标无效。</w:t>
            </w:r>
          </w:p>
        </w:tc>
      </w:tr>
      <w:tr w14:paraId="755A0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54F0EFBC">
            <w:pPr>
              <w:spacing w:line="360" w:lineRule="exact"/>
              <w:jc w:val="center"/>
              <w:rPr>
                <w:rFonts w:ascii="宋体" w:hAnsi="宋体"/>
                <w:color w:val="auto"/>
                <w:szCs w:val="21"/>
                <w:highlight w:val="none"/>
              </w:rPr>
            </w:pPr>
            <w:r>
              <w:rPr>
                <w:rFonts w:hint="eastAsia" w:ascii="宋体" w:hAnsi="宋体"/>
                <w:color w:val="auto"/>
                <w:szCs w:val="21"/>
                <w:highlight w:val="none"/>
              </w:rPr>
              <w:t>服务方案及</w:t>
            </w:r>
            <w:r>
              <w:rPr>
                <w:rFonts w:ascii="宋体" w:hAnsi="宋体"/>
                <w:color w:val="auto"/>
                <w:szCs w:val="21"/>
                <w:highlight w:val="none"/>
              </w:rPr>
              <w:t>其他要求</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3A29F2E9">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人根据自身情况，结合项目采购需求及评标办法（见招标文件第四章）提供针对本项目的服务方案（包括但不限于服务措施、图书配送方案、售后服务方案、新书查缺补漏补藏服务、声明有无定期回访、有无其他增值服务、能否实现本地化服务等）及编目质量和加工能力证明。</w:t>
            </w:r>
          </w:p>
          <w:p w14:paraId="44BA2ABE">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根据项目服务需求投入与项目相适应的服务人员团队（附人员名单），如有并附人员专业技术资格证书或职称证书等材料。</w:t>
            </w:r>
          </w:p>
          <w:p w14:paraId="3506971C">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如有，请提供相关</w:t>
            </w:r>
            <w:r>
              <w:rPr>
                <w:rFonts w:ascii="宋体" w:hAnsi="宋体"/>
                <w:color w:val="auto"/>
                <w:szCs w:val="21"/>
                <w:highlight w:val="none"/>
              </w:rPr>
              <w:t>能力</w:t>
            </w:r>
            <w:r>
              <w:rPr>
                <w:rFonts w:hint="eastAsia" w:ascii="宋体" w:hAnsi="宋体"/>
                <w:color w:val="auto"/>
                <w:szCs w:val="21"/>
                <w:highlight w:val="none"/>
              </w:rPr>
              <w:t>证明或业绩证明，或相关认证证书、奖项等。</w:t>
            </w:r>
          </w:p>
          <w:p w14:paraId="58DFF013">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4.其他：</w:t>
            </w:r>
          </w:p>
          <w:p w14:paraId="220A001E">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（1）投标人须具有数据服务及加工业务的专业人员。</w:t>
            </w:r>
          </w:p>
          <w:p w14:paraId="74B331FF">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（2）投标人须定期发布征订书目等图书信息，向图书馆推荐教学、科研所需的新书。</w:t>
            </w:r>
          </w:p>
          <w:p w14:paraId="1991FF32">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（3）投标人图书来源渠道广，图书品种丰富，应能覆盖学校所有学科。</w:t>
            </w:r>
          </w:p>
          <w:p w14:paraId="10F7E8E0">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（4）投标人具有良好的图书配送服务系统。</w:t>
            </w:r>
          </w:p>
          <w:p w14:paraId="11AD8656">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（5）投标人不得以任何形式和理由转包中标项目。</w:t>
            </w:r>
          </w:p>
          <w:p w14:paraId="4907441E">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（6）其他未尽事宜由采购人和中标供应商双方在采购合同中详细约定。</w:t>
            </w:r>
          </w:p>
          <w:p w14:paraId="36CD198D">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5.项目服务方案由投标人根据自身能力提供方案及承诺，对于以虚假承诺谋取中标的投标人将自行承担后果，其违法行为将报监督管理部门处理。</w:t>
            </w:r>
          </w:p>
        </w:tc>
      </w:tr>
    </w:tbl>
    <w:p w14:paraId="1A46D193">
      <w:pPr>
        <w:jc w:val="center"/>
        <w:rPr>
          <w:rFonts w:ascii="宋体" w:hAnsi="宋体" w:cs="Arial Unicode MS"/>
          <w:b/>
          <w:bCs/>
          <w:color w:val="auto"/>
          <w:sz w:val="32"/>
          <w:szCs w:val="32"/>
          <w:highlight w:val="none"/>
        </w:rPr>
      </w:pPr>
    </w:p>
    <w:p w14:paraId="29E2B5F7">
      <w:pPr>
        <w:jc w:val="center"/>
        <w:rPr>
          <w:rFonts w:ascii="宋体" w:hAnsi="宋体" w:cs="Arial Unicode MS"/>
          <w:b/>
          <w:bCs/>
          <w:color w:val="auto"/>
          <w:sz w:val="32"/>
          <w:szCs w:val="32"/>
          <w:highlight w:val="none"/>
        </w:rPr>
      </w:pPr>
    </w:p>
    <w:p w14:paraId="796B9C18">
      <w:pPr>
        <w:jc w:val="center"/>
        <w:rPr>
          <w:rFonts w:ascii="宋体" w:hAnsi="宋体" w:cs="Arial Unicode MS"/>
          <w:b/>
          <w:bCs/>
          <w:color w:val="auto"/>
          <w:sz w:val="32"/>
          <w:szCs w:val="32"/>
          <w:highlight w:val="none"/>
        </w:rPr>
      </w:pPr>
    </w:p>
    <w:p w14:paraId="6447AFBD">
      <w:pPr>
        <w:pStyle w:val="2"/>
        <w:rPr>
          <w:rFonts w:ascii="宋体" w:hAnsi="宋体" w:cs="Arial Unicode MS"/>
          <w:b/>
          <w:bCs/>
          <w:color w:val="auto"/>
          <w:sz w:val="32"/>
          <w:szCs w:val="32"/>
          <w:highlight w:val="none"/>
        </w:rPr>
      </w:pPr>
    </w:p>
    <w:p w14:paraId="40E42197">
      <w:pPr>
        <w:pStyle w:val="3"/>
        <w:rPr>
          <w:rFonts w:ascii="宋体" w:hAnsi="宋体" w:cs="Arial Unicode MS"/>
          <w:b/>
          <w:bCs/>
          <w:color w:val="auto"/>
          <w:sz w:val="32"/>
          <w:szCs w:val="32"/>
          <w:highlight w:val="none"/>
        </w:rPr>
      </w:pPr>
    </w:p>
    <w:p w14:paraId="51E188F6">
      <w:pPr>
        <w:pStyle w:val="4"/>
        <w:rPr>
          <w:rFonts w:hAnsi="宋体" w:cs="Arial Unicode MS"/>
          <w:color w:val="auto"/>
          <w:highlight w:val="none"/>
        </w:rPr>
      </w:pPr>
    </w:p>
    <w:p w14:paraId="195D1978">
      <w:pPr>
        <w:rPr>
          <w:color w:val="auto"/>
          <w:highlight w:val="none"/>
        </w:rPr>
      </w:pPr>
    </w:p>
    <w:p w14:paraId="30503CFB">
      <w:pPr>
        <w:jc w:val="center"/>
        <w:rPr>
          <w:rFonts w:ascii="宋体" w:hAnsi="宋体" w:cs="Arial Unicode MS"/>
          <w:b/>
          <w:bCs/>
          <w:color w:val="auto"/>
          <w:sz w:val="32"/>
          <w:szCs w:val="32"/>
          <w:highlight w:val="none"/>
        </w:rPr>
      </w:pPr>
    </w:p>
    <w:tbl>
      <w:tblPr>
        <w:tblStyle w:val="50"/>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4"/>
        <w:gridCol w:w="1272"/>
        <w:gridCol w:w="960"/>
        <w:gridCol w:w="5759"/>
      </w:tblGrid>
      <w:tr w14:paraId="66ABE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8805" w:type="dxa"/>
            <w:gridSpan w:val="4"/>
            <w:vAlign w:val="center"/>
          </w:tcPr>
          <w:p w14:paraId="11403131">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b/>
                <w:bCs/>
                <w:color w:val="auto"/>
                <w:sz w:val="32"/>
                <w:szCs w:val="32"/>
                <w:highlight w:val="none"/>
              </w:rPr>
              <w:t>标项四</w:t>
            </w:r>
          </w:p>
        </w:tc>
      </w:tr>
      <w:tr w14:paraId="1AEEA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814" w:type="dxa"/>
            <w:vAlign w:val="center"/>
          </w:tcPr>
          <w:p w14:paraId="6CC8289B">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72" w:type="dxa"/>
            <w:vAlign w:val="center"/>
          </w:tcPr>
          <w:p w14:paraId="55CAAA75">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960" w:type="dxa"/>
            <w:vAlign w:val="center"/>
          </w:tcPr>
          <w:p w14:paraId="5AFA36EC">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5759" w:type="dxa"/>
            <w:vAlign w:val="center"/>
          </w:tcPr>
          <w:p w14:paraId="4C19F591">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技术要求及需求</w:t>
            </w:r>
          </w:p>
        </w:tc>
      </w:tr>
      <w:tr w14:paraId="28DA7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0" w:hRule="atLeast"/>
          <w:jc w:val="center"/>
        </w:trPr>
        <w:tc>
          <w:tcPr>
            <w:tcW w:w="814" w:type="dxa"/>
            <w:vAlign w:val="center"/>
          </w:tcPr>
          <w:p w14:paraId="4FEA639B">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72" w:type="dxa"/>
            <w:vAlign w:val="center"/>
          </w:tcPr>
          <w:p w14:paraId="6DFC060D">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中文纸质图书采购加工服务（二）</w:t>
            </w:r>
          </w:p>
        </w:tc>
        <w:tc>
          <w:tcPr>
            <w:tcW w:w="960" w:type="dxa"/>
            <w:vAlign w:val="center"/>
          </w:tcPr>
          <w:p w14:paraId="78810B44">
            <w:pPr>
              <w:spacing w:line="360" w:lineRule="exact"/>
              <w:jc w:val="center"/>
              <w:rPr>
                <w:rFonts w:ascii="宋体" w:hAnsi="宋体"/>
                <w:color w:val="auto"/>
                <w:szCs w:val="21"/>
                <w:highlight w:val="none"/>
              </w:rPr>
            </w:pPr>
            <w:r>
              <w:rPr>
                <w:rFonts w:hint="eastAsia" w:ascii="宋体" w:hAnsi="宋体"/>
                <w:color w:val="auto"/>
                <w:szCs w:val="21"/>
                <w:highlight w:val="none"/>
              </w:rPr>
              <w:t>1批</w:t>
            </w:r>
          </w:p>
        </w:tc>
        <w:tc>
          <w:tcPr>
            <w:tcW w:w="5759" w:type="dxa"/>
            <w:vAlign w:val="center"/>
          </w:tcPr>
          <w:p w14:paraId="099A3B4C">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一、图书要求</w:t>
            </w:r>
          </w:p>
          <w:p w14:paraId="7CE1955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1.图书符合南宁师范大学专业及学科设置，在层次类别上以本科教学及研究生教学、博硕点建设为主，兼顾一般性读物。每种图书的复本量一般为 1-4册。</w:t>
            </w:r>
          </w:p>
          <w:p w14:paraId="752C3147">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2.中标供应商提供三目书目（《社科新书目》、《科技新书目》、《全国新书目》）、出版社自编书目及中标供应商</w:t>
            </w:r>
            <w:r>
              <w:rPr>
                <w:rFonts w:hint="eastAsia" w:ascii="宋体" w:hAnsi="宋体" w:cs="宋体"/>
                <w:color w:val="auto"/>
                <w:szCs w:val="21"/>
                <w:highlight w:val="none"/>
              </w:rPr>
              <w:t>专题书目等。</w:t>
            </w:r>
          </w:p>
          <w:p w14:paraId="3B6B73FE">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二、具体工作要求</w:t>
            </w:r>
          </w:p>
          <w:p w14:paraId="244DB336">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1.服务要求</w:t>
            </w:r>
          </w:p>
          <w:p w14:paraId="53E0F396">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1.1中标供应商确保提供采购人的订购书目是正版图书。盗版图书一经发现，除假一赔十外，并按政府采购合同条款相关规定处罚，直至双方解除合同。</w:t>
            </w:r>
          </w:p>
          <w:p w14:paraId="77ED9A9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1.2中标供应商提供规范、详实、准确的新书征订书目数据。要求每月至少更新2次，每次2000条左右，文理分类，每1000条左右一个数据包，科技专业图书品种数量不少于25％，年提供采访书目数据总量不少于8万条，数据来源要求100%覆盖核心出版社（见附表一：核心出版社目录）、全国500家以上出版社及当年三目新书数据。提供有利于采购人提高图书采访及馆藏质量的个性化服务，如专题书目等。及时提供全国性书展、书市的采访数据。书目采访数据包括正题名、著者（译者、编者等）、ISBN号、版别（本）、出版地、出版者、出版时间、价格、类号、页码、开本、装帧、内容提要等字段项目。影印版图书除提供以上字段外，还提供英文书名、著者英文姓名。其数据完全符合采购人图书集成管理系统（汇文系统，下同）的格式及运行要求，提供的所有数据都能在图书集成管理系统中无障碍使用。上述所产生的一切费用，都包含在本项目报价中。中标供应商不论何种原因故意隐藏图书出版信息或不提供可获得的图书，如采购人直接从出版社获得相应的图书出版信息的，中标供应商向采购人赔付图书价格五倍的书款，同时采购人有权终止与中标供应商签订的供货合同。</w:t>
            </w:r>
          </w:p>
          <w:p w14:paraId="71501ED7">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1.3重点图书需求。满足采购人采购师范专业认证图书和</w:t>
            </w:r>
            <w:r>
              <w:rPr>
                <w:rFonts w:hint="eastAsia" w:ascii="宋体" w:hAnsi="宋体"/>
                <w:color w:val="auto"/>
                <w:szCs w:val="21"/>
                <w:highlight w:val="none"/>
              </w:rPr>
              <w:t>博士点申报建设图书</w:t>
            </w:r>
            <w:r>
              <w:rPr>
                <w:rFonts w:hint="eastAsia" w:ascii="宋体" w:hAnsi="宋体" w:cs="宋体"/>
                <w:color w:val="auto"/>
                <w:kern w:val="0"/>
                <w:szCs w:val="21"/>
                <w:highlight w:val="none"/>
              </w:rPr>
              <w:t>需求，师范认证图书包括学前教育、初等教育、中等教育、特殊教育的全科目课程标准、教学参考书、教学辅导书等教育类图书书目。</w:t>
            </w:r>
            <w:r>
              <w:rPr>
                <w:rFonts w:hint="eastAsia" w:ascii="宋体" w:hAnsi="宋体"/>
                <w:color w:val="auto"/>
                <w:szCs w:val="21"/>
                <w:highlight w:val="none"/>
              </w:rPr>
              <w:t>博士点申报建设图书包括数学、地理、马克思主义、信息与通信工程、计算机技术、汉语言文学等专业</w:t>
            </w:r>
            <w:r>
              <w:rPr>
                <w:rFonts w:cs="宋体"/>
                <w:color w:val="auto"/>
                <w:szCs w:val="21"/>
                <w:highlight w:val="none"/>
              </w:rPr>
              <w:t>图书书目</w:t>
            </w:r>
            <w:r>
              <w:rPr>
                <w:rFonts w:hint="eastAsia" w:cs="宋体"/>
                <w:color w:val="auto"/>
                <w:szCs w:val="21"/>
                <w:highlight w:val="none"/>
              </w:rPr>
              <w:t>。</w:t>
            </w:r>
          </w:p>
          <w:p w14:paraId="29BC20B5">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1.4以下的图书不包含在本次采购范围中：散页、开本尺寸小于18CM，活页，乐谱，袋装书，试卷集、挂图、配磁带书、少于40页以下纯光盘；不符合办学层次要求的图书，如高职高专、成教、自考等图书；无文字仅插图、类似记事本图书；少数民族文字的图书。若发现采购人书目订单内包含上述范围内图书，中标供应商须及时告知采购人，由采购人确认。影印版图书也须由采购人确认。</w:t>
            </w:r>
          </w:p>
          <w:p w14:paraId="313F8A4F">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1.5订单处理方式。中标供应商收到采购人发送书目订单（MARC格式或EXCEL格式）后的3个工作日内，反馈给采购人进行订单确认。</w:t>
            </w:r>
          </w:p>
          <w:p w14:paraId="6DA9C845">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1.6中标供应商保证按采购人订购的图书品种、数量及时供货，期货图书下达订单后两个月内到书率不低于85%，全年到书率达92%以上；现货图书下达订单后一个月内到书率不低于90%，两个月到书率达95%以上（能够提供出版社证明的不计入未到图书）。中标供应商主动提供未到书清单，说明原因，尽快设法补订未到图书。两月内如中标供应商订单总数到书率低于85%（未出版图书、绝版书不计在内），采购人可视其为不具备供货能力，并可单方面提出终止供货合同，取消未到货订单。中标供应商提供保证到书率的措施；为尽可能消除因中标供应商不能按合同规定要求供货所造成的影响，采购人有权采取相应的补救措施（如向其他中标供应商补订），由此给采购人造成的各项损失或增加的各项费用（如折让损失、邮费、数据费、加工费）等均由违约的中标供应商承担，从图书结算款中扣除。由于出版社原因造成图书不能按时交书的，及时告知采购人。</w:t>
            </w:r>
          </w:p>
          <w:p w14:paraId="2574FB86">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1.7所有图书订购的品种、复本均由采购人决定。中标供应商须严格按照采购人报送的订单及订数配送图书，不得自行搭配。如验收发现与订单不符（包括重发），中标供应商须无条件接受退货，由此造成的全部损失由中标供应商负责。</w:t>
            </w:r>
          </w:p>
          <w:p w14:paraId="13E21248">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1.8实际到书与书目订单有变化的，如ISBN号、书名、著者、价格等，中标供应商须列表通知采购人。修改有关订单数据，重新确认订购需求。书价（码洋）变更差额大于30%的，采购人有权变更订购数量。</w:t>
            </w:r>
          </w:p>
          <w:p w14:paraId="62E41C63">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1.9对采购人加急购买的图书，如当当、京东、亚马逊等网上书店有售，均可以采用网购形式，并及时配送给采购人。结算实洋价＝图书码洋价×中标折扣率。对于时效性较强且易过时的图书（如计算机类、考试类等），中标供应商须制定有效的快捷措施，确保及时到书。</w:t>
            </w:r>
          </w:p>
          <w:p w14:paraId="6421DFB3">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1.10凡不符合采购人采购内容、范围及装帧要求的图书；非采购人订购的图书；存在印刷图文不清、装订错误、污损、缺附件、光盘破损等质量问题的图书；任何国家法规明令禁止出版发行的图书；意识形态问题图书等。无论图书是否加工、验收，采购人有权无条件退货或调换，由此造成的全部损失由中标供应商承担。</w:t>
            </w:r>
          </w:p>
          <w:p w14:paraId="028FB8C9">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1.11中标供应商在图书发运前对其进行满足于运输距离、防潮、防霉、防破损装卸要求以及按采购人要求包装，以保证送交到采购人的图书没有任何质量问题。图书安全到达采购人指定地点，现场验收。随书提供与该批图书数量、品种、价格相符的送书清单。转账前根据中标供应商实际验收的图书入库清单提供纸质及电子版图书汇总清单各一份。</w:t>
            </w:r>
          </w:p>
          <w:p w14:paraId="5EB0B9E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1.12书款与发货单不相符时，采购人及时通知中标供应商核算。本地中标供应商接到通知之日起2个工作日内，外地中标供应商接到通知之日起3个工作日内核对，如不能在此期间确认核算的，以采购人验收的实际数额结算书款。</w:t>
            </w:r>
          </w:p>
          <w:p w14:paraId="3CD9C12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1.13中标供应商每个月主动提供准确的未到图书清单及未到图书原因说明。</w:t>
            </w:r>
          </w:p>
          <w:p w14:paraId="08D47A12">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1.14中标供应商有举办线下及线上图书采购会或馆配会的能力。</w:t>
            </w:r>
          </w:p>
          <w:p w14:paraId="5A5BCA25">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1.15图书经采购人图书集成管理系统典藏之日起一年内为质保期。质保期内，图书流通过程中（非人为因素）发现的质量问题、加工有误、编目数据有误、RFID电子标签或防盗磁条错误等问题，中标供应商须负责及时补书或重新加工图书，一切相关费用由中标供应商承担。</w:t>
            </w:r>
          </w:p>
          <w:p w14:paraId="0E66E3D5">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1.16文明施工，做好加工场地的清洁卫生。中标供应商加工完图书后需要清洁电脑、桌子、地板，将垃圾运送至垃圾回收处。</w:t>
            </w:r>
          </w:p>
          <w:p w14:paraId="1C3F158F">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1.17如中标供应商被终止供货资格后，对已完成验收结算的图书仍承担相应的质量责任。</w:t>
            </w:r>
          </w:p>
          <w:p w14:paraId="3300F561">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2.技术要求</w:t>
            </w:r>
          </w:p>
          <w:p w14:paraId="66CB8010">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2.1图书采访数据要求</w:t>
            </w:r>
          </w:p>
          <w:p w14:paraId="27FCE60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中标供应商通过电子网站、电子邮件等方式提供新书征订书目数据和机读预编目数据（数据要求参见《中国机读目录格式使用手册》、《CALIS联机合作编目手册》及附表二：中文图书编目MARC字段要求）给采购人，且数据完全符合采购人的图书集成管理系统的格式及运行需求，在采购人的图书集成管理系统能无障碍使用。</w:t>
            </w:r>
          </w:p>
          <w:p w14:paraId="2C10F920">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2.1.2采访数据配送率达100%，其中国家图书馆标准数据占98%以上（影印版图书采用CALIS标准数据）。</w:t>
            </w:r>
          </w:p>
          <w:p w14:paraId="22321A04">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2.2采购及反馈要求</w:t>
            </w:r>
          </w:p>
          <w:p w14:paraId="771CD9A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2.2.1订单查重：提供本批订单与历史订单查重服务；本批订单互相查重服务。如发现有重，须及时与采购人确认。</w:t>
            </w:r>
          </w:p>
          <w:p w14:paraId="28D7B3F7">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2.2.2复本量：一般情况下采购人复本量为1—4册，如出现采购量异常，及时与采购人确认。 </w:t>
            </w:r>
          </w:p>
          <w:p w14:paraId="761FD6C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2.2.3大码洋图书：采购人认定单册码洋超过150元的图书为大码洋图书，一般仅订1册。如订单超过1册，及时与采购人确认。</w:t>
            </w:r>
          </w:p>
          <w:p w14:paraId="3E7F9E82">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2.2.4影印版的书籍一般订1册。如超过1册，及时与采购人确认。</w:t>
            </w:r>
          </w:p>
          <w:p w14:paraId="40F0B1C6">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2.2.5对订购不到的图书，要及时回告，以便采购人删除书目订单记录。</w:t>
            </w:r>
          </w:p>
          <w:p w14:paraId="6CE0DCE2">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2.3图书分编要求</w:t>
            </w:r>
          </w:p>
          <w:p w14:paraId="0986AFC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2.3.1中标供应商派出服务团队人员中至少包括1名编目人员（编目人员具有CALIS中文三级编目员资格，备证书核查，且接受对采购人的图书集成管理系统操作及编目规则等内容要求的培训后，合同期间原则上不予更换）到采购人指定地点进行数据著录。</w:t>
            </w:r>
          </w:p>
          <w:p w14:paraId="0F1251D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2.3.2中标供应商在送交每一批图书时，随书提供规范的MARC机读编目数据（按《中国图书馆分类法》最新版进行分类标引）。中文图书及附件的 CNMARC数据格式符合《中国机读目录格式使用手册》的著录格式；影印版图书及附件的 USMARC 数据格式符合《西文文献著录条例》和《英美编目规则》的著录格式。每条编目数据的字段著录标准规范，分类标引尽量细化、准确。每一条机读目录数据能准确、全面地揭示图书的内容特征及外形特征。编目数据完全符合采购人的图书集成管理系统的格式及运行要求，能在采购人的图书集成管理系统无障碍使用。编目数据配送率达100%，其中国家图书馆标准数据占95%以上（影印版图书采用CALIS标准数据）（见附表二：中文图书编目MARC字段要求）。所产生的一切费用均包含在本项目总报价中。</w:t>
            </w:r>
          </w:p>
          <w:p w14:paraId="4CDB6CB1">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2.3.3依据《中国图书馆分类法》第五版及《南宁师范大学图书馆图书分编细则》对图书进行分类标引。</w:t>
            </w:r>
          </w:p>
          <w:p w14:paraId="18E5A13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2.3.4中文图书纸质附件的编目加工要求</w:t>
            </w:r>
          </w:p>
          <w:p w14:paraId="3C6759F5">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图书附件如有自己的独立题名，内容较多且独立，总页数超过60页以上，按普通图书分编加工处理，并在所属图书的机读目录数据中的附注项说明其附件的条形码和ISBN号。如果主件和附件的题名不一致时，要求在各自的编目数据的附注项中进行相互链接说明；如果附件的总页数低于60页以下，无需加工，但须与图书主件一起发货送交采购人。</w:t>
            </w:r>
          </w:p>
          <w:p w14:paraId="63F2D9B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▲2.3.5对采购人已有的不少于800种非招标图书（捐赠图书）进行免费分编。</w:t>
            </w:r>
          </w:p>
          <w:p w14:paraId="7696B617">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2.4图书加工要求</w:t>
            </w:r>
          </w:p>
          <w:p w14:paraId="0ED4792F">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标供应商根据采购人要求提供盖章、永久性磁条、RFID标签、条码、书标、色标、覆膜、数据转换、馆藏地址修改等图书的全部加工工作，承担全套加工服务及相应耗材。中标供应商至少派出2名图书加工人员到采购人指定地点进行图书加工。</w:t>
            </w:r>
          </w:p>
          <w:p w14:paraId="0839B80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2.4.1盖馆藏章。印油为红色，盖2处，一处在书名页（居中，不要挡文字）；另一处在书口中间（居中，字体朝向封面）。</w:t>
            </w:r>
          </w:p>
          <w:p w14:paraId="29567223">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2.4.2贴磁条。采用16CM的永久性磁条，粘贴以不易发现为要，粘贴在书本第一页为准后数第10页位置。如临时调整粘贴的具体要求，则另行通知。</w:t>
            </w:r>
          </w:p>
          <w:p w14:paraId="74657105">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2.4.3贴条形码。每本书贴4cm×2cm材质为PET纸张，碳带为全树脂打印的同一号条形码2张。1张贴在书名页（天头居中，不要挡文字），另1张贴在最后一页（天头居中，不要挡文字）。同一批书条形码必须连续。所有随书光盘按要求装牛皮纸袋，并在纸袋的左上角粘贴不干胶书标一枚及在光盘下部位置粘贴光盘条形码。</w:t>
            </w:r>
          </w:p>
          <w:p w14:paraId="72ADB18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2.4.4 贴RFID标签。将 RFID 电子标签粘贴在以书本最后一页为准倒数第10页位置。如临时调整粘贴的具体要求，则另行通知。（见附表三：RFID标签）</w:t>
            </w:r>
          </w:p>
          <w:p w14:paraId="0C8019F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2.4.5贴书标。打印书标，加贴书标（贴在书脊的最下端），色标，覆膜，更改馆藏地址，RFID标签数据转换。</w:t>
            </w:r>
          </w:p>
          <w:p w14:paraId="29706901">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▲2.4.6将加工完成的图书打包、运送到五个校区（明秀、五合、武鸣、建政、长岗）指定位置定位、上架，全部费用由中标供应商承担。</w:t>
            </w:r>
          </w:p>
          <w:p w14:paraId="58790A27">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▲2.4.7中标供应商在运送加工后图书至各校区的过程中须妥善保管图书，确保图书完整无损。如有损坏、遗失等，中标供应商须负责及时补书、重新加工，全部费用由中标供应商承担。</w:t>
            </w:r>
          </w:p>
          <w:p w14:paraId="36875C40">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▲2.4.8不按采购人加工要求进行图书加工的，采购人有权要求中标供应商重新加工或更换图书或退书，由此造成的全部损失由中标供应商承担。</w:t>
            </w:r>
          </w:p>
          <w:p w14:paraId="01EAD42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▲2.4.9中标供应商负责送到采购人指定场地加工图书，采购人保留合同期内调整加工场地权利，调整加工场地时，图书搬迁所产生的费用由中标供应商承担。</w:t>
            </w:r>
          </w:p>
        </w:tc>
      </w:tr>
      <w:tr w14:paraId="21F95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tcPr>
          <w:p w14:paraId="60E3E5F2">
            <w:pPr>
              <w:spacing w:line="360" w:lineRule="exact"/>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b/>
                <w:color w:val="auto"/>
                <w:szCs w:val="21"/>
                <w:highlight w:val="none"/>
              </w:rPr>
              <w:t>一、商务要求</w:t>
            </w:r>
          </w:p>
        </w:tc>
      </w:tr>
      <w:tr w14:paraId="1E372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75156ADC">
            <w:pPr>
              <w:spacing w:line="360" w:lineRule="exact"/>
              <w:jc w:val="center"/>
              <w:rPr>
                <w:rFonts w:ascii="宋体" w:hAnsi="宋体"/>
                <w:color w:val="auto"/>
                <w:szCs w:val="21"/>
                <w:highlight w:val="none"/>
              </w:rPr>
            </w:pPr>
            <w:r>
              <w:rPr>
                <w:rFonts w:hint="eastAsia" w:ascii="宋体" w:hAnsi="宋体"/>
                <w:color w:val="auto"/>
                <w:szCs w:val="21"/>
                <w:highlight w:val="none"/>
              </w:rPr>
              <w:t>合同签订期</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51B169DD">
            <w:pPr>
              <w:spacing w:line="360" w:lineRule="exact"/>
              <w:rPr>
                <w:rFonts w:ascii="宋体" w:hAnsi="宋体"/>
                <w:color w:val="auto"/>
                <w:szCs w:val="21"/>
                <w:highlight w:val="none"/>
              </w:rPr>
            </w:pPr>
            <w:r>
              <w:rPr>
                <w:rFonts w:hint="eastAsia" w:ascii="宋体" w:hAnsi="宋体"/>
                <w:color w:val="auto"/>
                <w:szCs w:val="21"/>
                <w:highlight w:val="none"/>
              </w:rPr>
              <w:t>中标供应商在收到中标通知书25个日历日内与采购人完成合同签订。</w:t>
            </w:r>
          </w:p>
        </w:tc>
      </w:tr>
      <w:tr w14:paraId="08379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458D0D77">
            <w:pPr>
              <w:spacing w:line="360" w:lineRule="exact"/>
              <w:jc w:val="center"/>
              <w:rPr>
                <w:rFonts w:ascii="宋体" w:hAnsi="宋体"/>
                <w:color w:val="auto"/>
                <w:szCs w:val="21"/>
                <w:highlight w:val="none"/>
              </w:rPr>
            </w:pPr>
            <w:r>
              <w:rPr>
                <w:rFonts w:hint="eastAsia" w:ascii="宋体" w:hAnsi="宋体"/>
                <w:color w:val="auto"/>
                <w:szCs w:val="21"/>
                <w:highlight w:val="none"/>
              </w:rPr>
              <w:t>服务期及地点</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4F4A7601">
            <w:pPr>
              <w:spacing w:line="360" w:lineRule="exact"/>
              <w:rPr>
                <w:rFonts w:ascii="宋体" w:hAnsi="宋体"/>
                <w:color w:val="auto"/>
                <w:szCs w:val="21"/>
                <w:highlight w:val="none"/>
              </w:rPr>
            </w:pPr>
            <w:r>
              <w:rPr>
                <w:rFonts w:hint="eastAsia" w:ascii="宋体" w:hAnsi="宋体"/>
                <w:color w:val="auto"/>
                <w:szCs w:val="21"/>
                <w:highlight w:val="none"/>
              </w:rPr>
              <w:t>1.服务期：自签订合同之日起至2027年12 月31日止。</w:t>
            </w:r>
          </w:p>
          <w:p w14:paraId="769DF427">
            <w:pPr>
              <w:spacing w:line="360" w:lineRule="exact"/>
              <w:rPr>
                <w:rFonts w:ascii="宋体" w:hAnsi="宋体"/>
                <w:color w:val="auto"/>
                <w:szCs w:val="21"/>
                <w:highlight w:val="none"/>
              </w:rPr>
            </w:pPr>
            <w:r>
              <w:rPr>
                <w:rFonts w:hint="eastAsia" w:ascii="宋体" w:hAnsi="宋体"/>
                <w:color w:val="auto"/>
                <w:szCs w:val="21"/>
                <w:highlight w:val="none"/>
              </w:rPr>
              <w:t>2.合同履约期：自签订合同之日起至2026年11月10日前执行合同总金额的67%，至2027年10月31日前完成全部合同金额。</w:t>
            </w:r>
          </w:p>
          <w:p w14:paraId="24AC7CAC">
            <w:pPr>
              <w:spacing w:line="360" w:lineRule="exact"/>
              <w:rPr>
                <w:rFonts w:ascii="宋体" w:hAnsi="宋体"/>
                <w:color w:val="auto"/>
                <w:szCs w:val="21"/>
                <w:highlight w:val="none"/>
              </w:rPr>
            </w:pPr>
            <w:r>
              <w:rPr>
                <w:rFonts w:hint="eastAsia" w:ascii="宋体" w:hAnsi="宋体"/>
                <w:color w:val="auto"/>
                <w:szCs w:val="21"/>
                <w:highlight w:val="none"/>
              </w:rPr>
              <w:t>3.服务地点：广西南宁市采购人指定地点。</w:t>
            </w:r>
          </w:p>
        </w:tc>
      </w:tr>
      <w:tr w14:paraId="6BCCA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5811DDE5">
            <w:pPr>
              <w:spacing w:line="360" w:lineRule="exact"/>
              <w:jc w:val="center"/>
              <w:rPr>
                <w:rFonts w:ascii="宋体" w:hAnsi="宋体"/>
                <w:color w:val="auto"/>
                <w:szCs w:val="21"/>
                <w:highlight w:val="none"/>
              </w:rPr>
            </w:pPr>
            <w:r>
              <w:rPr>
                <w:rFonts w:hint="eastAsia" w:ascii="宋体" w:hAnsi="宋体"/>
                <w:color w:val="auto"/>
                <w:szCs w:val="21"/>
                <w:highlight w:val="none"/>
              </w:rPr>
              <w:t>质</w:t>
            </w:r>
            <w:r>
              <w:rPr>
                <w:rFonts w:ascii="宋体" w:hAnsi="宋体"/>
                <w:color w:val="auto"/>
                <w:szCs w:val="21"/>
                <w:highlight w:val="none"/>
              </w:rPr>
              <w:t>保期</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407A8C28">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1.按国家有关产品“三包”规定执行“三包”，若</w:t>
            </w:r>
            <w:r>
              <w:rPr>
                <w:rFonts w:ascii="宋体" w:hAnsi="宋体"/>
                <w:color w:val="auto"/>
                <w:szCs w:val="21"/>
                <w:highlight w:val="none"/>
              </w:rPr>
              <w:t>中标供应商承诺质保期优于国家</w:t>
            </w:r>
            <w:r>
              <w:rPr>
                <w:rFonts w:hint="eastAsia" w:ascii="宋体" w:hAnsi="宋体"/>
                <w:color w:val="auto"/>
                <w:szCs w:val="21"/>
                <w:highlight w:val="none"/>
              </w:rPr>
              <w:t>“三包”规定或</w:t>
            </w:r>
            <w:r>
              <w:rPr>
                <w:rFonts w:ascii="宋体" w:hAnsi="宋体"/>
                <w:color w:val="auto"/>
                <w:szCs w:val="21"/>
                <w:highlight w:val="none"/>
              </w:rPr>
              <w:t>优于招标文件规定的</w:t>
            </w:r>
            <w:r>
              <w:rPr>
                <w:rFonts w:hint="eastAsia" w:ascii="宋体" w:hAnsi="宋体"/>
                <w:color w:val="auto"/>
                <w:szCs w:val="21"/>
                <w:highlight w:val="none"/>
              </w:rPr>
              <w:t>，合同</w:t>
            </w:r>
            <w:r>
              <w:rPr>
                <w:rFonts w:ascii="宋体" w:hAnsi="宋体"/>
                <w:color w:val="auto"/>
                <w:szCs w:val="21"/>
                <w:highlight w:val="none"/>
              </w:rPr>
              <w:t>履行时按中标供应商承诺执行</w:t>
            </w:r>
            <w:r>
              <w:rPr>
                <w:rFonts w:hint="eastAsia" w:ascii="宋体" w:hAnsi="宋体"/>
                <w:color w:val="auto"/>
                <w:szCs w:val="21"/>
                <w:highlight w:val="none"/>
              </w:rPr>
              <w:t>。</w:t>
            </w:r>
          </w:p>
          <w:p w14:paraId="385FBEF0">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.本项目图书质保期为经采购人图书集成管理系统典藏之日起一年之内。</w:t>
            </w:r>
          </w:p>
          <w:p w14:paraId="4C2CBFF3">
            <w:pPr>
              <w:spacing w:line="36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质</w:t>
            </w:r>
            <w:r>
              <w:rPr>
                <w:rFonts w:ascii="宋体" w:hAnsi="宋体"/>
                <w:color w:val="auto"/>
                <w:szCs w:val="21"/>
                <w:highlight w:val="none"/>
              </w:rPr>
              <w:t>保期</w:t>
            </w:r>
            <w:r>
              <w:rPr>
                <w:rFonts w:hint="eastAsia" w:ascii="宋体" w:hAnsi="宋体"/>
                <w:color w:val="auto"/>
                <w:szCs w:val="21"/>
                <w:highlight w:val="none"/>
              </w:rPr>
              <w:t>内，图书在使用过程中发现有非人为因素所引起的缺页、破损等质量问题图书，要求中标供应商无条件退换。</w:t>
            </w:r>
          </w:p>
        </w:tc>
      </w:tr>
      <w:tr w14:paraId="2D031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244B260C">
            <w:pPr>
              <w:spacing w:line="360" w:lineRule="exact"/>
              <w:jc w:val="center"/>
              <w:rPr>
                <w:rFonts w:ascii="宋体" w:hAnsi="宋体"/>
                <w:color w:val="auto"/>
                <w:szCs w:val="21"/>
                <w:highlight w:val="none"/>
              </w:rPr>
            </w:pPr>
            <w:r>
              <w:rPr>
                <w:rFonts w:hint="eastAsia" w:ascii="宋体" w:hAnsi="宋体"/>
                <w:color w:val="auto"/>
                <w:szCs w:val="21"/>
                <w:highlight w:val="none"/>
              </w:rPr>
              <w:t>售</w:t>
            </w:r>
            <w:r>
              <w:rPr>
                <w:rFonts w:ascii="宋体" w:hAnsi="宋体"/>
                <w:color w:val="auto"/>
                <w:szCs w:val="21"/>
                <w:highlight w:val="none"/>
              </w:rPr>
              <w:t>后服务要求</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71FF685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1.送货上门，按采购人要求包装并运送至指定地点。</w:t>
            </w:r>
          </w:p>
          <w:p w14:paraId="6E536EA1">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2.中标供应商负责处理解决货物出现的质量及安全问题并承担一切费用。</w:t>
            </w:r>
          </w:p>
          <w:p w14:paraId="11C8153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3.遇质量问题或其他突发情况，中标供应商在接到采购人通知后，需要在2小时内作出响应，12小时内到达现场。</w:t>
            </w:r>
          </w:p>
          <w:p w14:paraId="43E1D8A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4.项目供货过程中产生的残留物或垃圾，需由中标供应商自行清理至垃圾回收处。</w:t>
            </w:r>
          </w:p>
          <w:p w14:paraId="4A40A4E7">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5.质保期过后，中标供应商为采购人提供电话咨询形式的技术援助，解答采购人在使用中标供应商所供应图书中遇到的问题，及时为采购人提出解决问题的建议，并不予收费。</w:t>
            </w:r>
          </w:p>
        </w:tc>
      </w:tr>
      <w:tr w14:paraId="3B91E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6B2B8906">
            <w:pPr>
              <w:snapToGrid w:val="0"/>
              <w:spacing w:line="360" w:lineRule="exact"/>
              <w:jc w:val="center"/>
              <w:rPr>
                <w:rFonts w:ascii="宋体" w:hAnsi="宋体" w:cs="宋体"/>
                <w:color w:val="auto"/>
                <w:kern w:val="0"/>
                <w:szCs w:val="21"/>
                <w:highlight w:val="none"/>
              </w:rPr>
            </w:pPr>
            <w:r>
              <w:rPr>
                <w:rFonts w:hint="eastAsia" w:ascii="宋体" w:hAnsi="宋体"/>
                <w:color w:val="auto"/>
                <w:szCs w:val="21"/>
                <w:highlight w:val="none"/>
              </w:rPr>
              <w:t>付款方式</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0034901D">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1.本项目中标供应商可分批供货，在项目服务时间内最多可分六批供货。</w:t>
            </w:r>
          </w:p>
          <w:p w14:paraId="7B894F6B">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2.中标供应商批次到货后，采购人按照合同进行验收，签署该批次验收单。</w:t>
            </w:r>
          </w:p>
          <w:p w14:paraId="5DB8C67D">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3中标供应商对该批书办理差、错图书的退书手续后，按实际验收合格图书的实洋价合计值（实洋价合计值＝图书码洋价合计值×中标折扣率）结算应付货款，并在该批次验收单上注明退书货款及应付货款。</w:t>
            </w:r>
          </w:p>
          <w:p w14:paraId="14A392FD">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4.双方核对货款金额无误后，中标供应商开具</w:t>
            </w:r>
            <w:r>
              <w:rPr>
                <w:color w:val="auto"/>
                <w:highlight w:val="none"/>
              </w:rPr>
              <w:t>当批供货图书</w:t>
            </w:r>
            <w:r>
              <w:rPr>
                <w:rFonts w:hint="eastAsia"/>
                <w:color w:val="auto"/>
                <w:highlight w:val="none"/>
              </w:rPr>
              <w:t>等</w:t>
            </w:r>
            <w:r>
              <w:rPr>
                <w:color w:val="auto"/>
                <w:highlight w:val="none"/>
              </w:rPr>
              <w:t>额发票</w:t>
            </w:r>
            <w:r>
              <w:rPr>
                <w:rFonts w:hint="eastAsia" w:ascii="宋体" w:hAnsi="宋体"/>
                <w:color w:val="auto"/>
                <w:szCs w:val="21"/>
                <w:highlight w:val="none"/>
              </w:rPr>
              <w:t>并提供</w:t>
            </w:r>
            <w:r>
              <w:rPr>
                <w:rFonts w:hint="eastAsia" w:ascii="宋体" w:hAnsi="宋体" w:cs="宋体"/>
                <w:color w:val="auto"/>
                <w:kern w:val="0"/>
                <w:szCs w:val="21"/>
                <w:highlight w:val="none"/>
              </w:rPr>
              <w:t>纸质及电子版图书汇总清单各一份，</w:t>
            </w:r>
            <w:r>
              <w:rPr>
                <w:rFonts w:hint="eastAsia" w:ascii="宋体" w:hAnsi="宋体"/>
                <w:color w:val="auto"/>
                <w:szCs w:val="21"/>
                <w:highlight w:val="none"/>
              </w:rPr>
              <w:t xml:space="preserve">向采购人提出付款申请；采购人在 </w:t>
            </w:r>
            <w:r>
              <w:rPr>
                <w:rFonts w:ascii="宋体" w:hAnsi="宋体"/>
                <w:color w:val="auto"/>
                <w:szCs w:val="21"/>
                <w:highlight w:val="none"/>
              </w:rPr>
              <w:t>10</w:t>
            </w:r>
            <w:r>
              <w:rPr>
                <w:rFonts w:hint="eastAsia" w:ascii="宋体" w:hAnsi="宋体"/>
                <w:color w:val="auto"/>
                <w:szCs w:val="21"/>
                <w:highlight w:val="none"/>
              </w:rPr>
              <w:t>个工作日内办理好转账业务。</w:t>
            </w:r>
          </w:p>
          <w:p w14:paraId="624AA4C3">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票据要求：中标供应商必须按照采购人要求提供真实、有效、合法的正式发票。一旦发现中标供应商提供虚假发票，除须向采购人补开合法发票外，采购人有权终止合同，中标供应商不得提出异议，因终止合同而产生的一切损失均由中标供应商承担。</w:t>
            </w:r>
          </w:p>
          <w:p w14:paraId="649FB729">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6.本项目无预付款。</w:t>
            </w:r>
          </w:p>
          <w:p w14:paraId="5E42966E">
            <w:pPr>
              <w:snapToGrid w:val="0"/>
              <w:spacing w:line="360" w:lineRule="exact"/>
              <w:ind w:firstLine="420" w:firstLineChars="200"/>
              <w:jc w:val="left"/>
              <w:rPr>
                <w:rFonts w:ascii="宋体" w:hAnsi="宋体" w:cs="宋体"/>
                <w:color w:val="auto"/>
                <w:szCs w:val="21"/>
                <w:highlight w:val="none"/>
              </w:rPr>
            </w:pPr>
            <w:r>
              <w:rPr>
                <w:rFonts w:hint="eastAsia" w:ascii="宋体" w:hAnsi="宋体"/>
                <w:color w:val="auto"/>
                <w:szCs w:val="21"/>
                <w:highlight w:val="none"/>
              </w:rPr>
              <w:t>7.本合同使用货币币制如未作特别说明均为人民币。</w:t>
            </w:r>
          </w:p>
        </w:tc>
      </w:tr>
      <w:tr w14:paraId="3D12D1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6682599B">
            <w:pPr>
              <w:spacing w:line="360" w:lineRule="exact"/>
              <w:jc w:val="center"/>
              <w:rPr>
                <w:rFonts w:ascii="宋体" w:hAnsi="宋体"/>
                <w:color w:val="auto"/>
                <w:szCs w:val="21"/>
                <w:highlight w:val="none"/>
              </w:rPr>
            </w:pPr>
            <w:r>
              <w:rPr>
                <w:rFonts w:hint="eastAsia" w:ascii="宋体" w:hAnsi="宋体"/>
                <w:color w:val="auto"/>
                <w:szCs w:val="21"/>
                <w:highlight w:val="none"/>
              </w:rPr>
              <w:t>报价要求</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31B479EF">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折扣率报价：投标供应商根据自身投标总成本【指图书成本及利润、运抵指定交货地点的各种费用（含装卸费）、图书加工服务费及耗材（芯片、条形码、书标、标签、保护膜等材料）、保险费、售后服务、产品质保、税金及其他所有成本费用的总和，以及有形或无形及可预计或不可预计的费用均由供应商负责】的情况，报出本项目图书的投标折扣率，供货周期内，所有图书采购均按实洋价付款，图书出版的标价为码洋价。实洋价合计值＝码洋价合计值×中标折扣率。</w:t>
            </w:r>
          </w:p>
          <w:p w14:paraId="73B68B81">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2.本分标实洋合计值即本分标采购预算金额，即中标供应商的具体合同实洋金额。</w:t>
            </w:r>
          </w:p>
        </w:tc>
      </w:tr>
      <w:tr w14:paraId="442DE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15F126D7">
            <w:pPr>
              <w:spacing w:line="360" w:lineRule="exact"/>
              <w:jc w:val="center"/>
              <w:rPr>
                <w:rFonts w:ascii="宋体" w:hAnsi="宋体"/>
                <w:color w:val="auto"/>
                <w:szCs w:val="21"/>
                <w:highlight w:val="none"/>
              </w:rPr>
            </w:pPr>
            <w:r>
              <w:rPr>
                <w:rFonts w:hint="eastAsia" w:ascii="宋体" w:hAnsi="宋体"/>
                <w:color w:val="auto"/>
                <w:szCs w:val="21"/>
                <w:highlight w:val="none"/>
              </w:rPr>
              <w:t>验收要</w:t>
            </w:r>
            <w:r>
              <w:rPr>
                <w:rFonts w:ascii="宋体" w:hAnsi="宋体"/>
                <w:color w:val="auto"/>
                <w:szCs w:val="21"/>
                <w:highlight w:val="none"/>
              </w:rPr>
              <w:t>求</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5F6BC33F">
            <w:pPr>
              <w:spacing w:line="360" w:lineRule="atLeast"/>
              <w:ind w:right="-57" w:rightChars="-27" w:firstLine="420" w:firstLineChars="200"/>
              <w:rPr>
                <w:rFonts w:ascii="宋体" w:hAnsi="宋体"/>
                <w:color w:val="auto"/>
                <w:szCs w:val="21"/>
                <w:highlight w:val="none"/>
              </w:rPr>
            </w:pPr>
            <w:r>
              <w:rPr>
                <w:rFonts w:hint="eastAsia" w:ascii="宋体" w:hAnsi="宋体"/>
                <w:color w:val="auto"/>
                <w:szCs w:val="21"/>
                <w:highlight w:val="none"/>
              </w:rPr>
              <w:t>1.采购人在中华人民共和国境内使用中</w:t>
            </w:r>
            <w:r>
              <w:rPr>
                <w:rFonts w:ascii="宋体" w:hAnsi="宋体"/>
                <w:color w:val="auto"/>
                <w:szCs w:val="21"/>
                <w:highlight w:val="none"/>
              </w:rPr>
              <w:t>标</w:t>
            </w:r>
            <w:r>
              <w:rPr>
                <w:rFonts w:hint="eastAsia" w:ascii="宋体" w:hAnsi="宋体"/>
                <w:color w:val="auto"/>
                <w:szCs w:val="21"/>
                <w:highlight w:val="none"/>
              </w:rPr>
              <w:t>供应商提供的服务（含</w:t>
            </w:r>
            <w:r>
              <w:rPr>
                <w:rFonts w:ascii="宋体" w:hAnsi="宋体"/>
                <w:color w:val="auto"/>
                <w:szCs w:val="21"/>
                <w:highlight w:val="none"/>
              </w:rPr>
              <w:t>所供图书</w:t>
            </w:r>
            <w:r>
              <w:rPr>
                <w:rFonts w:hint="eastAsia" w:ascii="宋体" w:hAnsi="宋体"/>
                <w:color w:val="auto"/>
                <w:szCs w:val="21"/>
                <w:highlight w:val="none"/>
              </w:rPr>
              <w:t>）时免受第三方提出的侵犯其专利权或其它知识产权的起诉。如果第三方提出侵权指控，中标供应商应承担由此而引起的一切法律责任和费用。</w:t>
            </w:r>
          </w:p>
          <w:p w14:paraId="442E2A1E">
            <w:pPr>
              <w:spacing w:line="360" w:lineRule="atLeast"/>
              <w:ind w:right="-57" w:rightChars="-27"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.采购人将同时按照招标文件以及中</w:t>
            </w:r>
            <w:r>
              <w:rPr>
                <w:rFonts w:ascii="宋体" w:hAnsi="宋体"/>
                <w:color w:val="auto"/>
                <w:szCs w:val="21"/>
                <w:highlight w:val="none"/>
              </w:rPr>
              <w:t>标</w:t>
            </w:r>
            <w:r>
              <w:rPr>
                <w:rFonts w:hint="eastAsia" w:ascii="宋体" w:hAnsi="宋体"/>
                <w:color w:val="auto"/>
                <w:szCs w:val="21"/>
                <w:highlight w:val="none"/>
              </w:rPr>
              <w:t>供应商投标文件承诺的条款进行逐项验收，如项目验收不合格，由中标供应商返工直至合格，有关返工、再行验收，以及给采购单位造成的损失等费用由中标供应商承担。</w:t>
            </w:r>
          </w:p>
          <w:p w14:paraId="3A129FC2">
            <w:pPr>
              <w:spacing w:line="360" w:lineRule="atLeast"/>
              <w:ind w:right="-57" w:rightChars="-27"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.中标供应商提供的图书，必须是合法合规的正版图书，如有违反，采购人可无条件退货并解除合同，一切责任及损失由中标供应商自行承担，采购人保留追究其虚假承诺的权利。</w:t>
            </w:r>
          </w:p>
          <w:p w14:paraId="7787ADAA">
            <w:pPr>
              <w:spacing w:line="360" w:lineRule="atLeast"/>
              <w:ind w:right="-57" w:rightChars="-27"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.验收过程中所产生的一切费用均由中标供应商承担，已包含在投标报价中。</w:t>
            </w:r>
          </w:p>
          <w:p w14:paraId="2B1E4AF2">
            <w:pPr>
              <w:spacing w:line="360" w:lineRule="exact"/>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.其他补充事项详见招标文件合同主要条款格式部分。</w:t>
            </w:r>
          </w:p>
        </w:tc>
      </w:tr>
      <w:tr w14:paraId="66718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2FFF0BB9">
            <w:pPr>
              <w:spacing w:line="360" w:lineRule="exact"/>
              <w:rPr>
                <w:rFonts w:ascii="宋体" w:hAnsi="宋体"/>
                <w:color w:val="auto"/>
                <w:szCs w:val="21"/>
                <w:highlight w:val="none"/>
              </w:rPr>
            </w:pPr>
            <w:r>
              <w:rPr>
                <w:rFonts w:hint="eastAsia" w:ascii="宋体" w:hAnsi="宋体"/>
                <w:b/>
                <w:bCs/>
                <w:color w:val="auto"/>
                <w:szCs w:val="21"/>
                <w:highlight w:val="none"/>
              </w:rPr>
              <w:t>二、与实现项目目标相关的其他要求</w:t>
            </w:r>
          </w:p>
        </w:tc>
      </w:tr>
      <w:tr w14:paraId="23D173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2BFCFF0E">
            <w:pPr>
              <w:spacing w:line="360" w:lineRule="exact"/>
              <w:rPr>
                <w:rFonts w:ascii="宋体" w:hAnsi="宋体"/>
                <w:b/>
                <w:color w:val="auto"/>
                <w:szCs w:val="21"/>
                <w:highlight w:val="none"/>
              </w:rPr>
            </w:pPr>
            <w:r>
              <w:rPr>
                <w:rFonts w:hint="eastAsia" w:ascii="宋体" w:hAnsi="宋体"/>
                <w:b/>
                <w:color w:val="auto"/>
                <w:szCs w:val="21"/>
                <w:highlight w:val="none"/>
              </w:rPr>
              <w:t>（一）投标人的履约能力要求</w:t>
            </w:r>
          </w:p>
        </w:tc>
      </w:tr>
      <w:tr w14:paraId="14CE74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3552B1BE">
            <w:pPr>
              <w:spacing w:line="360" w:lineRule="exact"/>
              <w:rPr>
                <w:rFonts w:ascii="宋体" w:hAnsi="宋体"/>
                <w:color w:val="auto"/>
                <w:szCs w:val="21"/>
                <w:highlight w:val="none"/>
              </w:rPr>
            </w:pPr>
            <w:r>
              <w:rPr>
                <w:rFonts w:hint="eastAsia" w:ascii="宋体" w:hAnsi="宋体"/>
                <w:color w:val="auto"/>
                <w:szCs w:val="21"/>
                <w:highlight w:val="none"/>
              </w:rPr>
              <w:t>政策性加分条件</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40799ED0">
            <w:pPr>
              <w:spacing w:line="360" w:lineRule="exact"/>
              <w:rPr>
                <w:rFonts w:ascii="宋体" w:hAnsi="宋体"/>
                <w:color w:val="auto"/>
                <w:szCs w:val="21"/>
                <w:highlight w:val="none"/>
              </w:rPr>
            </w:pPr>
            <w:r>
              <w:rPr>
                <w:rFonts w:hint="eastAsia" w:ascii="宋体" w:hAnsi="宋体"/>
                <w:color w:val="auto"/>
                <w:szCs w:val="21"/>
                <w:highlight w:val="none"/>
              </w:rPr>
              <w:t>见本招标文件第四章“评审程序、评审方法和评审标准”。</w:t>
            </w:r>
          </w:p>
        </w:tc>
      </w:tr>
      <w:tr w14:paraId="7845F5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4F626FEC">
            <w:pPr>
              <w:spacing w:line="360" w:lineRule="exact"/>
              <w:rPr>
                <w:rFonts w:ascii="宋体" w:hAnsi="宋体"/>
                <w:color w:val="auto"/>
                <w:szCs w:val="21"/>
                <w:highlight w:val="none"/>
              </w:rPr>
            </w:pPr>
            <w:r>
              <w:rPr>
                <w:rFonts w:hint="eastAsia" w:ascii="宋体" w:hAnsi="宋体"/>
                <w:color w:val="auto"/>
                <w:szCs w:val="21"/>
                <w:highlight w:val="none"/>
              </w:rPr>
              <w:t>质量管理体系要求</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0E6CA015">
            <w:pPr>
              <w:spacing w:line="360" w:lineRule="exact"/>
              <w:rPr>
                <w:rFonts w:ascii="宋体" w:hAnsi="宋体"/>
                <w:color w:val="auto"/>
                <w:szCs w:val="21"/>
                <w:highlight w:val="none"/>
              </w:rPr>
            </w:pPr>
            <w:r>
              <w:rPr>
                <w:rFonts w:hint="eastAsia" w:ascii="宋体" w:hAnsi="宋体"/>
                <w:color w:val="auto"/>
                <w:szCs w:val="21"/>
                <w:highlight w:val="none"/>
              </w:rPr>
              <w:t>如有，请于投标文件中自行提供。</w:t>
            </w:r>
          </w:p>
        </w:tc>
      </w:tr>
      <w:tr w14:paraId="64E40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2EF997EA">
            <w:pPr>
              <w:spacing w:line="360" w:lineRule="exact"/>
              <w:rPr>
                <w:rFonts w:ascii="宋体" w:hAnsi="宋体"/>
                <w:color w:val="auto"/>
                <w:szCs w:val="21"/>
                <w:highlight w:val="none"/>
              </w:rPr>
            </w:pPr>
            <w:r>
              <w:rPr>
                <w:rFonts w:hint="eastAsia" w:ascii="宋体" w:hAnsi="宋体"/>
                <w:color w:val="auto"/>
                <w:szCs w:val="21"/>
                <w:highlight w:val="none"/>
              </w:rPr>
              <w:t>业绩要求</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3845B2AA">
            <w:pPr>
              <w:spacing w:line="360" w:lineRule="exact"/>
              <w:rPr>
                <w:rFonts w:ascii="宋体" w:hAnsi="宋体"/>
                <w:color w:val="auto"/>
                <w:szCs w:val="21"/>
                <w:highlight w:val="none"/>
              </w:rPr>
            </w:pPr>
            <w:r>
              <w:rPr>
                <w:rFonts w:hint="eastAsia" w:ascii="宋体" w:hAnsi="宋体"/>
                <w:color w:val="auto"/>
                <w:szCs w:val="21"/>
                <w:highlight w:val="none"/>
              </w:rPr>
              <w:t>如有，请于投标文件中自行提供。</w:t>
            </w:r>
          </w:p>
        </w:tc>
      </w:tr>
      <w:tr w14:paraId="63A66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1B2B353F">
            <w:pPr>
              <w:tabs>
                <w:tab w:val="left" w:pos="180"/>
                <w:tab w:val="left" w:pos="1620"/>
              </w:tabs>
              <w:spacing w:line="360" w:lineRule="exact"/>
              <w:rPr>
                <w:rFonts w:ascii="宋体" w:hAnsi="宋体" w:cs="宋体"/>
                <w:bCs/>
                <w:color w:val="auto"/>
                <w:szCs w:val="21"/>
                <w:highlight w:val="none"/>
              </w:rPr>
            </w:pPr>
            <w:r>
              <w:rPr>
                <w:rFonts w:hint="eastAsia" w:ascii="宋体" w:hAnsi="宋体"/>
                <w:b/>
                <w:color w:val="auto"/>
                <w:szCs w:val="21"/>
                <w:highlight w:val="none"/>
              </w:rPr>
              <w:t>（二）验收标准</w:t>
            </w:r>
          </w:p>
        </w:tc>
      </w:tr>
      <w:tr w14:paraId="1D8A8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02ADC56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1.以满足采购单位货物要求及服务要求为标准。</w:t>
            </w:r>
          </w:p>
          <w:p w14:paraId="5F7A92D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其他未尽事宜应严格按照《关于印发广西壮族自治区政府采购项目履约验收管理办法的通知》[桂财采〔2015〕22号]以及《财政部关于进一步加强政府采购需求和履约验收管理的指导意见》[财库〔2016〕205号]规定执行。</w:t>
            </w:r>
          </w:p>
          <w:p w14:paraId="7C6082E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3.服务过程中，涉及实行强制标准认证制度、生产许可证制度、销售或经营许可证制度、注册证制度等，中标供应商均应提供相关有效的证书复印件。</w:t>
            </w:r>
          </w:p>
        </w:tc>
      </w:tr>
      <w:tr w14:paraId="2C632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66D8F606">
            <w:pPr>
              <w:spacing w:line="360" w:lineRule="exact"/>
              <w:rPr>
                <w:rFonts w:ascii="宋体" w:hAnsi="宋体"/>
                <w:color w:val="auto"/>
                <w:szCs w:val="21"/>
                <w:highlight w:val="none"/>
              </w:rPr>
            </w:pPr>
            <w:r>
              <w:rPr>
                <w:rFonts w:hint="eastAsia" w:ascii="宋体" w:hAnsi="宋体"/>
                <w:b/>
                <w:color w:val="auto"/>
                <w:szCs w:val="21"/>
                <w:highlight w:val="none"/>
              </w:rPr>
              <w:t>（三）进口产品及核心产品说明</w:t>
            </w:r>
          </w:p>
        </w:tc>
      </w:tr>
      <w:tr w14:paraId="12613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73580268">
            <w:pPr>
              <w:spacing w:line="360" w:lineRule="exact"/>
              <w:ind w:firstLine="435"/>
              <w:rPr>
                <w:rFonts w:ascii="宋体" w:hAnsi="宋体"/>
                <w:color w:val="auto"/>
                <w:szCs w:val="21"/>
                <w:highlight w:val="none"/>
              </w:rPr>
            </w:pPr>
            <w:r>
              <w:rPr>
                <w:rFonts w:hint="eastAsia" w:ascii="宋体" w:hAnsi="宋体"/>
                <w:color w:val="auto"/>
                <w:szCs w:val="21"/>
                <w:highlight w:val="none"/>
              </w:rPr>
              <w:t>本项目为服务类项目，无进</w:t>
            </w:r>
            <w:r>
              <w:rPr>
                <w:rFonts w:ascii="宋体" w:hAnsi="宋体"/>
                <w:color w:val="auto"/>
                <w:szCs w:val="21"/>
                <w:highlight w:val="none"/>
              </w:rPr>
              <w:t>口产品和</w:t>
            </w:r>
            <w:r>
              <w:rPr>
                <w:rFonts w:hint="eastAsia" w:ascii="宋体" w:hAnsi="宋体"/>
                <w:color w:val="auto"/>
                <w:szCs w:val="21"/>
                <w:highlight w:val="none"/>
              </w:rPr>
              <w:t>核心产品。</w:t>
            </w:r>
          </w:p>
        </w:tc>
      </w:tr>
      <w:tr w14:paraId="31DCF4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3746CAC0">
            <w:pPr>
              <w:spacing w:line="360" w:lineRule="exact"/>
              <w:rPr>
                <w:rFonts w:ascii="宋体" w:hAnsi="宋体"/>
                <w:b/>
                <w:color w:val="auto"/>
                <w:szCs w:val="21"/>
                <w:highlight w:val="none"/>
              </w:rPr>
            </w:pPr>
            <w:r>
              <w:rPr>
                <w:rFonts w:hint="eastAsia" w:ascii="宋体" w:hAnsi="宋体"/>
                <w:b/>
                <w:color w:val="auto"/>
                <w:szCs w:val="21"/>
                <w:highlight w:val="none"/>
              </w:rPr>
              <w:t>（四）其他要求</w:t>
            </w:r>
          </w:p>
        </w:tc>
      </w:tr>
      <w:tr w14:paraId="07982E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04AD0563">
            <w:pPr>
              <w:spacing w:line="360" w:lineRule="exact"/>
              <w:jc w:val="center"/>
              <w:rPr>
                <w:rFonts w:ascii="宋体" w:hAnsi="宋体"/>
                <w:color w:val="auto"/>
                <w:szCs w:val="21"/>
                <w:highlight w:val="none"/>
              </w:rPr>
            </w:pPr>
            <w:r>
              <w:rPr>
                <w:rFonts w:hint="eastAsia" w:ascii="宋体" w:hAnsi="宋体"/>
                <w:color w:val="auto"/>
                <w:szCs w:val="21"/>
                <w:highlight w:val="none"/>
              </w:rPr>
              <w:t>▲</w:t>
            </w:r>
            <w:r>
              <w:rPr>
                <w:rFonts w:hint="eastAsia" w:ascii="宋体" w:hAnsi="宋体" w:cs="宋体"/>
                <w:b/>
                <w:color w:val="auto"/>
                <w:szCs w:val="21"/>
                <w:highlight w:val="none"/>
                <w:u w:val="single"/>
              </w:rPr>
              <w:t>有效报价范围</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7CB45FE8">
            <w:pPr>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u w:val="single"/>
              </w:rPr>
              <w:t>1</w:t>
            </w:r>
            <w:r>
              <w:rPr>
                <w:rFonts w:ascii="宋体" w:hAnsi="宋体" w:cs="宋体"/>
                <w:b/>
                <w:color w:val="auto"/>
                <w:szCs w:val="21"/>
                <w:highlight w:val="none"/>
                <w:u w:val="single"/>
              </w:rPr>
              <w:t>.</w:t>
            </w:r>
            <w:r>
              <w:rPr>
                <w:rFonts w:hint="eastAsia" w:ascii="宋体" w:hAnsi="宋体" w:cs="宋体"/>
                <w:b/>
                <w:color w:val="auto"/>
                <w:szCs w:val="21"/>
                <w:highlight w:val="none"/>
                <w:u w:val="single"/>
              </w:rPr>
              <w:t>有效报价范围为：0%≤投</w:t>
            </w:r>
            <w:r>
              <w:rPr>
                <w:rFonts w:ascii="宋体" w:hAnsi="宋体" w:cs="宋体"/>
                <w:b/>
                <w:color w:val="auto"/>
                <w:szCs w:val="21"/>
                <w:highlight w:val="none"/>
                <w:u w:val="single"/>
              </w:rPr>
              <w:t>标人</w:t>
            </w:r>
            <w:r>
              <w:rPr>
                <w:rFonts w:hint="eastAsia" w:ascii="宋体" w:hAnsi="宋体" w:cs="宋体"/>
                <w:b/>
                <w:color w:val="auto"/>
                <w:szCs w:val="21"/>
                <w:highlight w:val="none"/>
                <w:u w:val="single"/>
              </w:rPr>
              <w:t>折扣</w:t>
            </w:r>
            <w:r>
              <w:rPr>
                <w:rFonts w:ascii="宋体" w:hAnsi="宋体" w:cs="宋体"/>
                <w:b/>
                <w:color w:val="auto"/>
                <w:szCs w:val="21"/>
                <w:highlight w:val="none"/>
                <w:u w:val="single"/>
              </w:rPr>
              <w:t>率</w:t>
            </w:r>
            <w:r>
              <w:rPr>
                <w:rFonts w:hint="eastAsia" w:ascii="宋体" w:hAnsi="宋体" w:cs="宋体"/>
                <w:b/>
                <w:color w:val="auto"/>
                <w:szCs w:val="21"/>
                <w:highlight w:val="none"/>
                <w:u w:val="single"/>
              </w:rPr>
              <w:t>报价≤80%</w:t>
            </w:r>
            <w:r>
              <w:rPr>
                <w:rFonts w:hint="eastAsia" w:ascii="宋体" w:hAnsi="宋体" w:cs="宋体"/>
                <w:color w:val="auto"/>
                <w:szCs w:val="21"/>
                <w:highlight w:val="none"/>
              </w:rPr>
              <w:t>。</w:t>
            </w:r>
          </w:p>
          <w:p w14:paraId="2ED04949">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w:t>
            </w:r>
            <w:r>
              <w:rPr>
                <w:rFonts w:hint="eastAsia"/>
                <w:color w:val="auto"/>
                <w:highlight w:val="none"/>
              </w:rPr>
              <w:t>本项目</w:t>
            </w:r>
            <w:r>
              <w:rPr>
                <w:rFonts w:hint="eastAsia" w:ascii="宋体" w:hAnsi="宋体"/>
                <w:color w:val="auto"/>
                <w:szCs w:val="21"/>
                <w:highlight w:val="none"/>
              </w:rPr>
              <w:t>按折扣率进行报价，</w:t>
            </w:r>
            <w:r>
              <w:rPr>
                <w:rFonts w:hint="eastAsia" w:ascii="宋体" w:hAnsi="宋体"/>
                <w:b/>
                <w:color w:val="auto"/>
                <w:szCs w:val="21"/>
                <w:highlight w:val="none"/>
              </w:rPr>
              <w:t>投标人对本项目只能有一个报价，采购人不接受有选择的报价，否则投标无效。</w:t>
            </w:r>
          </w:p>
        </w:tc>
      </w:tr>
      <w:tr w14:paraId="14C95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7444067A">
            <w:pPr>
              <w:spacing w:line="360" w:lineRule="exact"/>
              <w:jc w:val="center"/>
              <w:rPr>
                <w:rFonts w:ascii="宋体" w:hAnsi="宋体"/>
                <w:color w:val="auto"/>
                <w:szCs w:val="21"/>
                <w:highlight w:val="none"/>
              </w:rPr>
            </w:pPr>
            <w:r>
              <w:rPr>
                <w:rFonts w:hint="eastAsia" w:ascii="宋体" w:hAnsi="宋体"/>
                <w:color w:val="auto"/>
                <w:szCs w:val="21"/>
                <w:highlight w:val="none"/>
              </w:rPr>
              <w:t>服务方案及</w:t>
            </w:r>
            <w:r>
              <w:rPr>
                <w:rFonts w:ascii="宋体" w:hAnsi="宋体"/>
                <w:color w:val="auto"/>
                <w:szCs w:val="21"/>
                <w:highlight w:val="none"/>
              </w:rPr>
              <w:t>其他要求</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70B96FC7">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人根据自身情况，结合项目采购需求及评标办法（见招标文件第四章）提供针对本项目的服务方案（包括但不限于服务措施、图书配送方案、售后服务方案、新书查缺补漏补藏服务、声明有无定期回访、有无其他增值服务、能否实现本地化服务等）及编目质量和加工能力证明。</w:t>
            </w:r>
          </w:p>
          <w:p w14:paraId="0B2F2FE0">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根据项目服务需求投入与项目相适应的服务人员团队（附人员名单），如有并附人员专业技术资格证书或职称证书等材料。</w:t>
            </w:r>
          </w:p>
          <w:p w14:paraId="2C4C53BB">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如有，请提供相关</w:t>
            </w:r>
            <w:r>
              <w:rPr>
                <w:rFonts w:ascii="宋体" w:hAnsi="宋体"/>
                <w:color w:val="auto"/>
                <w:szCs w:val="21"/>
                <w:highlight w:val="none"/>
              </w:rPr>
              <w:t>能力</w:t>
            </w:r>
            <w:r>
              <w:rPr>
                <w:rFonts w:hint="eastAsia" w:ascii="宋体" w:hAnsi="宋体"/>
                <w:color w:val="auto"/>
                <w:szCs w:val="21"/>
                <w:highlight w:val="none"/>
              </w:rPr>
              <w:t>证明或业绩证明，或相关认证证书、奖项等。</w:t>
            </w:r>
          </w:p>
          <w:p w14:paraId="0734FEFC">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4.其他：</w:t>
            </w:r>
          </w:p>
          <w:p w14:paraId="1726B90E">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（1）投标人须具有数据服务及加工业务的专业人员。</w:t>
            </w:r>
          </w:p>
          <w:p w14:paraId="439607B5">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（2）投标人须定期发布征订书目等图书信息，向图书馆推荐教学、科研所需的新书。</w:t>
            </w:r>
          </w:p>
          <w:p w14:paraId="6DB27861">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（3）投标人图书来源渠道广，图书品种丰富，应能覆盖学校所有学科。</w:t>
            </w:r>
          </w:p>
          <w:p w14:paraId="72C101F8">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（4）投标人具有良好的图书配送服务系统。</w:t>
            </w:r>
          </w:p>
          <w:p w14:paraId="7175741D">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（5）投标人不得以任何形式和理由转包中标项目。</w:t>
            </w:r>
          </w:p>
          <w:p w14:paraId="41F46177">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（6）其他未尽事宜由采购人和中标供应商双方在采购合同中详细约定。</w:t>
            </w:r>
          </w:p>
          <w:p w14:paraId="574BDF7B">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5.项目服务方案由投标人根据自身能力提供方案及承诺，对于以虚假承诺谋取中标的投标人将自行承担后果，其违法行为将报监督管理部门处理。</w:t>
            </w:r>
          </w:p>
        </w:tc>
      </w:tr>
    </w:tbl>
    <w:p w14:paraId="0AF2B361">
      <w:pPr>
        <w:jc w:val="center"/>
        <w:rPr>
          <w:rFonts w:ascii="宋体" w:hAnsi="宋体" w:cs="Arial Unicode MS"/>
          <w:b/>
          <w:bCs/>
          <w:color w:val="auto"/>
          <w:sz w:val="32"/>
          <w:szCs w:val="32"/>
          <w:highlight w:val="none"/>
        </w:rPr>
      </w:pPr>
    </w:p>
    <w:p w14:paraId="1BD845E4">
      <w:pPr>
        <w:pStyle w:val="5"/>
        <w:spacing w:before="120" w:after="120" w:line="360" w:lineRule="auto"/>
        <w:ind w:firstLine="320" w:firstLineChars="100"/>
        <w:rPr>
          <w:rFonts w:ascii="微软雅黑" w:hAnsi="微软雅黑" w:eastAsia="微软雅黑" w:cs="微软雅黑"/>
          <w:b w:val="0"/>
          <w:bCs w:val="0"/>
          <w:color w:val="auto"/>
          <w:sz w:val="32"/>
          <w:szCs w:val="32"/>
          <w:highlight w:val="none"/>
        </w:rPr>
      </w:pPr>
    </w:p>
    <w:p w14:paraId="35F063B8">
      <w:pPr>
        <w:rPr>
          <w:rFonts w:ascii="微软雅黑" w:hAnsi="微软雅黑" w:eastAsia="微软雅黑" w:cs="微软雅黑"/>
          <w:color w:val="auto"/>
          <w:sz w:val="32"/>
          <w:szCs w:val="32"/>
          <w:highlight w:val="none"/>
        </w:rPr>
      </w:pPr>
    </w:p>
    <w:p w14:paraId="0D21B9B3">
      <w:pPr>
        <w:pStyle w:val="2"/>
        <w:rPr>
          <w:color w:val="auto"/>
          <w:highlight w:val="none"/>
        </w:rPr>
      </w:pPr>
    </w:p>
    <w:p w14:paraId="52FDF167">
      <w:pPr>
        <w:pStyle w:val="5"/>
        <w:spacing w:before="120" w:after="120" w:line="360" w:lineRule="auto"/>
        <w:ind w:firstLine="320" w:firstLineChars="100"/>
        <w:rPr>
          <w:rFonts w:ascii="微软雅黑" w:hAnsi="微软雅黑" w:eastAsia="微软雅黑" w:cs="微软雅黑"/>
          <w:b w:val="0"/>
          <w:bCs w:val="0"/>
          <w:color w:val="auto"/>
          <w:sz w:val="32"/>
          <w:szCs w:val="32"/>
          <w:highlight w:val="none"/>
        </w:rPr>
      </w:pPr>
      <w:r>
        <w:rPr>
          <w:rFonts w:hint="eastAsia" w:ascii="微软雅黑" w:hAnsi="微软雅黑" w:eastAsia="微软雅黑" w:cs="微软雅黑"/>
          <w:b w:val="0"/>
          <w:bCs w:val="0"/>
          <w:color w:val="auto"/>
          <w:sz w:val="32"/>
          <w:szCs w:val="32"/>
          <w:highlight w:val="none"/>
        </w:rPr>
        <w:t>附表一：核心出版社目录</w:t>
      </w:r>
    </w:p>
    <w:tbl>
      <w:tblPr>
        <w:tblStyle w:val="50"/>
        <w:tblW w:w="8946" w:type="dxa"/>
        <w:jc w:val="center"/>
        <w:tblLayout w:type="fixed"/>
        <w:tblCellMar>
          <w:top w:w="0" w:type="dxa"/>
          <w:left w:w="108" w:type="dxa"/>
          <w:bottom w:w="0" w:type="dxa"/>
          <w:right w:w="108" w:type="dxa"/>
        </w:tblCellMar>
      </w:tblPr>
      <w:tblGrid>
        <w:gridCol w:w="676"/>
        <w:gridCol w:w="3312"/>
        <w:gridCol w:w="632"/>
        <w:gridCol w:w="4326"/>
      </w:tblGrid>
      <w:tr w14:paraId="7CA9837C">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7322D162">
            <w:pPr>
              <w:widowControl/>
              <w:jc w:val="center"/>
              <w:rPr>
                <w:rFonts w:ascii="宋体" w:hAnsi="宋体"/>
                <w:b/>
                <w:color w:val="auto"/>
                <w:kern w:val="0"/>
                <w:szCs w:val="21"/>
                <w:highlight w:val="none"/>
              </w:rPr>
            </w:pPr>
            <w:r>
              <w:rPr>
                <w:rFonts w:hint="eastAsia" w:ascii="宋体" w:hAnsi="宋体"/>
                <w:b/>
                <w:color w:val="auto"/>
                <w:kern w:val="0"/>
                <w:szCs w:val="21"/>
                <w:highlight w:val="none"/>
              </w:rPr>
              <w:t>序号</w:t>
            </w:r>
          </w:p>
        </w:tc>
        <w:tc>
          <w:tcPr>
            <w:tcW w:w="3312" w:type="dxa"/>
            <w:tcBorders>
              <w:top w:val="single" w:color="000000" w:sz="4" w:space="0"/>
              <w:left w:val="nil"/>
              <w:bottom w:val="single" w:color="000000" w:sz="4" w:space="0"/>
              <w:right w:val="single" w:color="000000" w:sz="4" w:space="0"/>
            </w:tcBorders>
            <w:vAlign w:val="center"/>
          </w:tcPr>
          <w:p w14:paraId="19C79C0F">
            <w:pPr>
              <w:widowControl/>
              <w:jc w:val="center"/>
              <w:rPr>
                <w:rFonts w:ascii="宋体" w:hAnsi="宋体"/>
                <w:b/>
                <w:color w:val="auto"/>
                <w:kern w:val="0"/>
                <w:szCs w:val="21"/>
                <w:highlight w:val="none"/>
              </w:rPr>
            </w:pPr>
            <w:r>
              <w:rPr>
                <w:rFonts w:hint="eastAsia" w:ascii="宋体" w:hAnsi="宋体"/>
                <w:b/>
                <w:color w:val="auto"/>
                <w:kern w:val="0"/>
                <w:szCs w:val="21"/>
                <w:highlight w:val="none"/>
              </w:rPr>
              <w:t>出版社</w:t>
            </w:r>
          </w:p>
        </w:tc>
        <w:tc>
          <w:tcPr>
            <w:tcW w:w="632" w:type="dxa"/>
            <w:tcBorders>
              <w:top w:val="single" w:color="000000" w:sz="4" w:space="0"/>
              <w:left w:val="nil"/>
              <w:bottom w:val="single" w:color="000000" w:sz="4" w:space="0"/>
              <w:right w:val="single" w:color="000000" w:sz="4" w:space="0"/>
            </w:tcBorders>
            <w:vAlign w:val="center"/>
          </w:tcPr>
          <w:p w14:paraId="19BA9DE1">
            <w:pPr>
              <w:widowControl/>
              <w:jc w:val="center"/>
              <w:rPr>
                <w:rFonts w:ascii="宋体" w:hAnsi="宋体"/>
                <w:b/>
                <w:color w:val="auto"/>
                <w:kern w:val="0"/>
                <w:szCs w:val="21"/>
                <w:highlight w:val="none"/>
              </w:rPr>
            </w:pPr>
            <w:r>
              <w:rPr>
                <w:rFonts w:hint="eastAsia" w:ascii="宋体" w:hAnsi="宋体"/>
                <w:b/>
                <w:color w:val="auto"/>
                <w:kern w:val="0"/>
                <w:szCs w:val="21"/>
                <w:highlight w:val="none"/>
              </w:rPr>
              <w:t>序号</w:t>
            </w:r>
          </w:p>
        </w:tc>
        <w:tc>
          <w:tcPr>
            <w:tcW w:w="4326" w:type="dxa"/>
            <w:tcBorders>
              <w:top w:val="single" w:color="000000" w:sz="4" w:space="0"/>
              <w:left w:val="nil"/>
              <w:bottom w:val="single" w:color="000000" w:sz="4" w:space="0"/>
              <w:right w:val="single" w:color="000000" w:sz="4" w:space="0"/>
            </w:tcBorders>
            <w:vAlign w:val="center"/>
          </w:tcPr>
          <w:p w14:paraId="27477D95">
            <w:pPr>
              <w:widowControl/>
              <w:jc w:val="center"/>
              <w:rPr>
                <w:rFonts w:ascii="宋体" w:hAnsi="宋体"/>
                <w:b/>
                <w:color w:val="auto"/>
                <w:kern w:val="0"/>
                <w:szCs w:val="21"/>
                <w:highlight w:val="none"/>
              </w:rPr>
            </w:pPr>
            <w:r>
              <w:rPr>
                <w:rFonts w:hint="eastAsia" w:ascii="宋体" w:hAnsi="宋体"/>
                <w:b/>
                <w:color w:val="auto"/>
                <w:kern w:val="0"/>
                <w:szCs w:val="21"/>
                <w:highlight w:val="none"/>
              </w:rPr>
              <w:t>出版社</w:t>
            </w:r>
          </w:p>
        </w:tc>
      </w:tr>
      <w:tr w14:paraId="64878567">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0E261B65">
            <w:pPr>
              <w:widowControl/>
              <w:jc w:val="center"/>
              <w:rPr>
                <w:rFonts w:ascii="宋体" w:hAnsi="宋体"/>
                <w:color w:val="auto"/>
                <w:kern w:val="0"/>
                <w:szCs w:val="21"/>
                <w:highlight w:val="none"/>
              </w:rPr>
            </w:pPr>
            <w:r>
              <w:rPr>
                <w:rFonts w:hint="eastAsia" w:ascii="宋体" w:hAnsi="宋体"/>
                <w:color w:val="auto"/>
                <w:kern w:val="0"/>
                <w:szCs w:val="21"/>
                <w:highlight w:val="none"/>
              </w:rPr>
              <w:t>1</w:t>
            </w:r>
          </w:p>
        </w:tc>
        <w:tc>
          <w:tcPr>
            <w:tcW w:w="3312" w:type="dxa"/>
            <w:tcBorders>
              <w:top w:val="single" w:color="000000" w:sz="4" w:space="0"/>
              <w:left w:val="nil"/>
              <w:bottom w:val="single" w:color="000000" w:sz="4" w:space="0"/>
              <w:right w:val="single" w:color="000000" w:sz="4" w:space="0"/>
            </w:tcBorders>
            <w:vAlign w:val="center"/>
          </w:tcPr>
          <w:p w14:paraId="66F5A22B">
            <w:pPr>
              <w:widowControl/>
              <w:rPr>
                <w:rFonts w:ascii="宋体" w:hAnsi="宋体"/>
                <w:color w:val="auto"/>
                <w:kern w:val="0"/>
                <w:szCs w:val="21"/>
                <w:highlight w:val="none"/>
              </w:rPr>
            </w:pPr>
            <w:r>
              <w:rPr>
                <w:rFonts w:hint="eastAsia" w:ascii="宋体" w:hAnsi="宋体"/>
                <w:color w:val="auto"/>
                <w:kern w:val="0"/>
                <w:szCs w:val="21"/>
                <w:highlight w:val="none"/>
              </w:rPr>
              <w:t>北京大学出版社</w:t>
            </w:r>
          </w:p>
        </w:tc>
        <w:tc>
          <w:tcPr>
            <w:tcW w:w="632" w:type="dxa"/>
            <w:tcBorders>
              <w:top w:val="single" w:color="000000" w:sz="4" w:space="0"/>
              <w:left w:val="nil"/>
              <w:bottom w:val="single" w:color="000000" w:sz="4" w:space="0"/>
              <w:right w:val="single" w:color="000000" w:sz="4" w:space="0"/>
            </w:tcBorders>
            <w:vAlign w:val="center"/>
          </w:tcPr>
          <w:p w14:paraId="785B3976">
            <w:pPr>
              <w:widowControl/>
              <w:jc w:val="center"/>
              <w:rPr>
                <w:rFonts w:ascii="宋体" w:hAnsi="宋体"/>
                <w:color w:val="auto"/>
                <w:kern w:val="0"/>
                <w:szCs w:val="21"/>
                <w:highlight w:val="none"/>
              </w:rPr>
            </w:pPr>
            <w:r>
              <w:rPr>
                <w:rFonts w:hint="eastAsia" w:ascii="宋体" w:hAnsi="宋体"/>
                <w:color w:val="auto"/>
                <w:kern w:val="0"/>
                <w:szCs w:val="21"/>
                <w:highlight w:val="none"/>
              </w:rPr>
              <w:t>41</w:t>
            </w:r>
          </w:p>
        </w:tc>
        <w:tc>
          <w:tcPr>
            <w:tcW w:w="4326" w:type="dxa"/>
            <w:tcBorders>
              <w:top w:val="single" w:color="000000" w:sz="4" w:space="0"/>
              <w:left w:val="nil"/>
              <w:bottom w:val="single" w:color="000000" w:sz="4" w:space="0"/>
              <w:right w:val="single" w:color="000000" w:sz="4" w:space="0"/>
            </w:tcBorders>
            <w:vAlign w:val="center"/>
          </w:tcPr>
          <w:p w14:paraId="5EB86F02">
            <w:pPr>
              <w:widowControl/>
              <w:rPr>
                <w:rFonts w:ascii="宋体" w:hAnsi="宋体"/>
                <w:color w:val="auto"/>
                <w:kern w:val="0"/>
                <w:szCs w:val="21"/>
                <w:highlight w:val="none"/>
              </w:rPr>
            </w:pPr>
            <w:r>
              <w:rPr>
                <w:rFonts w:hint="eastAsia" w:ascii="宋体" w:hAnsi="宋体"/>
                <w:color w:val="auto"/>
                <w:kern w:val="0"/>
                <w:szCs w:val="21"/>
                <w:highlight w:val="none"/>
              </w:rPr>
              <w:t xml:space="preserve">高等教育出版社         </w:t>
            </w:r>
          </w:p>
        </w:tc>
      </w:tr>
      <w:tr w14:paraId="0CB94777">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E15ACEA">
            <w:pPr>
              <w:widowControl/>
              <w:jc w:val="center"/>
              <w:rPr>
                <w:rFonts w:ascii="宋体" w:hAnsi="宋体"/>
                <w:color w:val="auto"/>
                <w:kern w:val="0"/>
                <w:szCs w:val="21"/>
                <w:highlight w:val="none"/>
              </w:rPr>
            </w:pPr>
            <w:r>
              <w:rPr>
                <w:rFonts w:hint="eastAsia" w:ascii="宋体" w:hAnsi="宋体"/>
                <w:color w:val="auto"/>
                <w:kern w:val="0"/>
                <w:szCs w:val="21"/>
                <w:highlight w:val="none"/>
              </w:rPr>
              <w:t>2</w:t>
            </w:r>
          </w:p>
        </w:tc>
        <w:tc>
          <w:tcPr>
            <w:tcW w:w="3312" w:type="dxa"/>
            <w:tcBorders>
              <w:top w:val="single" w:color="000000" w:sz="4" w:space="0"/>
              <w:left w:val="nil"/>
              <w:bottom w:val="single" w:color="000000" w:sz="4" w:space="0"/>
              <w:right w:val="single" w:color="000000" w:sz="4" w:space="0"/>
            </w:tcBorders>
            <w:vAlign w:val="center"/>
          </w:tcPr>
          <w:p w14:paraId="60976772">
            <w:pPr>
              <w:widowControl/>
              <w:rPr>
                <w:rFonts w:ascii="宋体" w:hAnsi="宋体"/>
                <w:color w:val="auto"/>
                <w:kern w:val="0"/>
                <w:szCs w:val="21"/>
                <w:highlight w:val="none"/>
              </w:rPr>
            </w:pPr>
            <w:r>
              <w:rPr>
                <w:rFonts w:hint="eastAsia" w:ascii="宋体" w:hAnsi="宋体"/>
                <w:color w:val="auto"/>
                <w:kern w:val="0"/>
                <w:szCs w:val="21"/>
                <w:highlight w:val="none"/>
              </w:rPr>
              <w:t>清华大学出版社</w:t>
            </w:r>
          </w:p>
        </w:tc>
        <w:tc>
          <w:tcPr>
            <w:tcW w:w="632" w:type="dxa"/>
            <w:tcBorders>
              <w:top w:val="single" w:color="000000" w:sz="4" w:space="0"/>
              <w:left w:val="nil"/>
              <w:bottom w:val="single" w:color="000000" w:sz="4" w:space="0"/>
              <w:right w:val="single" w:color="000000" w:sz="4" w:space="0"/>
            </w:tcBorders>
            <w:vAlign w:val="center"/>
          </w:tcPr>
          <w:p w14:paraId="2B686379">
            <w:pPr>
              <w:widowControl/>
              <w:jc w:val="center"/>
              <w:rPr>
                <w:rFonts w:ascii="宋体" w:hAnsi="宋体"/>
                <w:color w:val="auto"/>
                <w:kern w:val="0"/>
                <w:szCs w:val="21"/>
                <w:highlight w:val="none"/>
              </w:rPr>
            </w:pPr>
            <w:r>
              <w:rPr>
                <w:rFonts w:hint="eastAsia" w:ascii="宋体" w:hAnsi="宋体"/>
                <w:color w:val="auto"/>
                <w:kern w:val="0"/>
                <w:szCs w:val="21"/>
                <w:highlight w:val="none"/>
              </w:rPr>
              <w:t>42</w:t>
            </w:r>
          </w:p>
        </w:tc>
        <w:tc>
          <w:tcPr>
            <w:tcW w:w="4326" w:type="dxa"/>
            <w:tcBorders>
              <w:top w:val="single" w:color="000000" w:sz="4" w:space="0"/>
              <w:left w:val="nil"/>
              <w:bottom w:val="single" w:color="000000" w:sz="4" w:space="0"/>
              <w:right w:val="single" w:color="000000" w:sz="4" w:space="0"/>
            </w:tcBorders>
            <w:vAlign w:val="center"/>
          </w:tcPr>
          <w:p w14:paraId="5EBCD160">
            <w:pPr>
              <w:widowControl/>
              <w:rPr>
                <w:rFonts w:ascii="宋体" w:hAnsi="宋体"/>
                <w:color w:val="auto"/>
                <w:kern w:val="0"/>
                <w:szCs w:val="21"/>
                <w:highlight w:val="none"/>
              </w:rPr>
            </w:pPr>
            <w:r>
              <w:rPr>
                <w:rFonts w:hint="eastAsia" w:ascii="宋体" w:hAnsi="宋体"/>
                <w:color w:val="auto"/>
                <w:kern w:val="0"/>
                <w:szCs w:val="21"/>
                <w:highlight w:val="none"/>
              </w:rPr>
              <w:t xml:space="preserve">人民教育出版社        </w:t>
            </w:r>
          </w:p>
        </w:tc>
      </w:tr>
      <w:tr w14:paraId="3761B948">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AF74FD0">
            <w:pPr>
              <w:widowControl/>
              <w:jc w:val="center"/>
              <w:rPr>
                <w:rFonts w:ascii="宋体" w:hAnsi="宋体"/>
                <w:color w:val="auto"/>
                <w:kern w:val="0"/>
                <w:szCs w:val="21"/>
                <w:highlight w:val="none"/>
              </w:rPr>
            </w:pPr>
            <w:r>
              <w:rPr>
                <w:rFonts w:hint="eastAsia" w:ascii="宋体" w:hAnsi="宋体"/>
                <w:color w:val="auto"/>
                <w:kern w:val="0"/>
                <w:szCs w:val="21"/>
                <w:highlight w:val="none"/>
              </w:rPr>
              <w:t>3</w:t>
            </w:r>
          </w:p>
        </w:tc>
        <w:tc>
          <w:tcPr>
            <w:tcW w:w="3312" w:type="dxa"/>
            <w:tcBorders>
              <w:top w:val="single" w:color="000000" w:sz="4" w:space="0"/>
              <w:left w:val="nil"/>
              <w:bottom w:val="single" w:color="000000" w:sz="4" w:space="0"/>
              <w:right w:val="single" w:color="000000" w:sz="4" w:space="0"/>
            </w:tcBorders>
            <w:vAlign w:val="center"/>
          </w:tcPr>
          <w:p w14:paraId="3CBD9F27">
            <w:pPr>
              <w:widowControl/>
              <w:rPr>
                <w:rFonts w:ascii="宋体" w:hAnsi="宋体"/>
                <w:color w:val="auto"/>
                <w:kern w:val="0"/>
                <w:szCs w:val="21"/>
                <w:highlight w:val="none"/>
              </w:rPr>
            </w:pPr>
            <w:r>
              <w:rPr>
                <w:rFonts w:hint="eastAsia" w:ascii="宋体" w:hAnsi="宋体"/>
                <w:color w:val="auto"/>
                <w:kern w:val="0"/>
                <w:szCs w:val="21"/>
                <w:highlight w:val="none"/>
              </w:rPr>
              <w:t>复旦大学出版社</w:t>
            </w:r>
          </w:p>
        </w:tc>
        <w:tc>
          <w:tcPr>
            <w:tcW w:w="632" w:type="dxa"/>
            <w:tcBorders>
              <w:top w:val="single" w:color="000000" w:sz="4" w:space="0"/>
              <w:left w:val="nil"/>
              <w:bottom w:val="single" w:color="000000" w:sz="4" w:space="0"/>
              <w:right w:val="single" w:color="000000" w:sz="4" w:space="0"/>
            </w:tcBorders>
            <w:vAlign w:val="center"/>
          </w:tcPr>
          <w:p w14:paraId="518F64AC">
            <w:pPr>
              <w:widowControl/>
              <w:jc w:val="center"/>
              <w:rPr>
                <w:rFonts w:ascii="宋体" w:hAnsi="宋体"/>
                <w:color w:val="auto"/>
                <w:kern w:val="0"/>
                <w:szCs w:val="21"/>
                <w:highlight w:val="none"/>
              </w:rPr>
            </w:pPr>
            <w:r>
              <w:rPr>
                <w:rFonts w:hint="eastAsia" w:ascii="宋体" w:hAnsi="宋体"/>
                <w:color w:val="auto"/>
                <w:kern w:val="0"/>
                <w:szCs w:val="21"/>
                <w:highlight w:val="none"/>
              </w:rPr>
              <w:t>43</w:t>
            </w:r>
          </w:p>
        </w:tc>
        <w:tc>
          <w:tcPr>
            <w:tcW w:w="4326" w:type="dxa"/>
            <w:tcBorders>
              <w:top w:val="single" w:color="000000" w:sz="4" w:space="0"/>
              <w:left w:val="nil"/>
              <w:bottom w:val="single" w:color="000000" w:sz="4" w:space="0"/>
              <w:right w:val="single" w:color="000000" w:sz="4" w:space="0"/>
            </w:tcBorders>
            <w:vAlign w:val="center"/>
          </w:tcPr>
          <w:p w14:paraId="0515FB98">
            <w:pPr>
              <w:widowControl/>
              <w:rPr>
                <w:rFonts w:ascii="宋体" w:hAnsi="宋体"/>
                <w:color w:val="auto"/>
                <w:kern w:val="0"/>
                <w:szCs w:val="21"/>
                <w:highlight w:val="none"/>
              </w:rPr>
            </w:pPr>
            <w:r>
              <w:rPr>
                <w:rFonts w:hint="eastAsia" w:ascii="宋体" w:hAnsi="宋体"/>
                <w:color w:val="auto"/>
                <w:kern w:val="0"/>
                <w:szCs w:val="21"/>
                <w:highlight w:val="none"/>
              </w:rPr>
              <w:t>教育科学出版社</w:t>
            </w:r>
          </w:p>
        </w:tc>
      </w:tr>
      <w:tr w14:paraId="37772356">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B0DC870">
            <w:pPr>
              <w:widowControl/>
              <w:jc w:val="center"/>
              <w:rPr>
                <w:rFonts w:ascii="宋体" w:hAnsi="宋体"/>
                <w:color w:val="auto"/>
                <w:kern w:val="0"/>
                <w:szCs w:val="21"/>
                <w:highlight w:val="none"/>
              </w:rPr>
            </w:pPr>
            <w:r>
              <w:rPr>
                <w:rFonts w:hint="eastAsia" w:ascii="宋体" w:hAnsi="宋体"/>
                <w:color w:val="auto"/>
                <w:kern w:val="0"/>
                <w:szCs w:val="21"/>
                <w:highlight w:val="none"/>
              </w:rPr>
              <w:t>4</w:t>
            </w:r>
          </w:p>
        </w:tc>
        <w:tc>
          <w:tcPr>
            <w:tcW w:w="3312" w:type="dxa"/>
            <w:tcBorders>
              <w:top w:val="single" w:color="000000" w:sz="4" w:space="0"/>
              <w:left w:val="nil"/>
              <w:bottom w:val="single" w:color="000000" w:sz="4" w:space="0"/>
              <w:right w:val="single" w:color="000000" w:sz="4" w:space="0"/>
            </w:tcBorders>
            <w:vAlign w:val="center"/>
          </w:tcPr>
          <w:p w14:paraId="1ACF3CE4">
            <w:pPr>
              <w:widowControl/>
              <w:rPr>
                <w:rFonts w:ascii="宋体" w:hAnsi="宋体"/>
                <w:color w:val="auto"/>
                <w:kern w:val="0"/>
                <w:szCs w:val="21"/>
                <w:highlight w:val="none"/>
              </w:rPr>
            </w:pPr>
            <w:r>
              <w:rPr>
                <w:rFonts w:hint="eastAsia" w:ascii="宋体" w:hAnsi="宋体"/>
                <w:color w:val="auto"/>
                <w:kern w:val="0"/>
                <w:szCs w:val="21"/>
                <w:highlight w:val="none"/>
              </w:rPr>
              <w:t>中国人民大学出版社</w:t>
            </w:r>
          </w:p>
        </w:tc>
        <w:tc>
          <w:tcPr>
            <w:tcW w:w="632" w:type="dxa"/>
            <w:tcBorders>
              <w:top w:val="single" w:color="000000" w:sz="4" w:space="0"/>
              <w:left w:val="nil"/>
              <w:bottom w:val="single" w:color="000000" w:sz="4" w:space="0"/>
              <w:right w:val="single" w:color="000000" w:sz="4" w:space="0"/>
            </w:tcBorders>
            <w:vAlign w:val="center"/>
          </w:tcPr>
          <w:p w14:paraId="1B5FC641">
            <w:pPr>
              <w:widowControl/>
              <w:jc w:val="center"/>
              <w:rPr>
                <w:rFonts w:ascii="宋体" w:hAnsi="宋体"/>
                <w:color w:val="auto"/>
                <w:kern w:val="0"/>
                <w:szCs w:val="21"/>
                <w:highlight w:val="none"/>
              </w:rPr>
            </w:pPr>
            <w:r>
              <w:rPr>
                <w:rFonts w:hint="eastAsia" w:ascii="宋体" w:hAnsi="宋体"/>
                <w:color w:val="auto"/>
                <w:kern w:val="0"/>
                <w:szCs w:val="21"/>
                <w:highlight w:val="none"/>
              </w:rPr>
              <w:t>44</w:t>
            </w:r>
          </w:p>
        </w:tc>
        <w:tc>
          <w:tcPr>
            <w:tcW w:w="4326" w:type="dxa"/>
            <w:tcBorders>
              <w:top w:val="single" w:color="000000" w:sz="4" w:space="0"/>
              <w:left w:val="nil"/>
              <w:bottom w:val="single" w:color="000000" w:sz="4" w:space="0"/>
              <w:right w:val="single" w:color="000000" w:sz="4" w:space="0"/>
            </w:tcBorders>
            <w:vAlign w:val="center"/>
          </w:tcPr>
          <w:p w14:paraId="444573C5">
            <w:pPr>
              <w:widowControl/>
              <w:rPr>
                <w:rFonts w:ascii="宋体" w:hAnsi="宋体"/>
                <w:color w:val="auto"/>
                <w:kern w:val="0"/>
                <w:szCs w:val="21"/>
                <w:highlight w:val="none"/>
              </w:rPr>
            </w:pPr>
            <w:r>
              <w:rPr>
                <w:rFonts w:hint="eastAsia" w:ascii="宋体" w:hAnsi="宋体"/>
                <w:color w:val="auto"/>
                <w:kern w:val="0"/>
                <w:szCs w:val="21"/>
                <w:highlight w:val="none"/>
              </w:rPr>
              <w:t xml:space="preserve">商务印书馆             </w:t>
            </w:r>
          </w:p>
        </w:tc>
      </w:tr>
      <w:tr w14:paraId="212E2C20">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70935AC1">
            <w:pPr>
              <w:widowControl/>
              <w:jc w:val="center"/>
              <w:rPr>
                <w:rFonts w:ascii="宋体" w:hAnsi="宋体"/>
                <w:color w:val="auto"/>
                <w:kern w:val="0"/>
                <w:szCs w:val="21"/>
                <w:highlight w:val="none"/>
              </w:rPr>
            </w:pPr>
            <w:r>
              <w:rPr>
                <w:rFonts w:hint="eastAsia" w:ascii="宋体" w:hAnsi="宋体"/>
                <w:color w:val="auto"/>
                <w:kern w:val="0"/>
                <w:szCs w:val="21"/>
                <w:highlight w:val="none"/>
              </w:rPr>
              <w:t>5</w:t>
            </w:r>
          </w:p>
        </w:tc>
        <w:tc>
          <w:tcPr>
            <w:tcW w:w="3312" w:type="dxa"/>
            <w:tcBorders>
              <w:top w:val="single" w:color="000000" w:sz="4" w:space="0"/>
              <w:left w:val="nil"/>
              <w:bottom w:val="single" w:color="000000" w:sz="4" w:space="0"/>
              <w:right w:val="single" w:color="000000" w:sz="4" w:space="0"/>
            </w:tcBorders>
            <w:vAlign w:val="center"/>
          </w:tcPr>
          <w:p w14:paraId="600D8703">
            <w:pPr>
              <w:widowControl/>
              <w:rPr>
                <w:rFonts w:ascii="宋体" w:hAnsi="宋体"/>
                <w:color w:val="auto"/>
                <w:kern w:val="0"/>
                <w:szCs w:val="21"/>
                <w:highlight w:val="none"/>
              </w:rPr>
            </w:pPr>
            <w:r>
              <w:rPr>
                <w:rFonts w:hint="eastAsia" w:ascii="宋体" w:hAnsi="宋体"/>
                <w:color w:val="auto"/>
                <w:kern w:val="0"/>
                <w:szCs w:val="21"/>
                <w:highlight w:val="none"/>
              </w:rPr>
              <w:t>南京大学出版社</w:t>
            </w:r>
          </w:p>
        </w:tc>
        <w:tc>
          <w:tcPr>
            <w:tcW w:w="632" w:type="dxa"/>
            <w:tcBorders>
              <w:top w:val="single" w:color="000000" w:sz="4" w:space="0"/>
              <w:left w:val="nil"/>
              <w:bottom w:val="single" w:color="000000" w:sz="4" w:space="0"/>
              <w:right w:val="single" w:color="000000" w:sz="4" w:space="0"/>
            </w:tcBorders>
            <w:vAlign w:val="center"/>
          </w:tcPr>
          <w:p w14:paraId="02016352">
            <w:pPr>
              <w:widowControl/>
              <w:jc w:val="center"/>
              <w:rPr>
                <w:rFonts w:ascii="宋体" w:hAnsi="宋体"/>
                <w:color w:val="auto"/>
                <w:kern w:val="0"/>
                <w:szCs w:val="21"/>
                <w:highlight w:val="none"/>
              </w:rPr>
            </w:pPr>
            <w:r>
              <w:rPr>
                <w:rFonts w:hint="eastAsia" w:ascii="宋体" w:hAnsi="宋体"/>
                <w:color w:val="auto"/>
                <w:kern w:val="0"/>
                <w:szCs w:val="21"/>
                <w:highlight w:val="none"/>
              </w:rPr>
              <w:t>45</w:t>
            </w:r>
          </w:p>
        </w:tc>
        <w:tc>
          <w:tcPr>
            <w:tcW w:w="4326" w:type="dxa"/>
            <w:tcBorders>
              <w:top w:val="single" w:color="000000" w:sz="4" w:space="0"/>
              <w:left w:val="nil"/>
              <w:bottom w:val="single" w:color="000000" w:sz="4" w:space="0"/>
              <w:right w:val="single" w:color="000000" w:sz="4" w:space="0"/>
            </w:tcBorders>
            <w:vAlign w:val="center"/>
          </w:tcPr>
          <w:p w14:paraId="0A4C037B">
            <w:pPr>
              <w:widowControl/>
              <w:rPr>
                <w:rFonts w:ascii="宋体" w:hAnsi="宋体"/>
                <w:color w:val="auto"/>
                <w:kern w:val="0"/>
                <w:szCs w:val="21"/>
                <w:highlight w:val="none"/>
              </w:rPr>
            </w:pPr>
            <w:r>
              <w:rPr>
                <w:rFonts w:hint="eastAsia" w:ascii="宋体" w:hAnsi="宋体"/>
                <w:color w:val="auto"/>
                <w:kern w:val="0"/>
                <w:szCs w:val="21"/>
                <w:highlight w:val="none"/>
              </w:rPr>
              <w:t xml:space="preserve">中华书局              </w:t>
            </w:r>
          </w:p>
        </w:tc>
      </w:tr>
      <w:tr w14:paraId="76F537A0">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035F9911">
            <w:pPr>
              <w:widowControl/>
              <w:jc w:val="center"/>
              <w:rPr>
                <w:rFonts w:ascii="宋体" w:hAnsi="宋体"/>
                <w:color w:val="auto"/>
                <w:kern w:val="0"/>
                <w:szCs w:val="21"/>
                <w:highlight w:val="none"/>
              </w:rPr>
            </w:pPr>
            <w:r>
              <w:rPr>
                <w:rFonts w:hint="eastAsia" w:ascii="宋体" w:hAnsi="宋体"/>
                <w:color w:val="auto"/>
                <w:kern w:val="0"/>
                <w:szCs w:val="21"/>
                <w:highlight w:val="none"/>
              </w:rPr>
              <w:t>6</w:t>
            </w:r>
          </w:p>
        </w:tc>
        <w:tc>
          <w:tcPr>
            <w:tcW w:w="3312" w:type="dxa"/>
            <w:tcBorders>
              <w:top w:val="single" w:color="000000" w:sz="4" w:space="0"/>
              <w:left w:val="nil"/>
              <w:bottom w:val="single" w:color="000000" w:sz="4" w:space="0"/>
              <w:right w:val="single" w:color="000000" w:sz="4" w:space="0"/>
            </w:tcBorders>
            <w:vAlign w:val="center"/>
          </w:tcPr>
          <w:p w14:paraId="057FD66B">
            <w:pPr>
              <w:widowControl/>
              <w:rPr>
                <w:rFonts w:ascii="宋体" w:hAnsi="宋体"/>
                <w:color w:val="auto"/>
                <w:kern w:val="0"/>
                <w:szCs w:val="21"/>
                <w:highlight w:val="none"/>
              </w:rPr>
            </w:pPr>
            <w:r>
              <w:rPr>
                <w:rFonts w:hint="eastAsia" w:ascii="宋体" w:hAnsi="宋体"/>
                <w:color w:val="auto"/>
                <w:kern w:val="0"/>
                <w:szCs w:val="21"/>
                <w:highlight w:val="none"/>
              </w:rPr>
              <w:t>浙江大学出版社</w:t>
            </w:r>
          </w:p>
        </w:tc>
        <w:tc>
          <w:tcPr>
            <w:tcW w:w="632" w:type="dxa"/>
            <w:tcBorders>
              <w:top w:val="single" w:color="000000" w:sz="4" w:space="0"/>
              <w:left w:val="nil"/>
              <w:bottom w:val="single" w:color="000000" w:sz="4" w:space="0"/>
              <w:right w:val="single" w:color="000000" w:sz="4" w:space="0"/>
            </w:tcBorders>
            <w:vAlign w:val="center"/>
          </w:tcPr>
          <w:p w14:paraId="1451694E">
            <w:pPr>
              <w:widowControl/>
              <w:jc w:val="center"/>
              <w:rPr>
                <w:rFonts w:ascii="宋体" w:hAnsi="宋体"/>
                <w:color w:val="auto"/>
                <w:kern w:val="0"/>
                <w:szCs w:val="21"/>
                <w:highlight w:val="none"/>
              </w:rPr>
            </w:pPr>
            <w:r>
              <w:rPr>
                <w:rFonts w:hint="eastAsia" w:ascii="宋体" w:hAnsi="宋体"/>
                <w:color w:val="auto"/>
                <w:kern w:val="0"/>
                <w:szCs w:val="21"/>
                <w:highlight w:val="none"/>
              </w:rPr>
              <w:t>46</w:t>
            </w:r>
          </w:p>
        </w:tc>
        <w:tc>
          <w:tcPr>
            <w:tcW w:w="4326" w:type="dxa"/>
            <w:tcBorders>
              <w:top w:val="single" w:color="000000" w:sz="4" w:space="0"/>
              <w:left w:val="nil"/>
              <w:bottom w:val="single" w:color="000000" w:sz="4" w:space="0"/>
              <w:right w:val="single" w:color="000000" w:sz="4" w:space="0"/>
            </w:tcBorders>
            <w:vAlign w:val="center"/>
          </w:tcPr>
          <w:p w14:paraId="1241876E">
            <w:pPr>
              <w:widowControl/>
              <w:rPr>
                <w:rFonts w:ascii="宋体" w:hAnsi="宋体"/>
                <w:color w:val="auto"/>
                <w:kern w:val="0"/>
                <w:szCs w:val="21"/>
                <w:highlight w:val="none"/>
              </w:rPr>
            </w:pPr>
            <w:r>
              <w:rPr>
                <w:rFonts w:hint="eastAsia" w:ascii="宋体" w:hAnsi="宋体"/>
                <w:color w:val="auto"/>
                <w:kern w:val="0"/>
                <w:szCs w:val="21"/>
                <w:highlight w:val="none"/>
              </w:rPr>
              <w:t>生活.读书.新知三联出版社</w:t>
            </w:r>
          </w:p>
        </w:tc>
      </w:tr>
      <w:tr w14:paraId="6764FA14">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863E136">
            <w:pPr>
              <w:widowControl/>
              <w:jc w:val="center"/>
              <w:rPr>
                <w:rFonts w:ascii="宋体" w:hAnsi="宋体"/>
                <w:color w:val="auto"/>
                <w:kern w:val="0"/>
                <w:szCs w:val="21"/>
                <w:highlight w:val="none"/>
              </w:rPr>
            </w:pPr>
            <w:r>
              <w:rPr>
                <w:rFonts w:hint="eastAsia" w:ascii="宋体" w:hAnsi="宋体"/>
                <w:color w:val="auto"/>
                <w:kern w:val="0"/>
                <w:szCs w:val="21"/>
                <w:highlight w:val="none"/>
              </w:rPr>
              <w:t>7</w:t>
            </w:r>
          </w:p>
        </w:tc>
        <w:tc>
          <w:tcPr>
            <w:tcW w:w="3312" w:type="dxa"/>
            <w:tcBorders>
              <w:top w:val="single" w:color="000000" w:sz="4" w:space="0"/>
              <w:left w:val="nil"/>
              <w:bottom w:val="single" w:color="000000" w:sz="4" w:space="0"/>
              <w:right w:val="single" w:color="000000" w:sz="4" w:space="0"/>
            </w:tcBorders>
            <w:vAlign w:val="center"/>
          </w:tcPr>
          <w:p w14:paraId="6AC39C06">
            <w:pPr>
              <w:widowControl/>
              <w:rPr>
                <w:rFonts w:ascii="宋体" w:hAnsi="宋体"/>
                <w:color w:val="auto"/>
                <w:kern w:val="0"/>
                <w:szCs w:val="21"/>
                <w:highlight w:val="none"/>
              </w:rPr>
            </w:pPr>
            <w:r>
              <w:rPr>
                <w:rFonts w:hint="eastAsia" w:ascii="宋体" w:hAnsi="宋体"/>
                <w:color w:val="auto"/>
                <w:kern w:val="0"/>
                <w:szCs w:val="21"/>
                <w:highlight w:val="none"/>
              </w:rPr>
              <w:t>武汉大学出版社</w:t>
            </w:r>
          </w:p>
        </w:tc>
        <w:tc>
          <w:tcPr>
            <w:tcW w:w="632" w:type="dxa"/>
            <w:tcBorders>
              <w:top w:val="single" w:color="000000" w:sz="4" w:space="0"/>
              <w:left w:val="nil"/>
              <w:bottom w:val="single" w:color="000000" w:sz="4" w:space="0"/>
              <w:right w:val="single" w:color="000000" w:sz="4" w:space="0"/>
            </w:tcBorders>
            <w:vAlign w:val="center"/>
          </w:tcPr>
          <w:p w14:paraId="6D456FFD">
            <w:pPr>
              <w:widowControl/>
              <w:jc w:val="center"/>
              <w:rPr>
                <w:rFonts w:ascii="宋体" w:hAnsi="宋体"/>
                <w:color w:val="auto"/>
                <w:kern w:val="0"/>
                <w:szCs w:val="21"/>
                <w:highlight w:val="none"/>
              </w:rPr>
            </w:pPr>
            <w:r>
              <w:rPr>
                <w:rFonts w:hint="eastAsia" w:ascii="宋体" w:hAnsi="宋体"/>
                <w:color w:val="auto"/>
                <w:kern w:val="0"/>
                <w:szCs w:val="21"/>
                <w:highlight w:val="none"/>
              </w:rPr>
              <w:t>47</w:t>
            </w:r>
          </w:p>
        </w:tc>
        <w:tc>
          <w:tcPr>
            <w:tcW w:w="4326" w:type="dxa"/>
            <w:tcBorders>
              <w:top w:val="single" w:color="000000" w:sz="4" w:space="0"/>
              <w:left w:val="nil"/>
              <w:bottom w:val="single" w:color="000000" w:sz="4" w:space="0"/>
              <w:right w:val="single" w:color="000000" w:sz="4" w:space="0"/>
            </w:tcBorders>
            <w:vAlign w:val="center"/>
          </w:tcPr>
          <w:p w14:paraId="1BE626A3">
            <w:pPr>
              <w:widowControl/>
              <w:rPr>
                <w:rFonts w:ascii="宋体" w:hAnsi="宋体"/>
                <w:color w:val="auto"/>
                <w:kern w:val="0"/>
                <w:szCs w:val="21"/>
                <w:highlight w:val="none"/>
              </w:rPr>
            </w:pPr>
            <w:r>
              <w:rPr>
                <w:rFonts w:hint="eastAsia" w:ascii="宋体" w:hAnsi="宋体"/>
                <w:color w:val="auto"/>
                <w:kern w:val="0"/>
                <w:szCs w:val="21"/>
                <w:highlight w:val="none"/>
              </w:rPr>
              <w:t xml:space="preserve">中国社会科学出版社     </w:t>
            </w:r>
          </w:p>
        </w:tc>
      </w:tr>
      <w:tr w14:paraId="5F1CA4A5">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27DABA51">
            <w:pPr>
              <w:widowControl/>
              <w:jc w:val="center"/>
              <w:rPr>
                <w:rFonts w:ascii="宋体" w:hAnsi="宋体"/>
                <w:color w:val="auto"/>
                <w:kern w:val="0"/>
                <w:szCs w:val="21"/>
                <w:highlight w:val="none"/>
              </w:rPr>
            </w:pPr>
            <w:r>
              <w:rPr>
                <w:rFonts w:hint="eastAsia" w:ascii="宋体" w:hAnsi="宋体"/>
                <w:color w:val="auto"/>
                <w:kern w:val="0"/>
                <w:szCs w:val="21"/>
                <w:highlight w:val="none"/>
              </w:rPr>
              <w:t>8</w:t>
            </w:r>
          </w:p>
        </w:tc>
        <w:tc>
          <w:tcPr>
            <w:tcW w:w="3312" w:type="dxa"/>
            <w:tcBorders>
              <w:top w:val="single" w:color="000000" w:sz="4" w:space="0"/>
              <w:left w:val="nil"/>
              <w:bottom w:val="single" w:color="000000" w:sz="4" w:space="0"/>
              <w:right w:val="single" w:color="000000" w:sz="4" w:space="0"/>
            </w:tcBorders>
            <w:vAlign w:val="center"/>
          </w:tcPr>
          <w:p w14:paraId="0D2A823B">
            <w:pPr>
              <w:widowControl/>
              <w:rPr>
                <w:rFonts w:ascii="宋体" w:hAnsi="宋体"/>
                <w:color w:val="auto"/>
                <w:kern w:val="0"/>
                <w:szCs w:val="21"/>
                <w:highlight w:val="none"/>
              </w:rPr>
            </w:pPr>
            <w:r>
              <w:rPr>
                <w:rFonts w:hint="eastAsia" w:ascii="宋体" w:hAnsi="宋体"/>
                <w:color w:val="auto"/>
                <w:kern w:val="0"/>
                <w:szCs w:val="21"/>
                <w:highlight w:val="none"/>
              </w:rPr>
              <w:t>中山大学出版社</w:t>
            </w:r>
          </w:p>
        </w:tc>
        <w:tc>
          <w:tcPr>
            <w:tcW w:w="632" w:type="dxa"/>
            <w:tcBorders>
              <w:top w:val="single" w:color="000000" w:sz="4" w:space="0"/>
              <w:left w:val="nil"/>
              <w:bottom w:val="single" w:color="000000" w:sz="4" w:space="0"/>
              <w:right w:val="single" w:color="000000" w:sz="4" w:space="0"/>
            </w:tcBorders>
            <w:vAlign w:val="center"/>
          </w:tcPr>
          <w:p w14:paraId="32D2CBE1">
            <w:pPr>
              <w:widowControl/>
              <w:jc w:val="center"/>
              <w:rPr>
                <w:rFonts w:ascii="宋体" w:hAnsi="宋体"/>
                <w:color w:val="auto"/>
                <w:kern w:val="0"/>
                <w:szCs w:val="21"/>
                <w:highlight w:val="none"/>
              </w:rPr>
            </w:pPr>
            <w:r>
              <w:rPr>
                <w:rFonts w:hint="eastAsia" w:ascii="宋体" w:hAnsi="宋体"/>
                <w:color w:val="auto"/>
                <w:kern w:val="0"/>
                <w:szCs w:val="21"/>
                <w:highlight w:val="none"/>
              </w:rPr>
              <w:t>48</w:t>
            </w:r>
          </w:p>
        </w:tc>
        <w:tc>
          <w:tcPr>
            <w:tcW w:w="4326" w:type="dxa"/>
            <w:tcBorders>
              <w:top w:val="single" w:color="000000" w:sz="4" w:space="0"/>
              <w:left w:val="nil"/>
              <w:bottom w:val="single" w:color="000000" w:sz="4" w:space="0"/>
              <w:right w:val="single" w:color="000000" w:sz="4" w:space="0"/>
            </w:tcBorders>
            <w:vAlign w:val="center"/>
          </w:tcPr>
          <w:p w14:paraId="5BE4444A">
            <w:pPr>
              <w:widowControl/>
              <w:rPr>
                <w:rFonts w:ascii="宋体" w:hAnsi="宋体"/>
                <w:color w:val="auto"/>
                <w:kern w:val="0"/>
                <w:szCs w:val="21"/>
                <w:highlight w:val="none"/>
              </w:rPr>
            </w:pPr>
            <w:r>
              <w:rPr>
                <w:rFonts w:hint="eastAsia" w:ascii="宋体" w:hAnsi="宋体"/>
                <w:color w:val="auto"/>
                <w:kern w:val="0"/>
                <w:szCs w:val="21"/>
                <w:highlight w:val="none"/>
              </w:rPr>
              <w:t xml:space="preserve">中国经济出版社        </w:t>
            </w:r>
          </w:p>
        </w:tc>
      </w:tr>
      <w:tr w14:paraId="1A300D85">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68E53F02">
            <w:pPr>
              <w:widowControl/>
              <w:jc w:val="center"/>
              <w:rPr>
                <w:rFonts w:ascii="宋体" w:hAnsi="宋体"/>
                <w:color w:val="auto"/>
                <w:kern w:val="0"/>
                <w:szCs w:val="21"/>
                <w:highlight w:val="none"/>
              </w:rPr>
            </w:pPr>
            <w:r>
              <w:rPr>
                <w:rFonts w:hint="eastAsia" w:ascii="宋体" w:hAnsi="宋体"/>
                <w:color w:val="auto"/>
                <w:kern w:val="0"/>
                <w:szCs w:val="21"/>
                <w:highlight w:val="none"/>
              </w:rPr>
              <w:t>9</w:t>
            </w:r>
          </w:p>
        </w:tc>
        <w:tc>
          <w:tcPr>
            <w:tcW w:w="3312" w:type="dxa"/>
            <w:tcBorders>
              <w:top w:val="single" w:color="000000" w:sz="4" w:space="0"/>
              <w:left w:val="nil"/>
              <w:bottom w:val="single" w:color="000000" w:sz="4" w:space="0"/>
              <w:right w:val="single" w:color="000000" w:sz="4" w:space="0"/>
            </w:tcBorders>
            <w:vAlign w:val="center"/>
          </w:tcPr>
          <w:p w14:paraId="3DAF0D3D">
            <w:pPr>
              <w:widowControl/>
              <w:rPr>
                <w:rFonts w:ascii="宋体" w:hAnsi="宋体"/>
                <w:color w:val="auto"/>
                <w:kern w:val="0"/>
                <w:szCs w:val="21"/>
                <w:highlight w:val="none"/>
              </w:rPr>
            </w:pPr>
            <w:r>
              <w:rPr>
                <w:rFonts w:hint="eastAsia" w:ascii="宋体" w:hAnsi="宋体"/>
                <w:color w:val="auto"/>
                <w:kern w:val="0"/>
                <w:szCs w:val="21"/>
                <w:highlight w:val="none"/>
              </w:rPr>
              <w:t>厦门大学出版社</w:t>
            </w:r>
          </w:p>
        </w:tc>
        <w:tc>
          <w:tcPr>
            <w:tcW w:w="632" w:type="dxa"/>
            <w:tcBorders>
              <w:top w:val="single" w:color="000000" w:sz="4" w:space="0"/>
              <w:left w:val="nil"/>
              <w:bottom w:val="single" w:color="000000" w:sz="4" w:space="0"/>
              <w:right w:val="single" w:color="000000" w:sz="4" w:space="0"/>
            </w:tcBorders>
            <w:vAlign w:val="center"/>
          </w:tcPr>
          <w:p w14:paraId="7F9BAB02">
            <w:pPr>
              <w:widowControl/>
              <w:jc w:val="center"/>
              <w:rPr>
                <w:rFonts w:ascii="宋体" w:hAnsi="宋体"/>
                <w:color w:val="auto"/>
                <w:kern w:val="0"/>
                <w:szCs w:val="21"/>
                <w:highlight w:val="none"/>
              </w:rPr>
            </w:pPr>
            <w:r>
              <w:rPr>
                <w:rFonts w:hint="eastAsia" w:ascii="宋体" w:hAnsi="宋体"/>
                <w:color w:val="auto"/>
                <w:kern w:val="0"/>
                <w:szCs w:val="21"/>
                <w:highlight w:val="none"/>
              </w:rPr>
              <w:t>49</w:t>
            </w:r>
          </w:p>
        </w:tc>
        <w:tc>
          <w:tcPr>
            <w:tcW w:w="4326" w:type="dxa"/>
            <w:tcBorders>
              <w:top w:val="single" w:color="000000" w:sz="4" w:space="0"/>
              <w:left w:val="nil"/>
              <w:bottom w:val="single" w:color="000000" w:sz="4" w:space="0"/>
              <w:right w:val="single" w:color="000000" w:sz="4" w:space="0"/>
            </w:tcBorders>
            <w:vAlign w:val="center"/>
          </w:tcPr>
          <w:p w14:paraId="11FC615E">
            <w:pPr>
              <w:widowControl/>
              <w:rPr>
                <w:rFonts w:ascii="宋体" w:hAnsi="宋体"/>
                <w:color w:val="auto"/>
                <w:kern w:val="0"/>
                <w:szCs w:val="21"/>
                <w:highlight w:val="none"/>
              </w:rPr>
            </w:pPr>
            <w:r>
              <w:rPr>
                <w:rFonts w:hint="eastAsia" w:ascii="宋体" w:hAnsi="宋体"/>
                <w:color w:val="auto"/>
                <w:kern w:val="0"/>
                <w:szCs w:val="21"/>
                <w:highlight w:val="none"/>
              </w:rPr>
              <w:t>科学出版社</w:t>
            </w:r>
          </w:p>
        </w:tc>
      </w:tr>
      <w:tr w14:paraId="062FA287">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40836DE6">
            <w:pPr>
              <w:widowControl/>
              <w:jc w:val="center"/>
              <w:rPr>
                <w:rFonts w:ascii="宋体" w:hAnsi="宋体"/>
                <w:color w:val="auto"/>
                <w:kern w:val="0"/>
                <w:szCs w:val="21"/>
                <w:highlight w:val="none"/>
              </w:rPr>
            </w:pPr>
            <w:r>
              <w:rPr>
                <w:rFonts w:hint="eastAsia" w:ascii="宋体" w:hAnsi="宋体"/>
                <w:color w:val="auto"/>
                <w:kern w:val="0"/>
                <w:szCs w:val="21"/>
                <w:highlight w:val="none"/>
              </w:rPr>
              <w:t>10</w:t>
            </w:r>
          </w:p>
        </w:tc>
        <w:tc>
          <w:tcPr>
            <w:tcW w:w="3312" w:type="dxa"/>
            <w:tcBorders>
              <w:top w:val="single" w:color="000000" w:sz="4" w:space="0"/>
              <w:left w:val="nil"/>
              <w:bottom w:val="single" w:color="000000" w:sz="4" w:space="0"/>
              <w:right w:val="single" w:color="000000" w:sz="4" w:space="0"/>
            </w:tcBorders>
            <w:vAlign w:val="center"/>
          </w:tcPr>
          <w:p w14:paraId="0D1BEE71">
            <w:pPr>
              <w:widowControl/>
              <w:rPr>
                <w:rFonts w:ascii="宋体" w:hAnsi="宋体"/>
                <w:color w:val="auto"/>
                <w:kern w:val="0"/>
                <w:szCs w:val="21"/>
                <w:highlight w:val="none"/>
              </w:rPr>
            </w:pPr>
            <w:r>
              <w:rPr>
                <w:rFonts w:hint="eastAsia" w:ascii="宋体" w:hAnsi="宋体"/>
                <w:color w:val="auto"/>
                <w:kern w:val="0"/>
                <w:szCs w:val="21"/>
                <w:highlight w:val="none"/>
              </w:rPr>
              <w:t xml:space="preserve">北京师范大学出版社      </w:t>
            </w:r>
          </w:p>
        </w:tc>
        <w:tc>
          <w:tcPr>
            <w:tcW w:w="632" w:type="dxa"/>
            <w:tcBorders>
              <w:top w:val="single" w:color="000000" w:sz="4" w:space="0"/>
              <w:left w:val="nil"/>
              <w:bottom w:val="single" w:color="000000" w:sz="4" w:space="0"/>
              <w:right w:val="single" w:color="000000" w:sz="4" w:space="0"/>
            </w:tcBorders>
            <w:vAlign w:val="center"/>
          </w:tcPr>
          <w:p w14:paraId="03972F62">
            <w:pPr>
              <w:widowControl/>
              <w:jc w:val="center"/>
              <w:rPr>
                <w:rFonts w:ascii="宋体" w:hAnsi="宋体"/>
                <w:color w:val="auto"/>
                <w:kern w:val="0"/>
                <w:szCs w:val="21"/>
                <w:highlight w:val="none"/>
              </w:rPr>
            </w:pPr>
            <w:r>
              <w:rPr>
                <w:rFonts w:hint="eastAsia" w:ascii="宋体" w:hAnsi="宋体"/>
                <w:color w:val="auto"/>
                <w:kern w:val="0"/>
                <w:szCs w:val="21"/>
                <w:highlight w:val="none"/>
              </w:rPr>
              <w:t>50</w:t>
            </w:r>
          </w:p>
        </w:tc>
        <w:tc>
          <w:tcPr>
            <w:tcW w:w="4326" w:type="dxa"/>
            <w:tcBorders>
              <w:top w:val="single" w:color="000000" w:sz="4" w:space="0"/>
              <w:left w:val="nil"/>
              <w:bottom w:val="single" w:color="000000" w:sz="4" w:space="0"/>
              <w:right w:val="single" w:color="000000" w:sz="4" w:space="0"/>
            </w:tcBorders>
            <w:vAlign w:val="center"/>
          </w:tcPr>
          <w:p w14:paraId="5A017D45">
            <w:pPr>
              <w:widowControl/>
              <w:rPr>
                <w:rFonts w:ascii="宋体" w:hAnsi="宋体"/>
                <w:color w:val="auto"/>
                <w:kern w:val="0"/>
                <w:szCs w:val="21"/>
                <w:highlight w:val="none"/>
              </w:rPr>
            </w:pPr>
            <w:r>
              <w:rPr>
                <w:rFonts w:hint="eastAsia" w:ascii="宋体" w:hAnsi="宋体"/>
                <w:color w:val="auto"/>
                <w:kern w:val="0"/>
                <w:szCs w:val="21"/>
                <w:highlight w:val="none"/>
              </w:rPr>
              <w:t xml:space="preserve">化学工业出版社         </w:t>
            </w:r>
          </w:p>
        </w:tc>
      </w:tr>
      <w:tr w14:paraId="1613DF08">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6C7ABC14">
            <w:pPr>
              <w:widowControl/>
              <w:jc w:val="center"/>
              <w:rPr>
                <w:rFonts w:ascii="宋体" w:hAnsi="宋体"/>
                <w:color w:val="auto"/>
                <w:kern w:val="0"/>
                <w:szCs w:val="21"/>
                <w:highlight w:val="none"/>
              </w:rPr>
            </w:pPr>
            <w:r>
              <w:rPr>
                <w:rFonts w:hint="eastAsia" w:ascii="宋体" w:hAnsi="宋体"/>
                <w:color w:val="auto"/>
                <w:kern w:val="0"/>
                <w:szCs w:val="21"/>
                <w:highlight w:val="none"/>
              </w:rPr>
              <w:t>11</w:t>
            </w:r>
          </w:p>
        </w:tc>
        <w:tc>
          <w:tcPr>
            <w:tcW w:w="3312" w:type="dxa"/>
            <w:tcBorders>
              <w:top w:val="single" w:color="000000" w:sz="4" w:space="0"/>
              <w:left w:val="nil"/>
              <w:bottom w:val="single" w:color="000000" w:sz="4" w:space="0"/>
              <w:right w:val="single" w:color="000000" w:sz="4" w:space="0"/>
            </w:tcBorders>
            <w:vAlign w:val="center"/>
          </w:tcPr>
          <w:p w14:paraId="3B8E3D75">
            <w:pPr>
              <w:widowControl/>
              <w:rPr>
                <w:rFonts w:ascii="宋体" w:hAnsi="宋体"/>
                <w:color w:val="auto"/>
                <w:kern w:val="0"/>
                <w:szCs w:val="21"/>
                <w:highlight w:val="none"/>
              </w:rPr>
            </w:pPr>
            <w:r>
              <w:rPr>
                <w:rFonts w:hint="eastAsia" w:ascii="宋体" w:hAnsi="宋体"/>
                <w:color w:val="auto"/>
                <w:kern w:val="0"/>
                <w:szCs w:val="21"/>
                <w:highlight w:val="none"/>
              </w:rPr>
              <w:t xml:space="preserve">山东大学出版社        </w:t>
            </w:r>
          </w:p>
        </w:tc>
        <w:tc>
          <w:tcPr>
            <w:tcW w:w="632" w:type="dxa"/>
            <w:tcBorders>
              <w:top w:val="single" w:color="000000" w:sz="4" w:space="0"/>
              <w:left w:val="nil"/>
              <w:bottom w:val="single" w:color="000000" w:sz="4" w:space="0"/>
              <w:right w:val="single" w:color="000000" w:sz="4" w:space="0"/>
            </w:tcBorders>
            <w:vAlign w:val="center"/>
          </w:tcPr>
          <w:p w14:paraId="5AD88473">
            <w:pPr>
              <w:widowControl/>
              <w:jc w:val="center"/>
              <w:rPr>
                <w:rFonts w:ascii="宋体" w:hAnsi="宋体"/>
                <w:color w:val="auto"/>
                <w:kern w:val="0"/>
                <w:szCs w:val="21"/>
                <w:highlight w:val="none"/>
              </w:rPr>
            </w:pPr>
            <w:r>
              <w:rPr>
                <w:rFonts w:hint="eastAsia" w:ascii="宋体" w:hAnsi="宋体"/>
                <w:color w:val="auto"/>
                <w:kern w:val="0"/>
                <w:szCs w:val="21"/>
                <w:highlight w:val="none"/>
              </w:rPr>
              <w:t>51</w:t>
            </w:r>
          </w:p>
        </w:tc>
        <w:tc>
          <w:tcPr>
            <w:tcW w:w="4326" w:type="dxa"/>
            <w:tcBorders>
              <w:top w:val="single" w:color="000000" w:sz="4" w:space="0"/>
              <w:left w:val="nil"/>
              <w:bottom w:val="single" w:color="000000" w:sz="4" w:space="0"/>
              <w:right w:val="single" w:color="000000" w:sz="4" w:space="0"/>
            </w:tcBorders>
            <w:vAlign w:val="center"/>
          </w:tcPr>
          <w:p w14:paraId="3F5E0C8A">
            <w:pPr>
              <w:widowControl/>
              <w:rPr>
                <w:rFonts w:ascii="宋体" w:hAnsi="宋体"/>
                <w:color w:val="auto"/>
                <w:kern w:val="0"/>
                <w:szCs w:val="21"/>
                <w:highlight w:val="none"/>
              </w:rPr>
            </w:pPr>
            <w:r>
              <w:rPr>
                <w:rFonts w:hint="eastAsia" w:ascii="宋体" w:hAnsi="宋体"/>
                <w:color w:val="auto"/>
                <w:kern w:val="0"/>
                <w:szCs w:val="21"/>
                <w:highlight w:val="none"/>
              </w:rPr>
              <w:t xml:space="preserve">人民美术出版社        </w:t>
            </w:r>
          </w:p>
        </w:tc>
      </w:tr>
      <w:tr w14:paraId="6B119EB2">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135FE1AB">
            <w:pPr>
              <w:widowControl/>
              <w:jc w:val="center"/>
              <w:rPr>
                <w:rFonts w:ascii="宋体" w:hAnsi="宋体"/>
                <w:color w:val="auto"/>
                <w:kern w:val="0"/>
                <w:szCs w:val="21"/>
                <w:highlight w:val="none"/>
              </w:rPr>
            </w:pPr>
            <w:r>
              <w:rPr>
                <w:rFonts w:hint="eastAsia" w:ascii="宋体" w:hAnsi="宋体"/>
                <w:color w:val="auto"/>
                <w:kern w:val="0"/>
                <w:szCs w:val="21"/>
                <w:highlight w:val="none"/>
              </w:rPr>
              <w:t>12</w:t>
            </w:r>
          </w:p>
        </w:tc>
        <w:tc>
          <w:tcPr>
            <w:tcW w:w="3312" w:type="dxa"/>
            <w:tcBorders>
              <w:top w:val="single" w:color="000000" w:sz="4" w:space="0"/>
              <w:left w:val="nil"/>
              <w:bottom w:val="single" w:color="000000" w:sz="4" w:space="0"/>
              <w:right w:val="single" w:color="000000" w:sz="4" w:space="0"/>
            </w:tcBorders>
            <w:vAlign w:val="center"/>
          </w:tcPr>
          <w:p w14:paraId="60611398">
            <w:pPr>
              <w:widowControl/>
              <w:rPr>
                <w:rFonts w:ascii="宋体" w:hAnsi="宋体"/>
                <w:color w:val="auto"/>
                <w:kern w:val="0"/>
                <w:szCs w:val="21"/>
                <w:highlight w:val="none"/>
              </w:rPr>
            </w:pPr>
            <w:r>
              <w:rPr>
                <w:rFonts w:hint="eastAsia" w:ascii="宋体" w:hAnsi="宋体"/>
                <w:color w:val="auto"/>
                <w:kern w:val="0"/>
                <w:szCs w:val="21"/>
                <w:highlight w:val="none"/>
              </w:rPr>
              <w:t>南开大学出版社</w:t>
            </w:r>
          </w:p>
        </w:tc>
        <w:tc>
          <w:tcPr>
            <w:tcW w:w="632" w:type="dxa"/>
            <w:tcBorders>
              <w:top w:val="single" w:color="000000" w:sz="4" w:space="0"/>
              <w:left w:val="nil"/>
              <w:bottom w:val="single" w:color="000000" w:sz="4" w:space="0"/>
              <w:right w:val="single" w:color="000000" w:sz="4" w:space="0"/>
            </w:tcBorders>
            <w:vAlign w:val="center"/>
          </w:tcPr>
          <w:p w14:paraId="07398A16">
            <w:pPr>
              <w:widowControl/>
              <w:jc w:val="center"/>
              <w:rPr>
                <w:rFonts w:ascii="宋体" w:hAnsi="宋体"/>
                <w:color w:val="auto"/>
                <w:kern w:val="0"/>
                <w:szCs w:val="21"/>
                <w:highlight w:val="none"/>
              </w:rPr>
            </w:pPr>
            <w:r>
              <w:rPr>
                <w:rFonts w:hint="eastAsia" w:ascii="宋体" w:hAnsi="宋体"/>
                <w:color w:val="auto"/>
                <w:kern w:val="0"/>
                <w:szCs w:val="21"/>
                <w:highlight w:val="none"/>
              </w:rPr>
              <w:t>52</w:t>
            </w:r>
          </w:p>
        </w:tc>
        <w:tc>
          <w:tcPr>
            <w:tcW w:w="4326" w:type="dxa"/>
            <w:tcBorders>
              <w:top w:val="single" w:color="000000" w:sz="4" w:space="0"/>
              <w:left w:val="nil"/>
              <w:bottom w:val="single" w:color="000000" w:sz="4" w:space="0"/>
              <w:right w:val="single" w:color="000000" w:sz="4" w:space="0"/>
            </w:tcBorders>
            <w:vAlign w:val="center"/>
          </w:tcPr>
          <w:p w14:paraId="457315A1">
            <w:pPr>
              <w:widowControl/>
              <w:rPr>
                <w:rFonts w:ascii="宋体" w:hAnsi="宋体"/>
                <w:color w:val="auto"/>
                <w:kern w:val="0"/>
                <w:szCs w:val="21"/>
                <w:highlight w:val="none"/>
              </w:rPr>
            </w:pPr>
            <w:r>
              <w:rPr>
                <w:rFonts w:hint="eastAsia" w:ascii="宋体" w:hAnsi="宋体"/>
                <w:color w:val="auto"/>
                <w:kern w:val="0"/>
                <w:szCs w:val="21"/>
                <w:highlight w:val="none"/>
              </w:rPr>
              <w:t>人民音乐出版社</w:t>
            </w:r>
          </w:p>
        </w:tc>
      </w:tr>
      <w:tr w14:paraId="0F1884C4">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1E02115F">
            <w:pPr>
              <w:widowControl/>
              <w:jc w:val="center"/>
              <w:rPr>
                <w:rFonts w:ascii="宋体" w:hAnsi="宋体"/>
                <w:color w:val="auto"/>
                <w:kern w:val="0"/>
                <w:szCs w:val="21"/>
                <w:highlight w:val="none"/>
              </w:rPr>
            </w:pPr>
            <w:r>
              <w:rPr>
                <w:rFonts w:hint="eastAsia" w:ascii="宋体" w:hAnsi="宋体"/>
                <w:color w:val="auto"/>
                <w:kern w:val="0"/>
                <w:szCs w:val="21"/>
                <w:highlight w:val="none"/>
              </w:rPr>
              <w:t>13</w:t>
            </w:r>
          </w:p>
        </w:tc>
        <w:tc>
          <w:tcPr>
            <w:tcW w:w="3312" w:type="dxa"/>
            <w:tcBorders>
              <w:top w:val="single" w:color="000000" w:sz="4" w:space="0"/>
              <w:left w:val="nil"/>
              <w:bottom w:val="single" w:color="000000" w:sz="4" w:space="0"/>
              <w:right w:val="single" w:color="000000" w:sz="4" w:space="0"/>
            </w:tcBorders>
            <w:vAlign w:val="center"/>
          </w:tcPr>
          <w:p w14:paraId="506122FB">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中国传媒大学出版社      </w:t>
            </w:r>
          </w:p>
        </w:tc>
        <w:tc>
          <w:tcPr>
            <w:tcW w:w="632" w:type="dxa"/>
            <w:tcBorders>
              <w:top w:val="single" w:color="000000" w:sz="4" w:space="0"/>
              <w:left w:val="nil"/>
              <w:bottom w:val="single" w:color="000000" w:sz="4" w:space="0"/>
              <w:right w:val="single" w:color="000000" w:sz="4" w:space="0"/>
            </w:tcBorders>
            <w:vAlign w:val="center"/>
          </w:tcPr>
          <w:p w14:paraId="3987DD3D">
            <w:pPr>
              <w:widowControl/>
              <w:jc w:val="center"/>
              <w:rPr>
                <w:rFonts w:ascii="宋体" w:hAnsi="宋体"/>
                <w:color w:val="auto"/>
                <w:kern w:val="0"/>
                <w:szCs w:val="21"/>
                <w:highlight w:val="none"/>
              </w:rPr>
            </w:pPr>
            <w:r>
              <w:rPr>
                <w:rFonts w:hint="eastAsia" w:ascii="宋体" w:hAnsi="宋体"/>
                <w:color w:val="auto"/>
                <w:kern w:val="0"/>
                <w:szCs w:val="21"/>
                <w:highlight w:val="none"/>
              </w:rPr>
              <w:t>53</w:t>
            </w:r>
          </w:p>
        </w:tc>
        <w:tc>
          <w:tcPr>
            <w:tcW w:w="4326" w:type="dxa"/>
            <w:tcBorders>
              <w:top w:val="single" w:color="000000" w:sz="4" w:space="0"/>
              <w:left w:val="nil"/>
              <w:bottom w:val="single" w:color="000000" w:sz="4" w:space="0"/>
              <w:right w:val="single" w:color="000000" w:sz="4" w:space="0"/>
            </w:tcBorders>
            <w:vAlign w:val="center"/>
          </w:tcPr>
          <w:p w14:paraId="2C3F2FC6">
            <w:pPr>
              <w:widowControl/>
              <w:rPr>
                <w:rFonts w:ascii="宋体" w:hAnsi="宋体"/>
                <w:color w:val="auto"/>
                <w:kern w:val="0"/>
                <w:szCs w:val="21"/>
                <w:highlight w:val="none"/>
              </w:rPr>
            </w:pPr>
            <w:r>
              <w:rPr>
                <w:rFonts w:hint="eastAsia" w:ascii="宋体" w:hAnsi="宋体"/>
                <w:color w:val="auto"/>
                <w:kern w:val="0"/>
                <w:szCs w:val="21"/>
                <w:highlight w:val="none"/>
              </w:rPr>
              <w:t xml:space="preserve">人民邮电出版社         </w:t>
            </w:r>
          </w:p>
        </w:tc>
      </w:tr>
      <w:tr w14:paraId="3F90475D">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AAA11C5">
            <w:pPr>
              <w:widowControl/>
              <w:jc w:val="center"/>
              <w:rPr>
                <w:rFonts w:ascii="宋体" w:hAnsi="宋体"/>
                <w:color w:val="auto"/>
                <w:kern w:val="0"/>
                <w:szCs w:val="21"/>
                <w:highlight w:val="none"/>
              </w:rPr>
            </w:pPr>
            <w:r>
              <w:rPr>
                <w:rFonts w:hint="eastAsia" w:ascii="宋体" w:hAnsi="宋体"/>
                <w:color w:val="auto"/>
                <w:kern w:val="0"/>
                <w:szCs w:val="21"/>
                <w:highlight w:val="none"/>
              </w:rPr>
              <w:t>14</w:t>
            </w:r>
          </w:p>
        </w:tc>
        <w:tc>
          <w:tcPr>
            <w:tcW w:w="3312" w:type="dxa"/>
            <w:tcBorders>
              <w:top w:val="single" w:color="000000" w:sz="4" w:space="0"/>
              <w:left w:val="nil"/>
              <w:bottom w:val="single" w:color="000000" w:sz="4" w:space="0"/>
              <w:right w:val="single" w:color="000000" w:sz="4" w:space="0"/>
            </w:tcBorders>
            <w:vAlign w:val="center"/>
          </w:tcPr>
          <w:p w14:paraId="29787FBF">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中国政法大学出版社    </w:t>
            </w:r>
          </w:p>
        </w:tc>
        <w:tc>
          <w:tcPr>
            <w:tcW w:w="632" w:type="dxa"/>
            <w:tcBorders>
              <w:top w:val="single" w:color="000000" w:sz="4" w:space="0"/>
              <w:left w:val="nil"/>
              <w:bottom w:val="single" w:color="000000" w:sz="4" w:space="0"/>
              <w:right w:val="single" w:color="000000" w:sz="4" w:space="0"/>
            </w:tcBorders>
            <w:vAlign w:val="center"/>
          </w:tcPr>
          <w:p w14:paraId="0EC97950">
            <w:pPr>
              <w:widowControl/>
              <w:jc w:val="center"/>
              <w:rPr>
                <w:rFonts w:ascii="宋体" w:hAnsi="宋体"/>
                <w:color w:val="auto"/>
                <w:kern w:val="0"/>
                <w:szCs w:val="21"/>
                <w:highlight w:val="none"/>
              </w:rPr>
            </w:pPr>
            <w:r>
              <w:rPr>
                <w:rFonts w:hint="eastAsia" w:ascii="宋体" w:hAnsi="宋体"/>
                <w:color w:val="auto"/>
                <w:kern w:val="0"/>
                <w:szCs w:val="21"/>
                <w:highlight w:val="none"/>
              </w:rPr>
              <w:t>54</w:t>
            </w:r>
          </w:p>
        </w:tc>
        <w:tc>
          <w:tcPr>
            <w:tcW w:w="4326" w:type="dxa"/>
            <w:tcBorders>
              <w:top w:val="single" w:color="000000" w:sz="4" w:space="0"/>
              <w:left w:val="nil"/>
              <w:bottom w:val="single" w:color="000000" w:sz="4" w:space="0"/>
              <w:right w:val="single" w:color="000000" w:sz="4" w:space="0"/>
            </w:tcBorders>
            <w:vAlign w:val="center"/>
          </w:tcPr>
          <w:p w14:paraId="623FAB02">
            <w:pPr>
              <w:widowControl/>
              <w:rPr>
                <w:rFonts w:ascii="宋体" w:hAnsi="宋体"/>
                <w:color w:val="auto"/>
                <w:kern w:val="0"/>
                <w:szCs w:val="21"/>
                <w:highlight w:val="none"/>
              </w:rPr>
            </w:pPr>
            <w:r>
              <w:rPr>
                <w:rFonts w:hint="eastAsia" w:ascii="宋体" w:hAnsi="宋体"/>
                <w:color w:val="auto"/>
                <w:kern w:val="0"/>
                <w:szCs w:val="21"/>
                <w:highlight w:val="none"/>
              </w:rPr>
              <w:t xml:space="preserve">外语教学与研究出版社  </w:t>
            </w:r>
          </w:p>
        </w:tc>
      </w:tr>
      <w:tr w14:paraId="0C271E00">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1D0E9A3F">
            <w:pPr>
              <w:widowControl/>
              <w:jc w:val="center"/>
              <w:rPr>
                <w:rFonts w:ascii="宋体" w:hAnsi="宋体"/>
                <w:color w:val="auto"/>
                <w:kern w:val="0"/>
                <w:szCs w:val="21"/>
                <w:highlight w:val="none"/>
              </w:rPr>
            </w:pPr>
            <w:r>
              <w:rPr>
                <w:rFonts w:hint="eastAsia" w:ascii="宋体" w:hAnsi="宋体"/>
                <w:color w:val="auto"/>
                <w:kern w:val="0"/>
                <w:szCs w:val="21"/>
                <w:highlight w:val="none"/>
              </w:rPr>
              <w:t>15</w:t>
            </w:r>
          </w:p>
        </w:tc>
        <w:tc>
          <w:tcPr>
            <w:tcW w:w="3312" w:type="dxa"/>
            <w:tcBorders>
              <w:top w:val="single" w:color="000000" w:sz="4" w:space="0"/>
              <w:left w:val="nil"/>
              <w:bottom w:val="single" w:color="000000" w:sz="4" w:space="0"/>
              <w:right w:val="single" w:color="000000" w:sz="4" w:space="0"/>
            </w:tcBorders>
            <w:vAlign w:val="center"/>
          </w:tcPr>
          <w:p w14:paraId="54402619">
            <w:pPr>
              <w:widowControl/>
              <w:jc w:val="left"/>
              <w:rPr>
                <w:rFonts w:ascii="宋体" w:hAnsi="宋体"/>
                <w:color w:val="auto"/>
                <w:kern w:val="0"/>
                <w:szCs w:val="21"/>
                <w:highlight w:val="none"/>
              </w:rPr>
            </w:pPr>
            <w:r>
              <w:rPr>
                <w:rFonts w:hint="eastAsia" w:ascii="宋体" w:hAnsi="宋体"/>
                <w:color w:val="auto"/>
                <w:kern w:val="0"/>
                <w:szCs w:val="21"/>
                <w:highlight w:val="none"/>
              </w:rPr>
              <w:t>电子科技大学出版社</w:t>
            </w:r>
          </w:p>
        </w:tc>
        <w:tc>
          <w:tcPr>
            <w:tcW w:w="632" w:type="dxa"/>
            <w:tcBorders>
              <w:top w:val="single" w:color="000000" w:sz="4" w:space="0"/>
              <w:left w:val="nil"/>
              <w:bottom w:val="single" w:color="000000" w:sz="4" w:space="0"/>
              <w:right w:val="single" w:color="000000" w:sz="4" w:space="0"/>
            </w:tcBorders>
            <w:vAlign w:val="center"/>
          </w:tcPr>
          <w:p w14:paraId="3C02644D">
            <w:pPr>
              <w:widowControl/>
              <w:jc w:val="center"/>
              <w:rPr>
                <w:rFonts w:ascii="宋体" w:hAnsi="宋体"/>
                <w:color w:val="auto"/>
                <w:kern w:val="0"/>
                <w:szCs w:val="21"/>
                <w:highlight w:val="none"/>
              </w:rPr>
            </w:pPr>
            <w:r>
              <w:rPr>
                <w:rFonts w:hint="eastAsia" w:ascii="宋体" w:hAnsi="宋体"/>
                <w:color w:val="auto"/>
                <w:kern w:val="0"/>
                <w:szCs w:val="21"/>
                <w:highlight w:val="none"/>
              </w:rPr>
              <w:t>55</w:t>
            </w:r>
          </w:p>
        </w:tc>
        <w:tc>
          <w:tcPr>
            <w:tcW w:w="4326" w:type="dxa"/>
            <w:tcBorders>
              <w:top w:val="single" w:color="000000" w:sz="4" w:space="0"/>
              <w:left w:val="nil"/>
              <w:bottom w:val="single" w:color="000000" w:sz="4" w:space="0"/>
              <w:right w:val="single" w:color="000000" w:sz="4" w:space="0"/>
            </w:tcBorders>
            <w:vAlign w:val="center"/>
          </w:tcPr>
          <w:p w14:paraId="42CEA1EF">
            <w:pPr>
              <w:widowControl/>
              <w:rPr>
                <w:rFonts w:ascii="宋体" w:hAnsi="宋体"/>
                <w:color w:val="auto"/>
                <w:kern w:val="0"/>
                <w:szCs w:val="21"/>
                <w:highlight w:val="none"/>
              </w:rPr>
            </w:pPr>
            <w:r>
              <w:rPr>
                <w:rFonts w:hint="eastAsia" w:ascii="宋体" w:hAnsi="宋体"/>
                <w:color w:val="auto"/>
                <w:kern w:val="0"/>
                <w:szCs w:val="21"/>
                <w:highlight w:val="none"/>
              </w:rPr>
              <w:t>法律出版社</w:t>
            </w:r>
          </w:p>
        </w:tc>
      </w:tr>
      <w:tr w14:paraId="02C0CE76">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53B6A71D">
            <w:pPr>
              <w:widowControl/>
              <w:jc w:val="center"/>
              <w:rPr>
                <w:rFonts w:ascii="宋体" w:hAnsi="宋体"/>
                <w:color w:val="auto"/>
                <w:kern w:val="0"/>
                <w:szCs w:val="21"/>
                <w:highlight w:val="none"/>
              </w:rPr>
            </w:pPr>
            <w:r>
              <w:rPr>
                <w:rFonts w:hint="eastAsia" w:ascii="宋体" w:hAnsi="宋体"/>
                <w:color w:val="auto"/>
                <w:kern w:val="0"/>
                <w:szCs w:val="21"/>
                <w:highlight w:val="none"/>
              </w:rPr>
              <w:t>16</w:t>
            </w:r>
          </w:p>
        </w:tc>
        <w:tc>
          <w:tcPr>
            <w:tcW w:w="3312" w:type="dxa"/>
            <w:tcBorders>
              <w:top w:val="single" w:color="000000" w:sz="4" w:space="0"/>
              <w:left w:val="nil"/>
              <w:bottom w:val="single" w:color="000000" w:sz="4" w:space="0"/>
              <w:right w:val="single" w:color="000000" w:sz="4" w:space="0"/>
            </w:tcBorders>
            <w:vAlign w:val="center"/>
          </w:tcPr>
          <w:p w14:paraId="2135D775">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上海交通大学出版      </w:t>
            </w:r>
          </w:p>
        </w:tc>
        <w:tc>
          <w:tcPr>
            <w:tcW w:w="632" w:type="dxa"/>
            <w:tcBorders>
              <w:top w:val="single" w:color="000000" w:sz="4" w:space="0"/>
              <w:left w:val="nil"/>
              <w:bottom w:val="single" w:color="000000" w:sz="4" w:space="0"/>
              <w:right w:val="single" w:color="000000" w:sz="4" w:space="0"/>
            </w:tcBorders>
            <w:vAlign w:val="center"/>
          </w:tcPr>
          <w:p w14:paraId="299767C4">
            <w:pPr>
              <w:widowControl/>
              <w:jc w:val="center"/>
              <w:rPr>
                <w:rFonts w:ascii="宋体" w:hAnsi="宋体"/>
                <w:color w:val="auto"/>
                <w:kern w:val="0"/>
                <w:szCs w:val="21"/>
                <w:highlight w:val="none"/>
              </w:rPr>
            </w:pPr>
            <w:r>
              <w:rPr>
                <w:rFonts w:hint="eastAsia" w:ascii="宋体" w:hAnsi="宋体"/>
                <w:color w:val="auto"/>
                <w:kern w:val="0"/>
                <w:szCs w:val="21"/>
                <w:highlight w:val="none"/>
              </w:rPr>
              <w:t>56</w:t>
            </w:r>
          </w:p>
        </w:tc>
        <w:tc>
          <w:tcPr>
            <w:tcW w:w="4326" w:type="dxa"/>
            <w:tcBorders>
              <w:top w:val="single" w:color="000000" w:sz="4" w:space="0"/>
              <w:left w:val="nil"/>
              <w:bottom w:val="single" w:color="000000" w:sz="4" w:space="0"/>
              <w:right w:val="single" w:color="000000" w:sz="4" w:space="0"/>
            </w:tcBorders>
            <w:vAlign w:val="center"/>
          </w:tcPr>
          <w:p w14:paraId="30748FE3">
            <w:pPr>
              <w:widowControl/>
              <w:rPr>
                <w:rFonts w:ascii="宋体" w:hAnsi="宋体"/>
                <w:color w:val="auto"/>
                <w:kern w:val="0"/>
                <w:szCs w:val="21"/>
                <w:highlight w:val="none"/>
              </w:rPr>
            </w:pPr>
            <w:r>
              <w:rPr>
                <w:rFonts w:hint="eastAsia" w:ascii="宋体" w:hAnsi="宋体"/>
                <w:color w:val="auto"/>
                <w:kern w:val="0"/>
                <w:szCs w:val="21"/>
                <w:highlight w:val="none"/>
              </w:rPr>
              <w:t>译林出版社</w:t>
            </w:r>
          </w:p>
        </w:tc>
      </w:tr>
      <w:tr w14:paraId="13DA1035">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9BD33EC">
            <w:pPr>
              <w:widowControl/>
              <w:jc w:val="center"/>
              <w:rPr>
                <w:rFonts w:ascii="宋体" w:hAnsi="宋体"/>
                <w:color w:val="auto"/>
                <w:kern w:val="0"/>
                <w:szCs w:val="21"/>
                <w:highlight w:val="none"/>
              </w:rPr>
            </w:pPr>
            <w:r>
              <w:rPr>
                <w:rFonts w:hint="eastAsia" w:ascii="宋体" w:hAnsi="宋体"/>
                <w:color w:val="auto"/>
                <w:kern w:val="0"/>
                <w:szCs w:val="21"/>
                <w:highlight w:val="none"/>
              </w:rPr>
              <w:t>17</w:t>
            </w:r>
          </w:p>
        </w:tc>
        <w:tc>
          <w:tcPr>
            <w:tcW w:w="3312" w:type="dxa"/>
            <w:tcBorders>
              <w:top w:val="single" w:color="000000" w:sz="4" w:space="0"/>
              <w:left w:val="nil"/>
              <w:bottom w:val="single" w:color="000000" w:sz="4" w:space="0"/>
              <w:right w:val="single" w:color="000000" w:sz="4" w:space="0"/>
            </w:tcBorders>
            <w:vAlign w:val="center"/>
          </w:tcPr>
          <w:p w14:paraId="2A7DC146">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北京理工大学出版社    </w:t>
            </w:r>
          </w:p>
        </w:tc>
        <w:tc>
          <w:tcPr>
            <w:tcW w:w="632" w:type="dxa"/>
            <w:tcBorders>
              <w:top w:val="single" w:color="000000" w:sz="4" w:space="0"/>
              <w:left w:val="nil"/>
              <w:bottom w:val="single" w:color="000000" w:sz="4" w:space="0"/>
              <w:right w:val="single" w:color="000000" w:sz="4" w:space="0"/>
            </w:tcBorders>
            <w:vAlign w:val="center"/>
          </w:tcPr>
          <w:p w14:paraId="356C716C">
            <w:pPr>
              <w:widowControl/>
              <w:jc w:val="center"/>
              <w:rPr>
                <w:rFonts w:ascii="宋体" w:hAnsi="宋体"/>
                <w:color w:val="auto"/>
                <w:kern w:val="0"/>
                <w:szCs w:val="21"/>
                <w:highlight w:val="none"/>
              </w:rPr>
            </w:pPr>
            <w:r>
              <w:rPr>
                <w:rFonts w:hint="eastAsia" w:ascii="宋体" w:hAnsi="宋体"/>
                <w:color w:val="auto"/>
                <w:kern w:val="0"/>
                <w:szCs w:val="21"/>
                <w:highlight w:val="none"/>
              </w:rPr>
              <w:t>57</w:t>
            </w:r>
          </w:p>
        </w:tc>
        <w:tc>
          <w:tcPr>
            <w:tcW w:w="4326" w:type="dxa"/>
            <w:tcBorders>
              <w:top w:val="single" w:color="000000" w:sz="4" w:space="0"/>
              <w:left w:val="nil"/>
              <w:bottom w:val="single" w:color="000000" w:sz="4" w:space="0"/>
              <w:right w:val="single" w:color="000000" w:sz="4" w:space="0"/>
            </w:tcBorders>
            <w:vAlign w:val="center"/>
          </w:tcPr>
          <w:p w14:paraId="1C4811A8">
            <w:pPr>
              <w:widowControl/>
              <w:rPr>
                <w:rFonts w:ascii="宋体" w:hAnsi="宋体"/>
                <w:color w:val="auto"/>
                <w:kern w:val="0"/>
                <w:szCs w:val="21"/>
                <w:highlight w:val="none"/>
              </w:rPr>
            </w:pPr>
            <w:r>
              <w:rPr>
                <w:rFonts w:hint="eastAsia" w:ascii="宋体" w:hAnsi="宋体"/>
                <w:color w:val="auto"/>
                <w:kern w:val="0"/>
                <w:szCs w:val="21"/>
                <w:highlight w:val="none"/>
              </w:rPr>
              <w:t>上海人民出版社</w:t>
            </w:r>
          </w:p>
        </w:tc>
      </w:tr>
      <w:tr w14:paraId="3EE356FD">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2FAC813E">
            <w:pPr>
              <w:widowControl/>
              <w:jc w:val="center"/>
              <w:rPr>
                <w:rFonts w:ascii="宋体" w:hAnsi="宋体"/>
                <w:color w:val="auto"/>
                <w:kern w:val="0"/>
                <w:szCs w:val="21"/>
                <w:highlight w:val="none"/>
              </w:rPr>
            </w:pPr>
            <w:r>
              <w:rPr>
                <w:rFonts w:hint="eastAsia" w:ascii="宋体" w:hAnsi="宋体"/>
                <w:color w:val="auto"/>
                <w:kern w:val="0"/>
                <w:szCs w:val="21"/>
                <w:highlight w:val="none"/>
              </w:rPr>
              <w:t>18</w:t>
            </w:r>
          </w:p>
        </w:tc>
        <w:tc>
          <w:tcPr>
            <w:tcW w:w="3312" w:type="dxa"/>
            <w:tcBorders>
              <w:top w:val="single" w:color="000000" w:sz="4" w:space="0"/>
              <w:left w:val="nil"/>
              <w:bottom w:val="single" w:color="000000" w:sz="4" w:space="0"/>
              <w:right w:val="single" w:color="000000" w:sz="4" w:space="0"/>
            </w:tcBorders>
            <w:vAlign w:val="center"/>
          </w:tcPr>
          <w:p w14:paraId="07E70603">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北京邮电大学出版社      </w:t>
            </w:r>
          </w:p>
        </w:tc>
        <w:tc>
          <w:tcPr>
            <w:tcW w:w="632" w:type="dxa"/>
            <w:tcBorders>
              <w:top w:val="single" w:color="000000" w:sz="4" w:space="0"/>
              <w:left w:val="nil"/>
              <w:bottom w:val="single" w:color="000000" w:sz="4" w:space="0"/>
              <w:right w:val="single" w:color="000000" w:sz="4" w:space="0"/>
            </w:tcBorders>
            <w:vAlign w:val="center"/>
          </w:tcPr>
          <w:p w14:paraId="44DE5670">
            <w:pPr>
              <w:widowControl/>
              <w:jc w:val="center"/>
              <w:rPr>
                <w:rFonts w:ascii="宋体" w:hAnsi="宋体"/>
                <w:color w:val="auto"/>
                <w:kern w:val="0"/>
                <w:szCs w:val="21"/>
                <w:highlight w:val="none"/>
              </w:rPr>
            </w:pPr>
            <w:r>
              <w:rPr>
                <w:rFonts w:hint="eastAsia" w:ascii="宋体" w:hAnsi="宋体"/>
                <w:color w:val="auto"/>
                <w:kern w:val="0"/>
                <w:szCs w:val="21"/>
                <w:highlight w:val="none"/>
              </w:rPr>
              <w:t>58</w:t>
            </w:r>
          </w:p>
        </w:tc>
        <w:tc>
          <w:tcPr>
            <w:tcW w:w="4326" w:type="dxa"/>
            <w:tcBorders>
              <w:top w:val="single" w:color="000000" w:sz="4" w:space="0"/>
              <w:left w:val="nil"/>
              <w:bottom w:val="single" w:color="000000" w:sz="4" w:space="0"/>
              <w:right w:val="single" w:color="000000" w:sz="4" w:space="0"/>
            </w:tcBorders>
            <w:vAlign w:val="center"/>
          </w:tcPr>
          <w:p w14:paraId="20A6ED1E">
            <w:pPr>
              <w:widowControl/>
              <w:rPr>
                <w:rFonts w:ascii="宋体" w:hAnsi="宋体"/>
                <w:color w:val="auto"/>
                <w:kern w:val="0"/>
                <w:szCs w:val="21"/>
                <w:highlight w:val="none"/>
              </w:rPr>
            </w:pPr>
            <w:r>
              <w:rPr>
                <w:rFonts w:hint="eastAsia" w:ascii="宋体" w:hAnsi="宋体"/>
                <w:color w:val="auto"/>
                <w:kern w:val="0"/>
                <w:szCs w:val="21"/>
                <w:highlight w:val="none"/>
              </w:rPr>
              <w:t xml:space="preserve">中国环境科学出版社  </w:t>
            </w:r>
          </w:p>
        </w:tc>
      </w:tr>
      <w:tr w14:paraId="724DBF60">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28CFF81">
            <w:pPr>
              <w:widowControl/>
              <w:jc w:val="center"/>
              <w:rPr>
                <w:rFonts w:ascii="宋体" w:hAnsi="宋体"/>
                <w:color w:val="auto"/>
                <w:kern w:val="0"/>
                <w:szCs w:val="21"/>
                <w:highlight w:val="none"/>
              </w:rPr>
            </w:pPr>
            <w:r>
              <w:rPr>
                <w:rFonts w:hint="eastAsia" w:ascii="宋体" w:hAnsi="宋体"/>
                <w:color w:val="auto"/>
                <w:kern w:val="0"/>
                <w:szCs w:val="21"/>
                <w:highlight w:val="none"/>
              </w:rPr>
              <w:t>19</w:t>
            </w:r>
          </w:p>
        </w:tc>
        <w:tc>
          <w:tcPr>
            <w:tcW w:w="3312" w:type="dxa"/>
            <w:tcBorders>
              <w:top w:val="single" w:color="000000" w:sz="4" w:space="0"/>
              <w:left w:val="nil"/>
              <w:bottom w:val="single" w:color="000000" w:sz="4" w:space="0"/>
              <w:right w:val="single" w:color="000000" w:sz="4" w:space="0"/>
            </w:tcBorders>
            <w:vAlign w:val="center"/>
          </w:tcPr>
          <w:p w14:paraId="6632B84D">
            <w:pPr>
              <w:widowControl/>
              <w:jc w:val="left"/>
              <w:rPr>
                <w:rFonts w:ascii="宋体" w:hAnsi="宋体"/>
                <w:color w:val="auto"/>
                <w:kern w:val="0"/>
                <w:szCs w:val="21"/>
                <w:highlight w:val="none"/>
              </w:rPr>
            </w:pPr>
            <w:r>
              <w:rPr>
                <w:rFonts w:hint="eastAsia" w:ascii="宋体" w:hAnsi="宋体"/>
                <w:color w:val="auto"/>
                <w:kern w:val="0"/>
                <w:szCs w:val="21"/>
                <w:highlight w:val="none"/>
              </w:rPr>
              <w:t>中国科技大学出版社</w:t>
            </w:r>
          </w:p>
        </w:tc>
        <w:tc>
          <w:tcPr>
            <w:tcW w:w="632" w:type="dxa"/>
            <w:tcBorders>
              <w:top w:val="single" w:color="000000" w:sz="4" w:space="0"/>
              <w:left w:val="nil"/>
              <w:bottom w:val="single" w:color="000000" w:sz="4" w:space="0"/>
              <w:right w:val="single" w:color="000000" w:sz="4" w:space="0"/>
            </w:tcBorders>
            <w:vAlign w:val="center"/>
          </w:tcPr>
          <w:p w14:paraId="42D543E7">
            <w:pPr>
              <w:widowControl/>
              <w:jc w:val="center"/>
              <w:rPr>
                <w:rFonts w:ascii="宋体" w:hAnsi="宋体"/>
                <w:color w:val="auto"/>
                <w:kern w:val="0"/>
                <w:szCs w:val="21"/>
                <w:highlight w:val="none"/>
              </w:rPr>
            </w:pPr>
            <w:r>
              <w:rPr>
                <w:rFonts w:hint="eastAsia" w:ascii="宋体" w:hAnsi="宋体"/>
                <w:color w:val="auto"/>
                <w:kern w:val="0"/>
                <w:szCs w:val="21"/>
                <w:highlight w:val="none"/>
              </w:rPr>
              <w:t>59</w:t>
            </w:r>
          </w:p>
        </w:tc>
        <w:tc>
          <w:tcPr>
            <w:tcW w:w="4326" w:type="dxa"/>
            <w:tcBorders>
              <w:top w:val="single" w:color="000000" w:sz="4" w:space="0"/>
              <w:left w:val="nil"/>
              <w:bottom w:val="single" w:color="000000" w:sz="4" w:space="0"/>
              <w:right w:val="single" w:color="000000" w:sz="4" w:space="0"/>
            </w:tcBorders>
            <w:vAlign w:val="center"/>
          </w:tcPr>
          <w:p w14:paraId="0A9ADE45">
            <w:pPr>
              <w:widowControl/>
              <w:rPr>
                <w:rFonts w:ascii="宋体" w:hAnsi="宋体"/>
                <w:color w:val="auto"/>
                <w:kern w:val="0"/>
                <w:szCs w:val="21"/>
                <w:highlight w:val="none"/>
              </w:rPr>
            </w:pPr>
            <w:r>
              <w:rPr>
                <w:rFonts w:hint="eastAsia" w:ascii="宋体" w:hAnsi="宋体"/>
                <w:color w:val="auto"/>
                <w:kern w:val="0"/>
                <w:szCs w:val="21"/>
                <w:highlight w:val="none"/>
              </w:rPr>
              <w:t xml:space="preserve">电子工业出版社         </w:t>
            </w:r>
          </w:p>
        </w:tc>
      </w:tr>
      <w:tr w14:paraId="0580392B">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2BB3BC90">
            <w:pPr>
              <w:widowControl/>
              <w:jc w:val="center"/>
              <w:rPr>
                <w:rFonts w:ascii="宋体" w:hAnsi="宋体"/>
                <w:color w:val="auto"/>
                <w:kern w:val="0"/>
                <w:szCs w:val="21"/>
                <w:highlight w:val="none"/>
              </w:rPr>
            </w:pPr>
            <w:r>
              <w:rPr>
                <w:rFonts w:hint="eastAsia" w:ascii="宋体" w:hAnsi="宋体"/>
                <w:color w:val="auto"/>
                <w:kern w:val="0"/>
                <w:szCs w:val="21"/>
                <w:highlight w:val="none"/>
              </w:rPr>
              <w:t>20</w:t>
            </w:r>
          </w:p>
        </w:tc>
        <w:tc>
          <w:tcPr>
            <w:tcW w:w="3312" w:type="dxa"/>
            <w:tcBorders>
              <w:top w:val="single" w:color="000000" w:sz="4" w:space="0"/>
              <w:left w:val="nil"/>
              <w:bottom w:val="single" w:color="000000" w:sz="4" w:space="0"/>
              <w:right w:val="single" w:color="000000" w:sz="4" w:space="0"/>
            </w:tcBorders>
            <w:vAlign w:val="center"/>
          </w:tcPr>
          <w:p w14:paraId="2955AF5D">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湖南大学出版社      </w:t>
            </w:r>
          </w:p>
        </w:tc>
        <w:tc>
          <w:tcPr>
            <w:tcW w:w="632" w:type="dxa"/>
            <w:tcBorders>
              <w:top w:val="single" w:color="000000" w:sz="4" w:space="0"/>
              <w:left w:val="nil"/>
              <w:bottom w:val="single" w:color="000000" w:sz="4" w:space="0"/>
              <w:right w:val="single" w:color="000000" w:sz="4" w:space="0"/>
            </w:tcBorders>
            <w:vAlign w:val="center"/>
          </w:tcPr>
          <w:p w14:paraId="57354E76">
            <w:pPr>
              <w:widowControl/>
              <w:jc w:val="center"/>
              <w:rPr>
                <w:rFonts w:ascii="宋体" w:hAnsi="宋体"/>
                <w:color w:val="auto"/>
                <w:kern w:val="0"/>
                <w:szCs w:val="21"/>
                <w:highlight w:val="none"/>
              </w:rPr>
            </w:pPr>
            <w:r>
              <w:rPr>
                <w:rFonts w:hint="eastAsia" w:ascii="宋体" w:hAnsi="宋体"/>
                <w:color w:val="auto"/>
                <w:kern w:val="0"/>
                <w:szCs w:val="21"/>
                <w:highlight w:val="none"/>
              </w:rPr>
              <w:t>60</w:t>
            </w:r>
          </w:p>
        </w:tc>
        <w:tc>
          <w:tcPr>
            <w:tcW w:w="4326" w:type="dxa"/>
            <w:tcBorders>
              <w:top w:val="single" w:color="000000" w:sz="4" w:space="0"/>
              <w:left w:val="nil"/>
              <w:bottom w:val="single" w:color="000000" w:sz="4" w:space="0"/>
              <w:right w:val="single" w:color="000000" w:sz="4" w:space="0"/>
            </w:tcBorders>
            <w:vAlign w:val="center"/>
          </w:tcPr>
          <w:p w14:paraId="330FF03E">
            <w:pPr>
              <w:widowControl/>
              <w:rPr>
                <w:rFonts w:ascii="宋体" w:hAnsi="宋体"/>
                <w:color w:val="auto"/>
                <w:kern w:val="0"/>
                <w:szCs w:val="21"/>
                <w:highlight w:val="none"/>
              </w:rPr>
            </w:pPr>
            <w:r>
              <w:rPr>
                <w:rFonts w:hint="eastAsia" w:ascii="宋体" w:hAnsi="宋体"/>
                <w:color w:val="auto"/>
                <w:kern w:val="0"/>
                <w:szCs w:val="21"/>
                <w:highlight w:val="none"/>
              </w:rPr>
              <w:t>广西美术出版社</w:t>
            </w:r>
          </w:p>
        </w:tc>
      </w:tr>
      <w:tr w14:paraId="7E537C10">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231DD468">
            <w:pPr>
              <w:widowControl/>
              <w:jc w:val="center"/>
              <w:rPr>
                <w:rFonts w:ascii="宋体" w:hAnsi="宋体"/>
                <w:color w:val="auto"/>
                <w:kern w:val="0"/>
                <w:szCs w:val="21"/>
                <w:highlight w:val="none"/>
              </w:rPr>
            </w:pPr>
            <w:r>
              <w:rPr>
                <w:rFonts w:hint="eastAsia" w:ascii="宋体" w:hAnsi="宋体"/>
                <w:color w:val="auto"/>
                <w:kern w:val="0"/>
                <w:szCs w:val="21"/>
                <w:highlight w:val="none"/>
              </w:rPr>
              <w:t>21</w:t>
            </w:r>
          </w:p>
        </w:tc>
        <w:tc>
          <w:tcPr>
            <w:tcW w:w="3312" w:type="dxa"/>
            <w:tcBorders>
              <w:top w:val="single" w:color="000000" w:sz="4" w:space="0"/>
              <w:left w:val="nil"/>
              <w:bottom w:val="single" w:color="000000" w:sz="4" w:space="0"/>
              <w:right w:val="single" w:color="000000" w:sz="4" w:space="0"/>
            </w:tcBorders>
            <w:vAlign w:val="center"/>
          </w:tcPr>
          <w:p w14:paraId="4A6A4C95">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华东师范大学出版社      </w:t>
            </w:r>
          </w:p>
        </w:tc>
        <w:tc>
          <w:tcPr>
            <w:tcW w:w="632" w:type="dxa"/>
            <w:tcBorders>
              <w:top w:val="single" w:color="000000" w:sz="4" w:space="0"/>
              <w:left w:val="nil"/>
              <w:bottom w:val="single" w:color="000000" w:sz="4" w:space="0"/>
              <w:right w:val="single" w:color="000000" w:sz="4" w:space="0"/>
            </w:tcBorders>
            <w:vAlign w:val="center"/>
          </w:tcPr>
          <w:p w14:paraId="6B08CFCF">
            <w:pPr>
              <w:widowControl/>
              <w:jc w:val="center"/>
              <w:rPr>
                <w:rFonts w:ascii="宋体" w:hAnsi="宋体"/>
                <w:color w:val="auto"/>
                <w:kern w:val="0"/>
                <w:szCs w:val="21"/>
                <w:highlight w:val="none"/>
              </w:rPr>
            </w:pPr>
            <w:r>
              <w:rPr>
                <w:rFonts w:hint="eastAsia" w:ascii="宋体" w:hAnsi="宋体"/>
                <w:color w:val="auto"/>
                <w:kern w:val="0"/>
                <w:szCs w:val="21"/>
                <w:highlight w:val="none"/>
              </w:rPr>
              <w:t>61</w:t>
            </w:r>
          </w:p>
        </w:tc>
        <w:tc>
          <w:tcPr>
            <w:tcW w:w="4326" w:type="dxa"/>
            <w:tcBorders>
              <w:top w:val="single" w:color="000000" w:sz="4" w:space="0"/>
              <w:left w:val="nil"/>
              <w:bottom w:val="single" w:color="000000" w:sz="4" w:space="0"/>
              <w:right w:val="single" w:color="000000" w:sz="4" w:space="0"/>
            </w:tcBorders>
            <w:vAlign w:val="center"/>
          </w:tcPr>
          <w:p w14:paraId="4C1936AE">
            <w:pPr>
              <w:widowControl/>
              <w:rPr>
                <w:rFonts w:ascii="宋体" w:hAnsi="宋体"/>
                <w:color w:val="auto"/>
                <w:kern w:val="0"/>
                <w:szCs w:val="21"/>
                <w:highlight w:val="none"/>
              </w:rPr>
            </w:pPr>
            <w:r>
              <w:rPr>
                <w:rFonts w:hint="eastAsia" w:ascii="宋体" w:hAnsi="宋体"/>
                <w:color w:val="auto"/>
                <w:kern w:val="0"/>
                <w:szCs w:val="21"/>
                <w:highlight w:val="none"/>
              </w:rPr>
              <w:t xml:space="preserve">中国旅游出版社        </w:t>
            </w:r>
          </w:p>
        </w:tc>
      </w:tr>
      <w:tr w14:paraId="715B9728">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63CB5D42">
            <w:pPr>
              <w:widowControl/>
              <w:jc w:val="center"/>
              <w:rPr>
                <w:rFonts w:ascii="宋体" w:hAnsi="宋体"/>
                <w:color w:val="auto"/>
                <w:kern w:val="0"/>
                <w:szCs w:val="21"/>
                <w:highlight w:val="none"/>
              </w:rPr>
            </w:pPr>
            <w:r>
              <w:rPr>
                <w:rFonts w:hint="eastAsia" w:ascii="宋体" w:hAnsi="宋体"/>
                <w:color w:val="auto"/>
                <w:kern w:val="0"/>
                <w:szCs w:val="21"/>
                <w:highlight w:val="none"/>
              </w:rPr>
              <w:t>22</w:t>
            </w:r>
          </w:p>
        </w:tc>
        <w:tc>
          <w:tcPr>
            <w:tcW w:w="3312" w:type="dxa"/>
            <w:tcBorders>
              <w:top w:val="single" w:color="000000" w:sz="4" w:space="0"/>
              <w:left w:val="nil"/>
              <w:bottom w:val="single" w:color="000000" w:sz="4" w:space="0"/>
              <w:right w:val="single" w:color="000000" w:sz="4" w:space="0"/>
            </w:tcBorders>
            <w:vAlign w:val="center"/>
          </w:tcPr>
          <w:p w14:paraId="0BC5991A">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华中师范大学出版社    </w:t>
            </w:r>
          </w:p>
        </w:tc>
        <w:tc>
          <w:tcPr>
            <w:tcW w:w="632" w:type="dxa"/>
            <w:tcBorders>
              <w:top w:val="single" w:color="000000" w:sz="4" w:space="0"/>
              <w:left w:val="nil"/>
              <w:bottom w:val="single" w:color="000000" w:sz="4" w:space="0"/>
              <w:right w:val="single" w:color="000000" w:sz="4" w:space="0"/>
            </w:tcBorders>
            <w:vAlign w:val="center"/>
          </w:tcPr>
          <w:p w14:paraId="368F320B">
            <w:pPr>
              <w:widowControl/>
              <w:jc w:val="center"/>
              <w:rPr>
                <w:rFonts w:ascii="宋体" w:hAnsi="宋体"/>
                <w:color w:val="auto"/>
                <w:kern w:val="0"/>
                <w:szCs w:val="21"/>
                <w:highlight w:val="none"/>
              </w:rPr>
            </w:pPr>
            <w:r>
              <w:rPr>
                <w:rFonts w:hint="eastAsia" w:ascii="宋体" w:hAnsi="宋体"/>
                <w:color w:val="auto"/>
                <w:kern w:val="0"/>
                <w:szCs w:val="21"/>
                <w:highlight w:val="none"/>
              </w:rPr>
              <w:t>62</w:t>
            </w:r>
          </w:p>
        </w:tc>
        <w:tc>
          <w:tcPr>
            <w:tcW w:w="4326" w:type="dxa"/>
            <w:tcBorders>
              <w:top w:val="single" w:color="000000" w:sz="4" w:space="0"/>
              <w:left w:val="nil"/>
              <w:bottom w:val="single" w:color="000000" w:sz="4" w:space="0"/>
              <w:right w:val="single" w:color="000000" w:sz="4" w:space="0"/>
            </w:tcBorders>
            <w:vAlign w:val="center"/>
          </w:tcPr>
          <w:p w14:paraId="2E7FA14B">
            <w:pPr>
              <w:widowControl/>
              <w:rPr>
                <w:rFonts w:ascii="宋体" w:hAnsi="宋体"/>
                <w:color w:val="auto"/>
                <w:kern w:val="0"/>
                <w:szCs w:val="21"/>
                <w:highlight w:val="none"/>
              </w:rPr>
            </w:pPr>
            <w:r>
              <w:rPr>
                <w:rFonts w:hint="eastAsia" w:ascii="宋体" w:hAnsi="宋体"/>
                <w:color w:val="auto"/>
                <w:kern w:val="0"/>
                <w:szCs w:val="21"/>
                <w:highlight w:val="none"/>
              </w:rPr>
              <w:t>外文出版社</w:t>
            </w:r>
          </w:p>
        </w:tc>
      </w:tr>
      <w:tr w14:paraId="68853CBD">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61C2BC5C">
            <w:pPr>
              <w:widowControl/>
              <w:jc w:val="center"/>
              <w:rPr>
                <w:rFonts w:ascii="宋体" w:hAnsi="宋体"/>
                <w:color w:val="auto"/>
                <w:kern w:val="0"/>
                <w:szCs w:val="21"/>
                <w:highlight w:val="none"/>
              </w:rPr>
            </w:pPr>
            <w:r>
              <w:rPr>
                <w:rFonts w:hint="eastAsia" w:ascii="宋体" w:hAnsi="宋体"/>
                <w:color w:val="auto"/>
                <w:kern w:val="0"/>
                <w:szCs w:val="21"/>
                <w:highlight w:val="none"/>
              </w:rPr>
              <w:t>23</w:t>
            </w:r>
          </w:p>
        </w:tc>
        <w:tc>
          <w:tcPr>
            <w:tcW w:w="3312" w:type="dxa"/>
            <w:tcBorders>
              <w:top w:val="single" w:color="000000" w:sz="4" w:space="0"/>
              <w:left w:val="nil"/>
              <w:bottom w:val="single" w:color="000000" w:sz="4" w:space="0"/>
              <w:right w:val="single" w:color="000000" w:sz="4" w:space="0"/>
            </w:tcBorders>
            <w:vAlign w:val="center"/>
          </w:tcPr>
          <w:p w14:paraId="06C105BE">
            <w:pPr>
              <w:widowControl/>
              <w:jc w:val="left"/>
              <w:rPr>
                <w:rFonts w:ascii="宋体" w:hAnsi="宋体"/>
                <w:color w:val="auto"/>
                <w:kern w:val="0"/>
                <w:szCs w:val="21"/>
                <w:highlight w:val="none"/>
              </w:rPr>
            </w:pPr>
            <w:r>
              <w:rPr>
                <w:rFonts w:hint="eastAsia" w:ascii="宋体" w:hAnsi="宋体"/>
                <w:color w:val="auto"/>
                <w:kern w:val="0"/>
                <w:szCs w:val="21"/>
                <w:highlight w:val="none"/>
              </w:rPr>
              <w:t>华南师范大学出版社</w:t>
            </w:r>
          </w:p>
        </w:tc>
        <w:tc>
          <w:tcPr>
            <w:tcW w:w="632" w:type="dxa"/>
            <w:tcBorders>
              <w:top w:val="single" w:color="000000" w:sz="4" w:space="0"/>
              <w:left w:val="nil"/>
              <w:bottom w:val="single" w:color="000000" w:sz="4" w:space="0"/>
              <w:right w:val="single" w:color="000000" w:sz="4" w:space="0"/>
            </w:tcBorders>
            <w:vAlign w:val="center"/>
          </w:tcPr>
          <w:p w14:paraId="36060837">
            <w:pPr>
              <w:widowControl/>
              <w:jc w:val="center"/>
              <w:rPr>
                <w:rFonts w:ascii="宋体" w:hAnsi="宋体"/>
                <w:color w:val="auto"/>
                <w:kern w:val="0"/>
                <w:szCs w:val="21"/>
                <w:highlight w:val="none"/>
              </w:rPr>
            </w:pPr>
            <w:r>
              <w:rPr>
                <w:rFonts w:hint="eastAsia" w:ascii="宋体" w:hAnsi="宋体"/>
                <w:color w:val="auto"/>
                <w:kern w:val="0"/>
                <w:szCs w:val="21"/>
                <w:highlight w:val="none"/>
              </w:rPr>
              <w:t>63</w:t>
            </w:r>
          </w:p>
        </w:tc>
        <w:tc>
          <w:tcPr>
            <w:tcW w:w="4326" w:type="dxa"/>
            <w:tcBorders>
              <w:top w:val="single" w:color="000000" w:sz="4" w:space="0"/>
              <w:left w:val="nil"/>
              <w:bottom w:val="single" w:color="000000" w:sz="4" w:space="0"/>
              <w:right w:val="single" w:color="000000" w:sz="4" w:space="0"/>
            </w:tcBorders>
            <w:vAlign w:val="center"/>
          </w:tcPr>
          <w:p w14:paraId="2075F6AE">
            <w:pPr>
              <w:widowControl/>
              <w:rPr>
                <w:rFonts w:ascii="宋体" w:hAnsi="宋体"/>
                <w:color w:val="auto"/>
                <w:kern w:val="0"/>
                <w:szCs w:val="21"/>
                <w:highlight w:val="none"/>
              </w:rPr>
            </w:pPr>
            <w:r>
              <w:rPr>
                <w:rFonts w:hint="eastAsia" w:ascii="宋体" w:hAnsi="宋体"/>
                <w:color w:val="auto"/>
                <w:kern w:val="0"/>
                <w:szCs w:val="21"/>
                <w:highlight w:val="none"/>
              </w:rPr>
              <w:t xml:space="preserve">人民文学出版社         </w:t>
            </w:r>
          </w:p>
        </w:tc>
      </w:tr>
      <w:tr w14:paraId="4F6A10E9">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5A77FC18">
            <w:pPr>
              <w:widowControl/>
              <w:jc w:val="center"/>
              <w:rPr>
                <w:rFonts w:ascii="宋体" w:hAnsi="宋体"/>
                <w:color w:val="auto"/>
                <w:kern w:val="0"/>
                <w:szCs w:val="21"/>
                <w:highlight w:val="none"/>
              </w:rPr>
            </w:pPr>
            <w:r>
              <w:rPr>
                <w:rFonts w:hint="eastAsia" w:ascii="宋体" w:hAnsi="宋体"/>
                <w:color w:val="auto"/>
                <w:kern w:val="0"/>
                <w:szCs w:val="21"/>
                <w:highlight w:val="none"/>
              </w:rPr>
              <w:t>24</w:t>
            </w:r>
          </w:p>
        </w:tc>
        <w:tc>
          <w:tcPr>
            <w:tcW w:w="3312" w:type="dxa"/>
            <w:tcBorders>
              <w:top w:val="single" w:color="000000" w:sz="4" w:space="0"/>
              <w:left w:val="nil"/>
              <w:bottom w:val="single" w:color="000000" w:sz="4" w:space="0"/>
              <w:right w:val="single" w:color="000000" w:sz="4" w:space="0"/>
            </w:tcBorders>
            <w:vAlign w:val="center"/>
          </w:tcPr>
          <w:p w14:paraId="480F11F7">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东北师范大学出版社      </w:t>
            </w:r>
          </w:p>
        </w:tc>
        <w:tc>
          <w:tcPr>
            <w:tcW w:w="632" w:type="dxa"/>
            <w:tcBorders>
              <w:top w:val="single" w:color="000000" w:sz="4" w:space="0"/>
              <w:left w:val="nil"/>
              <w:bottom w:val="single" w:color="000000" w:sz="4" w:space="0"/>
              <w:right w:val="single" w:color="000000" w:sz="4" w:space="0"/>
            </w:tcBorders>
            <w:vAlign w:val="center"/>
          </w:tcPr>
          <w:p w14:paraId="05310421">
            <w:pPr>
              <w:widowControl/>
              <w:jc w:val="center"/>
              <w:rPr>
                <w:rFonts w:ascii="宋体" w:hAnsi="宋体"/>
                <w:color w:val="auto"/>
                <w:kern w:val="0"/>
                <w:szCs w:val="21"/>
                <w:highlight w:val="none"/>
              </w:rPr>
            </w:pPr>
            <w:r>
              <w:rPr>
                <w:rFonts w:hint="eastAsia" w:ascii="宋体" w:hAnsi="宋体"/>
                <w:color w:val="auto"/>
                <w:kern w:val="0"/>
                <w:szCs w:val="21"/>
                <w:highlight w:val="none"/>
              </w:rPr>
              <w:t>64</w:t>
            </w:r>
          </w:p>
        </w:tc>
        <w:tc>
          <w:tcPr>
            <w:tcW w:w="4326" w:type="dxa"/>
            <w:tcBorders>
              <w:top w:val="single" w:color="000000" w:sz="4" w:space="0"/>
              <w:left w:val="nil"/>
              <w:bottom w:val="single" w:color="000000" w:sz="4" w:space="0"/>
              <w:right w:val="single" w:color="000000" w:sz="4" w:space="0"/>
            </w:tcBorders>
            <w:vAlign w:val="center"/>
          </w:tcPr>
          <w:p w14:paraId="44781FD5">
            <w:pPr>
              <w:widowControl/>
              <w:rPr>
                <w:rFonts w:ascii="宋体" w:hAnsi="宋体"/>
                <w:color w:val="auto"/>
                <w:kern w:val="0"/>
                <w:szCs w:val="21"/>
                <w:highlight w:val="none"/>
              </w:rPr>
            </w:pPr>
            <w:r>
              <w:rPr>
                <w:rFonts w:hint="eastAsia" w:ascii="宋体" w:hAnsi="宋体"/>
                <w:color w:val="auto"/>
                <w:kern w:val="0"/>
                <w:szCs w:val="21"/>
                <w:highlight w:val="none"/>
              </w:rPr>
              <w:t xml:space="preserve">作家出版社            </w:t>
            </w:r>
          </w:p>
        </w:tc>
      </w:tr>
      <w:tr w14:paraId="5CF501FE">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3178F04">
            <w:pPr>
              <w:widowControl/>
              <w:jc w:val="center"/>
              <w:rPr>
                <w:rFonts w:ascii="宋体" w:hAnsi="宋体"/>
                <w:color w:val="auto"/>
                <w:kern w:val="0"/>
                <w:szCs w:val="21"/>
                <w:highlight w:val="none"/>
              </w:rPr>
            </w:pPr>
            <w:r>
              <w:rPr>
                <w:rFonts w:hint="eastAsia" w:ascii="宋体" w:hAnsi="宋体"/>
                <w:color w:val="auto"/>
                <w:kern w:val="0"/>
                <w:szCs w:val="21"/>
                <w:highlight w:val="none"/>
              </w:rPr>
              <w:t>25</w:t>
            </w:r>
          </w:p>
        </w:tc>
        <w:tc>
          <w:tcPr>
            <w:tcW w:w="3312" w:type="dxa"/>
            <w:tcBorders>
              <w:top w:val="single" w:color="000000" w:sz="4" w:space="0"/>
              <w:left w:val="nil"/>
              <w:bottom w:val="single" w:color="000000" w:sz="4" w:space="0"/>
              <w:right w:val="single" w:color="000000" w:sz="4" w:space="0"/>
            </w:tcBorders>
            <w:vAlign w:val="center"/>
          </w:tcPr>
          <w:p w14:paraId="29D65429">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广西师范大学出版社    </w:t>
            </w:r>
          </w:p>
        </w:tc>
        <w:tc>
          <w:tcPr>
            <w:tcW w:w="632" w:type="dxa"/>
            <w:tcBorders>
              <w:top w:val="single" w:color="000000" w:sz="4" w:space="0"/>
              <w:left w:val="nil"/>
              <w:bottom w:val="single" w:color="000000" w:sz="4" w:space="0"/>
              <w:right w:val="single" w:color="000000" w:sz="4" w:space="0"/>
            </w:tcBorders>
            <w:vAlign w:val="center"/>
          </w:tcPr>
          <w:p w14:paraId="1E677C38">
            <w:pPr>
              <w:widowControl/>
              <w:jc w:val="center"/>
              <w:rPr>
                <w:rFonts w:ascii="宋体" w:hAnsi="宋体"/>
                <w:color w:val="auto"/>
                <w:kern w:val="0"/>
                <w:szCs w:val="21"/>
                <w:highlight w:val="none"/>
              </w:rPr>
            </w:pPr>
            <w:r>
              <w:rPr>
                <w:rFonts w:hint="eastAsia" w:ascii="宋体" w:hAnsi="宋体"/>
                <w:color w:val="auto"/>
                <w:kern w:val="0"/>
                <w:szCs w:val="21"/>
                <w:highlight w:val="none"/>
              </w:rPr>
              <w:t>65</w:t>
            </w:r>
          </w:p>
        </w:tc>
        <w:tc>
          <w:tcPr>
            <w:tcW w:w="4326" w:type="dxa"/>
            <w:tcBorders>
              <w:top w:val="single" w:color="000000" w:sz="4" w:space="0"/>
              <w:left w:val="nil"/>
              <w:bottom w:val="single" w:color="000000" w:sz="4" w:space="0"/>
              <w:right w:val="single" w:color="000000" w:sz="4" w:space="0"/>
            </w:tcBorders>
            <w:vAlign w:val="center"/>
          </w:tcPr>
          <w:p w14:paraId="03152339">
            <w:pPr>
              <w:widowControl/>
              <w:rPr>
                <w:rFonts w:ascii="宋体" w:hAnsi="宋体"/>
                <w:color w:val="auto"/>
                <w:kern w:val="0"/>
                <w:szCs w:val="21"/>
                <w:highlight w:val="none"/>
              </w:rPr>
            </w:pPr>
            <w:r>
              <w:rPr>
                <w:rFonts w:hint="eastAsia" w:ascii="宋体" w:hAnsi="宋体"/>
                <w:color w:val="auto"/>
                <w:kern w:val="0"/>
                <w:szCs w:val="21"/>
                <w:highlight w:val="none"/>
              </w:rPr>
              <w:t>人民出版社</w:t>
            </w:r>
          </w:p>
        </w:tc>
      </w:tr>
      <w:tr w14:paraId="35F654C5">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E5A67A2">
            <w:pPr>
              <w:widowControl/>
              <w:jc w:val="center"/>
              <w:rPr>
                <w:rFonts w:ascii="宋体" w:hAnsi="宋体"/>
                <w:color w:val="auto"/>
                <w:kern w:val="0"/>
                <w:szCs w:val="21"/>
                <w:highlight w:val="none"/>
              </w:rPr>
            </w:pPr>
            <w:r>
              <w:rPr>
                <w:rFonts w:hint="eastAsia" w:ascii="宋体" w:hAnsi="宋体"/>
                <w:color w:val="auto"/>
                <w:kern w:val="0"/>
                <w:szCs w:val="21"/>
                <w:highlight w:val="none"/>
              </w:rPr>
              <w:t>26</w:t>
            </w:r>
          </w:p>
        </w:tc>
        <w:tc>
          <w:tcPr>
            <w:tcW w:w="3312" w:type="dxa"/>
            <w:tcBorders>
              <w:top w:val="single" w:color="000000" w:sz="4" w:space="0"/>
              <w:left w:val="nil"/>
              <w:bottom w:val="single" w:color="000000" w:sz="4" w:space="0"/>
              <w:right w:val="single" w:color="000000" w:sz="4" w:space="0"/>
            </w:tcBorders>
            <w:vAlign w:val="center"/>
          </w:tcPr>
          <w:p w14:paraId="2D469416">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上海财经大学出版社      </w:t>
            </w:r>
          </w:p>
        </w:tc>
        <w:tc>
          <w:tcPr>
            <w:tcW w:w="632" w:type="dxa"/>
            <w:tcBorders>
              <w:top w:val="single" w:color="000000" w:sz="4" w:space="0"/>
              <w:left w:val="nil"/>
              <w:bottom w:val="single" w:color="000000" w:sz="4" w:space="0"/>
              <w:right w:val="single" w:color="000000" w:sz="4" w:space="0"/>
            </w:tcBorders>
            <w:vAlign w:val="center"/>
          </w:tcPr>
          <w:p w14:paraId="07ABC87E">
            <w:pPr>
              <w:widowControl/>
              <w:jc w:val="center"/>
              <w:rPr>
                <w:rFonts w:ascii="宋体" w:hAnsi="宋体"/>
                <w:color w:val="auto"/>
                <w:kern w:val="0"/>
                <w:szCs w:val="21"/>
                <w:highlight w:val="none"/>
              </w:rPr>
            </w:pPr>
            <w:r>
              <w:rPr>
                <w:rFonts w:hint="eastAsia" w:ascii="宋体" w:hAnsi="宋体"/>
                <w:color w:val="auto"/>
                <w:kern w:val="0"/>
                <w:szCs w:val="21"/>
                <w:highlight w:val="none"/>
              </w:rPr>
              <w:t>66</w:t>
            </w:r>
          </w:p>
        </w:tc>
        <w:tc>
          <w:tcPr>
            <w:tcW w:w="4326" w:type="dxa"/>
            <w:tcBorders>
              <w:top w:val="single" w:color="000000" w:sz="4" w:space="0"/>
              <w:left w:val="nil"/>
              <w:bottom w:val="single" w:color="000000" w:sz="4" w:space="0"/>
              <w:right w:val="single" w:color="000000" w:sz="4" w:space="0"/>
            </w:tcBorders>
            <w:vAlign w:val="center"/>
          </w:tcPr>
          <w:p w14:paraId="64373B99">
            <w:pPr>
              <w:widowControl/>
              <w:rPr>
                <w:rFonts w:ascii="宋体" w:hAnsi="宋体"/>
                <w:color w:val="auto"/>
                <w:kern w:val="0"/>
                <w:szCs w:val="21"/>
                <w:highlight w:val="none"/>
              </w:rPr>
            </w:pPr>
            <w:r>
              <w:rPr>
                <w:rFonts w:hint="eastAsia" w:ascii="宋体" w:hAnsi="宋体"/>
                <w:color w:val="auto"/>
                <w:kern w:val="0"/>
                <w:szCs w:val="21"/>
                <w:highlight w:val="none"/>
              </w:rPr>
              <w:t>上海译文出版社</w:t>
            </w:r>
          </w:p>
        </w:tc>
      </w:tr>
      <w:tr w14:paraId="1573801A">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461ECA87">
            <w:pPr>
              <w:widowControl/>
              <w:jc w:val="center"/>
              <w:rPr>
                <w:rFonts w:ascii="宋体" w:hAnsi="宋体"/>
                <w:color w:val="auto"/>
                <w:kern w:val="0"/>
                <w:szCs w:val="21"/>
                <w:highlight w:val="none"/>
              </w:rPr>
            </w:pPr>
            <w:r>
              <w:rPr>
                <w:rFonts w:hint="eastAsia" w:ascii="宋体" w:hAnsi="宋体"/>
                <w:color w:val="auto"/>
                <w:kern w:val="0"/>
                <w:szCs w:val="21"/>
                <w:highlight w:val="none"/>
              </w:rPr>
              <w:t>27</w:t>
            </w:r>
          </w:p>
        </w:tc>
        <w:tc>
          <w:tcPr>
            <w:tcW w:w="3312" w:type="dxa"/>
            <w:tcBorders>
              <w:top w:val="single" w:color="000000" w:sz="4" w:space="0"/>
              <w:left w:val="nil"/>
              <w:bottom w:val="single" w:color="000000" w:sz="4" w:space="0"/>
              <w:right w:val="single" w:color="000000" w:sz="4" w:space="0"/>
            </w:tcBorders>
            <w:vAlign w:val="center"/>
          </w:tcPr>
          <w:p w14:paraId="264C8964">
            <w:pPr>
              <w:widowControl/>
              <w:jc w:val="left"/>
              <w:rPr>
                <w:rFonts w:ascii="宋体" w:hAnsi="宋体"/>
                <w:color w:val="auto"/>
                <w:kern w:val="0"/>
                <w:szCs w:val="21"/>
                <w:highlight w:val="none"/>
              </w:rPr>
            </w:pPr>
            <w:r>
              <w:rPr>
                <w:rFonts w:hint="eastAsia" w:ascii="宋体" w:hAnsi="宋体"/>
                <w:color w:val="auto"/>
                <w:kern w:val="0"/>
                <w:szCs w:val="21"/>
                <w:highlight w:val="none"/>
              </w:rPr>
              <w:t>西南师范大学出版社</w:t>
            </w:r>
          </w:p>
        </w:tc>
        <w:tc>
          <w:tcPr>
            <w:tcW w:w="632" w:type="dxa"/>
            <w:tcBorders>
              <w:top w:val="single" w:color="000000" w:sz="4" w:space="0"/>
              <w:left w:val="nil"/>
              <w:bottom w:val="single" w:color="000000" w:sz="4" w:space="0"/>
              <w:right w:val="single" w:color="000000" w:sz="4" w:space="0"/>
            </w:tcBorders>
            <w:vAlign w:val="center"/>
          </w:tcPr>
          <w:p w14:paraId="613F8DD4">
            <w:pPr>
              <w:widowControl/>
              <w:jc w:val="center"/>
              <w:rPr>
                <w:rFonts w:ascii="宋体" w:hAnsi="宋体"/>
                <w:color w:val="auto"/>
                <w:kern w:val="0"/>
                <w:szCs w:val="21"/>
                <w:highlight w:val="none"/>
              </w:rPr>
            </w:pPr>
            <w:r>
              <w:rPr>
                <w:rFonts w:hint="eastAsia" w:ascii="宋体" w:hAnsi="宋体"/>
                <w:color w:val="auto"/>
                <w:kern w:val="0"/>
                <w:szCs w:val="21"/>
                <w:highlight w:val="none"/>
              </w:rPr>
              <w:t>67</w:t>
            </w:r>
          </w:p>
        </w:tc>
        <w:tc>
          <w:tcPr>
            <w:tcW w:w="4326" w:type="dxa"/>
            <w:tcBorders>
              <w:top w:val="single" w:color="000000" w:sz="4" w:space="0"/>
              <w:left w:val="nil"/>
              <w:bottom w:val="single" w:color="000000" w:sz="4" w:space="0"/>
              <w:right w:val="single" w:color="000000" w:sz="4" w:space="0"/>
            </w:tcBorders>
            <w:vAlign w:val="center"/>
          </w:tcPr>
          <w:p w14:paraId="5E30E950">
            <w:pPr>
              <w:widowControl/>
              <w:rPr>
                <w:rFonts w:ascii="宋体" w:hAnsi="宋体"/>
                <w:color w:val="auto"/>
                <w:kern w:val="0"/>
                <w:szCs w:val="21"/>
                <w:highlight w:val="none"/>
              </w:rPr>
            </w:pPr>
            <w:r>
              <w:rPr>
                <w:rFonts w:hint="eastAsia" w:ascii="宋体" w:hAnsi="宋体"/>
                <w:color w:val="auto"/>
                <w:kern w:val="0"/>
                <w:szCs w:val="21"/>
                <w:highlight w:val="none"/>
              </w:rPr>
              <w:t xml:space="preserve">中国法制出版社        </w:t>
            </w:r>
          </w:p>
        </w:tc>
      </w:tr>
      <w:tr w14:paraId="3CA3F09F">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0B06175A">
            <w:pPr>
              <w:widowControl/>
              <w:jc w:val="center"/>
              <w:rPr>
                <w:rFonts w:ascii="宋体" w:hAnsi="宋体"/>
                <w:color w:val="auto"/>
                <w:kern w:val="0"/>
                <w:szCs w:val="21"/>
                <w:highlight w:val="none"/>
              </w:rPr>
            </w:pPr>
            <w:r>
              <w:rPr>
                <w:rFonts w:hint="eastAsia" w:ascii="宋体" w:hAnsi="宋体"/>
                <w:color w:val="auto"/>
                <w:kern w:val="0"/>
                <w:szCs w:val="21"/>
                <w:highlight w:val="none"/>
              </w:rPr>
              <w:t>28</w:t>
            </w:r>
          </w:p>
        </w:tc>
        <w:tc>
          <w:tcPr>
            <w:tcW w:w="3312" w:type="dxa"/>
            <w:tcBorders>
              <w:top w:val="single" w:color="000000" w:sz="4" w:space="0"/>
              <w:left w:val="nil"/>
              <w:bottom w:val="single" w:color="000000" w:sz="4" w:space="0"/>
              <w:right w:val="single" w:color="000000" w:sz="4" w:space="0"/>
            </w:tcBorders>
            <w:vAlign w:val="center"/>
          </w:tcPr>
          <w:p w14:paraId="03BA8A20">
            <w:pPr>
              <w:widowControl/>
              <w:rPr>
                <w:rFonts w:ascii="宋体" w:hAnsi="宋体"/>
                <w:color w:val="auto"/>
                <w:kern w:val="0"/>
                <w:szCs w:val="21"/>
                <w:highlight w:val="none"/>
              </w:rPr>
            </w:pPr>
            <w:r>
              <w:rPr>
                <w:rFonts w:hint="eastAsia" w:ascii="宋体" w:hAnsi="宋体"/>
                <w:color w:val="auto"/>
                <w:kern w:val="0"/>
                <w:szCs w:val="21"/>
                <w:highlight w:val="none"/>
              </w:rPr>
              <w:t xml:space="preserve">中国美术学院出版社      </w:t>
            </w:r>
          </w:p>
        </w:tc>
        <w:tc>
          <w:tcPr>
            <w:tcW w:w="632" w:type="dxa"/>
            <w:tcBorders>
              <w:top w:val="single" w:color="000000" w:sz="4" w:space="0"/>
              <w:left w:val="nil"/>
              <w:bottom w:val="single" w:color="000000" w:sz="4" w:space="0"/>
              <w:right w:val="single" w:color="000000" w:sz="4" w:space="0"/>
            </w:tcBorders>
            <w:vAlign w:val="center"/>
          </w:tcPr>
          <w:p w14:paraId="2651AA78">
            <w:pPr>
              <w:widowControl/>
              <w:jc w:val="center"/>
              <w:rPr>
                <w:rFonts w:ascii="宋体" w:hAnsi="宋体"/>
                <w:color w:val="auto"/>
                <w:kern w:val="0"/>
                <w:szCs w:val="21"/>
                <w:highlight w:val="none"/>
              </w:rPr>
            </w:pPr>
            <w:r>
              <w:rPr>
                <w:rFonts w:hint="eastAsia" w:ascii="宋体" w:hAnsi="宋体"/>
                <w:color w:val="auto"/>
                <w:kern w:val="0"/>
                <w:szCs w:val="21"/>
                <w:highlight w:val="none"/>
              </w:rPr>
              <w:t>68</w:t>
            </w:r>
          </w:p>
        </w:tc>
        <w:tc>
          <w:tcPr>
            <w:tcW w:w="4326" w:type="dxa"/>
            <w:tcBorders>
              <w:top w:val="single" w:color="000000" w:sz="4" w:space="0"/>
              <w:left w:val="nil"/>
              <w:bottom w:val="single" w:color="000000" w:sz="4" w:space="0"/>
              <w:right w:val="single" w:color="000000" w:sz="4" w:space="0"/>
            </w:tcBorders>
            <w:vAlign w:val="center"/>
          </w:tcPr>
          <w:p w14:paraId="260583F4">
            <w:pPr>
              <w:widowControl/>
              <w:rPr>
                <w:rFonts w:ascii="宋体" w:hAnsi="宋体"/>
                <w:color w:val="auto"/>
                <w:kern w:val="0"/>
                <w:szCs w:val="21"/>
                <w:highlight w:val="none"/>
              </w:rPr>
            </w:pPr>
            <w:r>
              <w:rPr>
                <w:rFonts w:hint="eastAsia" w:ascii="宋体" w:hAnsi="宋体"/>
                <w:color w:val="auto"/>
                <w:kern w:val="0"/>
                <w:szCs w:val="21"/>
                <w:highlight w:val="none"/>
              </w:rPr>
              <w:t>中国水利水电出版社</w:t>
            </w:r>
          </w:p>
        </w:tc>
      </w:tr>
      <w:tr w14:paraId="0D00D9EE">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7852DA73">
            <w:pPr>
              <w:widowControl/>
              <w:jc w:val="center"/>
              <w:rPr>
                <w:rFonts w:ascii="宋体" w:hAnsi="宋体"/>
                <w:color w:val="auto"/>
                <w:kern w:val="0"/>
                <w:szCs w:val="21"/>
                <w:highlight w:val="none"/>
              </w:rPr>
            </w:pPr>
            <w:r>
              <w:rPr>
                <w:rFonts w:hint="eastAsia" w:ascii="宋体" w:hAnsi="宋体"/>
                <w:color w:val="auto"/>
                <w:kern w:val="0"/>
                <w:szCs w:val="21"/>
                <w:highlight w:val="none"/>
              </w:rPr>
              <w:t>29</w:t>
            </w:r>
          </w:p>
        </w:tc>
        <w:tc>
          <w:tcPr>
            <w:tcW w:w="3312" w:type="dxa"/>
            <w:tcBorders>
              <w:top w:val="single" w:color="000000" w:sz="4" w:space="0"/>
              <w:left w:val="nil"/>
              <w:bottom w:val="single" w:color="000000" w:sz="4" w:space="0"/>
              <w:right w:val="single" w:color="000000" w:sz="4" w:space="0"/>
            </w:tcBorders>
            <w:vAlign w:val="center"/>
          </w:tcPr>
          <w:p w14:paraId="1D93740D">
            <w:pPr>
              <w:widowControl/>
              <w:rPr>
                <w:rFonts w:ascii="宋体" w:hAnsi="宋体"/>
                <w:color w:val="auto"/>
                <w:kern w:val="0"/>
                <w:szCs w:val="21"/>
                <w:highlight w:val="none"/>
              </w:rPr>
            </w:pPr>
            <w:r>
              <w:rPr>
                <w:rFonts w:hint="eastAsia" w:ascii="宋体" w:hAnsi="宋体"/>
                <w:color w:val="auto"/>
                <w:kern w:val="0"/>
                <w:szCs w:val="21"/>
                <w:highlight w:val="none"/>
              </w:rPr>
              <w:t xml:space="preserve">北京体育大学出版社   </w:t>
            </w:r>
          </w:p>
        </w:tc>
        <w:tc>
          <w:tcPr>
            <w:tcW w:w="632" w:type="dxa"/>
            <w:tcBorders>
              <w:top w:val="single" w:color="000000" w:sz="4" w:space="0"/>
              <w:left w:val="nil"/>
              <w:bottom w:val="single" w:color="000000" w:sz="4" w:space="0"/>
              <w:right w:val="single" w:color="000000" w:sz="4" w:space="0"/>
            </w:tcBorders>
            <w:vAlign w:val="center"/>
          </w:tcPr>
          <w:p w14:paraId="3CD7DD61">
            <w:pPr>
              <w:widowControl/>
              <w:jc w:val="center"/>
              <w:rPr>
                <w:rFonts w:ascii="宋体" w:hAnsi="宋体"/>
                <w:color w:val="auto"/>
                <w:kern w:val="0"/>
                <w:szCs w:val="21"/>
                <w:highlight w:val="none"/>
              </w:rPr>
            </w:pPr>
            <w:r>
              <w:rPr>
                <w:rFonts w:hint="eastAsia" w:ascii="宋体" w:hAnsi="宋体"/>
                <w:color w:val="auto"/>
                <w:kern w:val="0"/>
                <w:szCs w:val="21"/>
                <w:highlight w:val="none"/>
              </w:rPr>
              <w:t>69</w:t>
            </w:r>
          </w:p>
        </w:tc>
        <w:tc>
          <w:tcPr>
            <w:tcW w:w="4326" w:type="dxa"/>
            <w:tcBorders>
              <w:top w:val="single" w:color="000000" w:sz="4" w:space="0"/>
              <w:left w:val="nil"/>
              <w:bottom w:val="single" w:color="000000" w:sz="4" w:space="0"/>
              <w:right w:val="single" w:color="000000" w:sz="4" w:space="0"/>
            </w:tcBorders>
            <w:vAlign w:val="center"/>
          </w:tcPr>
          <w:p w14:paraId="4054B718">
            <w:pPr>
              <w:widowControl/>
              <w:rPr>
                <w:rFonts w:ascii="宋体" w:hAnsi="宋体"/>
                <w:color w:val="auto"/>
                <w:kern w:val="0"/>
                <w:szCs w:val="21"/>
                <w:highlight w:val="none"/>
              </w:rPr>
            </w:pPr>
            <w:r>
              <w:rPr>
                <w:rFonts w:hint="eastAsia" w:ascii="宋体" w:hAnsi="宋体"/>
                <w:color w:val="auto"/>
                <w:kern w:val="0"/>
                <w:szCs w:val="21"/>
                <w:highlight w:val="none"/>
              </w:rPr>
              <w:t xml:space="preserve">上海音乐出版社             </w:t>
            </w:r>
          </w:p>
        </w:tc>
      </w:tr>
      <w:tr w14:paraId="317CD6F2">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74B53A80">
            <w:pPr>
              <w:widowControl/>
              <w:jc w:val="center"/>
              <w:rPr>
                <w:rFonts w:ascii="宋体" w:hAnsi="宋体"/>
                <w:color w:val="auto"/>
                <w:kern w:val="0"/>
                <w:szCs w:val="21"/>
                <w:highlight w:val="none"/>
              </w:rPr>
            </w:pPr>
            <w:r>
              <w:rPr>
                <w:rFonts w:hint="eastAsia" w:ascii="宋体" w:hAnsi="宋体"/>
                <w:color w:val="auto"/>
                <w:kern w:val="0"/>
                <w:szCs w:val="21"/>
                <w:highlight w:val="none"/>
              </w:rPr>
              <w:t>30</w:t>
            </w:r>
          </w:p>
        </w:tc>
        <w:tc>
          <w:tcPr>
            <w:tcW w:w="3312" w:type="dxa"/>
            <w:tcBorders>
              <w:top w:val="single" w:color="000000" w:sz="4" w:space="0"/>
              <w:left w:val="nil"/>
              <w:bottom w:val="single" w:color="000000" w:sz="4" w:space="0"/>
              <w:right w:val="single" w:color="000000" w:sz="4" w:space="0"/>
            </w:tcBorders>
            <w:vAlign w:val="center"/>
          </w:tcPr>
          <w:p w14:paraId="679245CC">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中南大学出版社          </w:t>
            </w:r>
          </w:p>
        </w:tc>
        <w:tc>
          <w:tcPr>
            <w:tcW w:w="632" w:type="dxa"/>
            <w:tcBorders>
              <w:top w:val="single" w:color="000000" w:sz="4" w:space="0"/>
              <w:left w:val="nil"/>
              <w:bottom w:val="single" w:color="000000" w:sz="4" w:space="0"/>
              <w:right w:val="single" w:color="000000" w:sz="4" w:space="0"/>
            </w:tcBorders>
            <w:vAlign w:val="center"/>
          </w:tcPr>
          <w:p w14:paraId="718C8257">
            <w:pPr>
              <w:widowControl/>
              <w:jc w:val="center"/>
              <w:rPr>
                <w:rFonts w:ascii="宋体" w:hAnsi="宋体"/>
                <w:color w:val="auto"/>
                <w:kern w:val="0"/>
                <w:szCs w:val="21"/>
                <w:highlight w:val="none"/>
              </w:rPr>
            </w:pPr>
            <w:r>
              <w:rPr>
                <w:rFonts w:hint="eastAsia" w:ascii="宋体" w:hAnsi="宋体"/>
                <w:color w:val="auto"/>
                <w:kern w:val="0"/>
                <w:szCs w:val="21"/>
                <w:highlight w:val="none"/>
              </w:rPr>
              <w:t>70</w:t>
            </w:r>
          </w:p>
        </w:tc>
        <w:tc>
          <w:tcPr>
            <w:tcW w:w="4326" w:type="dxa"/>
            <w:tcBorders>
              <w:top w:val="single" w:color="000000" w:sz="4" w:space="0"/>
              <w:left w:val="nil"/>
              <w:bottom w:val="single" w:color="000000" w:sz="4" w:space="0"/>
              <w:right w:val="single" w:color="000000" w:sz="4" w:space="0"/>
            </w:tcBorders>
            <w:vAlign w:val="center"/>
          </w:tcPr>
          <w:p w14:paraId="36713EA3">
            <w:pPr>
              <w:widowControl/>
              <w:rPr>
                <w:rFonts w:ascii="宋体" w:hAnsi="宋体"/>
                <w:color w:val="auto"/>
                <w:kern w:val="0"/>
                <w:szCs w:val="21"/>
                <w:highlight w:val="none"/>
              </w:rPr>
            </w:pPr>
            <w:r>
              <w:rPr>
                <w:rFonts w:hint="eastAsia" w:ascii="宋体" w:hAnsi="宋体"/>
                <w:color w:val="auto"/>
                <w:kern w:val="0"/>
                <w:szCs w:val="21"/>
                <w:highlight w:val="none"/>
              </w:rPr>
              <w:t>社会科学文献出版社</w:t>
            </w:r>
          </w:p>
        </w:tc>
      </w:tr>
      <w:tr w14:paraId="16BA929E">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1D4ED2B0">
            <w:pPr>
              <w:widowControl/>
              <w:jc w:val="center"/>
              <w:rPr>
                <w:rFonts w:ascii="宋体" w:hAnsi="宋体"/>
                <w:color w:val="auto"/>
                <w:kern w:val="0"/>
                <w:szCs w:val="21"/>
                <w:highlight w:val="none"/>
              </w:rPr>
            </w:pPr>
            <w:r>
              <w:rPr>
                <w:rFonts w:hint="eastAsia" w:ascii="宋体" w:hAnsi="宋体"/>
                <w:color w:val="auto"/>
                <w:kern w:val="0"/>
                <w:szCs w:val="21"/>
                <w:highlight w:val="none"/>
              </w:rPr>
              <w:t>31</w:t>
            </w:r>
          </w:p>
        </w:tc>
        <w:tc>
          <w:tcPr>
            <w:tcW w:w="3312" w:type="dxa"/>
            <w:tcBorders>
              <w:top w:val="single" w:color="000000" w:sz="4" w:space="0"/>
              <w:left w:val="nil"/>
              <w:bottom w:val="single" w:color="000000" w:sz="4" w:space="0"/>
              <w:right w:val="single" w:color="000000" w:sz="4" w:space="0"/>
            </w:tcBorders>
            <w:vAlign w:val="center"/>
          </w:tcPr>
          <w:p w14:paraId="73F57C6E">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华东科技大学出版社     </w:t>
            </w:r>
          </w:p>
        </w:tc>
        <w:tc>
          <w:tcPr>
            <w:tcW w:w="632" w:type="dxa"/>
            <w:tcBorders>
              <w:top w:val="single" w:color="000000" w:sz="4" w:space="0"/>
              <w:left w:val="nil"/>
              <w:bottom w:val="single" w:color="000000" w:sz="4" w:space="0"/>
              <w:right w:val="single" w:color="000000" w:sz="4" w:space="0"/>
            </w:tcBorders>
            <w:vAlign w:val="center"/>
          </w:tcPr>
          <w:p w14:paraId="2BB387A4">
            <w:pPr>
              <w:widowControl/>
              <w:jc w:val="center"/>
              <w:rPr>
                <w:rFonts w:ascii="宋体" w:hAnsi="宋体"/>
                <w:color w:val="auto"/>
                <w:kern w:val="0"/>
                <w:szCs w:val="21"/>
                <w:highlight w:val="none"/>
              </w:rPr>
            </w:pPr>
            <w:r>
              <w:rPr>
                <w:rFonts w:hint="eastAsia" w:ascii="宋体" w:hAnsi="宋体"/>
                <w:color w:val="auto"/>
                <w:kern w:val="0"/>
                <w:szCs w:val="21"/>
                <w:highlight w:val="none"/>
              </w:rPr>
              <w:t>71</w:t>
            </w:r>
          </w:p>
        </w:tc>
        <w:tc>
          <w:tcPr>
            <w:tcW w:w="4326" w:type="dxa"/>
            <w:tcBorders>
              <w:top w:val="single" w:color="000000" w:sz="4" w:space="0"/>
              <w:left w:val="nil"/>
              <w:bottom w:val="single" w:color="000000" w:sz="4" w:space="0"/>
              <w:right w:val="single" w:color="000000" w:sz="4" w:space="0"/>
            </w:tcBorders>
            <w:vAlign w:val="center"/>
          </w:tcPr>
          <w:p w14:paraId="216765D6">
            <w:pPr>
              <w:widowControl/>
              <w:rPr>
                <w:rFonts w:ascii="宋体" w:hAnsi="宋体"/>
                <w:color w:val="auto"/>
                <w:kern w:val="0"/>
                <w:szCs w:val="21"/>
                <w:highlight w:val="none"/>
              </w:rPr>
            </w:pPr>
            <w:r>
              <w:rPr>
                <w:rFonts w:hint="eastAsia" w:ascii="宋体" w:hAnsi="宋体"/>
                <w:color w:val="auto"/>
                <w:kern w:val="0"/>
                <w:szCs w:val="21"/>
                <w:highlight w:val="none"/>
              </w:rPr>
              <w:t xml:space="preserve">机械工业出版社             </w:t>
            </w:r>
          </w:p>
        </w:tc>
      </w:tr>
      <w:tr w14:paraId="18419464">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0E978301">
            <w:pPr>
              <w:widowControl/>
              <w:jc w:val="center"/>
              <w:rPr>
                <w:rFonts w:ascii="宋体" w:hAnsi="宋体"/>
                <w:color w:val="auto"/>
                <w:kern w:val="0"/>
                <w:szCs w:val="21"/>
                <w:highlight w:val="none"/>
              </w:rPr>
            </w:pPr>
            <w:r>
              <w:rPr>
                <w:rFonts w:hint="eastAsia" w:ascii="宋体" w:hAnsi="宋体"/>
                <w:color w:val="auto"/>
                <w:kern w:val="0"/>
                <w:szCs w:val="21"/>
                <w:highlight w:val="none"/>
              </w:rPr>
              <w:t>32</w:t>
            </w:r>
          </w:p>
        </w:tc>
        <w:tc>
          <w:tcPr>
            <w:tcW w:w="3312" w:type="dxa"/>
            <w:tcBorders>
              <w:top w:val="single" w:color="000000" w:sz="4" w:space="0"/>
              <w:left w:val="nil"/>
              <w:bottom w:val="single" w:color="000000" w:sz="4" w:space="0"/>
              <w:right w:val="single" w:color="000000" w:sz="4" w:space="0"/>
            </w:tcBorders>
            <w:vAlign w:val="center"/>
          </w:tcPr>
          <w:p w14:paraId="65897B67">
            <w:pPr>
              <w:widowControl/>
              <w:jc w:val="left"/>
              <w:rPr>
                <w:rFonts w:ascii="宋体" w:hAnsi="宋体"/>
                <w:color w:val="auto"/>
                <w:kern w:val="0"/>
                <w:szCs w:val="21"/>
                <w:highlight w:val="none"/>
              </w:rPr>
            </w:pPr>
            <w:r>
              <w:rPr>
                <w:rFonts w:hint="eastAsia" w:ascii="宋体" w:hAnsi="宋体"/>
                <w:color w:val="auto"/>
                <w:kern w:val="0"/>
                <w:szCs w:val="21"/>
                <w:highlight w:val="none"/>
              </w:rPr>
              <w:t>北京语言大学出版社</w:t>
            </w:r>
          </w:p>
        </w:tc>
        <w:tc>
          <w:tcPr>
            <w:tcW w:w="632" w:type="dxa"/>
            <w:tcBorders>
              <w:top w:val="single" w:color="000000" w:sz="4" w:space="0"/>
              <w:left w:val="nil"/>
              <w:bottom w:val="single" w:color="000000" w:sz="4" w:space="0"/>
              <w:right w:val="single" w:color="000000" w:sz="4" w:space="0"/>
            </w:tcBorders>
            <w:vAlign w:val="center"/>
          </w:tcPr>
          <w:p w14:paraId="6650078A">
            <w:pPr>
              <w:widowControl/>
              <w:jc w:val="center"/>
              <w:rPr>
                <w:rFonts w:ascii="宋体" w:hAnsi="宋体"/>
                <w:color w:val="auto"/>
                <w:kern w:val="0"/>
                <w:szCs w:val="21"/>
                <w:highlight w:val="none"/>
              </w:rPr>
            </w:pPr>
            <w:r>
              <w:rPr>
                <w:rFonts w:hint="eastAsia" w:ascii="宋体" w:hAnsi="宋体"/>
                <w:color w:val="auto"/>
                <w:kern w:val="0"/>
                <w:szCs w:val="21"/>
                <w:highlight w:val="none"/>
              </w:rPr>
              <w:t>72</w:t>
            </w:r>
          </w:p>
        </w:tc>
        <w:tc>
          <w:tcPr>
            <w:tcW w:w="4326" w:type="dxa"/>
            <w:tcBorders>
              <w:top w:val="single" w:color="000000" w:sz="4" w:space="0"/>
              <w:left w:val="nil"/>
              <w:bottom w:val="single" w:color="000000" w:sz="4" w:space="0"/>
              <w:right w:val="single" w:color="000000" w:sz="4" w:space="0"/>
            </w:tcBorders>
            <w:vAlign w:val="center"/>
          </w:tcPr>
          <w:p w14:paraId="273E3345">
            <w:pPr>
              <w:widowControl/>
              <w:rPr>
                <w:rFonts w:ascii="宋体" w:hAnsi="宋体"/>
                <w:color w:val="auto"/>
                <w:kern w:val="0"/>
                <w:szCs w:val="21"/>
                <w:highlight w:val="none"/>
              </w:rPr>
            </w:pPr>
            <w:r>
              <w:rPr>
                <w:rFonts w:hint="eastAsia" w:ascii="宋体" w:hAnsi="宋体"/>
                <w:color w:val="auto"/>
                <w:kern w:val="0"/>
                <w:szCs w:val="21"/>
                <w:highlight w:val="none"/>
              </w:rPr>
              <w:t xml:space="preserve">中国古籍出版社 </w:t>
            </w:r>
          </w:p>
        </w:tc>
      </w:tr>
      <w:tr w14:paraId="6F9F74E0">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26E68E41">
            <w:pPr>
              <w:widowControl/>
              <w:jc w:val="center"/>
              <w:rPr>
                <w:rFonts w:ascii="宋体" w:hAnsi="宋体"/>
                <w:color w:val="auto"/>
                <w:kern w:val="0"/>
                <w:szCs w:val="21"/>
                <w:highlight w:val="none"/>
              </w:rPr>
            </w:pPr>
            <w:r>
              <w:rPr>
                <w:rFonts w:hint="eastAsia" w:ascii="宋体" w:hAnsi="宋体"/>
                <w:color w:val="auto"/>
                <w:kern w:val="0"/>
                <w:szCs w:val="21"/>
                <w:highlight w:val="none"/>
              </w:rPr>
              <w:t>33</w:t>
            </w:r>
          </w:p>
        </w:tc>
        <w:tc>
          <w:tcPr>
            <w:tcW w:w="3312" w:type="dxa"/>
            <w:tcBorders>
              <w:top w:val="single" w:color="000000" w:sz="4" w:space="0"/>
              <w:left w:val="nil"/>
              <w:bottom w:val="single" w:color="000000" w:sz="4" w:space="0"/>
              <w:right w:val="single" w:color="000000" w:sz="4" w:space="0"/>
            </w:tcBorders>
            <w:vAlign w:val="center"/>
          </w:tcPr>
          <w:p w14:paraId="75EC29DA">
            <w:pPr>
              <w:widowControl/>
              <w:jc w:val="left"/>
              <w:rPr>
                <w:rFonts w:ascii="宋体" w:hAnsi="宋体"/>
                <w:color w:val="auto"/>
                <w:kern w:val="0"/>
                <w:szCs w:val="21"/>
                <w:highlight w:val="none"/>
              </w:rPr>
            </w:pPr>
            <w:r>
              <w:rPr>
                <w:rFonts w:hint="eastAsia" w:ascii="宋体" w:hAnsi="宋体"/>
                <w:color w:val="auto"/>
                <w:kern w:val="0"/>
                <w:szCs w:val="21"/>
                <w:highlight w:val="none"/>
              </w:rPr>
              <w:t>华中科技大学出版社</w:t>
            </w:r>
          </w:p>
        </w:tc>
        <w:tc>
          <w:tcPr>
            <w:tcW w:w="632" w:type="dxa"/>
            <w:tcBorders>
              <w:top w:val="single" w:color="000000" w:sz="4" w:space="0"/>
              <w:left w:val="nil"/>
              <w:bottom w:val="single" w:color="000000" w:sz="4" w:space="0"/>
              <w:right w:val="single" w:color="000000" w:sz="4" w:space="0"/>
            </w:tcBorders>
            <w:vAlign w:val="center"/>
          </w:tcPr>
          <w:p w14:paraId="000E9306">
            <w:pPr>
              <w:widowControl/>
              <w:jc w:val="center"/>
              <w:rPr>
                <w:rFonts w:ascii="宋体" w:hAnsi="宋体"/>
                <w:color w:val="auto"/>
                <w:kern w:val="0"/>
                <w:szCs w:val="21"/>
                <w:highlight w:val="none"/>
              </w:rPr>
            </w:pPr>
            <w:r>
              <w:rPr>
                <w:rFonts w:hint="eastAsia" w:ascii="宋体" w:hAnsi="宋体"/>
                <w:color w:val="auto"/>
                <w:kern w:val="0"/>
                <w:szCs w:val="21"/>
                <w:highlight w:val="none"/>
              </w:rPr>
              <w:t>73</w:t>
            </w:r>
          </w:p>
        </w:tc>
        <w:tc>
          <w:tcPr>
            <w:tcW w:w="4326" w:type="dxa"/>
            <w:tcBorders>
              <w:top w:val="single" w:color="000000" w:sz="4" w:space="0"/>
              <w:left w:val="nil"/>
              <w:bottom w:val="single" w:color="000000" w:sz="4" w:space="0"/>
              <w:right w:val="single" w:color="000000" w:sz="4" w:space="0"/>
            </w:tcBorders>
            <w:vAlign w:val="center"/>
          </w:tcPr>
          <w:p w14:paraId="4A2B065A">
            <w:pPr>
              <w:widowControl/>
              <w:rPr>
                <w:rFonts w:ascii="宋体" w:hAnsi="宋体"/>
                <w:color w:val="auto"/>
                <w:kern w:val="0"/>
                <w:szCs w:val="21"/>
                <w:highlight w:val="none"/>
              </w:rPr>
            </w:pPr>
            <w:r>
              <w:rPr>
                <w:rFonts w:hint="eastAsia" w:ascii="宋体" w:hAnsi="宋体"/>
                <w:color w:val="auto"/>
                <w:kern w:val="0"/>
                <w:szCs w:val="21"/>
                <w:highlight w:val="none"/>
              </w:rPr>
              <w:t>中信出版社</w:t>
            </w:r>
          </w:p>
        </w:tc>
      </w:tr>
      <w:tr w14:paraId="55A511C0">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5353961B">
            <w:pPr>
              <w:widowControl/>
              <w:jc w:val="center"/>
              <w:rPr>
                <w:rFonts w:ascii="宋体" w:hAnsi="宋体"/>
                <w:color w:val="auto"/>
                <w:kern w:val="0"/>
                <w:szCs w:val="21"/>
                <w:highlight w:val="none"/>
              </w:rPr>
            </w:pPr>
            <w:r>
              <w:rPr>
                <w:rFonts w:hint="eastAsia" w:ascii="宋体" w:hAnsi="宋体"/>
                <w:color w:val="auto"/>
                <w:kern w:val="0"/>
                <w:szCs w:val="21"/>
                <w:highlight w:val="none"/>
              </w:rPr>
              <w:t>34</w:t>
            </w:r>
          </w:p>
        </w:tc>
        <w:tc>
          <w:tcPr>
            <w:tcW w:w="3312" w:type="dxa"/>
            <w:tcBorders>
              <w:top w:val="single" w:color="000000" w:sz="4" w:space="0"/>
              <w:left w:val="nil"/>
              <w:bottom w:val="single" w:color="000000" w:sz="4" w:space="0"/>
              <w:right w:val="single" w:color="000000" w:sz="4" w:space="0"/>
            </w:tcBorders>
            <w:vAlign w:val="center"/>
          </w:tcPr>
          <w:p w14:paraId="48B276D4">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四川大学出版社          </w:t>
            </w:r>
          </w:p>
        </w:tc>
        <w:tc>
          <w:tcPr>
            <w:tcW w:w="632" w:type="dxa"/>
            <w:tcBorders>
              <w:top w:val="single" w:color="000000" w:sz="4" w:space="0"/>
              <w:left w:val="nil"/>
              <w:bottom w:val="single" w:color="000000" w:sz="4" w:space="0"/>
              <w:right w:val="single" w:color="000000" w:sz="4" w:space="0"/>
            </w:tcBorders>
            <w:vAlign w:val="center"/>
          </w:tcPr>
          <w:p w14:paraId="018587E0">
            <w:pPr>
              <w:widowControl/>
              <w:jc w:val="center"/>
              <w:rPr>
                <w:rFonts w:ascii="宋体" w:hAnsi="宋体"/>
                <w:color w:val="auto"/>
                <w:kern w:val="0"/>
                <w:szCs w:val="21"/>
                <w:highlight w:val="none"/>
              </w:rPr>
            </w:pPr>
            <w:r>
              <w:rPr>
                <w:rFonts w:hint="eastAsia" w:ascii="宋体" w:hAnsi="宋体"/>
                <w:color w:val="auto"/>
                <w:kern w:val="0"/>
                <w:szCs w:val="21"/>
                <w:highlight w:val="none"/>
              </w:rPr>
              <w:t>74</w:t>
            </w:r>
          </w:p>
        </w:tc>
        <w:tc>
          <w:tcPr>
            <w:tcW w:w="4326" w:type="dxa"/>
            <w:tcBorders>
              <w:top w:val="single" w:color="000000" w:sz="4" w:space="0"/>
              <w:left w:val="nil"/>
              <w:bottom w:val="single" w:color="000000" w:sz="4" w:space="0"/>
              <w:right w:val="single" w:color="000000" w:sz="4" w:space="0"/>
            </w:tcBorders>
            <w:vAlign w:val="center"/>
          </w:tcPr>
          <w:p w14:paraId="7ABA3C37">
            <w:pPr>
              <w:widowControl/>
              <w:rPr>
                <w:rFonts w:ascii="宋体" w:hAnsi="宋体"/>
                <w:color w:val="auto"/>
                <w:kern w:val="0"/>
                <w:szCs w:val="21"/>
                <w:highlight w:val="none"/>
              </w:rPr>
            </w:pPr>
            <w:r>
              <w:rPr>
                <w:rFonts w:hint="eastAsia" w:ascii="宋体" w:hAnsi="宋体"/>
                <w:color w:val="auto"/>
                <w:kern w:val="0"/>
                <w:szCs w:val="21"/>
                <w:highlight w:val="none"/>
              </w:rPr>
              <w:t xml:space="preserve">世界图书出版公司                                      </w:t>
            </w:r>
          </w:p>
        </w:tc>
      </w:tr>
      <w:tr w14:paraId="42AFBAC3">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8A6DD39">
            <w:pPr>
              <w:widowControl/>
              <w:jc w:val="center"/>
              <w:rPr>
                <w:rFonts w:ascii="宋体" w:hAnsi="宋体"/>
                <w:color w:val="auto"/>
                <w:kern w:val="0"/>
                <w:szCs w:val="21"/>
                <w:highlight w:val="none"/>
              </w:rPr>
            </w:pPr>
            <w:r>
              <w:rPr>
                <w:rFonts w:hint="eastAsia" w:ascii="宋体" w:hAnsi="宋体"/>
                <w:color w:val="auto"/>
                <w:kern w:val="0"/>
                <w:szCs w:val="21"/>
                <w:highlight w:val="none"/>
              </w:rPr>
              <w:t>35</w:t>
            </w:r>
          </w:p>
        </w:tc>
        <w:tc>
          <w:tcPr>
            <w:tcW w:w="3312" w:type="dxa"/>
            <w:tcBorders>
              <w:top w:val="single" w:color="000000" w:sz="4" w:space="0"/>
              <w:left w:val="nil"/>
              <w:bottom w:val="single" w:color="000000" w:sz="4" w:space="0"/>
              <w:right w:val="single" w:color="000000" w:sz="4" w:space="0"/>
            </w:tcBorders>
            <w:vAlign w:val="center"/>
          </w:tcPr>
          <w:p w14:paraId="7481B1D0">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重庆大学出版社        </w:t>
            </w:r>
          </w:p>
        </w:tc>
        <w:tc>
          <w:tcPr>
            <w:tcW w:w="632" w:type="dxa"/>
            <w:tcBorders>
              <w:top w:val="single" w:color="000000" w:sz="4" w:space="0"/>
              <w:left w:val="nil"/>
              <w:bottom w:val="single" w:color="000000" w:sz="4" w:space="0"/>
              <w:right w:val="single" w:color="000000" w:sz="4" w:space="0"/>
            </w:tcBorders>
            <w:vAlign w:val="center"/>
          </w:tcPr>
          <w:p w14:paraId="2E8F7E29">
            <w:pPr>
              <w:widowControl/>
              <w:jc w:val="center"/>
              <w:rPr>
                <w:rFonts w:ascii="宋体" w:hAnsi="宋体"/>
                <w:color w:val="auto"/>
                <w:kern w:val="0"/>
                <w:szCs w:val="21"/>
                <w:highlight w:val="none"/>
              </w:rPr>
            </w:pPr>
            <w:r>
              <w:rPr>
                <w:rFonts w:hint="eastAsia" w:ascii="宋体" w:hAnsi="宋体"/>
                <w:color w:val="auto"/>
                <w:kern w:val="0"/>
                <w:szCs w:val="21"/>
                <w:highlight w:val="none"/>
              </w:rPr>
              <w:t>75</w:t>
            </w:r>
          </w:p>
        </w:tc>
        <w:tc>
          <w:tcPr>
            <w:tcW w:w="4326" w:type="dxa"/>
            <w:tcBorders>
              <w:top w:val="single" w:color="000000" w:sz="4" w:space="0"/>
              <w:left w:val="nil"/>
              <w:bottom w:val="single" w:color="000000" w:sz="4" w:space="0"/>
              <w:right w:val="single" w:color="000000" w:sz="4" w:space="0"/>
            </w:tcBorders>
            <w:vAlign w:val="center"/>
          </w:tcPr>
          <w:p w14:paraId="51E7BFA3">
            <w:pPr>
              <w:widowControl/>
              <w:rPr>
                <w:rFonts w:ascii="宋体" w:hAnsi="宋体"/>
                <w:color w:val="auto"/>
                <w:kern w:val="0"/>
                <w:szCs w:val="21"/>
                <w:highlight w:val="none"/>
              </w:rPr>
            </w:pPr>
            <w:r>
              <w:rPr>
                <w:rFonts w:hint="eastAsia" w:ascii="宋体" w:hAnsi="宋体"/>
                <w:color w:val="auto"/>
                <w:kern w:val="0"/>
                <w:szCs w:val="21"/>
                <w:highlight w:val="none"/>
              </w:rPr>
              <w:t>广西人民出版社</w:t>
            </w:r>
          </w:p>
        </w:tc>
      </w:tr>
      <w:tr w14:paraId="4F76F41A">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6A9CAFEA">
            <w:pPr>
              <w:widowControl/>
              <w:jc w:val="center"/>
              <w:rPr>
                <w:rFonts w:ascii="宋体" w:hAnsi="宋体"/>
                <w:color w:val="auto"/>
                <w:kern w:val="0"/>
                <w:szCs w:val="21"/>
                <w:highlight w:val="none"/>
              </w:rPr>
            </w:pPr>
            <w:r>
              <w:rPr>
                <w:rFonts w:hint="eastAsia" w:ascii="宋体" w:hAnsi="宋体"/>
                <w:color w:val="auto"/>
                <w:kern w:val="0"/>
                <w:szCs w:val="21"/>
                <w:highlight w:val="none"/>
              </w:rPr>
              <w:t>36</w:t>
            </w:r>
          </w:p>
        </w:tc>
        <w:tc>
          <w:tcPr>
            <w:tcW w:w="3312" w:type="dxa"/>
            <w:tcBorders>
              <w:top w:val="single" w:color="000000" w:sz="4" w:space="0"/>
              <w:left w:val="nil"/>
              <w:bottom w:val="single" w:color="000000" w:sz="4" w:space="0"/>
              <w:right w:val="single" w:color="000000" w:sz="4" w:space="0"/>
            </w:tcBorders>
            <w:vAlign w:val="center"/>
          </w:tcPr>
          <w:p w14:paraId="1815A57D">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西北工业大学出版社      </w:t>
            </w:r>
          </w:p>
        </w:tc>
        <w:tc>
          <w:tcPr>
            <w:tcW w:w="632" w:type="dxa"/>
            <w:tcBorders>
              <w:top w:val="single" w:color="000000" w:sz="4" w:space="0"/>
              <w:left w:val="nil"/>
              <w:bottom w:val="single" w:color="000000" w:sz="4" w:space="0"/>
              <w:right w:val="single" w:color="000000" w:sz="4" w:space="0"/>
            </w:tcBorders>
            <w:vAlign w:val="center"/>
          </w:tcPr>
          <w:p w14:paraId="117A5B18">
            <w:pPr>
              <w:widowControl/>
              <w:jc w:val="center"/>
              <w:rPr>
                <w:rFonts w:ascii="宋体" w:hAnsi="宋体"/>
                <w:color w:val="auto"/>
                <w:kern w:val="0"/>
                <w:szCs w:val="21"/>
                <w:highlight w:val="none"/>
              </w:rPr>
            </w:pPr>
            <w:r>
              <w:rPr>
                <w:rFonts w:hint="eastAsia" w:ascii="宋体" w:hAnsi="宋体"/>
                <w:color w:val="auto"/>
                <w:kern w:val="0"/>
                <w:szCs w:val="21"/>
                <w:highlight w:val="none"/>
              </w:rPr>
              <w:t>76</w:t>
            </w:r>
          </w:p>
        </w:tc>
        <w:tc>
          <w:tcPr>
            <w:tcW w:w="4326" w:type="dxa"/>
            <w:tcBorders>
              <w:top w:val="single" w:color="000000" w:sz="4" w:space="0"/>
              <w:left w:val="nil"/>
              <w:bottom w:val="single" w:color="000000" w:sz="4" w:space="0"/>
              <w:right w:val="single" w:color="000000" w:sz="4" w:space="0"/>
            </w:tcBorders>
            <w:vAlign w:val="center"/>
          </w:tcPr>
          <w:p w14:paraId="1E05616A">
            <w:pPr>
              <w:widowControl/>
              <w:rPr>
                <w:rFonts w:ascii="宋体" w:hAnsi="宋体"/>
                <w:color w:val="auto"/>
                <w:kern w:val="0"/>
                <w:szCs w:val="21"/>
                <w:highlight w:val="none"/>
              </w:rPr>
            </w:pPr>
            <w:r>
              <w:rPr>
                <w:rFonts w:hint="eastAsia" w:ascii="宋体" w:hAnsi="宋体"/>
                <w:color w:val="auto"/>
                <w:kern w:val="0"/>
                <w:szCs w:val="21"/>
                <w:highlight w:val="none"/>
              </w:rPr>
              <w:t xml:space="preserve">广西教育出版社         </w:t>
            </w:r>
          </w:p>
        </w:tc>
      </w:tr>
      <w:tr w14:paraId="1525DCF4">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217F660F">
            <w:pPr>
              <w:widowControl/>
              <w:jc w:val="center"/>
              <w:rPr>
                <w:rFonts w:ascii="宋体" w:hAnsi="宋体"/>
                <w:color w:val="auto"/>
                <w:kern w:val="0"/>
                <w:szCs w:val="21"/>
                <w:highlight w:val="none"/>
              </w:rPr>
            </w:pPr>
            <w:r>
              <w:rPr>
                <w:rFonts w:hint="eastAsia" w:ascii="宋体" w:hAnsi="宋体"/>
                <w:color w:val="auto"/>
                <w:kern w:val="0"/>
                <w:szCs w:val="21"/>
                <w:highlight w:val="none"/>
              </w:rPr>
              <w:t>37</w:t>
            </w:r>
          </w:p>
        </w:tc>
        <w:tc>
          <w:tcPr>
            <w:tcW w:w="3312" w:type="dxa"/>
            <w:tcBorders>
              <w:top w:val="single" w:color="000000" w:sz="4" w:space="0"/>
              <w:left w:val="nil"/>
              <w:bottom w:val="single" w:color="000000" w:sz="4" w:space="0"/>
              <w:right w:val="single" w:color="000000" w:sz="4" w:space="0"/>
            </w:tcBorders>
            <w:vAlign w:val="center"/>
          </w:tcPr>
          <w:p w14:paraId="2F7B1468">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同济大学出版社         </w:t>
            </w:r>
          </w:p>
        </w:tc>
        <w:tc>
          <w:tcPr>
            <w:tcW w:w="632" w:type="dxa"/>
            <w:tcBorders>
              <w:top w:val="single" w:color="000000" w:sz="4" w:space="0"/>
              <w:left w:val="nil"/>
              <w:bottom w:val="single" w:color="000000" w:sz="4" w:space="0"/>
              <w:right w:val="single" w:color="000000" w:sz="4" w:space="0"/>
            </w:tcBorders>
            <w:vAlign w:val="center"/>
          </w:tcPr>
          <w:p w14:paraId="1FCAB426">
            <w:pPr>
              <w:widowControl/>
              <w:jc w:val="center"/>
              <w:rPr>
                <w:rFonts w:ascii="宋体" w:hAnsi="宋体"/>
                <w:color w:val="auto"/>
                <w:kern w:val="0"/>
                <w:szCs w:val="21"/>
                <w:highlight w:val="none"/>
              </w:rPr>
            </w:pPr>
            <w:r>
              <w:rPr>
                <w:rFonts w:hint="eastAsia" w:ascii="宋体" w:hAnsi="宋体"/>
                <w:color w:val="auto"/>
                <w:kern w:val="0"/>
                <w:szCs w:val="21"/>
                <w:highlight w:val="none"/>
              </w:rPr>
              <w:t>77</w:t>
            </w:r>
          </w:p>
        </w:tc>
        <w:tc>
          <w:tcPr>
            <w:tcW w:w="4326" w:type="dxa"/>
            <w:tcBorders>
              <w:top w:val="single" w:color="000000" w:sz="4" w:space="0"/>
              <w:left w:val="nil"/>
              <w:bottom w:val="single" w:color="000000" w:sz="4" w:space="0"/>
              <w:right w:val="single" w:color="000000" w:sz="4" w:space="0"/>
            </w:tcBorders>
            <w:vAlign w:val="center"/>
          </w:tcPr>
          <w:p w14:paraId="3E6DCB87">
            <w:pPr>
              <w:widowControl/>
              <w:rPr>
                <w:rFonts w:ascii="宋体" w:hAnsi="宋体"/>
                <w:color w:val="auto"/>
                <w:kern w:val="0"/>
                <w:szCs w:val="21"/>
                <w:highlight w:val="none"/>
              </w:rPr>
            </w:pPr>
            <w:r>
              <w:rPr>
                <w:rFonts w:hint="eastAsia" w:ascii="宋体" w:hAnsi="宋体"/>
                <w:color w:val="auto"/>
                <w:kern w:val="0"/>
                <w:szCs w:val="21"/>
                <w:highlight w:val="none"/>
              </w:rPr>
              <w:t xml:space="preserve">光明日报出版社           </w:t>
            </w:r>
          </w:p>
        </w:tc>
      </w:tr>
      <w:tr w14:paraId="56EF94C8">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689A271F">
            <w:pPr>
              <w:widowControl/>
              <w:jc w:val="center"/>
              <w:rPr>
                <w:rFonts w:ascii="宋体" w:hAnsi="宋体"/>
                <w:color w:val="auto"/>
                <w:kern w:val="0"/>
                <w:szCs w:val="21"/>
                <w:highlight w:val="none"/>
              </w:rPr>
            </w:pPr>
            <w:r>
              <w:rPr>
                <w:rFonts w:hint="eastAsia" w:ascii="宋体" w:hAnsi="宋体"/>
                <w:color w:val="auto"/>
                <w:kern w:val="0"/>
                <w:szCs w:val="21"/>
                <w:highlight w:val="none"/>
              </w:rPr>
              <w:t>38</w:t>
            </w:r>
          </w:p>
        </w:tc>
        <w:tc>
          <w:tcPr>
            <w:tcW w:w="3312" w:type="dxa"/>
            <w:tcBorders>
              <w:top w:val="single" w:color="000000" w:sz="4" w:space="0"/>
              <w:left w:val="nil"/>
              <w:bottom w:val="single" w:color="000000" w:sz="4" w:space="0"/>
              <w:right w:val="single" w:color="000000" w:sz="4" w:space="0"/>
            </w:tcBorders>
            <w:vAlign w:val="center"/>
          </w:tcPr>
          <w:p w14:paraId="7CDBD016">
            <w:pPr>
              <w:widowControl/>
              <w:jc w:val="left"/>
              <w:rPr>
                <w:rFonts w:ascii="宋体" w:hAnsi="宋体"/>
                <w:color w:val="auto"/>
                <w:kern w:val="0"/>
                <w:szCs w:val="21"/>
                <w:highlight w:val="none"/>
              </w:rPr>
            </w:pPr>
            <w:r>
              <w:rPr>
                <w:rFonts w:hint="eastAsia" w:ascii="宋体" w:hAnsi="宋体"/>
                <w:color w:val="auto"/>
                <w:kern w:val="0"/>
                <w:szCs w:val="21"/>
                <w:highlight w:val="none"/>
              </w:rPr>
              <w:t>东南大学出版社</w:t>
            </w:r>
          </w:p>
        </w:tc>
        <w:tc>
          <w:tcPr>
            <w:tcW w:w="632" w:type="dxa"/>
            <w:tcBorders>
              <w:top w:val="single" w:color="000000" w:sz="4" w:space="0"/>
              <w:left w:val="nil"/>
              <w:bottom w:val="single" w:color="000000" w:sz="4" w:space="0"/>
              <w:right w:val="single" w:color="000000" w:sz="4" w:space="0"/>
            </w:tcBorders>
            <w:vAlign w:val="center"/>
          </w:tcPr>
          <w:p w14:paraId="17CAD78D">
            <w:pPr>
              <w:widowControl/>
              <w:jc w:val="center"/>
              <w:rPr>
                <w:rFonts w:ascii="宋体" w:hAnsi="宋体"/>
                <w:color w:val="auto"/>
                <w:kern w:val="0"/>
                <w:szCs w:val="21"/>
                <w:highlight w:val="none"/>
              </w:rPr>
            </w:pPr>
            <w:r>
              <w:rPr>
                <w:rFonts w:hint="eastAsia" w:ascii="宋体" w:hAnsi="宋体"/>
                <w:color w:val="auto"/>
                <w:kern w:val="0"/>
                <w:szCs w:val="21"/>
                <w:highlight w:val="none"/>
              </w:rPr>
              <w:t>78</w:t>
            </w:r>
          </w:p>
        </w:tc>
        <w:tc>
          <w:tcPr>
            <w:tcW w:w="4326" w:type="dxa"/>
            <w:tcBorders>
              <w:top w:val="single" w:color="000000" w:sz="4" w:space="0"/>
              <w:left w:val="nil"/>
              <w:bottom w:val="single" w:color="000000" w:sz="4" w:space="0"/>
              <w:right w:val="single" w:color="000000" w:sz="4" w:space="0"/>
            </w:tcBorders>
            <w:vAlign w:val="center"/>
          </w:tcPr>
          <w:p w14:paraId="5BBC03ED">
            <w:pPr>
              <w:widowControl/>
              <w:rPr>
                <w:rFonts w:ascii="宋体" w:hAnsi="宋体"/>
                <w:color w:val="auto"/>
                <w:kern w:val="0"/>
                <w:szCs w:val="21"/>
                <w:highlight w:val="none"/>
              </w:rPr>
            </w:pPr>
            <w:r>
              <w:rPr>
                <w:rFonts w:hint="eastAsia" w:ascii="宋体" w:hAnsi="宋体"/>
                <w:color w:val="auto"/>
                <w:kern w:val="0"/>
                <w:szCs w:val="21"/>
                <w:highlight w:val="none"/>
              </w:rPr>
              <w:t xml:space="preserve">经济科学出版社         </w:t>
            </w:r>
          </w:p>
        </w:tc>
      </w:tr>
      <w:tr w14:paraId="4FD08A6E">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402B95E5">
            <w:pPr>
              <w:widowControl/>
              <w:jc w:val="center"/>
              <w:rPr>
                <w:rFonts w:ascii="宋体" w:hAnsi="宋体"/>
                <w:color w:val="auto"/>
                <w:kern w:val="0"/>
                <w:szCs w:val="21"/>
                <w:highlight w:val="none"/>
              </w:rPr>
            </w:pPr>
            <w:r>
              <w:rPr>
                <w:rFonts w:hint="eastAsia" w:ascii="宋体" w:hAnsi="宋体"/>
                <w:color w:val="auto"/>
                <w:kern w:val="0"/>
                <w:szCs w:val="21"/>
                <w:highlight w:val="none"/>
              </w:rPr>
              <w:t>39</w:t>
            </w:r>
          </w:p>
        </w:tc>
        <w:tc>
          <w:tcPr>
            <w:tcW w:w="3312" w:type="dxa"/>
            <w:tcBorders>
              <w:top w:val="single" w:color="000000" w:sz="4" w:space="0"/>
              <w:left w:val="nil"/>
              <w:bottom w:val="single" w:color="000000" w:sz="4" w:space="0"/>
              <w:right w:val="single" w:color="000000" w:sz="4" w:space="0"/>
            </w:tcBorders>
            <w:vAlign w:val="center"/>
          </w:tcPr>
          <w:p w14:paraId="632258D7">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西安电子科技大学出版社  </w:t>
            </w:r>
          </w:p>
        </w:tc>
        <w:tc>
          <w:tcPr>
            <w:tcW w:w="632" w:type="dxa"/>
            <w:tcBorders>
              <w:top w:val="single" w:color="000000" w:sz="4" w:space="0"/>
              <w:left w:val="nil"/>
              <w:bottom w:val="single" w:color="000000" w:sz="4" w:space="0"/>
              <w:right w:val="single" w:color="000000" w:sz="4" w:space="0"/>
            </w:tcBorders>
            <w:vAlign w:val="center"/>
          </w:tcPr>
          <w:p w14:paraId="37B72A77">
            <w:pPr>
              <w:widowControl/>
              <w:jc w:val="center"/>
              <w:rPr>
                <w:rFonts w:ascii="宋体" w:hAnsi="宋体"/>
                <w:color w:val="auto"/>
                <w:kern w:val="0"/>
                <w:szCs w:val="21"/>
                <w:highlight w:val="none"/>
              </w:rPr>
            </w:pPr>
            <w:r>
              <w:rPr>
                <w:rFonts w:hint="eastAsia" w:ascii="宋体" w:hAnsi="宋体"/>
                <w:color w:val="auto"/>
                <w:kern w:val="0"/>
                <w:szCs w:val="21"/>
                <w:highlight w:val="none"/>
              </w:rPr>
              <w:t>79</w:t>
            </w:r>
          </w:p>
        </w:tc>
        <w:tc>
          <w:tcPr>
            <w:tcW w:w="4326" w:type="dxa"/>
            <w:tcBorders>
              <w:top w:val="single" w:color="000000" w:sz="4" w:space="0"/>
              <w:left w:val="nil"/>
              <w:bottom w:val="single" w:color="000000" w:sz="4" w:space="0"/>
              <w:right w:val="single" w:color="000000" w:sz="4" w:space="0"/>
            </w:tcBorders>
            <w:vAlign w:val="center"/>
          </w:tcPr>
          <w:p w14:paraId="08E4E276">
            <w:pPr>
              <w:widowControl/>
              <w:rPr>
                <w:rFonts w:ascii="宋体" w:hAnsi="宋体"/>
                <w:color w:val="auto"/>
                <w:kern w:val="0"/>
                <w:szCs w:val="21"/>
                <w:highlight w:val="none"/>
              </w:rPr>
            </w:pPr>
            <w:r>
              <w:rPr>
                <w:rFonts w:hint="eastAsia" w:ascii="宋体" w:hAnsi="宋体"/>
                <w:color w:val="auto"/>
                <w:kern w:val="0"/>
                <w:szCs w:val="21"/>
                <w:highlight w:val="none"/>
              </w:rPr>
              <w:t>上海外语教育出版社</w:t>
            </w:r>
          </w:p>
        </w:tc>
      </w:tr>
      <w:tr w14:paraId="6398D4E2">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0E5B7555">
            <w:pPr>
              <w:widowControl/>
              <w:jc w:val="center"/>
              <w:rPr>
                <w:rFonts w:ascii="宋体" w:hAnsi="宋体"/>
                <w:color w:val="auto"/>
                <w:kern w:val="0"/>
                <w:szCs w:val="21"/>
                <w:highlight w:val="none"/>
              </w:rPr>
            </w:pPr>
            <w:r>
              <w:rPr>
                <w:rFonts w:hint="eastAsia" w:ascii="宋体" w:hAnsi="宋体"/>
                <w:color w:val="auto"/>
                <w:kern w:val="0"/>
                <w:szCs w:val="21"/>
                <w:highlight w:val="none"/>
              </w:rPr>
              <w:t>40</w:t>
            </w:r>
          </w:p>
        </w:tc>
        <w:tc>
          <w:tcPr>
            <w:tcW w:w="3312" w:type="dxa"/>
            <w:tcBorders>
              <w:top w:val="single" w:color="000000" w:sz="4" w:space="0"/>
              <w:left w:val="nil"/>
              <w:bottom w:val="single" w:color="000000" w:sz="4" w:space="0"/>
              <w:right w:val="single" w:color="000000" w:sz="4" w:space="0"/>
            </w:tcBorders>
            <w:vAlign w:val="center"/>
          </w:tcPr>
          <w:p w14:paraId="65B0E969">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天津大学出版社          </w:t>
            </w:r>
          </w:p>
        </w:tc>
        <w:tc>
          <w:tcPr>
            <w:tcW w:w="632" w:type="dxa"/>
            <w:tcBorders>
              <w:top w:val="single" w:color="000000" w:sz="4" w:space="0"/>
              <w:left w:val="nil"/>
              <w:bottom w:val="single" w:color="000000" w:sz="4" w:space="0"/>
              <w:right w:val="single" w:color="000000" w:sz="4" w:space="0"/>
            </w:tcBorders>
            <w:vAlign w:val="center"/>
          </w:tcPr>
          <w:p w14:paraId="4EF74F70">
            <w:pPr>
              <w:widowControl/>
              <w:jc w:val="center"/>
              <w:rPr>
                <w:rFonts w:ascii="宋体" w:hAnsi="宋体"/>
                <w:color w:val="auto"/>
                <w:kern w:val="0"/>
                <w:szCs w:val="21"/>
                <w:highlight w:val="none"/>
              </w:rPr>
            </w:pPr>
            <w:r>
              <w:rPr>
                <w:rFonts w:hint="eastAsia" w:ascii="宋体" w:hAnsi="宋体"/>
                <w:color w:val="auto"/>
                <w:kern w:val="0"/>
                <w:szCs w:val="21"/>
                <w:highlight w:val="none"/>
              </w:rPr>
              <w:t>80</w:t>
            </w:r>
          </w:p>
        </w:tc>
        <w:tc>
          <w:tcPr>
            <w:tcW w:w="4326" w:type="dxa"/>
            <w:tcBorders>
              <w:top w:val="single" w:color="000000" w:sz="4" w:space="0"/>
              <w:left w:val="nil"/>
              <w:bottom w:val="single" w:color="000000" w:sz="4" w:space="0"/>
              <w:right w:val="single" w:color="000000" w:sz="4" w:space="0"/>
            </w:tcBorders>
            <w:vAlign w:val="center"/>
          </w:tcPr>
          <w:p w14:paraId="00AF63EB">
            <w:pPr>
              <w:widowControl/>
              <w:rPr>
                <w:rFonts w:ascii="宋体" w:hAnsi="宋体"/>
                <w:color w:val="auto"/>
                <w:kern w:val="0"/>
                <w:szCs w:val="21"/>
                <w:highlight w:val="none"/>
              </w:rPr>
            </w:pPr>
            <w:r>
              <w:rPr>
                <w:rFonts w:hint="eastAsia" w:ascii="宋体" w:hAnsi="宋体"/>
                <w:color w:val="auto"/>
                <w:kern w:val="0"/>
                <w:szCs w:val="21"/>
                <w:highlight w:val="none"/>
              </w:rPr>
              <w:t>国家图书馆出版社</w:t>
            </w:r>
          </w:p>
        </w:tc>
      </w:tr>
    </w:tbl>
    <w:p w14:paraId="792BC9E0">
      <w:pPr>
        <w:pStyle w:val="5"/>
        <w:spacing w:before="120" w:after="120" w:line="360" w:lineRule="auto"/>
        <w:rPr>
          <w:rFonts w:ascii="微软雅黑" w:hAnsi="微软雅黑" w:eastAsia="微软雅黑" w:cs="微软雅黑"/>
          <w:color w:val="auto"/>
          <w:sz w:val="32"/>
          <w:szCs w:val="32"/>
          <w:highlight w:val="none"/>
        </w:rPr>
      </w:pPr>
      <w:bookmarkStart w:id="49" w:name="OLE_LINK5"/>
    </w:p>
    <w:p w14:paraId="1FEC91A2">
      <w:pPr>
        <w:pStyle w:val="5"/>
        <w:spacing w:before="120" w:after="120" w:line="360" w:lineRule="auto"/>
        <w:ind w:firstLine="320" w:firstLineChars="100"/>
        <w:rPr>
          <w:rFonts w:ascii="微软雅黑" w:hAnsi="微软雅黑" w:eastAsia="微软雅黑" w:cs="微软雅黑"/>
          <w:b w:val="0"/>
          <w:bCs w:val="0"/>
          <w:color w:val="auto"/>
          <w:sz w:val="32"/>
          <w:szCs w:val="32"/>
          <w:highlight w:val="none"/>
        </w:rPr>
      </w:pPr>
      <w:r>
        <w:rPr>
          <w:rFonts w:hint="eastAsia" w:ascii="微软雅黑" w:hAnsi="微软雅黑" w:eastAsia="微软雅黑" w:cs="微软雅黑"/>
          <w:b w:val="0"/>
          <w:bCs w:val="0"/>
          <w:color w:val="auto"/>
          <w:sz w:val="32"/>
          <w:szCs w:val="32"/>
          <w:highlight w:val="none"/>
        </w:rPr>
        <w:t>附表二：中文图书编目MARC字段要求</w:t>
      </w:r>
    </w:p>
    <w:bookmarkEnd w:id="49"/>
    <w:tbl>
      <w:tblPr>
        <w:tblStyle w:val="50"/>
        <w:tblW w:w="89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46"/>
      </w:tblGrid>
      <w:tr w14:paraId="2B044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46" w:type="dxa"/>
          </w:tcPr>
          <w:p w14:paraId="519BC60C">
            <w:pPr>
              <w:spacing w:line="360" w:lineRule="exact"/>
              <w:rPr>
                <w:rFonts w:ascii="宋体" w:hAnsi="宋体" w:cs="仿宋"/>
                <w:bCs/>
                <w:color w:val="auto"/>
                <w:szCs w:val="21"/>
                <w:highlight w:val="none"/>
              </w:rPr>
            </w:pPr>
            <w:r>
              <w:rPr>
                <w:rFonts w:hint="eastAsia" w:ascii="宋体" w:hAnsi="宋体" w:cs="仿宋"/>
                <w:bCs/>
                <w:color w:val="auto"/>
                <w:szCs w:val="21"/>
                <w:highlight w:val="none"/>
              </w:rPr>
              <w:t>001：记录标识号</w:t>
            </w:r>
          </w:p>
          <w:p w14:paraId="60099E2A">
            <w:pPr>
              <w:spacing w:line="360" w:lineRule="exact"/>
              <w:rPr>
                <w:rFonts w:ascii="宋体" w:hAnsi="宋体" w:cs="仿宋"/>
                <w:bCs/>
                <w:color w:val="auto"/>
                <w:szCs w:val="21"/>
                <w:highlight w:val="none"/>
              </w:rPr>
            </w:pPr>
            <w:r>
              <w:rPr>
                <w:rFonts w:hint="eastAsia" w:ascii="宋体" w:hAnsi="宋体" w:cs="仿宋"/>
                <w:bCs/>
                <w:color w:val="auto"/>
                <w:szCs w:val="21"/>
                <w:highlight w:val="none"/>
              </w:rPr>
              <w:t>005：记录处理时间标识</w:t>
            </w:r>
          </w:p>
          <w:p w14:paraId="6C0588FF">
            <w:pPr>
              <w:spacing w:line="360" w:lineRule="exact"/>
              <w:rPr>
                <w:rFonts w:ascii="宋体" w:hAnsi="宋体" w:cs="仿宋"/>
                <w:bCs/>
                <w:color w:val="auto"/>
                <w:szCs w:val="21"/>
                <w:highlight w:val="none"/>
              </w:rPr>
            </w:pPr>
            <w:r>
              <w:rPr>
                <w:rFonts w:hint="eastAsia" w:ascii="宋体" w:hAnsi="宋体" w:cs="仿宋"/>
                <w:bCs/>
                <w:color w:val="auto"/>
                <w:szCs w:val="21"/>
                <w:highlight w:val="none"/>
              </w:rPr>
              <w:t>010：ISBN号</w:t>
            </w:r>
          </w:p>
          <w:p w14:paraId="2B659360">
            <w:pPr>
              <w:spacing w:line="360" w:lineRule="exact"/>
              <w:rPr>
                <w:rFonts w:ascii="宋体" w:hAnsi="宋体" w:cs="仿宋"/>
                <w:bCs/>
                <w:color w:val="auto"/>
                <w:szCs w:val="21"/>
                <w:highlight w:val="none"/>
              </w:rPr>
            </w:pPr>
            <w:r>
              <w:rPr>
                <w:rFonts w:hint="eastAsia" w:ascii="宋体" w:hAnsi="宋体" w:cs="仿宋"/>
                <w:bCs/>
                <w:color w:val="auto"/>
                <w:szCs w:val="21"/>
                <w:highlight w:val="none"/>
              </w:rPr>
              <w:t>100：一般处理数据</w:t>
            </w:r>
          </w:p>
          <w:p w14:paraId="72D3A3B6">
            <w:pPr>
              <w:spacing w:line="360" w:lineRule="exact"/>
              <w:rPr>
                <w:rFonts w:ascii="宋体" w:hAnsi="宋体" w:cs="仿宋"/>
                <w:bCs/>
                <w:color w:val="auto"/>
                <w:szCs w:val="21"/>
                <w:highlight w:val="none"/>
              </w:rPr>
            </w:pPr>
            <w:r>
              <w:rPr>
                <w:rFonts w:hint="eastAsia" w:ascii="宋体" w:hAnsi="宋体" w:cs="仿宋"/>
                <w:bCs/>
                <w:color w:val="auto"/>
                <w:szCs w:val="21"/>
                <w:highlight w:val="none"/>
              </w:rPr>
              <w:t>101：语种代码</w:t>
            </w:r>
          </w:p>
          <w:p w14:paraId="3C3C7527">
            <w:pPr>
              <w:spacing w:line="360" w:lineRule="exact"/>
              <w:rPr>
                <w:rFonts w:ascii="宋体" w:hAnsi="宋体" w:cs="仿宋"/>
                <w:bCs/>
                <w:color w:val="auto"/>
                <w:szCs w:val="21"/>
                <w:highlight w:val="none"/>
              </w:rPr>
            </w:pPr>
            <w:r>
              <w:rPr>
                <w:rFonts w:hint="eastAsia" w:ascii="宋体" w:hAnsi="宋体" w:cs="仿宋"/>
                <w:bCs/>
                <w:color w:val="auto"/>
                <w:szCs w:val="21"/>
                <w:highlight w:val="none"/>
              </w:rPr>
              <w:t>102：出版/制作国别代码</w:t>
            </w:r>
          </w:p>
          <w:p w14:paraId="766732B4">
            <w:pPr>
              <w:spacing w:line="360" w:lineRule="exact"/>
              <w:rPr>
                <w:rFonts w:ascii="宋体" w:hAnsi="宋体" w:cs="仿宋"/>
                <w:bCs/>
                <w:color w:val="auto"/>
                <w:szCs w:val="21"/>
                <w:highlight w:val="none"/>
              </w:rPr>
            </w:pPr>
            <w:r>
              <w:rPr>
                <w:rFonts w:hint="eastAsia" w:ascii="宋体" w:hAnsi="宋体" w:cs="仿宋"/>
                <w:bCs/>
                <w:color w:val="auto"/>
                <w:szCs w:val="21"/>
                <w:highlight w:val="none"/>
              </w:rPr>
              <w:t>105：图书编码数据</w:t>
            </w:r>
          </w:p>
          <w:p w14:paraId="701125EA">
            <w:pPr>
              <w:spacing w:line="360" w:lineRule="exact"/>
              <w:rPr>
                <w:rFonts w:ascii="宋体" w:hAnsi="宋体" w:cs="仿宋"/>
                <w:bCs/>
                <w:color w:val="auto"/>
                <w:szCs w:val="21"/>
                <w:highlight w:val="none"/>
              </w:rPr>
            </w:pPr>
            <w:r>
              <w:rPr>
                <w:rFonts w:hint="eastAsia" w:ascii="宋体" w:hAnsi="宋体" w:cs="仿宋"/>
                <w:bCs/>
                <w:color w:val="auto"/>
                <w:szCs w:val="21"/>
                <w:highlight w:val="none"/>
              </w:rPr>
              <w:t>106：形态特征编码</w:t>
            </w:r>
          </w:p>
          <w:p w14:paraId="5CE86C08">
            <w:pPr>
              <w:spacing w:line="360" w:lineRule="exact"/>
              <w:rPr>
                <w:rFonts w:ascii="宋体" w:hAnsi="宋体" w:cs="仿宋"/>
                <w:bCs/>
                <w:color w:val="auto"/>
                <w:szCs w:val="21"/>
                <w:highlight w:val="none"/>
              </w:rPr>
            </w:pPr>
            <w:r>
              <w:rPr>
                <w:rFonts w:hint="eastAsia" w:ascii="宋体" w:hAnsi="宋体" w:cs="仿宋"/>
                <w:bCs/>
                <w:color w:val="auto"/>
                <w:szCs w:val="21"/>
                <w:highlight w:val="none"/>
              </w:rPr>
              <w:t>200：题名与责任者信息</w:t>
            </w:r>
          </w:p>
          <w:p w14:paraId="5B8549A5">
            <w:pPr>
              <w:spacing w:line="360" w:lineRule="exact"/>
              <w:rPr>
                <w:rFonts w:ascii="宋体" w:hAnsi="宋体" w:cs="仿宋"/>
                <w:bCs/>
                <w:color w:val="auto"/>
                <w:szCs w:val="21"/>
                <w:highlight w:val="none"/>
              </w:rPr>
            </w:pPr>
            <w:r>
              <w:rPr>
                <w:rFonts w:hint="eastAsia" w:ascii="宋体" w:hAnsi="宋体" w:cs="仿宋"/>
                <w:bCs/>
                <w:color w:val="auto"/>
                <w:szCs w:val="21"/>
                <w:highlight w:val="none"/>
              </w:rPr>
              <w:t>205：版本说明</w:t>
            </w:r>
          </w:p>
          <w:p w14:paraId="23671782">
            <w:pPr>
              <w:spacing w:line="360" w:lineRule="exact"/>
              <w:rPr>
                <w:rFonts w:ascii="宋体" w:hAnsi="宋体" w:cs="仿宋"/>
                <w:bCs/>
                <w:color w:val="auto"/>
                <w:szCs w:val="21"/>
                <w:highlight w:val="none"/>
              </w:rPr>
            </w:pPr>
            <w:r>
              <w:rPr>
                <w:rFonts w:hint="eastAsia" w:ascii="宋体" w:hAnsi="宋体" w:cs="仿宋"/>
                <w:bCs/>
                <w:color w:val="auto"/>
                <w:szCs w:val="21"/>
                <w:highlight w:val="none"/>
              </w:rPr>
              <w:t>210：出版发行项</w:t>
            </w:r>
          </w:p>
          <w:p w14:paraId="44FDA487">
            <w:pPr>
              <w:spacing w:line="360" w:lineRule="exact"/>
              <w:rPr>
                <w:rFonts w:ascii="宋体" w:hAnsi="宋体" w:cs="仿宋"/>
                <w:bCs/>
                <w:color w:val="auto"/>
                <w:szCs w:val="21"/>
                <w:highlight w:val="none"/>
              </w:rPr>
            </w:pPr>
            <w:r>
              <w:rPr>
                <w:rFonts w:hint="eastAsia" w:ascii="宋体" w:hAnsi="宋体" w:cs="仿宋"/>
                <w:bCs/>
                <w:color w:val="auto"/>
                <w:szCs w:val="21"/>
                <w:highlight w:val="none"/>
              </w:rPr>
              <w:t>215：载体形态项</w:t>
            </w:r>
          </w:p>
          <w:p w14:paraId="519DA1C3">
            <w:pPr>
              <w:spacing w:line="360" w:lineRule="exact"/>
              <w:rPr>
                <w:rFonts w:ascii="宋体" w:hAnsi="宋体" w:cs="仿宋"/>
                <w:bCs/>
                <w:color w:val="auto"/>
                <w:szCs w:val="21"/>
                <w:highlight w:val="none"/>
              </w:rPr>
            </w:pPr>
            <w:r>
              <w:rPr>
                <w:rFonts w:hint="eastAsia" w:ascii="宋体" w:hAnsi="宋体" w:cs="仿宋"/>
                <w:bCs/>
                <w:color w:val="auto"/>
                <w:szCs w:val="21"/>
                <w:highlight w:val="none"/>
              </w:rPr>
              <w:t>225：丛编项</w:t>
            </w:r>
          </w:p>
          <w:p w14:paraId="2753A410">
            <w:pPr>
              <w:spacing w:line="360" w:lineRule="exact"/>
              <w:rPr>
                <w:rFonts w:ascii="宋体" w:hAnsi="宋体" w:cs="仿宋"/>
                <w:bCs/>
                <w:color w:val="auto"/>
                <w:szCs w:val="21"/>
                <w:highlight w:val="none"/>
              </w:rPr>
            </w:pPr>
            <w:r>
              <w:rPr>
                <w:rFonts w:hint="eastAsia" w:ascii="宋体" w:hAnsi="宋体" w:cs="仿宋"/>
                <w:bCs/>
                <w:color w:val="auto"/>
                <w:szCs w:val="21"/>
                <w:highlight w:val="none"/>
              </w:rPr>
              <w:t>230：资料特定细节项：电子资源特征</w:t>
            </w:r>
          </w:p>
          <w:p w14:paraId="4EC9B4B5">
            <w:pPr>
              <w:spacing w:line="360" w:lineRule="exact"/>
              <w:rPr>
                <w:rFonts w:ascii="宋体" w:hAnsi="宋体" w:cs="仿宋"/>
                <w:bCs/>
                <w:color w:val="auto"/>
                <w:szCs w:val="21"/>
                <w:highlight w:val="none"/>
              </w:rPr>
            </w:pPr>
            <w:r>
              <w:rPr>
                <w:rFonts w:hint="eastAsia" w:ascii="宋体" w:hAnsi="宋体" w:cs="仿宋"/>
                <w:bCs/>
                <w:color w:val="auto"/>
                <w:szCs w:val="21"/>
                <w:highlight w:val="none"/>
              </w:rPr>
              <w:t>300：一般附注项</w:t>
            </w:r>
          </w:p>
          <w:p w14:paraId="2B2654C1">
            <w:pPr>
              <w:spacing w:line="360" w:lineRule="exact"/>
              <w:rPr>
                <w:rFonts w:ascii="宋体" w:hAnsi="宋体" w:cs="仿宋"/>
                <w:bCs/>
                <w:color w:val="auto"/>
                <w:szCs w:val="21"/>
                <w:highlight w:val="none"/>
              </w:rPr>
            </w:pPr>
            <w:r>
              <w:rPr>
                <w:rFonts w:hint="eastAsia" w:ascii="宋体" w:hAnsi="宋体" w:cs="仿宋"/>
                <w:bCs/>
                <w:color w:val="auto"/>
                <w:szCs w:val="21"/>
                <w:highlight w:val="none"/>
              </w:rPr>
              <w:t>303：著录信息的一般性附注</w:t>
            </w:r>
          </w:p>
          <w:p w14:paraId="788E3126">
            <w:pPr>
              <w:spacing w:line="360" w:lineRule="exact"/>
              <w:rPr>
                <w:rFonts w:ascii="宋体" w:hAnsi="宋体" w:cs="仿宋"/>
                <w:bCs/>
                <w:color w:val="auto"/>
                <w:szCs w:val="21"/>
                <w:highlight w:val="none"/>
              </w:rPr>
            </w:pPr>
            <w:r>
              <w:rPr>
                <w:rFonts w:hint="eastAsia" w:ascii="宋体" w:hAnsi="宋体" w:cs="仿宋"/>
                <w:bCs/>
                <w:color w:val="auto"/>
                <w:szCs w:val="21"/>
                <w:highlight w:val="none"/>
              </w:rPr>
              <w:t>305：版本与书目沿革附注</w:t>
            </w:r>
          </w:p>
          <w:p w14:paraId="02007220">
            <w:pPr>
              <w:spacing w:line="360" w:lineRule="exact"/>
              <w:rPr>
                <w:rFonts w:ascii="宋体" w:hAnsi="宋体" w:cs="仿宋"/>
                <w:bCs/>
                <w:color w:val="auto"/>
                <w:szCs w:val="21"/>
                <w:highlight w:val="none"/>
              </w:rPr>
            </w:pPr>
            <w:r>
              <w:rPr>
                <w:rFonts w:hint="eastAsia" w:ascii="宋体" w:hAnsi="宋体" w:cs="仿宋"/>
                <w:bCs/>
                <w:color w:val="auto"/>
                <w:szCs w:val="21"/>
                <w:highlight w:val="none"/>
              </w:rPr>
              <w:t>306：出版发行附注</w:t>
            </w:r>
          </w:p>
          <w:p w14:paraId="6626D7B7">
            <w:pPr>
              <w:spacing w:line="360" w:lineRule="exact"/>
              <w:rPr>
                <w:rFonts w:ascii="宋体" w:hAnsi="宋体" w:cs="仿宋"/>
                <w:bCs/>
                <w:color w:val="auto"/>
                <w:szCs w:val="21"/>
                <w:highlight w:val="none"/>
              </w:rPr>
            </w:pPr>
            <w:r>
              <w:rPr>
                <w:rFonts w:hint="eastAsia" w:ascii="宋体" w:hAnsi="宋体" w:cs="仿宋"/>
                <w:bCs/>
                <w:color w:val="auto"/>
                <w:szCs w:val="21"/>
                <w:highlight w:val="none"/>
              </w:rPr>
              <w:t>307：载体形态附注</w:t>
            </w:r>
          </w:p>
          <w:p w14:paraId="7B2E7A1F">
            <w:pPr>
              <w:spacing w:line="360" w:lineRule="exact"/>
              <w:rPr>
                <w:rFonts w:ascii="宋体" w:hAnsi="宋体" w:cs="仿宋"/>
                <w:bCs/>
                <w:color w:val="auto"/>
                <w:szCs w:val="21"/>
                <w:highlight w:val="none"/>
              </w:rPr>
            </w:pPr>
            <w:r>
              <w:rPr>
                <w:rFonts w:hint="eastAsia" w:ascii="宋体" w:hAnsi="宋体" w:cs="仿宋"/>
                <w:bCs/>
                <w:color w:val="auto"/>
                <w:szCs w:val="21"/>
                <w:highlight w:val="none"/>
              </w:rPr>
              <w:t>320：书目/索引附注</w:t>
            </w:r>
          </w:p>
          <w:p w14:paraId="410FE4A8">
            <w:pPr>
              <w:spacing w:line="360" w:lineRule="exact"/>
              <w:rPr>
                <w:rFonts w:ascii="宋体" w:hAnsi="宋体" w:cs="仿宋"/>
                <w:bCs/>
                <w:color w:val="auto"/>
                <w:szCs w:val="21"/>
                <w:highlight w:val="none"/>
              </w:rPr>
            </w:pPr>
            <w:r>
              <w:rPr>
                <w:rFonts w:hint="eastAsia" w:ascii="宋体" w:hAnsi="宋体" w:cs="仿宋"/>
                <w:bCs/>
                <w:color w:val="auto"/>
                <w:szCs w:val="21"/>
                <w:highlight w:val="none"/>
              </w:rPr>
              <w:t>327：内容附注</w:t>
            </w:r>
          </w:p>
          <w:p w14:paraId="19C3E25E">
            <w:pPr>
              <w:spacing w:line="360" w:lineRule="exact"/>
              <w:rPr>
                <w:rFonts w:ascii="宋体" w:hAnsi="宋体" w:cs="仿宋"/>
                <w:bCs/>
                <w:color w:val="auto"/>
                <w:szCs w:val="21"/>
                <w:highlight w:val="none"/>
              </w:rPr>
            </w:pPr>
            <w:r>
              <w:rPr>
                <w:rFonts w:hint="eastAsia" w:ascii="宋体" w:hAnsi="宋体" w:cs="仿宋"/>
                <w:bCs/>
                <w:color w:val="auto"/>
                <w:szCs w:val="21"/>
                <w:highlight w:val="none"/>
              </w:rPr>
              <w:t>330：提要附注</w:t>
            </w:r>
          </w:p>
          <w:p w14:paraId="0ACFE1C1">
            <w:pPr>
              <w:spacing w:line="360" w:lineRule="exact"/>
              <w:rPr>
                <w:rFonts w:ascii="宋体" w:hAnsi="宋体" w:cs="仿宋"/>
                <w:bCs/>
                <w:color w:val="auto"/>
                <w:szCs w:val="21"/>
                <w:highlight w:val="none"/>
              </w:rPr>
            </w:pPr>
            <w:r>
              <w:rPr>
                <w:rFonts w:hint="eastAsia" w:ascii="宋体" w:hAnsi="宋体" w:cs="仿宋"/>
                <w:bCs/>
                <w:color w:val="auto"/>
                <w:szCs w:val="21"/>
                <w:highlight w:val="none"/>
              </w:rPr>
              <w:t>333：使用对象附注</w:t>
            </w:r>
          </w:p>
          <w:p w14:paraId="64146607">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410：丛编连接项</w:t>
            </w:r>
          </w:p>
          <w:p w14:paraId="7D9B0E3B">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423：合订题名</w:t>
            </w:r>
          </w:p>
          <w:p w14:paraId="407DD8A8">
            <w:pPr>
              <w:spacing w:line="360" w:lineRule="exact"/>
              <w:rPr>
                <w:rFonts w:ascii="宋体" w:hAnsi="宋体" w:cs="仿宋"/>
                <w:bCs/>
                <w:color w:val="auto"/>
                <w:szCs w:val="21"/>
                <w:highlight w:val="none"/>
              </w:rPr>
            </w:pPr>
            <w:r>
              <w:rPr>
                <w:rFonts w:hint="eastAsia" w:ascii="宋体" w:hAnsi="宋体" w:cs="仿宋"/>
                <w:bCs/>
                <w:color w:val="auto"/>
                <w:szCs w:val="21"/>
                <w:highlight w:val="none"/>
              </w:rPr>
              <w:t>500：统一题名</w:t>
            </w:r>
          </w:p>
          <w:p w14:paraId="36ED7C2C">
            <w:pPr>
              <w:spacing w:line="360" w:lineRule="exact"/>
              <w:rPr>
                <w:rFonts w:ascii="宋体" w:hAnsi="宋体" w:cs="仿宋"/>
                <w:bCs/>
                <w:color w:val="auto"/>
                <w:szCs w:val="21"/>
                <w:highlight w:val="none"/>
              </w:rPr>
            </w:pPr>
            <w:r>
              <w:rPr>
                <w:rFonts w:hint="eastAsia" w:ascii="宋体" w:hAnsi="宋体" w:cs="仿宋"/>
                <w:bCs/>
                <w:color w:val="auto"/>
                <w:szCs w:val="21"/>
                <w:highlight w:val="none"/>
              </w:rPr>
              <w:t>510：并列正题名</w:t>
            </w:r>
          </w:p>
          <w:p w14:paraId="4FC18757">
            <w:pPr>
              <w:spacing w:line="360" w:lineRule="exact"/>
              <w:rPr>
                <w:rFonts w:ascii="宋体" w:hAnsi="宋体" w:cs="仿宋"/>
                <w:bCs/>
                <w:color w:val="auto"/>
                <w:szCs w:val="21"/>
                <w:highlight w:val="none"/>
              </w:rPr>
            </w:pPr>
            <w:r>
              <w:rPr>
                <w:rFonts w:hint="eastAsia" w:ascii="宋体" w:hAnsi="宋体" w:cs="仿宋"/>
                <w:bCs/>
                <w:color w:val="auto"/>
                <w:szCs w:val="21"/>
                <w:highlight w:val="none"/>
              </w:rPr>
              <w:t>512：封面题名</w:t>
            </w:r>
          </w:p>
          <w:p w14:paraId="4E71E8E6">
            <w:pPr>
              <w:spacing w:line="360" w:lineRule="exact"/>
              <w:rPr>
                <w:rFonts w:ascii="宋体" w:hAnsi="宋体" w:cs="仿宋"/>
                <w:bCs/>
                <w:color w:val="auto"/>
                <w:szCs w:val="21"/>
                <w:highlight w:val="none"/>
              </w:rPr>
            </w:pPr>
            <w:r>
              <w:rPr>
                <w:rFonts w:hint="eastAsia" w:ascii="宋体" w:hAnsi="宋体" w:cs="仿宋"/>
                <w:bCs/>
                <w:color w:val="auto"/>
                <w:szCs w:val="21"/>
                <w:highlight w:val="none"/>
              </w:rPr>
              <w:t>516：书脊题名</w:t>
            </w:r>
          </w:p>
          <w:p w14:paraId="0300A6A9">
            <w:pPr>
              <w:spacing w:line="360" w:lineRule="exact"/>
              <w:rPr>
                <w:rFonts w:ascii="宋体" w:hAnsi="宋体" w:cs="仿宋"/>
                <w:bCs/>
                <w:color w:val="auto"/>
                <w:szCs w:val="21"/>
                <w:highlight w:val="none"/>
              </w:rPr>
            </w:pPr>
            <w:r>
              <w:rPr>
                <w:rFonts w:hint="eastAsia" w:ascii="宋体" w:hAnsi="宋体" w:cs="仿宋"/>
                <w:bCs/>
                <w:color w:val="auto"/>
                <w:szCs w:val="21"/>
                <w:highlight w:val="none"/>
              </w:rPr>
              <w:t>517：其它题名</w:t>
            </w:r>
          </w:p>
          <w:p w14:paraId="4B065279">
            <w:pPr>
              <w:spacing w:line="360" w:lineRule="exact"/>
              <w:rPr>
                <w:rFonts w:ascii="宋体" w:hAnsi="宋体" w:cs="仿宋"/>
                <w:bCs/>
                <w:color w:val="auto"/>
                <w:szCs w:val="21"/>
                <w:highlight w:val="none"/>
              </w:rPr>
            </w:pPr>
            <w:r>
              <w:rPr>
                <w:rFonts w:hint="eastAsia" w:ascii="宋体" w:hAnsi="宋体" w:cs="仿宋"/>
                <w:bCs/>
                <w:color w:val="auto"/>
                <w:szCs w:val="21"/>
                <w:highlight w:val="none"/>
              </w:rPr>
              <w:t>600：个人名称主题</w:t>
            </w:r>
          </w:p>
          <w:p w14:paraId="4C96C4D3">
            <w:pPr>
              <w:spacing w:line="360" w:lineRule="exact"/>
              <w:rPr>
                <w:rFonts w:ascii="宋体" w:hAnsi="宋体" w:cs="仿宋"/>
                <w:bCs/>
                <w:color w:val="auto"/>
                <w:szCs w:val="21"/>
                <w:highlight w:val="none"/>
              </w:rPr>
            </w:pPr>
            <w:r>
              <w:rPr>
                <w:rFonts w:hint="eastAsia" w:ascii="宋体" w:hAnsi="宋体" w:cs="仿宋"/>
                <w:bCs/>
                <w:color w:val="auto"/>
                <w:szCs w:val="21"/>
                <w:highlight w:val="none"/>
              </w:rPr>
              <w:t>601：团体名称主题</w:t>
            </w:r>
          </w:p>
          <w:p w14:paraId="4F09AD77">
            <w:pPr>
              <w:spacing w:line="360" w:lineRule="exact"/>
              <w:rPr>
                <w:rFonts w:ascii="宋体" w:hAnsi="宋体" w:cs="仿宋"/>
                <w:bCs/>
                <w:color w:val="auto"/>
                <w:szCs w:val="21"/>
                <w:highlight w:val="none"/>
              </w:rPr>
            </w:pPr>
            <w:r>
              <w:rPr>
                <w:rFonts w:hint="eastAsia" w:ascii="宋体" w:hAnsi="宋体" w:cs="仿宋"/>
                <w:bCs/>
                <w:color w:val="auto"/>
                <w:szCs w:val="21"/>
                <w:highlight w:val="none"/>
              </w:rPr>
              <w:t>605：题名主题</w:t>
            </w:r>
          </w:p>
          <w:p w14:paraId="41508DC4">
            <w:pPr>
              <w:spacing w:line="360" w:lineRule="exact"/>
              <w:rPr>
                <w:rFonts w:ascii="宋体" w:hAnsi="宋体" w:cs="仿宋"/>
                <w:bCs/>
                <w:color w:val="auto"/>
                <w:szCs w:val="21"/>
                <w:highlight w:val="none"/>
              </w:rPr>
            </w:pPr>
            <w:r>
              <w:rPr>
                <w:rFonts w:hint="eastAsia" w:ascii="宋体" w:hAnsi="宋体" w:cs="仿宋"/>
                <w:bCs/>
                <w:color w:val="auto"/>
                <w:szCs w:val="21"/>
                <w:highlight w:val="none"/>
              </w:rPr>
              <w:t>606：普通主题</w:t>
            </w:r>
          </w:p>
          <w:p w14:paraId="4A5B6262">
            <w:pPr>
              <w:spacing w:line="360" w:lineRule="exact"/>
              <w:rPr>
                <w:rFonts w:ascii="宋体" w:hAnsi="宋体" w:cs="仿宋"/>
                <w:bCs/>
                <w:color w:val="auto"/>
                <w:szCs w:val="21"/>
                <w:highlight w:val="none"/>
              </w:rPr>
            </w:pPr>
            <w:r>
              <w:rPr>
                <w:rFonts w:hint="eastAsia" w:ascii="宋体" w:hAnsi="宋体" w:cs="仿宋"/>
                <w:bCs/>
                <w:color w:val="auto"/>
                <w:szCs w:val="21"/>
                <w:highlight w:val="none"/>
              </w:rPr>
              <w:t>610：非控主题词</w:t>
            </w:r>
          </w:p>
          <w:p w14:paraId="2EDA1CB3">
            <w:pPr>
              <w:spacing w:line="360" w:lineRule="exact"/>
              <w:rPr>
                <w:rFonts w:ascii="宋体" w:hAnsi="宋体" w:cs="仿宋"/>
                <w:bCs/>
                <w:color w:val="auto"/>
                <w:szCs w:val="21"/>
                <w:highlight w:val="none"/>
              </w:rPr>
            </w:pPr>
            <w:r>
              <w:rPr>
                <w:rFonts w:hint="eastAsia" w:ascii="宋体" w:hAnsi="宋体" w:cs="仿宋"/>
                <w:bCs/>
                <w:color w:val="auto"/>
                <w:szCs w:val="21"/>
                <w:highlight w:val="none"/>
              </w:rPr>
              <w:t>690：中图号</w:t>
            </w:r>
          </w:p>
          <w:p w14:paraId="008BC35E">
            <w:pPr>
              <w:spacing w:line="360" w:lineRule="exact"/>
              <w:rPr>
                <w:rFonts w:ascii="宋体" w:hAnsi="宋体" w:cs="仿宋"/>
                <w:bCs/>
                <w:color w:val="auto"/>
                <w:szCs w:val="21"/>
                <w:highlight w:val="none"/>
              </w:rPr>
            </w:pPr>
            <w:r>
              <w:rPr>
                <w:rFonts w:hint="eastAsia" w:ascii="宋体" w:hAnsi="宋体" w:cs="仿宋"/>
                <w:bCs/>
                <w:color w:val="auto"/>
                <w:szCs w:val="21"/>
                <w:highlight w:val="none"/>
              </w:rPr>
              <w:t>701：个人主要责任者</w:t>
            </w:r>
          </w:p>
          <w:p w14:paraId="0CD29371">
            <w:pPr>
              <w:spacing w:line="360" w:lineRule="exact"/>
              <w:rPr>
                <w:rFonts w:ascii="宋体" w:hAnsi="宋体" w:cs="仿宋"/>
                <w:bCs/>
                <w:color w:val="auto"/>
                <w:szCs w:val="21"/>
                <w:highlight w:val="none"/>
              </w:rPr>
            </w:pPr>
            <w:r>
              <w:rPr>
                <w:rFonts w:hint="eastAsia" w:ascii="宋体" w:hAnsi="宋体" w:cs="仿宋"/>
                <w:bCs/>
                <w:color w:val="auto"/>
                <w:szCs w:val="21"/>
                <w:highlight w:val="none"/>
              </w:rPr>
              <w:t>702：个人次要责任者</w:t>
            </w:r>
          </w:p>
          <w:p w14:paraId="056F0290">
            <w:pPr>
              <w:spacing w:line="360" w:lineRule="exact"/>
              <w:rPr>
                <w:rFonts w:ascii="宋体" w:hAnsi="宋体" w:cs="仿宋"/>
                <w:bCs/>
                <w:color w:val="auto"/>
                <w:szCs w:val="21"/>
                <w:highlight w:val="none"/>
              </w:rPr>
            </w:pPr>
            <w:r>
              <w:rPr>
                <w:rFonts w:hint="eastAsia" w:ascii="宋体" w:hAnsi="宋体" w:cs="仿宋"/>
                <w:bCs/>
                <w:color w:val="auto"/>
                <w:szCs w:val="21"/>
                <w:highlight w:val="none"/>
              </w:rPr>
              <w:t>711：团体主要责任者</w:t>
            </w:r>
          </w:p>
          <w:p w14:paraId="0EC2093F">
            <w:pPr>
              <w:spacing w:line="360" w:lineRule="exact"/>
              <w:rPr>
                <w:rFonts w:ascii="宋体" w:hAnsi="宋体" w:cs="仿宋"/>
                <w:bCs/>
                <w:color w:val="auto"/>
                <w:szCs w:val="21"/>
                <w:highlight w:val="none"/>
              </w:rPr>
            </w:pPr>
            <w:r>
              <w:rPr>
                <w:rFonts w:hint="eastAsia" w:ascii="宋体" w:hAnsi="宋体" w:cs="仿宋"/>
                <w:bCs/>
                <w:color w:val="auto"/>
                <w:szCs w:val="21"/>
                <w:highlight w:val="none"/>
              </w:rPr>
              <w:t>712：团体次要责任者</w:t>
            </w:r>
          </w:p>
          <w:p w14:paraId="44E97730">
            <w:pPr>
              <w:spacing w:line="360" w:lineRule="exact"/>
              <w:rPr>
                <w:rFonts w:ascii="宋体" w:hAnsi="宋体" w:cs="仿宋"/>
                <w:bCs/>
                <w:color w:val="auto"/>
                <w:szCs w:val="21"/>
                <w:highlight w:val="none"/>
              </w:rPr>
            </w:pPr>
            <w:r>
              <w:rPr>
                <w:rFonts w:hint="eastAsia" w:ascii="宋体" w:hAnsi="宋体" w:cs="仿宋"/>
                <w:bCs/>
                <w:color w:val="auto"/>
                <w:szCs w:val="21"/>
                <w:highlight w:val="none"/>
              </w:rPr>
              <w:t>801：记录来源</w:t>
            </w:r>
          </w:p>
          <w:p w14:paraId="4B8E3E99">
            <w:pPr>
              <w:spacing w:line="360" w:lineRule="exact"/>
              <w:rPr>
                <w:rFonts w:ascii="宋体" w:hAnsi="宋体" w:cs="仿宋"/>
                <w:bCs/>
                <w:color w:val="auto"/>
                <w:szCs w:val="21"/>
                <w:highlight w:val="none"/>
              </w:rPr>
            </w:pPr>
            <w:r>
              <w:rPr>
                <w:rFonts w:hint="eastAsia" w:ascii="宋体" w:hAnsi="宋体" w:cs="仿宋"/>
                <w:bCs/>
                <w:color w:val="auto"/>
                <w:szCs w:val="21"/>
                <w:highlight w:val="none"/>
              </w:rPr>
              <w:t>905：馆藏信息</w:t>
            </w:r>
          </w:p>
        </w:tc>
      </w:tr>
    </w:tbl>
    <w:p w14:paraId="5D352FC3">
      <w:pPr>
        <w:spacing w:line="360" w:lineRule="exact"/>
        <w:rPr>
          <w:rFonts w:ascii="宋体" w:hAnsi="宋体" w:cs="仿宋"/>
          <w:bCs/>
          <w:color w:val="auto"/>
          <w:szCs w:val="21"/>
          <w:highlight w:val="none"/>
        </w:rPr>
      </w:pPr>
    </w:p>
    <w:p w14:paraId="5C762B26">
      <w:pPr>
        <w:pStyle w:val="5"/>
        <w:spacing w:before="120" w:after="120" w:line="360" w:lineRule="auto"/>
        <w:ind w:firstLine="320" w:firstLineChars="100"/>
        <w:rPr>
          <w:rFonts w:ascii="微软雅黑" w:hAnsi="微软雅黑" w:eastAsia="微软雅黑" w:cs="微软雅黑"/>
          <w:b w:val="0"/>
          <w:bCs w:val="0"/>
          <w:color w:val="auto"/>
          <w:sz w:val="32"/>
          <w:szCs w:val="32"/>
          <w:highlight w:val="none"/>
        </w:rPr>
      </w:pPr>
      <w:r>
        <w:rPr>
          <w:rFonts w:hint="eastAsia" w:ascii="微软雅黑" w:hAnsi="微软雅黑" w:eastAsia="微软雅黑" w:cs="微软雅黑"/>
          <w:b w:val="0"/>
          <w:bCs w:val="0"/>
          <w:color w:val="auto"/>
          <w:sz w:val="32"/>
          <w:szCs w:val="32"/>
          <w:highlight w:val="none"/>
        </w:rPr>
        <w:t>附表三：RFID标签</w:t>
      </w:r>
    </w:p>
    <w:tbl>
      <w:tblPr>
        <w:tblStyle w:val="50"/>
        <w:tblW w:w="89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46"/>
      </w:tblGrid>
      <w:tr w14:paraId="298EA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46" w:type="dxa"/>
          </w:tcPr>
          <w:p w14:paraId="3C622C71">
            <w:pPr>
              <w:spacing w:line="360" w:lineRule="exact"/>
              <w:rPr>
                <w:rFonts w:ascii="宋体" w:hAnsi="宋体" w:cs="仿宋"/>
                <w:bCs/>
                <w:color w:val="auto"/>
                <w:szCs w:val="21"/>
                <w:highlight w:val="none"/>
              </w:rPr>
            </w:pPr>
            <w:r>
              <w:rPr>
                <w:rFonts w:hint="eastAsia" w:ascii="宋体" w:hAnsi="宋体" w:cs="仿宋"/>
                <w:bCs/>
                <w:color w:val="auto"/>
                <w:szCs w:val="21"/>
                <w:highlight w:val="none"/>
              </w:rPr>
              <w:t>1.提供与采购人现有规格、型号一致的RFID电子标签（宁波远望谷公司RFID电子标签，型号：XC-TF8102-B）。</w:t>
            </w:r>
          </w:p>
          <w:p w14:paraId="1D4FCA83">
            <w:pPr>
              <w:spacing w:line="360" w:lineRule="exact"/>
              <w:rPr>
                <w:rFonts w:ascii="宋体" w:hAnsi="宋体" w:cs="仿宋"/>
                <w:bCs/>
                <w:color w:val="auto"/>
                <w:szCs w:val="21"/>
                <w:highlight w:val="none"/>
              </w:rPr>
            </w:pPr>
            <w:r>
              <w:rPr>
                <w:rFonts w:hint="eastAsia" w:ascii="宋体" w:hAnsi="宋体" w:cs="仿宋"/>
                <w:bCs/>
                <w:color w:val="auto"/>
                <w:szCs w:val="21"/>
                <w:highlight w:val="none"/>
              </w:rPr>
              <w:t>2. 如使用其它兼容电子标签，必须承诺能与采购人现有规格、型号的电子标签统一兼容，必须兼容采购人RFID系统，保证采购人正常使用。电子标签须经远望谷公司、采购人、中标供应商共同确认，方能使用。</w:t>
            </w:r>
          </w:p>
          <w:p w14:paraId="1918C6CE">
            <w:pPr>
              <w:spacing w:line="360" w:lineRule="exact"/>
              <w:rPr>
                <w:rFonts w:ascii="宋体" w:hAnsi="宋体" w:cs="仿宋"/>
                <w:bCs/>
                <w:color w:val="auto"/>
                <w:szCs w:val="21"/>
                <w:highlight w:val="none"/>
              </w:rPr>
            </w:pPr>
            <w:r>
              <w:rPr>
                <w:rFonts w:hint="eastAsia" w:ascii="宋体" w:hAnsi="宋体" w:cs="仿宋"/>
                <w:bCs/>
                <w:color w:val="auto"/>
                <w:szCs w:val="21"/>
                <w:highlight w:val="none"/>
              </w:rPr>
              <w:t>3.如已加工图书采用非采购人确认的电子标签，中标供应商必须立即进行更换，由此产生的费用已包含在投标总价中，采购人不再另外支付。</w:t>
            </w:r>
          </w:p>
          <w:p w14:paraId="668F7DB0">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4.RFID电子标签参数</w:t>
            </w:r>
          </w:p>
          <w:p w14:paraId="29D5B343">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4.1功能要求</w:t>
            </w:r>
          </w:p>
          <w:p w14:paraId="064AE184">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4.1.1标签为无源标签，须符合国际相关行业标准ISO18000-6C标准；</w:t>
            </w:r>
          </w:p>
          <w:p w14:paraId="01BA4612">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4.1.2标签中有存储器，存储在其中的信息可重复读、写；</w:t>
            </w:r>
          </w:p>
          <w:p w14:paraId="621ECE18">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4.1.3标签可进行非接触式的读取和写入；</w:t>
            </w:r>
          </w:p>
          <w:p w14:paraId="52D55958">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4.1.4标签具有一定的抗冲突性，能保证多个标签的同时可靠识别；</w:t>
            </w:r>
          </w:p>
          <w:p w14:paraId="5DD161A7">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4.1.5标签具有较高的安全性，防止存储在其中的信息资料被泄露；</w:t>
            </w:r>
          </w:p>
          <w:p w14:paraId="449C37F5">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4.1.6具有不可改写的96位唯一序列号（UID）；</w:t>
            </w:r>
          </w:p>
          <w:p w14:paraId="381B883F">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4.1.7标签采用AFI 或EAS 位作为防盗的安全标志方法；</w:t>
            </w:r>
          </w:p>
          <w:p w14:paraId="1346B55A">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4.1.8层位和架位标签上可标识层位和架位代号，层位和架位代号可根据采购人需求定制，且层架位信息在不替换标签的情况下可随意更换。</w:t>
            </w:r>
          </w:p>
          <w:p w14:paraId="1AA7F6B8">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4.2性能要求</w:t>
            </w:r>
          </w:p>
          <w:p w14:paraId="38B0AD16">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4.2.1符合标准：ISO18000-6C和EPCglobalC1G2；</w:t>
            </w:r>
          </w:p>
          <w:p w14:paraId="6CED0054">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4.2.2工作频率：860～960MHz；</w:t>
            </w:r>
          </w:p>
          <w:p w14:paraId="5B328077">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4.2.3标签材料：PMMA透明胶壳+Inlay+不干胶底纸；</w:t>
            </w:r>
          </w:p>
          <w:p w14:paraId="3B772913">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4.2.4工作模式：R/W（可进行读取和写作操作）；</w:t>
            </w:r>
          </w:p>
          <w:p w14:paraId="656FA18E">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4.2.5工作湿度：≤80%；</w:t>
            </w:r>
          </w:p>
          <w:p w14:paraId="0695B4C2">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4.2.6有效识读距离：符合盘点设备读取要求；</w:t>
            </w:r>
          </w:p>
          <w:p w14:paraId="384426BB">
            <w:pPr>
              <w:spacing w:line="360" w:lineRule="exact"/>
              <w:rPr>
                <w:rFonts w:ascii="宋体" w:hAnsi="宋体" w:cs="仿宋"/>
                <w:b/>
                <w:bCs/>
                <w:color w:val="auto"/>
                <w:szCs w:val="21"/>
                <w:highlight w:val="none"/>
              </w:rPr>
            </w:pPr>
            <w:r>
              <w:rPr>
                <w:rFonts w:hint="eastAsia" w:ascii="宋体" w:hAnsi="宋体" w:cs="仿宋"/>
                <w:bCs/>
                <w:color w:val="auto"/>
                <w:szCs w:val="21"/>
                <w:highlight w:val="none"/>
              </w:rPr>
              <w:t>4.2.7内存可擦写100,000 次以上。</w:t>
            </w:r>
          </w:p>
        </w:tc>
      </w:tr>
    </w:tbl>
    <w:p w14:paraId="618AD827">
      <w:pPr>
        <w:spacing w:line="360" w:lineRule="exact"/>
        <w:jc w:val="left"/>
        <w:rPr>
          <w:rFonts w:ascii="宋体" w:hAnsi="宋体"/>
          <w:color w:val="auto"/>
          <w:highlight w:val="none"/>
        </w:rPr>
      </w:pPr>
    </w:p>
    <w:p w14:paraId="269334A6">
      <w:pPr>
        <w:spacing w:line="360" w:lineRule="exact"/>
        <w:jc w:val="left"/>
        <w:rPr>
          <w:rFonts w:ascii="宋体" w:hAnsi="宋体"/>
          <w:color w:val="auto"/>
          <w:highlight w:val="none"/>
        </w:rPr>
      </w:pPr>
    </w:p>
    <w:p w14:paraId="78578E08">
      <w:pPr>
        <w:jc w:val="center"/>
        <w:rPr>
          <w:rFonts w:ascii="宋体" w:hAnsi="宋体" w:cs="Arial Unicode MS"/>
          <w:b/>
          <w:bCs/>
          <w:color w:val="auto"/>
          <w:sz w:val="32"/>
          <w:szCs w:val="32"/>
          <w:highlight w:val="none"/>
        </w:rPr>
      </w:pPr>
    </w:p>
    <w:p w14:paraId="51F0BEEB">
      <w:pPr>
        <w:pStyle w:val="8"/>
        <w:rPr>
          <w:rFonts w:ascii="宋体" w:hAnsi="宋体" w:eastAsia="宋体" w:cs="Arial Unicode MS"/>
          <w:b/>
          <w:bCs/>
          <w:color w:val="auto"/>
          <w:sz w:val="32"/>
          <w:szCs w:val="32"/>
          <w:highlight w:val="none"/>
        </w:rPr>
      </w:pPr>
    </w:p>
    <w:p w14:paraId="1BD91A82">
      <w:pPr>
        <w:rPr>
          <w:rFonts w:ascii="宋体" w:hAnsi="宋体" w:cs="Arial Unicode MS"/>
          <w:b/>
          <w:bCs/>
          <w:color w:val="auto"/>
          <w:sz w:val="32"/>
          <w:szCs w:val="32"/>
          <w:highlight w:val="none"/>
        </w:rPr>
      </w:pPr>
    </w:p>
    <w:p w14:paraId="72DABE99">
      <w:pPr>
        <w:pStyle w:val="8"/>
        <w:rPr>
          <w:rFonts w:ascii="宋体" w:hAnsi="宋体" w:eastAsia="宋体" w:cs="Arial Unicode MS"/>
          <w:b/>
          <w:bCs/>
          <w:color w:val="auto"/>
          <w:sz w:val="32"/>
          <w:szCs w:val="32"/>
          <w:highlight w:val="none"/>
        </w:rPr>
      </w:pPr>
    </w:p>
    <w:p w14:paraId="4CCED776">
      <w:pPr>
        <w:rPr>
          <w:rFonts w:ascii="宋体" w:hAnsi="宋体" w:cs="Arial Unicode MS"/>
          <w:b/>
          <w:bCs/>
          <w:color w:val="auto"/>
          <w:sz w:val="32"/>
          <w:szCs w:val="32"/>
          <w:highlight w:val="none"/>
        </w:rPr>
      </w:pPr>
    </w:p>
    <w:p w14:paraId="362CA8A7">
      <w:pPr>
        <w:pStyle w:val="8"/>
        <w:rPr>
          <w:rFonts w:ascii="宋体" w:hAnsi="宋体" w:eastAsia="宋体" w:cs="Arial Unicode MS"/>
          <w:b/>
          <w:bCs/>
          <w:color w:val="auto"/>
          <w:sz w:val="32"/>
          <w:szCs w:val="32"/>
          <w:highlight w:val="none"/>
        </w:rPr>
      </w:pPr>
    </w:p>
    <w:p w14:paraId="6A4EDFE3">
      <w:pPr>
        <w:rPr>
          <w:rFonts w:ascii="宋体" w:hAnsi="宋体" w:cs="Arial Unicode MS"/>
          <w:b/>
          <w:bCs/>
          <w:color w:val="auto"/>
          <w:sz w:val="32"/>
          <w:szCs w:val="32"/>
          <w:highlight w:val="none"/>
        </w:rPr>
      </w:pPr>
    </w:p>
    <w:p w14:paraId="6EF003C5">
      <w:pPr>
        <w:pStyle w:val="8"/>
        <w:rPr>
          <w:rFonts w:ascii="宋体" w:hAnsi="宋体" w:eastAsia="宋体" w:cs="Arial Unicode MS"/>
          <w:b/>
          <w:bCs/>
          <w:color w:val="auto"/>
          <w:sz w:val="32"/>
          <w:szCs w:val="32"/>
          <w:highlight w:val="none"/>
        </w:rPr>
      </w:pPr>
    </w:p>
    <w:p w14:paraId="08CD8386">
      <w:pPr>
        <w:rPr>
          <w:rFonts w:ascii="宋体" w:hAnsi="宋体" w:cs="Arial Unicode MS"/>
          <w:b/>
          <w:bCs/>
          <w:color w:val="auto"/>
          <w:sz w:val="32"/>
          <w:szCs w:val="32"/>
          <w:highlight w:val="none"/>
        </w:rPr>
      </w:pPr>
    </w:p>
    <w:p w14:paraId="4F3B4EF8">
      <w:pPr>
        <w:pStyle w:val="8"/>
        <w:rPr>
          <w:rFonts w:ascii="宋体" w:hAnsi="宋体" w:eastAsia="宋体" w:cs="Arial Unicode MS"/>
          <w:b/>
          <w:bCs/>
          <w:color w:val="auto"/>
          <w:sz w:val="32"/>
          <w:szCs w:val="32"/>
          <w:highlight w:val="none"/>
        </w:rPr>
      </w:pPr>
    </w:p>
    <w:p w14:paraId="31516F24">
      <w:pPr>
        <w:rPr>
          <w:rFonts w:ascii="宋体" w:hAnsi="宋体" w:cs="Arial Unicode MS"/>
          <w:b/>
          <w:bCs/>
          <w:color w:val="auto"/>
          <w:sz w:val="32"/>
          <w:szCs w:val="32"/>
          <w:highlight w:val="none"/>
        </w:rPr>
      </w:pPr>
    </w:p>
    <w:p w14:paraId="1C2172E6">
      <w:pPr>
        <w:pStyle w:val="8"/>
        <w:rPr>
          <w:rFonts w:ascii="宋体" w:hAnsi="宋体" w:eastAsia="宋体" w:cs="Arial Unicode MS"/>
          <w:b/>
          <w:bCs/>
          <w:color w:val="auto"/>
          <w:sz w:val="32"/>
          <w:szCs w:val="32"/>
          <w:highlight w:val="none"/>
        </w:rPr>
      </w:pPr>
    </w:p>
    <w:p w14:paraId="4A41AB95">
      <w:pPr>
        <w:rPr>
          <w:rFonts w:ascii="宋体" w:hAnsi="宋体" w:cs="Arial Unicode MS"/>
          <w:b/>
          <w:bCs/>
          <w:color w:val="auto"/>
          <w:sz w:val="32"/>
          <w:szCs w:val="32"/>
          <w:highlight w:val="none"/>
        </w:rPr>
      </w:pPr>
    </w:p>
    <w:p w14:paraId="54605EA6">
      <w:pPr>
        <w:pStyle w:val="8"/>
        <w:rPr>
          <w:rFonts w:ascii="宋体" w:hAnsi="宋体" w:eastAsia="宋体" w:cs="Arial Unicode MS"/>
          <w:b/>
          <w:bCs/>
          <w:color w:val="auto"/>
          <w:sz w:val="32"/>
          <w:szCs w:val="32"/>
          <w:highlight w:val="none"/>
        </w:rPr>
      </w:pPr>
    </w:p>
    <w:p w14:paraId="0D4EA995">
      <w:pPr>
        <w:rPr>
          <w:rFonts w:ascii="宋体" w:hAnsi="宋体" w:cs="Arial Unicode MS"/>
          <w:b/>
          <w:bCs/>
          <w:color w:val="auto"/>
          <w:sz w:val="32"/>
          <w:szCs w:val="32"/>
          <w:highlight w:val="none"/>
        </w:rPr>
      </w:pPr>
    </w:p>
    <w:p w14:paraId="03BF05D0">
      <w:pPr>
        <w:pStyle w:val="2"/>
        <w:rPr>
          <w:rFonts w:ascii="宋体" w:hAnsi="宋体" w:cs="Arial Unicode MS"/>
          <w:b/>
          <w:bCs/>
          <w:color w:val="auto"/>
          <w:sz w:val="32"/>
          <w:szCs w:val="32"/>
          <w:highlight w:val="none"/>
        </w:rPr>
      </w:pPr>
    </w:p>
    <w:p w14:paraId="2273B9E2">
      <w:pPr>
        <w:pStyle w:val="3"/>
        <w:rPr>
          <w:rFonts w:ascii="宋体" w:hAnsi="宋体" w:cs="Arial Unicode MS"/>
          <w:b/>
          <w:bCs/>
          <w:color w:val="auto"/>
          <w:sz w:val="32"/>
          <w:szCs w:val="32"/>
          <w:highlight w:val="none"/>
        </w:rPr>
      </w:pPr>
    </w:p>
    <w:p w14:paraId="23E58624">
      <w:pPr>
        <w:pStyle w:val="4"/>
        <w:rPr>
          <w:color w:val="auto"/>
          <w:highlight w:val="none"/>
        </w:rPr>
      </w:pPr>
    </w:p>
    <w:p w14:paraId="101BF93F">
      <w:pPr>
        <w:rPr>
          <w:rFonts w:ascii="宋体" w:hAnsi="宋体" w:cs="Arial Unicode MS"/>
          <w:b/>
          <w:bCs/>
          <w:color w:val="auto"/>
          <w:sz w:val="32"/>
          <w:szCs w:val="32"/>
          <w:highlight w:val="none"/>
        </w:rPr>
      </w:pPr>
    </w:p>
    <w:p w14:paraId="1C35B1CB">
      <w:pPr>
        <w:jc w:val="center"/>
        <w:rPr>
          <w:rFonts w:ascii="宋体" w:hAnsi="宋体" w:cs="Arial Unicode MS"/>
          <w:b/>
          <w:bCs/>
          <w:color w:val="auto"/>
          <w:sz w:val="32"/>
          <w:szCs w:val="32"/>
          <w:highlight w:val="none"/>
        </w:rPr>
      </w:pPr>
      <w:r>
        <w:rPr>
          <w:rFonts w:hint="eastAsia" w:ascii="宋体" w:hAnsi="宋体" w:cs="Arial Unicode MS"/>
          <w:b/>
          <w:bCs/>
          <w:color w:val="auto"/>
          <w:sz w:val="32"/>
          <w:szCs w:val="32"/>
          <w:highlight w:val="none"/>
        </w:rPr>
        <w:t>附件1：节能产品政府采购品目清单</w:t>
      </w:r>
    </w:p>
    <w:tbl>
      <w:tblPr>
        <w:tblStyle w:val="50"/>
        <w:tblW w:w="95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1662"/>
        <w:gridCol w:w="1390"/>
        <w:gridCol w:w="1926"/>
        <w:gridCol w:w="3622"/>
      </w:tblGrid>
      <w:tr w14:paraId="3BBD3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46" w:type="dxa"/>
            <w:vAlign w:val="center"/>
          </w:tcPr>
          <w:p w14:paraId="52F26C4C">
            <w:pPr>
              <w:autoSpaceDE w:val="0"/>
              <w:autoSpaceDN w:val="0"/>
              <w:jc w:val="center"/>
              <w:rPr>
                <w:rFonts w:ascii="宋体" w:hAnsi="宋体" w:cs="宋体"/>
                <w:b/>
                <w:bCs/>
                <w:color w:val="auto"/>
                <w:sz w:val="18"/>
                <w:szCs w:val="18"/>
                <w:highlight w:val="none"/>
              </w:rPr>
            </w:pPr>
            <w:bookmarkStart w:id="50" w:name="_Hlk72765337"/>
            <w:r>
              <w:rPr>
                <w:rFonts w:hint="eastAsia" w:ascii="宋体" w:hAnsi="宋体" w:cs="宋体"/>
                <w:b/>
                <w:bCs/>
                <w:color w:val="auto"/>
                <w:sz w:val="18"/>
                <w:szCs w:val="18"/>
                <w:highlight w:val="none"/>
              </w:rPr>
              <w:t>品目序号</w:t>
            </w:r>
          </w:p>
        </w:tc>
        <w:tc>
          <w:tcPr>
            <w:tcW w:w="4978" w:type="dxa"/>
            <w:gridSpan w:val="3"/>
            <w:vAlign w:val="center"/>
          </w:tcPr>
          <w:p w14:paraId="39317840">
            <w:pPr>
              <w:autoSpaceDE w:val="0"/>
              <w:autoSpaceDN w:val="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名称</w:t>
            </w:r>
          </w:p>
        </w:tc>
        <w:tc>
          <w:tcPr>
            <w:tcW w:w="3622" w:type="dxa"/>
            <w:vAlign w:val="center"/>
          </w:tcPr>
          <w:p w14:paraId="39DF0485">
            <w:pPr>
              <w:autoSpaceDE w:val="0"/>
              <w:autoSpaceDN w:val="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依据的标准</w:t>
            </w:r>
          </w:p>
        </w:tc>
      </w:tr>
      <w:tr w14:paraId="215AA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restart"/>
            <w:vAlign w:val="center"/>
          </w:tcPr>
          <w:p w14:paraId="640A6F9A">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662" w:type="dxa"/>
            <w:vMerge w:val="restart"/>
            <w:vAlign w:val="center"/>
          </w:tcPr>
          <w:p w14:paraId="7F6844AD">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A020101</w:t>
            </w:r>
            <w:r>
              <w:rPr>
                <w:rFonts w:hint="eastAsia" w:ascii="宋体" w:hAnsi="宋体" w:cs="宋体"/>
                <w:color w:val="auto"/>
                <w:spacing w:val="-20"/>
                <w:sz w:val="18"/>
                <w:szCs w:val="18"/>
                <w:highlight w:val="none"/>
              </w:rPr>
              <w:t xml:space="preserve"> 计算</w:t>
            </w:r>
            <w:r>
              <w:rPr>
                <w:rFonts w:hint="eastAsia" w:ascii="宋体" w:hAnsi="宋体" w:cs="宋体"/>
                <w:color w:val="auto"/>
                <w:sz w:val="18"/>
                <w:szCs w:val="18"/>
                <w:highlight w:val="none"/>
              </w:rPr>
              <w:t>机设备</w:t>
            </w:r>
          </w:p>
        </w:tc>
        <w:tc>
          <w:tcPr>
            <w:tcW w:w="1390" w:type="dxa"/>
            <w:vAlign w:val="center"/>
          </w:tcPr>
          <w:p w14:paraId="5E1FA9F7">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★A02010104</w:t>
            </w:r>
            <w:r>
              <w:rPr>
                <w:rFonts w:hint="eastAsia" w:ascii="宋体" w:hAnsi="宋体" w:cs="宋体"/>
                <w:color w:val="auto"/>
                <w:spacing w:val="-7"/>
                <w:sz w:val="18"/>
                <w:szCs w:val="18"/>
                <w:highlight w:val="none"/>
              </w:rPr>
              <w:t xml:space="preserve"> 台式计</w:t>
            </w:r>
            <w:r>
              <w:rPr>
                <w:rFonts w:hint="eastAsia" w:ascii="宋体" w:hAnsi="宋体" w:cs="宋体"/>
                <w:color w:val="auto"/>
                <w:sz w:val="18"/>
                <w:szCs w:val="18"/>
                <w:highlight w:val="none"/>
              </w:rPr>
              <w:t>算机</w:t>
            </w:r>
          </w:p>
        </w:tc>
        <w:tc>
          <w:tcPr>
            <w:tcW w:w="1926" w:type="dxa"/>
            <w:vAlign w:val="center"/>
          </w:tcPr>
          <w:p w14:paraId="7FC85227">
            <w:pPr>
              <w:autoSpaceDE w:val="0"/>
              <w:autoSpaceDN w:val="0"/>
              <w:jc w:val="center"/>
              <w:rPr>
                <w:rFonts w:ascii="宋体" w:hAnsi="宋体" w:cs="宋体"/>
                <w:color w:val="auto"/>
                <w:sz w:val="18"/>
                <w:szCs w:val="18"/>
                <w:highlight w:val="none"/>
              </w:rPr>
            </w:pPr>
          </w:p>
        </w:tc>
        <w:tc>
          <w:tcPr>
            <w:tcW w:w="3622" w:type="dxa"/>
            <w:vAlign w:val="center"/>
          </w:tcPr>
          <w:p w14:paraId="430491D0">
            <w:pPr>
              <w:autoSpaceDE w:val="0"/>
              <w:autoSpaceDN w:val="0"/>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《微型计算机能效限定值及能效</w:t>
            </w:r>
            <w:r>
              <w:rPr>
                <w:rFonts w:hint="eastAsia" w:ascii="宋体" w:hAnsi="宋体" w:cs="宋体"/>
                <w:color w:val="auto"/>
                <w:sz w:val="18"/>
                <w:szCs w:val="18"/>
                <w:highlight w:val="none"/>
              </w:rPr>
              <w:t>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28380）</w:t>
            </w:r>
          </w:p>
        </w:tc>
      </w:tr>
      <w:tr w14:paraId="578E0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2D75825F">
            <w:pPr>
              <w:autoSpaceDE w:val="0"/>
              <w:autoSpaceDN w:val="0"/>
              <w:jc w:val="center"/>
              <w:rPr>
                <w:rFonts w:ascii="宋体" w:hAnsi="宋体" w:cs="宋体"/>
                <w:color w:val="auto"/>
                <w:sz w:val="18"/>
                <w:szCs w:val="18"/>
                <w:highlight w:val="none"/>
              </w:rPr>
            </w:pPr>
          </w:p>
        </w:tc>
        <w:tc>
          <w:tcPr>
            <w:tcW w:w="1662" w:type="dxa"/>
            <w:vMerge w:val="continue"/>
            <w:vAlign w:val="center"/>
          </w:tcPr>
          <w:p w14:paraId="1017366E">
            <w:pPr>
              <w:autoSpaceDE w:val="0"/>
              <w:autoSpaceDN w:val="0"/>
              <w:jc w:val="center"/>
              <w:rPr>
                <w:rFonts w:ascii="宋体" w:hAnsi="宋体" w:cs="宋体"/>
                <w:color w:val="auto"/>
                <w:sz w:val="18"/>
                <w:szCs w:val="18"/>
                <w:highlight w:val="none"/>
              </w:rPr>
            </w:pPr>
          </w:p>
        </w:tc>
        <w:tc>
          <w:tcPr>
            <w:tcW w:w="1390" w:type="dxa"/>
            <w:vAlign w:val="center"/>
          </w:tcPr>
          <w:p w14:paraId="658FCB1D">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★A02010105</w:t>
            </w:r>
            <w:r>
              <w:rPr>
                <w:rFonts w:hint="eastAsia" w:ascii="宋体" w:hAnsi="宋体" w:cs="宋体"/>
                <w:color w:val="auto"/>
                <w:spacing w:val="-7"/>
                <w:sz w:val="18"/>
                <w:szCs w:val="18"/>
                <w:highlight w:val="none"/>
              </w:rPr>
              <w:t xml:space="preserve"> 便携式</w:t>
            </w:r>
            <w:r>
              <w:rPr>
                <w:rFonts w:hint="eastAsia" w:ascii="宋体" w:hAnsi="宋体" w:cs="宋体"/>
                <w:color w:val="auto"/>
                <w:sz w:val="18"/>
                <w:szCs w:val="18"/>
                <w:highlight w:val="none"/>
              </w:rPr>
              <w:t>计算机</w:t>
            </w:r>
          </w:p>
        </w:tc>
        <w:tc>
          <w:tcPr>
            <w:tcW w:w="1926" w:type="dxa"/>
            <w:vAlign w:val="center"/>
          </w:tcPr>
          <w:p w14:paraId="586FF75E">
            <w:pPr>
              <w:autoSpaceDE w:val="0"/>
              <w:autoSpaceDN w:val="0"/>
              <w:jc w:val="center"/>
              <w:rPr>
                <w:rFonts w:ascii="宋体" w:hAnsi="宋体" w:cs="宋体"/>
                <w:color w:val="auto"/>
                <w:sz w:val="18"/>
                <w:szCs w:val="18"/>
                <w:highlight w:val="none"/>
              </w:rPr>
            </w:pPr>
          </w:p>
        </w:tc>
        <w:tc>
          <w:tcPr>
            <w:tcW w:w="3622" w:type="dxa"/>
            <w:vAlign w:val="center"/>
          </w:tcPr>
          <w:p w14:paraId="5A71B733">
            <w:pPr>
              <w:autoSpaceDE w:val="0"/>
              <w:autoSpaceDN w:val="0"/>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《微型计算机能效限定值及能效</w:t>
            </w:r>
            <w:r>
              <w:rPr>
                <w:rFonts w:hint="eastAsia" w:ascii="宋体" w:hAnsi="宋体" w:cs="宋体"/>
                <w:color w:val="auto"/>
                <w:sz w:val="18"/>
                <w:szCs w:val="18"/>
                <w:highlight w:val="none"/>
              </w:rPr>
              <w:t>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28380）</w:t>
            </w:r>
          </w:p>
        </w:tc>
      </w:tr>
      <w:tr w14:paraId="2ACEB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946" w:type="dxa"/>
            <w:vMerge w:val="continue"/>
            <w:vAlign w:val="center"/>
          </w:tcPr>
          <w:p w14:paraId="7EE902B1">
            <w:pPr>
              <w:autoSpaceDE w:val="0"/>
              <w:autoSpaceDN w:val="0"/>
              <w:jc w:val="center"/>
              <w:rPr>
                <w:rFonts w:ascii="宋体" w:hAnsi="宋体" w:cs="宋体"/>
                <w:color w:val="auto"/>
                <w:sz w:val="18"/>
                <w:szCs w:val="18"/>
                <w:highlight w:val="none"/>
              </w:rPr>
            </w:pPr>
          </w:p>
        </w:tc>
        <w:tc>
          <w:tcPr>
            <w:tcW w:w="1662" w:type="dxa"/>
            <w:vMerge w:val="continue"/>
            <w:vAlign w:val="center"/>
          </w:tcPr>
          <w:p w14:paraId="4C194B98">
            <w:pPr>
              <w:autoSpaceDE w:val="0"/>
              <w:autoSpaceDN w:val="0"/>
              <w:jc w:val="center"/>
              <w:rPr>
                <w:rFonts w:ascii="宋体" w:hAnsi="宋体" w:cs="宋体"/>
                <w:color w:val="auto"/>
                <w:sz w:val="18"/>
                <w:szCs w:val="18"/>
                <w:highlight w:val="none"/>
              </w:rPr>
            </w:pPr>
          </w:p>
        </w:tc>
        <w:tc>
          <w:tcPr>
            <w:tcW w:w="1390" w:type="dxa"/>
            <w:vAlign w:val="center"/>
          </w:tcPr>
          <w:p w14:paraId="0175D379">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★A02010107</w:t>
            </w:r>
            <w:r>
              <w:rPr>
                <w:rFonts w:hint="eastAsia" w:ascii="宋体" w:hAnsi="宋体" w:cs="宋体"/>
                <w:color w:val="auto"/>
                <w:spacing w:val="-7"/>
                <w:sz w:val="18"/>
                <w:szCs w:val="18"/>
                <w:highlight w:val="none"/>
              </w:rPr>
              <w:t xml:space="preserve"> 平板式</w:t>
            </w:r>
            <w:r>
              <w:rPr>
                <w:rFonts w:hint="eastAsia" w:ascii="宋体" w:hAnsi="宋体" w:cs="宋体"/>
                <w:color w:val="auto"/>
                <w:sz w:val="18"/>
                <w:szCs w:val="18"/>
                <w:highlight w:val="none"/>
              </w:rPr>
              <w:t>微型计算机</w:t>
            </w:r>
          </w:p>
        </w:tc>
        <w:tc>
          <w:tcPr>
            <w:tcW w:w="1926" w:type="dxa"/>
            <w:vAlign w:val="center"/>
          </w:tcPr>
          <w:p w14:paraId="203E86DA">
            <w:pPr>
              <w:autoSpaceDE w:val="0"/>
              <w:autoSpaceDN w:val="0"/>
              <w:jc w:val="center"/>
              <w:rPr>
                <w:rFonts w:ascii="宋体" w:hAnsi="宋体" w:cs="宋体"/>
                <w:color w:val="auto"/>
                <w:sz w:val="18"/>
                <w:szCs w:val="18"/>
                <w:highlight w:val="none"/>
              </w:rPr>
            </w:pPr>
          </w:p>
        </w:tc>
        <w:tc>
          <w:tcPr>
            <w:tcW w:w="3622" w:type="dxa"/>
            <w:vAlign w:val="center"/>
          </w:tcPr>
          <w:p w14:paraId="19C80E06">
            <w:pPr>
              <w:autoSpaceDE w:val="0"/>
              <w:autoSpaceDN w:val="0"/>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《微型计算机能效限定值及能效</w:t>
            </w:r>
            <w:r>
              <w:rPr>
                <w:rFonts w:hint="eastAsia" w:ascii="宋体" w:hAnsi="宋体" w:cs="宋体"/>
                <w:color w:val="auto"/>
                <w:sz w:val="18"/>
                <w:szCs w:val="18"/>
                <w:highlight w:val="none"/>
              </w:rPr>
              <w:t>等级》（GB 28380）</w:t>
            </w:r>
          </w:p>
        </w:tc>
      </w:tr>
      <w:tr w14:paraId="67A78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restart"/>
            <w:vAlign w:val="center"/>
          </w:tcPr>
          <w:p w14:paraId="58422A1A">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662" w:type="dxa"/>
            <w:vMerge w:val="restart"/>
            <w:vAlign w:val="center"/>
          </w:tcPr>
          <w:p w14:paraId="7D55FCD3">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A020106</w:t>
            </w:r>
            <w:r>
              <w:rPr>
                <w:rFonts w:hint="eastAsia" w:ascii="宋体" w:hAnsi="宋体" w:cs="宋体"/>
                <w:color w:val="auto"/>
                <w:spacing w:val="-20"/>
                <w:sz w:val="18"/>
                <w:szCs w:val="18"/>
                <w:highlight w:val="none"/>
              </w:rPr>
              <w:t xml:space="preserve"> 输入</w:t>
            </w:r>
            <w:r>
              <w:rPr>
                <w:rFonts w:hint="eastAsia" w:ascii="宋体" w:hAnsi="宋体" w:cs="宋体"/>
                <w:color w:val="auto"/>
                <w:sz w:val="18"/>
                <w:szCs w:val="18"/>
                <w:highlight w:val="none"/>
              </w:rPr>
              <w:t>输出设备</w:t>
            </w:r>
          </w:p>
        </w:tc>
        <w:tc>
          <w:tcPr>
            <w:tcW w:w="1390" w:type="dxa"/>
            <w:vMerge w:val="restart"/>
            <w:vAlign w:val="center"/>
          </w:tcPr>
          <w:p w14:paraId="66D116D9">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A02010601 打印设备</w:t>
            </w:r>
          </w:p>
        </w:tc>
        <w:tc>
          <w:tcPr>
            <w:tcW w:w="1926" w:type="dxa"/>
            <w:vAlign w:val="center"/>
          </w:tcPr>
          <w:p w14:paraId="7E6667C2">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A0201060101</w:t>
            </w:r>
            <w:r>
              <w:rPr>
                <w:rFonts w:hint="eastAsia" w:ascii="宋体" w:hAnsi="宋体" w:cs="宋体"/>
                <w:color w:val="auto"/>
                <w:spacing w:val="18"/>
                <w:sz w:val="18"/>
                <w:szCs w:val="18"/>
                <w:highlight w:val="none"/>
              </w:rPr>
              <w:t xml:space="preserve"> 喷墨打</w:t>
            </w:r>
            <w:r>
              <w:rPr>
                <w:rFonts w:hint="eastAsia" w:ascii="宋体" w:hAnsi="宋体" w:cs="宋体"/>
                <w:color w:val="auto"/>
                <w:sz w:val="18"/>
                <w:szCs w:val="18"/>
                <w:highlight w:val="none"/>
              </w:rPr>
              <w:t>印机</w:t>
            </w:r>
          </w:p>
        </w:tc>
        <w:tc>
          <w:tcPr>
            <w:tcW w:w="3622" w:type="dxa"/>
            <w:vAlign w:val="center"/>
          </w:tcPr>
          <w:p w14:paraId="39A77104">
            <w:pPr>
              <w:autoSpaceDE w:val="0"/>
              <w:autoSpaceDN w:val="0"/>
              <w:jc w:val="center"/>
              <w:rPr>
                <w:rFonts w:ascii="宋体" w:hAnsi="宋体" w:cs="宋体"/>
                <w:color w:val="auto"/>
                <w:sz w:val="18"/>
                <w:szCs w:val="18"/>
                <w:highlight w:val="none"/>
              </w:rPr>
            </w:pPr>
            <w:r>
              <w:rPr>
                <w:rFonts w:hint="eastAsia" w:ascii="宋体" w:hAnsi="宋体" w:cs="宋体"/>
                <w:color w:val="auto"/>
                <w:spacing w:val="-8"/>
                <w:sz w:val="18"/>
                <w:szCs w:val="18"/>
                <w:highlight w:val="none"/>
              </w:rPr>
              <w:t>《复印机、打印机和传真机能效限</w:t>
            </w:r>
            <w:r>
              <w:rPr>
                <w:rFonts w:hint="eastAsia" w:ascii="宋体" w:hAnsi="宋体" w:cs="宋体"/>
                <w:color w:val="auto"/>
                <w:sz w:val="18"/>
                <w:szCs w:val="18"/>
                <w:highlight w:val="none"/>
              </w:rPr>
              <w:t>定值及能效等级》（GB 21521）</w:t>
            </w:r>
          </w:p>
        </w:tc>
      </w:tr>
      <w:tr w14:paraId="62468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207B88B6">
            <w:pPr>
              <w:autoSpaceDE w:val="0"/>
              <w:autoSpaceDN w:val="0"/>
              <w:jc w:val="center"/>
              <w:rPr>
                <w:rFonts w:ascii="宋体" w:hAnsi="宋体" w:cs="宋体"/>
                <w:color w:val="auto"/>
                <w:sz w:val="18"/>
                <w:szCs w:val="18"/>
                <w:highlight w:val="none"/>
              </w:rPr>
            </w:pPr>
          </w:p>
        </w:tc>
        <w:tc>
          <w:tcPr>
            <w:tcW w:w="1662" w:type="dxa"/>
            <w:vMerge w:val="continue"/>
            <w:vAlign w:val="center"/>
          </w:tcPr>
          <w:p w14:paraId="3E388183">
            <w:pPr>
              <w:autoSpaceDE w:val="0"/>
              <w:autoSpaceDN w:val="0"/>
              <w:jc w:val="center"/>
              <w:rPr>
                <w:rFonts w:ascii="宋体" w:hAnsi="宋体" w:cs="宋体"/>
                <w:color w:val="auto"/>
                <w:sz w:val="18"/>
                <w:szCs w:val="18"/>
                <w:highlight w:val="none"/>
              </w:rPr>
            </w:pPr>
          </w:p>
        </w:tc>
        <w:tc>
          <w:tcPr>
            <w:tcW w:w="1390" w:type="dxa"/>
            <w:vMerge w:val="continue"/>
            <w:vAlign w:val="center"/>
          </w:tcPr>
          <w:p w14:paraId="18CD5ECD">
            <w:pPr>
              <w:autoSpaceDE w:val="0"/>
              <w:autoSpaceDN w:val="0"/>
              <w:jc w:val="center"/>
              <w:rPr>
                <w:rFonts w:ascii="宋体" w:hAnsi="宋体" w:cs="宋体"/>
                <w:color w:val="auto"/>
                <w:sz w:val="18"/>
                <w:szCs w:val="18"/>
                <w:highlight w:val="none"/>
              </w:rPr>
            </w:pPr>
          </w:p>
        </w:tc>
        <w:tc>
          <w:tcPr>
            <w:tcW w:w="1926" w:type="dxa"/>
            <w:vAlign w:val="center"/>
          </w:tcPr>
          <w:p w14:paraId="19BA9AA5">
            <w:pPr>
              <w:autoSpaceDE w:val="0"/>
              <w:autoSpaceDN w:val="0"/>
              <w:jc w:val="center"/>
              <w:rPr>
                <w:rFonts w:ascii="宋体" w:hAnsi="宋体" w:cs="宋体"/>
                <w:color w:val="auto"/>
                <w:sz w:val="18"/>
                <w:szCs w:val="18"/>
                <w:highlight w:val="none"/>
              </w:rPr>
            </w:pPr>
            <w:r>
              <w:rPr>
                <w:rFonts w:hint="eastAsia" w:ascii="宋体" w:hAnsi="宋体" w:cs="宋体"/>
                <w:color w:val="auto"/>
                <w:spacing w:val="-26"/>
                <w:sz w:val="18"/>
                <w:szCs w:val="18"/>
                <w:highlight w:val="none"/>
              </w:rPr>
              <w:t xml:space="preserve">★ </w:t>
            </w:r>
            <w:r>
              <w:rPr>
                <w:rFonts w:hint="eastAsia" w:ascii="宋体" w:hAnsi="宋体" w:cs="宋体"/>
                <w:color w:val="auto"/>
                <w:sz w:val="18"/>
                <w:szCs w:val="18"/>
                <w:highlight w:val="none"/>
              </w:rPr>
              <w:t>A0201060102</w:t>
            </w:r>
            <w:r>
              <w:rPr>
                <w:rFonts w:hint="eastAsia" w:ascii="宋体" w:hAnsi="宋体" w:cs="宋体"/>
                <w:color w:val="auto"/>
                <w:spacing w:val="38"/>
                <w:sz w:val="18"/>
                <w:szCs w:val="18"/>
                <w:highlight w:val="none"/>
              </w:rPr>
              <w:t xml:space="preserve"> 激光</w:t>
            </w:r>
            <w:r>
              <w:rPr>
                <w:rFonts w:hint="eastAsia" w:ascii="宋体" w:hAnsi="宋体" w:cs="宋体"/>
                <w:color w:val="auto"/>
                <w:sz w:val="18"/>
                <w:szCs w:val="18"/>
                <w:highlight w:val="none"/>
              </w:rPr>
              <w:t>打印机</w:t>
            </w:r>
          </w:p>
        </w:tc>
        <w:tc>
          <w:tcPr>
            <w:tcW w:w="3622" w:type="dxa"/>
            <w:vAlign w:val="center"/>
          </w:tcPr>
          <w:p w14:paraId="26CB59F3">
            <w:pPr>
              <w:autoSpaceDE w:val="0"/>
              <w:autoSpaceDN w:val="0"/>
              <w:jc w:val="center"/>
              <w:rPr>
                <w:rFonts w:ascii="宋体" w:hAnsi="宋体" w:cs="宋体"/>
                <w:color w:val="auto"/>
                <w:sz w:val="18"/>
                <w:szCs w:val="18"/>
                <w:highlight w:val="none"/>
              </w:rPr>
            </w:pPr>
            <w:r>
              <w:rPr>
                <w:rFonts w:hint="eastAsia" w:ascii="宋体" w:hAnsi="宋体" w:cs="宋体"/>
                <w:color w:val="auto"/>
                <w:spacing w:val="-8"/>
                <w:sz w:val="18"/>
                <w:szCs w:val="18"/>
                <w:highlight w:val="none"/>
              </w:rPr>
              <w:t>《复印机、打印机和传真机能效限</w:t>
            </w:r>
            <w:r>
              <w:rPr>
                <w:rFonts w:hint="eastAsia" w:ascii="宋体" w:hAnsi="宋体" w:cs="宋体"/>
                <w:color w:val="auto"/>
                <w:sz w:val="18"/>
                <w:szCs w:val="18"/>
                <w:highlight w:val="none"/>
              </w:rPr>
              <w:t>定值及能效等级》（GB 21521）</w:t>
            </w:r>
          </w:p>
        </w:tc>
      </w:tr>
      <w:tr w14:paraId="3C18B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46B544DE">
            <w:pPr>
              <w:autoSpaceDE w:val="0"/>
              <w:autoSpaceDN w:val="0"/>
              <w:jc w:val="center"/>
              <w:rPr>
                <w:rFonts w:ascii="宋体" w:hAnsi="宋体" w:cs="宋体"/>
                <w:color w:val="auto"/>
                <w:sz w:val="18"/>
                <w:szCs w:val="18"/>
                <w:highlight w:val="none"/>
              </w:rPr>
            </w:pPr>
          </w:p>
        </w:tc>
        <w:tc>
          <w:tcPr>
            <w:tcW w:w="1662" w:type="dxa"/>
            <w:vMerge w:val="continue"/>
            <w:vAlign w:val="center"/>
          </w:tcPr>
          <w:p w14:paraId="331FD1E4">
            <w:pPr>
              <w:autoSpaceDE w:val="0"/>
              <w:autoSpaceDN w:val="0"/>
              <w:jc w:val="center"/>
              <w:rPr>
                <w:rFonts w:ascii="宋体" w:hAnsi="宋体" w:cs="宋体"/>
                <w:color w:val="auto"/>
                <w:sz w:val="18"/>
                <w:szCs w:val="18"/>
                <w:highlight w:val="none"/>
              </w:rPr>
            </w:pPr>
          </w:p>
        </w:tc>
        <w:tc>
          <w:tcPr>
            <w:tcW w:w="1390" w:type="dxa"/>
            <w:vMerge w:val="continue"/>
            <w:vAlign w:val="center"/>
          </w:tcPr>
          <w:p w14:paraId="66C3D81D">
            <w:pPr>
              <w:autoSpaceDE w:val="0"/>
              <w:autoSpaceDN w:val="0"/>
              <w:jc w:val="center"/>
              <w:rPr>
                <w:rFonts w:ascii="宋体" w:hAnsi="宋体" w:cs="宋体"/>
                <w:color w:val="auto"/>
                <w:sz w:val="18"/>
                <w:szCs w:val="18"/>
                <w:highlight w:val="none"/>
              </w:rPr>
            </w:pPr>
          </w:p>
        </w:tc>
        <w:tc>
          <w:tcPr>
            <w:tcW w:w="1926" w:type="dxa"/>
            <w:vAlign w:val="center"/>
          </w:tcPr>
          <w:p w14:paraId="0246CAE6">
            <w:pPr>
              <w:autoSpaceDE w:val="0"/>
              <w:autoSpaceDN w:val="0"/>
              <w:jc w:val="center"/>
              <w:rPr>
                <w:rFonts w:ascii="宋体" w:hAnsi="宋体" w:cs="宋体"/>
                <w:color w:val="auto"/>
                <w:sz w:val="18"/>
                <w:szCs w:val="18"/>
                <w:highlight w:val="none"/>
              </w:rPr>
            </w:pPr>
            <w:r>
              <w:rPr>
                <w:rFonts w:hint="eastAsia" w:ascii="宋体" w:hAnsi="宋体" w:cs="宋体"/>
                <w:color w:val="auto"/>
                <w:spacing w:val="-26"/>
                <w:sz w:val="18"/>
                <w:szCs w:val="18"/>
                <w:highlight w:val="none"/>
              </w:rPr>
              <w:t xml:space="preserve">★ </w:t>
            </w:r>
            <w:r>
              <w:rPr>
                <w:rFonts w:hint="eastAsia" w:ascii="宋体" w:hAnsi="宋体" w:cs="宋体"/>
                <w:color w:val="auto"/>
                <w:sz w:val="18"/>
                <w:szCs w:val="18"/>
                <w:highlight w:val="none"/>
              </w:rPr>
              <w:t>A0201060104</w:t>
            </w:r>
            <w:r>
              <w:rPr>
                <w:rFonts w:hint="eastAsia" w:ascii="宋体" w:hAnsi="宋体" w:cs="宋体"/>
                <w:color w:val="auto"/>
                <w:spacing w:val="38"/>
                <w:sz w:val="18"/>
                <w:szCs w:val="18"/>
                <w:highlight w:val="none"/>
              </w:rPr>
              <w:t xml:space="preserve"> 针式</w:t>
            </w:r>
            <w:r>
              <w:rPr>
                <w:rFonts w:hint="eastAsia" w:ascii="宋体" w:hAnsi="宋体" w:cs="宋体"/>
                <w:color w:val="auto"/>
                <w:sz w:val="18"/>
                <w:szCs w:val="18"/>
                <w:highlight w:val="none"/>
              </w:rPr>
              <w:t>打印机</w:t>
            </w:r>
          </w:p>
        </w:tc>
        <w:tc>
          <w:tcPr>
            <w:tcW w:w="3622" w:type="dxa"/>
            <w:vAlign w:val="center"/>
          </w:tcPr>
          <w:p w14:paraId="70E27E6B">
            <w:pPr>
              <w:autoSpaceDE w:val="0"/>
              <w:autoSpaceDN w:val="0"/>
              <w:jc w:val="center"/>
              <w:rPr>
                <w:rFonts w:ascii="宋体" w:hAnsi="宋体" w:cs="宋体"/>
                <w:color w:val="auto"/>
                <w:sz w:val="18"/>
                <w:szCs w:val="18"/>
                <w:highlight w:val="none"/>
              </w:rPr>
            </w:pPr>
            <w:r>
              <w:rPr>
                <w:rFonts w:hint="eastAsia" w:ascii="宋体" w:hAnsi="宋体" w:cs="宋体"/>
                <w:color w:val="auto"/>
                <w:spacing w:val="-8"/>
                <w:sz w:val="18"/>
                <w:szCs w:val="18"/>
                <w:highlight w:val="none"/>
              </w:rPr>
              <w:t>《复印机、打印机和传真机能效限</w:t>
            </w:r>
            <w:r>
              <w:rPr>
                <w:rFonts w:hint="eastAsia" w:ascii="宋体" w:hAnsi="宋体" w:cs="宋体"/>
                <w:color w:val="auto"/>
                <w:sz w:val="18"/>
                <w:szCs w:val="18"/>
                <w:highlight w:val="none"/>
              </w:rPr>
              <w:t>定值及能效等级》（GB 21521）</w:t>
            </w:r>
          </w:p>
        </w:tc>
      </w:tr>
      <w:tr w14:paraId="77BCB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1B299E7B">
            <w:pPr>
              <w:autoSpaceDE w:val="0"/>
              <w:autoSpaceDN w:val="0"/>
              <w:jc w:val="center"/>
              <w:rPr>
                <w:rFonts w:ascii="宋体" w:hAnsi="宋体" w:cs="宋体"/>
                <w:color w:val="auto"/>
                <w:sz w:val="18"/>
                <w:szCs w:val="18"/>
                <w:highlight w:val="none"/>
              </w:rPr>
            </w:pPr>
          </w:p>
        </w:tc>
        <w:tc>
          <w:tcPr>
            <w:tcW w:w="1662" w:type="dxa"/>
            <w:vMerge w:val="continue"/>
            <w:vAlign w:val="center"/>
          </w:tcPr>
          <w:p w14:paraId="26B19D84">
            <w:pPr>
              <w:autoSpaceDE w:val="0"/>
              <w:autoSpaceDN w:val="0"/>
              <w:jc w:val="center"/>
              <w:rPr>
                <w:rFonts w:ascii="宋体" w:hAnsi="宋体" w:cs="宋体"/>
                <w:color w:val="auto"/>
                <w:sz w:val="18"/>
                <w:szCs w:val="18"/>
                <w:highlight w:val="none"/>
              </w:rPr>
            </w:pPr>
          </w:p>
        </w:tc>
        <w:tc>
          <w:tcPr>
            <w:tcW w:w="1390" w:type="dxa"/>
            <w:vAlign w:val="center"/>
          </w:tcPr>
          <w:p w14:paraId="06F499B6">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A02010604 显示设备</w:t>
            </w:r>
          </w:p>
        </w:tc>
        <w:tc>
          <w:tcPr>
            <w:tcW w:w="1926" w:type="dxa"/>
            <w:vAlign w:val="center"/>
          </w:tcPr>
          <w:p w14:paraId="70B99CE7">
            <w:pPr>
              <w:autoSpaceDE w:val="0"/>
              <w:autoSpaceDN w:val="0"/>
              <w:jc w:val="center"/>
              <w:rPr>
                <w:rFonts w:ascii="宋体" w:hAnsi="宋体" w:cs="宋体"/>
                <w:color w:val="auto"/>
                <w:sz w:val="18"/>
                <w:szCs w:val="18"/>
                <w:highlight w:val="none"/>
              </w:rPr>
            </w:pPr>
            <w:r>
              <w:rPr>
                <w:rFonts w:hint="eastAsia" w:ascii="宋体" w:hAnsi="宋体" w:cs="宋体"/>
                <w:color w:val="auto"/>
                <w:spacing w:val="-26"/>
                <w:sz w:val="18"/>
                <w:szCs w:val="18"/>
                <w:highlight w:val="none"/>
              </w:rPr>
              <w:t xml:space="preserve">★ </w:t>
            </w:r>
            <w:r>
              <w:rPr>
                <w:rFonts w:hint="eastAsia" w:ascii="宋体" w:hAnsi="宋体" w:cs="宋体"/>
                <w:color w:val="auto"/>
                <w:sz w:val="18"/>
                <w:szCs w:val="18"/>
                <w:highlight w:val="none"/>
              </w:rPr>
              <w:t>A0201060401</w:t>
            </w:r>
            <w:r>
              <w:rPr>
                <w:rFonts w:hint="eastAsia" w:ascii="宋体" w:hAnsi="宋体" w:cs="宋体"/>
                <w:color w:val="auto"/>
                <w:spacing w:val="38"/>
                <w:sz w:val="18"/>
                <w:szCs w:val="18"/>
                <w:highlight w:val="none"/>
              </w:rPr>
              <w:t xml:space="preserve"> 液晶</w:t>
            </w:r>
            <w:r>
              <w:rPr>
                <w:rFonts w:hint="eastAsia" w:ascii="宋体" w:hAnsi="宋体" w:cs="宋体"/>
                <w:color w:val="auto"/>
                <w:sz w:val="18"/>
                <w:szCs w:val="18"/>
                <w:highlight w:val="none"/>
              </w:rPr>
              <w:t>显示器</w:t>
            </w:r>
          </w:p>
        </w:tc>
        <w:tc>
          <w:tcPr>
            <w:tcW w:w="3622" w:type="dxa"/>
            <w:vAlign w:val="center"/>
          </w:tcPr>
          <w:p w14:paraId="1BC53631">
            <w:pPr>
              <w:autoSpaceDE w:val="0"/>
              <w:autoSpaceDN w:val="0"/>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《计算机显示器能效限定值及能</w:t>
            </w:r>
            <w:r>
              <w:rPr>
                <w:rFonts w:hint="eastAsia" w:ascii="宋体" w:hAnsi="宋体" w:cs="宋体"/>
                <w:color w:val="auto"/>
                <w:sz w:val="18"/>
                <w:szCs w:val="18"/>
                <w:highlight w:val="none"/>
              </w:rPr>
              <w:t>效等级》（GB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21520）</w:t>
            </w:r>
          </w:p>
        </w:tc>
      </w:tr>
      <w:tr w14:paraId="0649E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946" w:type="dxa"/>
            <w:vMerge w:val="continue"/>
            <w:vAlign w:val="center"/>
          </w:tcPr>
          <w:p w14:paraId="1E6E7B2C">
            <w:pPr>
              <w:autoSpaceDE w:val="0"/>
              <w:autoSpaceDN w:val="0"/>
              <w:jc w:val="center"/>
              <w:rPr>
                <w:rFonts w:ascii="宋体" w:hAnsi="宋体" w:cs="宋体"/>
                <w:color w:val="auto"/>
                <w:sz w:val="18"/>
                <w:szCs w:val="18"/>
                <w:highlight w:val="none"/>
              </w:rPr>
            </w:pPr>
          </w:p>
        </w:tc>
        <w:tc>
          <w:tcPr>
            <w:tcW w:w="1662" w:type="dxa"/>
            <w:vMerge w:val="continue"/>
            <w:vAlign w:val="center"/>
          </w:tcPr>
          <w:p w14:paraId="0F77FA2A">
            <w:pPr>
              <w:autoSpaceDE w:val="0"/>
              <w:autoSpaceDN w:val="0"/>
              <w:jc w:val="center"/>
              <w:rPr>
                <w:rFonts w:ascii="宋体" w:hAnsi="宋体" w:cs="宋体"/>
                <w:color w:val="auto"/>
                <w:sz w:val="18"/>
                <w:szCs w:val="18"/>
                <w:highlight w:val="none"/>
              </w:rPr>
            </w:pPr>
          </w:p>
        </w:tc>
        <w:tc>
          <w:tcPr>
            <w:tcW w:w="1390" w:type="dxa"/>
            <w:vAlign w:val="center"/>
          </w:tcPr>
          <w:p w14:paraId="08C4D30F">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A02010609</w:t>
            </w:r>
            <w:r>
              <w:rPr>
                <w:rFonts w:hint="eastAsia" w:ascii="宋体" w:hAnsi="宋体" w:cs="宋体"/>
                <w:color w:val="auto"/>
                <w:spacing w:val="-6"/>
                <w:sz w:val="18"/>
                <w:szCs w:val="18"/>
                <w:highlight w:val="none"/>
              </w:rPr>
              <w:t xml:space="preserve"> 图形图像</w:t>
            </w:r>
            <w:r>
              <w:rPr>
                <w:rFonts w:hint="eastAsia" w:ascii="宋体" w:hAnsi="宋体" w:cs="宋体"/>
                <w:color w:val="auto"/>
                <w:sz w:val="18"/>
                <w:szCs w:val="18"/>
                <w:highlight w:val="none"/>
              </w:rPr>
              <w:t>输入设备</w:t>
            </w:r>
          </w:p>
        </w:tc>
        <w:tc>
          <w:tcPr>
            <w:tcW w:w="1926" w:type="dxa"/>
            <w:vAlign w:val="center"/>
          </w:tcPr>
          <w:p w14:paraId="01E1A9F7">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A0201060901</w:t>
            </w:r>
            <w:r>
              <w:rPr>
                <w:rFonts w:hint="eastAsia" w:ascii="宋体" w:hAnsi="宋体" w:cs="宋体"/>
                <w:color w:val="auto"/>
                <w:spacing w:val="-7"/>
                <w:sz w:val="18"/>
                <w:szCs w:val="18"/>
                <w:highlight w:val="none"/>
              </w:rPr>
              <w:t xml:space="preserve"> 扫描仪</w:t>
            </w:r>
          </w:p>
        </w:tc>
        <w:tc>
          <w:tcPr>
            <w:tcW w:w="3622" w:type="dxa"/>
            <w:vAlign w:val="center"/>
          </w:tcPr>
          <w:p w14:paraId="49420F18">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参照《复印机、打印机和传真机能</w:t>
            </w:r>
            <w:r>
              <w:rPr>
                <w:rFonts w:hint="eastAsia" w:ascii="宋体" w:hAnsi="宋体" w:cs="宋体"/>
                <w:color w:val="auto"/>
                <w:spacing w:val="-11"/>
                <w:sz w:val="18"/>
                <w:szCs w:val="18"/>
                <w:highlight w:val="none"/>
              </w:rPr>
              <w:t>效限定值及能效等级》</w:t>
            </w:r>
            <w:r>
              <w:rPr>
                <w:rFonts w:hint="eastAsia" w:ascii="宋体" w:hAnsi="宋体" w:cs="宋体"/>
                <w:color w:val="auto"/>
                <w:sz w:val="18"/>
                <w:szCs w:val="18"/>
                <w:highlight w:val="none"/>
              </w:rPr>
              <w:t>（GB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21521）</w:t>
            </w:r>
            <w:r>
              <w:rPr>
                <w:rFonts w:hint="eastAsia" w:ascii="宋体" w:hAnsi="宋体" w:cs="宋体"/>
                <w:color w:val="auto"/>
                <w:spacing w:val="-92"/>
                <w:sz w:val="18"/>
                <w:szCs w:val="18"/>
                <w:highlight w:val="none"/>
              </w:rPr>
              <w:t xml:space="preserve"> </w:t>
            </w:r>
            <w:r>
              <w:rPr>
                <w:rFonts w:hint="eastAsia" w:ascii="宋体" w:hAnsi="宋体" w:cs="宋体"/>
                <w:color w:val="auto"/>
                <w:spacing w:val="1"/>
                <w:sz w:val="18"/>
                <w:szCs w:val="18"/>
                <w:highlight w:val="none"/>
              </w:rPr>
              <w:t xml:space="preserve">中打印速度为 </w:t>
            </w:r>
            <w:r>
              <w:rPr>
                <w:rFonts w:hint="eastAsia" w:ascii="宋体" w:hAnsi="宋体" w:cs="宋体"/>
                <w:color w:val="auto"/>
                <w:sz w:val="18"/>
                <w:szCs w:val="18"/>
                <w:highlight w:val="none"/>
              </w:rPr>
              <w:t>15</w:t>
            </w:r>
            <w:r>
              <w:rPr>
                <w:rFonts w:hint="eastAsia" w:ascii="宋体" w:hAnsi="宋体" w:cs="宋体"/>
                <w:color w:val="auto"/>
                <w:spacing w:val="6"/>
                <w:sz w:val="18"/>
                <w:szCs w:val="18"/>
                <w:highlight w:val="none"/>
              </w:rPr>
              <w:t xml:space="preserve"> 页</w:t>
            </w:r>
            <w:r>
              <w:rPr>
                <w:rFonts w:hint="eastAsia" w:ascii="宋体" w:hAnsi="宋体" w:cs="宋体"/>
                <w:color w:val="auto"/>
                <w:sz w:val="18"/>
                <w:szCs w:val="18"/>
                <w:highlight w:val="none"/>
              </w:rPr>
              <w:t>/分的针式打印机相关要求</w:t>
            </w:r>
          </w:p>
        </w:tc>
      </w:tr>
      <w:tr w14:paraId="5D7BD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46" w:type="dxa"/>
            <w:vAlign w:val="center"/>
          </w:tcPr>
          <w:p w14:paraId="5BF8879F">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662" w:type="dxa"/>
            <w:vAlign w:val="center"/>
          </w:tcPr>
          <w:p w14:paraId="6877D572">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A020202</w:t>
            </w:r>
            <w:r>
              <w:rPr>
                <w:rFonts w:hint="eastAsia" w:ascii="宋体" w:hAnsi="宋体" w:cs="宋体"/>
                <w:color w:val="auto"/>
                <w:spacing w:val="-20"/>
                <w:sz w:val="18"/>
                <w:szCs w:val="18"/>
                <w:highlight w:val="none"/>
              </w:rPr>
              <w:t xml:space="preserve"> 投影</w:t>
            </w:r>
            <w:r>
              <w:rPr>
                <w:rFonts w:hint="eastAsia" w:ascii="宋体" w:hAnsi="宋体" w:cs="宋体"/>
                <w:color w:val="auto"/>
                <w:sz w:val="18"/>
                <w:szCs w:val="18"/>
                <w:highlight w:val="none"/>
              </w:rPr>
              <w:t>仪</w:t>
            </w:r>
          </w:p>
        </w:tc>
        <w:tc>
          <w:tcPr>
            <w:tcW w:w="1390" w:type="dxa"/>
            <w:vAlign w:val="center"/>
          </w:tcPr>
          <w:p w14:paraId="58446BD3">
            <w:pPr>
              <w:autoSpaceDE w:val="0"/>
              <w:autoSpaceDN w:val="0"/>
              <w:jc w:val="center"/>
              <w:rPr>
                <w:rFonts w:ascii="宋体" w:hAnsi="宋体" w:cs="宋体"/>
                <w:color w:val="auto"/>
                <w:sz w:val="18"/>
                <w:szCs w:val="18"/>
                <w:highlight w:val="none"/>
              </w:rPr>
            </w:pPr>
          </w:p>
        </w:tc>
        <w:tc>
          <w:tcPr>
            <w:tcW w:w="1926" w:type="dxa"/>
            <w:vAlign w:val="center"/>
          </w:tcPr>
          <w:p w14:paraId="53E96FB1">
            <w:pPr>
              <w:autoSpaceDE w:val="0"/>
              <w:autoSpaceDN w:val="0"/>
              <w:jc w:val="center"/>
              <w:rPr>
                <w:rFonts w:ascii="宋体" w:hAnsi="宋体" w:cs="宋体"/>
                <w:color w:val="auto"/>
                <w:sz w:val="18"/>
                <w:szCs w:val="18"/>
                <w:highlight w:val="none"/>
              </w:rPr>
            </w:pPr>
          </w:p>
        </w:tc>
        <w:tc>
          <w:tcPr>
            <w:tcW w:w="3622" w:type="dxa"/>
            <w:vAlign w:val="center"/>
          </w:tcPr>
          <w:p w14:paraId="3D6EC4AC">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《投影机能效限定值及能效等级》（GB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32028）</w:t>
            </w:r>
          </w:p>
        </w:tc>
      </w:tr>
      <w:tr w14:paraId="0639A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Align w:val="center"/>
          </w:tcPr>
          <w:p w14:paraId="7439928D">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662" w:type="dxa"/>
            <w:vAlign w:val="center"/>
          </w:tcPr>
          <w:p w14:paraId="5FB82AC0">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A020204</w:t>
            </w:r>
            <w:r>
              <w:rPr>
                <w:rFonts w:hint="eastAsia" w:ascii="宋体" w:hAnsi="宋体" w:cs="宋体"/>
                <w:color w:val="auto"/>
                <w:spacing w:val="-20"/>
                <w:sz w:val="18"/>
                <w:szCs w:val="18"/>
                <w:highlight w:val="none"/>
              </w:rPr>
              <w:t xml:space="preserve"> 多功</w:t>
            </w:r>
            <w:r>
              <w:rPr>
                <w:rFonts w:hint="eastAsia" w:ascii="宋体" w:hAnsi="宋体" w:cs="宋体"/>
                <w:color w:val="auto"/>
                <w:sz w:val="18"/>
                <w:szCs w:val="18"/>
                <w:highlight w:val="none"/>
              </w:rPr>
              <w:t>能一体机</w:t>
            </w:r>
          </w:p>
        </w:tc>
        <w:tc>
          <w:tcPr>
            <w:tcW w:w="1390" w:type="dxa"/>
            <w:vAlign w:val="center"/>
          </w:tcPr>
          <w:p w14:paraId="374CE796">
            <w:pPr>
              <w:autoSpaceDE w:val="0"/>
              <w:autoSpaceDN w:val="0"/>
              <w:jc w:val="center"/>
              <w:rPr>
                <w:rFonts w:ascii="宋体" w:hAnsi="宋体" w:cs="宋体"/>
                <w:color w:val="auto"/>
                <w:sz w:val="18"/>
                <w:szCs w:val="18"/>
                <w:highlight w:val="none"/>
              </w:rPr>
            </w:pPr>
          </w:p>
        </w:tc>
        <w:tc>
          <w:tcPr>
            <w:tcW w:w="1926" w:type="dxa"/>
            <w:vAlign w:val="center"/>
          </w:tcPr>
          <w:p w14:paraId="1C5D252F">
            <w:pPr>
              <w:autoSpaceDE w:val="0"/>
              <w:autoSpaceDN w:val="0"/>
              <w:jc w:val="center"/>
              <w:rPr>
                <w:rFonts w:ascii="宋体" w:hAnsi="宋体" w:cs="宋体"/>
                <w:color w:val="auto"/>
                <w:sz w:val="18"/>
                <w:szCs w:val="18"/>
                <w:highlight w:val="none"/>
              </w:rPr>
            </w:pPr>
          </w:p>
        </w:tc>
        <w:tc>
          <w:tcPr>
            <w:tcW w:w="3622" w:type="dxa"/>
            <w:vAlign w:val="center"/>
          </w:tcPr>
          <w:p w14:paraId="3C683EB0">
            <w:pPr>
              <w:autoSpaceDE w:val="0"/>
              <w:autoSpaceDN w:val="0"/>
              <w:jc w:val="center"/>
              <w:rPr>
                <w:rFonts w:ascii="宋体" w:hAnsi="宋体" w:cs="宋体"/>
                <w:color w:val="auto"/>
                <w:sz w:val="18"/>
                <w:szCs w:val="18"/>
                <w:highlight w:val="none"/>
              </w:rPr>
            </w:pPr>
            <w:r>
              <w:rPr>
                <w:rFonts w:hint="eastAsia" w:ascii="宋体" w:hAnsi="宋体" w:cs="宋体"/>
                <w:color w:val="auto"/>
                <w:spacing w:val="-8"/>
                <w:sz w:val="18"/>
                <w:szCs w:val="18"/>
                <w:highlight w:val="none"/>
              </w:rPr>
              <w:t>《复印机、打印机和传真机能效限</w:t>
            </w:r>
            <w:r>
              <w:rPr>
                <w:rFonts w:hint="eastAsia" w:ascii="宋体" w:hAnsi="宋体" w:cs="宋体"/>
                <w:color w:val="auto"/>
                <w:sz w:val="18"/>
                <w:szCs w:val="18"/>
                <w:highlight w:val="none"/>
              </w:rPr>
              <w:t>定值及能效等级》（GB 21521）</w:t>
            </w:r>
          </w:p>
        </w:tc>
      </w:tr>
      <w:tr w14:paraId="119FA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Align w:val="center"/>
          </w:tcPr>
          <w:p w14:paraId="6D7F897E">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662" w:type="dxa"/>
            <w:vAlign w:val="center"/>
          </w:tcPr>
          <w:p w14:paraId="50CA9A50">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A020519</w:t>
            </w:r>
            <w:r>
              <w:rPr>
                <w:rFonts w:hint="eastAsia" w:ascii="宋体" w:hAnsi="宋体" w:cs="宋体"/>
                <w:color w:val="auto"/>
                <w:spacing w:val="-25"/>
                <w:sz w:val="18"/>
                <w:szCs w:val="18"/>
                <w:highlight w:val="none"/>
              </w:rPr>
              <w:t xml:space="preserve"> 泵</w:t>
            </w:r>
          </w:p>
        </w:tc>
        <w:tc>
          <w:tcPr>
            <w:tcW w:w="1390" w:type="dxa"/>
            <w:vAlign w:val="center"/>
          </w:tcPr>
          <w:p w14:paraId="078ECC80">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A02051901</w:t>
            </w:r>
            <w:r>
              <w:rPr>
                <w:rFonts w:hint="eastAsia" w:ascii="宋体" w:hAnsi="宋体" w:cs="宋体"/>
                <w:color w:val="auto"/>
                <w:spacing w:val="-8"/>
                <w:sz w:val="18"/>
                <w:szCs w:val="18"/>
                <w:highlight w:val="none"/>
              </w:rPr>
              <w:t xml:space="preserve"> 离心泵</w:t>
            </w:r>
          </w:p>
        </w:tc>
        <w:tc>
          <w:tcPr>
            <w:tcW w:w="1926" w:type="dxa"/>
            <w:vAlign w:val="center"/>
          </w:tcPr>
          <w:p w14:paraId="0C481163">
            <w:pPr>
              <w:autoSpaceDE w:val="0"/>
              <w:autoSpaceDN w:val="0"/>
              <w:jc w:val="center"/>
              <w:rPr>
                <w:rFonts w:ascii="宋体" w:hAnsi="宋体" w:cs="宋体"/>
                <w:color w:val="auto"/>
                <w:sz w:val="18"/>
                <w:szCs w:val="18"/>
                <w:highlight w:val="none"/>
              </w:rPr>
            </w:pPr>
          </w:p>
        </w:tc>
        <w:tc>
          <w:tcPr>
            <w:tcW w:w="3622" w:type="dxa"/>
            <w:vAlign w:val="center"/>
          </w:tcPr>
          <w:p w14:paraId="43CFAFFF">
            <w:pPr>
              <w:autoSpaceDE w:val="0"/>
              <w:autoSpaceDN w:val="0"/>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《清水离心泵能效限定值及节能</w:t>
            </w:r>
            <w:r>
              <w:rPr>
                <w:rFonts w:hint="eastAsia" w:ascii="宋体" w:hAnsi="宋体" w:cs="宋体"/>
                <w:color w:val="auto"/>
                <w:sz w:val="18"/>
                <w:szCs w:val="18"/>
                <w:highlight w:val="none"/>
              </w:rPr>
              <w:t>评价值》（GB 19762）</w:t>
            </w:r>
          </w:p>
        </w:tc>
      </w:tr>
      <w:tr w14:paraId="0BCC3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946" w:type="dxa"/>
            <w:vMerge w:val="restart"/>
            <w:vAlign w:val="center"/>
          </w:tcPr>
          <w:p w14:paraId="3543A600">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662" w:type="dxa"/>
            <w:vMerge w:val="restart"/>
            <w:vAlign w:val="center"/>
          </w:tcPr>
          <w:p w14:paraId="7F44225E">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A020523</w:t>
            </w:r>
            <w:r>
              <w:rPr>
                <w:rFonts w:hint="eastAsia" w:ascii="宋体" w:hAnsi="宋体" w:cs="宋体"/>
                <w:color w:val="auto"/>
                <w:spacing w:val="-20"/>
                <w:sz w:val="18"/>
                <w:szCs w:val="18"/>
                <w:highlight w:val="none"/>
              </w:rPr>
              <w:t xml:space="preserve"> 制冷</w:t>
            </w:r>
            <w:r>
              <w:rPr>
                <w:rFonts w:hint="eastAsia" w:ascii="宋体" w:hAnsi="宋体" w:cs="宋体"/>
                <w:color w:val="auto"/>
                <w:sz w:val="18"/>
                <w:szCs w:val="18"/>
                <w:highlight w:val="none"/>
              </w:rPr>
              <w:t>空调设备</w:t>
            </w:r>
          </w:p>
        </w:tc>
        <w:tc>
          <w:tcPr>
            <w:tcW w:w="1390" w:type="dxa"/>
            <w:vMerge w:val="restart"/>
            <w:vAlign w:val="center"/>
          </w:tcPr>
          <w:p w14:paraId="73E75E37">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★A02052301</w:t>
            </w:r>
            <w:r>
              <w:rPr>
                <w:rFonts w:hint="eastAsia" w:ascii="宋体" w:hAnsi="宋体" w:cs="宋体"/>
                <w:color w:val="auto"/>
                <w:spacing w:val="-7"/>
                <w:sz w:val="18"/>
                <w:szCs w:val="18"/>
                <w:highlight w:val="none"/>
              </w:rPr>
              <w:t xml:space="preserve"> 制冷压</w:t>
            </w:r>
            <w:r>
              <w:rPr>
                <w:rFonts w:hint="eastAsia" w:ascii="宋体" w:hAnsi="宋体" w:cs="宋体"/>
                <w:color w:val="auto"/>
                <w:sz w:val="18"/>
                <w:szCs w:val="18"/>
                <w:highlight w:val="none"/>
              </w:rPr>
              <w:t>缩机</w:t>
            </w:r>
          </w:p>
        </w:tc>
        <w:tc>
          <w:tcPr>
            <w:tcW w:w="1926" w:type="dxa"/>
            <w:vAlign w:val="center"/>
          </w:tcPr>
          <w:p w14:paraId="0E165DBE">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冷水机组</w:t>
            </w:r>
          </w:p>
        </w:tc>
        <w:tc>
          <w:tcPr>
            <w:tcW w:w="3622" w:type="dxa"/>
            <w:vAlign w:val="center"/>
          </w:tcPr>
          <w:p w14:paraId="0B16FBF2">
            <w:pPr>
              <w:autoSpaceDE w:val="0"/>
              <w:autoSpaceDN w:val="0"/>
              <w:jc w:val="center"/>
              <w:rPr>
                <w:rFonts w:ascii="宋体" w:hAnsi="宋体" w:cs="宋体"/>
                <w:color w:val="auto"/>
                <w:spacing w:val="9"/>
                <w:sz w:val="18"/>
                <w:szCs w:val="18"/>
                <w:highlight w:val="none"/>
              </w:rPr>
            </w:pPr>
            <w:r>
              <w:rPr>
                <w:rFonts w:hint="eastAsia" w:ascii="宋体" w:hAnsi="宋体" w:cs="宋体"/>
                <w:color w:val="auto"/>
                <w:spacing w:val="9"/>
                <w:sz w:val="18"/>
                <w:szCs w:val="18"/>
                <w:highlight w:val="none"/>
              </w:rPr>
              <w:t>《冷水机组能效限定值及能效等</w:t>
            </w:r>
            <w:r>
              <w:rPr>
                <w:rFonts w:hint="eastAsia" w:ascii="宋体" w:hAnsi="宋体" w:cs="宋体"/>
                <w:color w:val="auto"/>
                <w:sz w:val="18"/>
                <w:szCs w:val="18"/>
                <w:highlight w:val="none"/>
              </w:rPr>
              <w:t>级》（GB</w:t>
            </w:r>
            <w:r>
              <w:rPr>
                <w:rFonts w:hint="eastAsia" w:ascii="宋体" w:hAnsi="宋体" w:cs="宋体"/>
                <w:color w:val="auto"/>
                <w:spacing w:val="41"/>
                <w:sz w:val="18"/>
                <w:szCs w:val="18"/>
                <w:highlight w:val="none"/>
              </w:rPr>
              <w:t xml:space="preserve"> </w:t>
            </w:r>
            <w:r>
              <w:rPr>
                <w:rFonts w:hint="eastAsia" w:ascii="宋体" w:hAnsi="宋体" w:cs="宋体"/>
                <w:color w:val="auto"/>
                <w:sz w:val="18"/>
                <w:szCs w:val="18"/>
                <w:highlight w:val="none"/>
              </w:rPr>
              <w:t>19577），《低环境温度</w:t>
            </w:r>
            <w:r>
              <w:rPr>
                <w:rFonts w:hint="eastAsia" w:ascii="宋体" w:hAnsi="宋体" w:cs="宋体"/>
                <w:color w:val="auto"/>
                <w:spacing w:val="-5"/>
                <w:sz w:val="18"/>
                <w:szCs w:val="18"/>
                <w:highlight w:val="none"/>
              </w:rPr>
              <w:t>空气源热泵</w:t>
            </w:r>
            <w:r>
              <w:rPr>
                <w:rFonts w:hint="eastAsia" w:ascii="宋体" w:hAnsi="宋体" w:cs="宋体"/>
                <w:color w:val="auto"/>
                <w:spacing w:val="-4"/>
                <w:sz w:val="18"/>
                <w:szCs w:val="18"/>
                <w:highlight w:val="none"/>
              </w:rPr>
              <w:t>（冷水）机组能效限定</w:t>
            </w:r>
            <w:r>
              <w:rPr>
                <w:rFonts w:hint="eastAsia" w:ascii="宋体" w:hAnsi="宋体" w:cs="宋体"/>
                <w:color w:val="auto"/>
                <w:sz w:val="18"/>
                <w:szCs w:val="18"/>
                <w:highlight w:val="none"/>
              </w:rPr>
              <w:t>值及能效等级》（GB 37480）</w:t>
            </w:r>
          </w:p>
        </w:tc>
      </w:tr>
      <w:tr w14:paraId="3E1F5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344260F9">
            <w:pPr>
              <w:autoSpaceDE w:val="0"/>
              <w:autoSpaceDN w:val="0"/>
              <w:jc w:val="center"/>
              <w:rPr>
                <w:rFonts w:ascii="宋体" w:hAnsi="宋体" w:cs="宋体"/>
                <w:color w:val="auto"/>
                <w:sz w:val="18"/>
                <w:szCs w:val="18"/>
                <w:highlight w:val="none"/>
              </w:rPr>
            </w:pPr>
          </w:p>
        </w:tc>
        <w:tc>
          <w:tcPr>
            <w:tcW w:w="1662" w:type="dxa"/>
            <w:vMerge w:val="continue"/>
            <w:vAlign w:val="center"/>
          </w:tcPr>
          <w:p w14:paraId="718EF889">
            <w:pPr>
              <w:autoSpaceDE w:val="0"/>
              <w:autoSpaceDN w:val="0"/>
              <w:jc w:val="center"/>
              <w:rPr>
                <w:rFonts w:ascii="宋体" w:hAnsi="宋体" w:cs="宋体"/>
                <w:color w:val="auto"/>
                <w:sz w:val="18"/>
                <w:szCs w:val="18"/>
                <w:highlight w:val="none"/>
              </w:rPr>
            </w:pPr>
          </w:p>
        </w:tc>
        <w:tc>
          <w:tcPr>
            <w:tcW w:w="1390" w:type="dxa"/>
            <w:vMerge w:val="continue"/>
            <w:vAlign w:val="center"/>
          </w:tcPr>
          <w:p w14:paraId="14E195EF">
            <w:pPr>
              <w:autoSpaceDE w:val="0"/>
              <w:autoSpaceDN w:val="0"/>
              <w:jc w:val="center"/>
              <w:rPr>
                <w:rFonts w:ascii="宋体" w:hAnsi="宋体" w:cs="宋体"/>
                <w:color w:val="auto"/>
                <w:sz w:val="18"/>
                <w:szCs w:val="18"/>
                <w:highlight w:val="none"/>
              </w:rPr>
            </w:pPr>
          </w:p>
        </w:tc>
        <w:tc>
          <w:tcPr>
            <w:tcW w:w="1926" w:type="dxa"/>
            <w:vAlign w:val="center"/>
          </w:tcPr>
          <w:p w14:paraId="2D41B689">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水源热泵机组</w:t>
            </w:r>
          </w:p>
        </w:tc>
        <w:tc>
          <w:tcPr>
            <w:tcW w:w="3622" w:type="dxa"/>
            <w:vAlign w:val="center"/>
          </w:tcPr>
          <w:p w14:paraId="4D046EE6">
            <w:pPr>
              <w:autoSpaceDE w:val="0"/>
              <w:autoSpaceDN w:val="0"/>
              <w:jc w:val="center"/>
              <w:rPr>
                <w:rFonts w:ascii="宋体" w:hAnsi="宋体" w:cs="宋体"/>
                <w:color w:val="auto"/>
                <w:spacing w:val="9"/>
                <w:sz w:val="18"/>
                <w:szCs w:val="18"/>
                <w:highlight w:val="none"/>
              </w:rPr>
            </w:pPr>
            <w:r>
              <w:rPr>
                <w:rFonts w:hint="eastAsia" w:ascii="宋体" w:hAnsi="宋体" w:cs="宋体"/>
                <w:color w:val="auto"/>
                <w:spacing w:val="-5"/>
                <w:sz w:val="18"/>
                <w:szCs w:val="18"/>
                <w:highlight w:val="none"/>
              </w:rPr>
              <w:t>《水（地</w:t>
            </w:r>
            <w:r>
              <w:rPr>
                <w:rFonts w:hint="eastAsia" w:ascii="宋体" w:hAnsi="宋体" w:cs="宋体"/>
                <w:color w:val="auto"/>
                <w:spacing w:val="-4"/>
                <w:sz w:val="18"/>
                <w:szCs w:val="18"/>
                <w:highlight w:val="none"/>
              </w:rPr>
              <w:t>）源热泵机组能效限定值</w:t>
            </w:r>
            <w:r>
              <w:rPr>
                <w:rFonts w:hint="eastAsia" w:ascii="宋体" w:hAnsi="宋体" w:cs="宋体"/>
                <w:color w:val="auto"/>
                <w:sz w:val="18"/>
                <w:szCs w:val="18"/>
                <w:highlight w:val="none"/>
              </w:rPr>
              <w:t>及能效等级》（GB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30721）</w:t>
            </w:r>
          </w:p>
        </w:tc>
      </w:tr>
      <w:tr w14:paraId="760B0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52A0ACBD">
            <w:pPr>
              <w:autoSpaceDE w:val="0"/>
              <w:autoSpaceDN w:val="0"/>
              <w:jc w:val="center"/>
              <w:rPr>
                <w:rFonts w:ascii="宋体" w:hAnsi="宋体" w:cs="宋体"/>
                <w:color w:val="auto"/>
                <w:sz w:val="18"/>
                <w:szCs w:val="18"/>
                <w:highlight w:val="none"/>
              </w:rPr>
            </w:pPr>
          </w:p>
        </w:tc>
        <w:tc>
          <w:tcPr>
            <w:tcW w:w="1662" w:type="dxa"/>
            <w:vMerge w:val="continue"/>
            <w:vAlign w:val="center"/>
          </w:tcPr>
          <w:p w14:paraId="790FBC6D">
            <w:pPr>
              <w:autoSpaceDE w:val="0"/>
              <w:autoSpaceDN w:val="0"/>
              <w:jc w:val="center"/>
              <w:rPr>
                <w:rFonts w:ascii="宋体" w:hAnsi="宋体" w:cs="宋体"/>
                <w:color w:val="auto"/>
                <w:sz w:val="18"/>
                <w:szCs w:val="18"/>
                <w:highlight w:val="none"/>
              </w:rPr>
            </w:pPr>
          </w:p>
        </w:tc>
        <w:tc>
          <w:tcPr>
            <w:tcW w:w="1390" w:type="dxa"/>
            <w:vMerge w:val="continue"/>
            <w:vAlign w:val="center"/>
          </w:tcPr>
          <w:p w14:paraId="6BBCA5C5">
            <w:pPr>
              <w:autoSpaceDE w:val="0"/>
              <w:autoSpaceDN w:val="0"/>
              <w:jc w:val="center"/>
              <w:rPr>
                <w:rFonts w:ascii="宋体" w:hAnsi="宋体" w:cs="宋体"/>
                <w:color w:val="auto"/>
                <w:sz w:val="18"/>
                <w:szCs w:val="18"/>
                <w:highlight w:val="none"/>
              </w:rPr>
            </w:pPr>
          </w:p>
        </w:tc>
        <w:tc>
          <w:tcPr>
            <w:tcW w:w="1926" w:type="dxa"/>
            <w:vAlign w:val="center"/>
          </w:tcPr>
          <w:p w14:paraId="3F30604A">
            <w:pPr>
              <w:autoSpaceDE w:val="0"/>
              <w:autoSpaceDN w:val="0"/>
              <w:jc w:val="center"/>
              <w:rPr>
                <w:rFonts w:ascii="宋体" w:hAnsi="宋体" w:cs="宋体"/>
                <w:color w:val="auto"/>
                <w:sz w:val="18"/>
                <w:szCs w:val="18"/>
                <w:highlight w:val="none"/>
              </w:rPr>
            </w:pPr>
            <w:r>
              <w:rPr>
                <w:rFonts w:hint="eastAsia" w:ascii="宋体" w:hAnsi="宋体" w:cs="宋体"/>
                <w:color w:val="auto"/>
                <w:spacing w:val="8"/>
                <w:sz w:val="18"/>
                <w:szCs w:val="18"/>
                <w:highlight w:val="none"/>
              </w:rPr>
              <w:t>溴化锂吸收式冷水机</w:t>
            </w:r>
            <w:r>
              <w:rPr>
                <w:rFonts w:hint="eastAsia" w:ascii="宋体" w:hAnsi="宋体" w:cs="宋体"/>
                <w:color w:val="auto"/>
                <w:sz w:val="18"/>
                <w:szCs w:val="18"/>
                <w:highlight w:val="none"/>
              </w:rPr>
              <w:t>组</w:t>
            </w:r>
          </w:p>
        </w:tc>
        <w:tc>
          <w:tcPr>
            <w:tcW w:w="3622" w:type="dxa"/>
            <w:vAlign w:val="center"/>
          </w:tcPr>
          <w:p w14:paraId="3DEADC1D">
            <w:pPr>
              <w:autoSpaceDE w:val="0"/>
              <w:autoSpaceDN w:val="0"/>
              <w:jc w:val="center"/>
              <w:rPr>
                <w:rFonts w:ascii="宋体" w:hAnsi="宋体" w:cs="宋体"/>
                <w:color w:val="auto"/>
                <w:spacing w:val="9"/>
                <w:sz w:val="18"/>
                <w:szCs w:val="18"/>
                <w:highlight w:val="none"/>
              </w:rPr>
            </w:pPr>
            <w:r>
              <w:rPr>
                <w:rFonts w:hint="eastAsia" w:ascii="宋体" w:hAnsi="宋体" w:cs="宋体"/>
                <w:color w:val="auto"/>
                <w:spacing w:val="9"/>
                <w:sz w:val="18"/>
                <w:szCs w:val="18"/>
                <w:highlight w:val="none"/>
              </w:rPr>
              <w:t>《溴化锂吸收式冷水机组能效限</w:t>
            </w:r>
            <w:r>
              <w:rPr>
                <w:rFonts w:hint="eastAsia" w:ascii="宋体" w:hAnsi="宋体" w:cs="宋体"/>
                <w:color w:val="auto"/>
                <w:sz w:val="18"/>
                <w:szCs w:val="18"/>
                <w:highlight w:val="none"/>
              </w:rPr>
              <w:t>定值及能效等级》（GB 29540）</w:t>
            </w:r>
          </w:p>
        </w:tc>
      </w:tr>
      <w:tr w14:paraId="7A0BE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946" w:type="dxa"/>
            <w:vMerge w:val="continue"/>
            <w:vAlign w:val="center"/>
          </w:tcPr>
          <w:p w14:paraId="2020E283">
            <w:pPr>
              <w:autoSpaceDE w:val="0"/>
              <w:autoSpaceDN w:val="0"/>
              <w:jc w:val="center"/>
              <w:rPr>
                <w:rFonts w:ascii="宋体" w:hAnsi="宋体" w:cs="宋体"/>
                <w:color w:val="auto"/>
                <w:sz w:val="18"/>
                <w:szCs w:val="18"/>
                <w:highlight w:val="none"/>
              </w:rPr>
            </w:pPr>
          </w:p>
        </w:tc>
        <w:tc>
          <w:tcPr>
            <w:tcW w:w="1662" w:type="dxa"/>
            <w:vMerge w:val="continue"/>
            <w:vAlign w:val="center"/>
          </w:tcPr>
          <w:p w14:paraId="289E761C">
            <w:pPr>
              <w:autoSpaceDE w:val="0"/>
              <w:autoSpaceDN w:val="0"/>
              <w:jc w:val="center"/>
              <w:rPr>
                <w:rFonts w:ascii="宋体" w:hAnsi="宋体" w:cs="宋体"/>
                <w:color w:val="auto"/>
                <w:sz w:val="18"/>
                <w:szCs w:val="18"/>
                <w:highlight w:val="none"/>
              </w:rPr>
            </w:pPr>
          </w:p>
        </w:tc>
        <w:tc>
          <w:tcPr>
            <w:tcW w:w="1390" w:type="dxa"/>
            <w:vMerge w:val="restart"/>
            <w:vAlign w:val="center"/>
          </w:tcPr>
          <w:p w14:paraId="6225E4B0">
            <w:pPr>
              <w:autoSpaceDE w:val="0"/>
              <w:autoSpaceDN w:val="0"/>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★A02052305</w:t>
            </w:r>
            <w:r>
              <w:rPr>
                <w:rFonts w:hint="eastAsia" w:ascii="宋体" w:hAnsi="宋体" w:cs="宋体"/>
                <w:color w:val="auto"/>
                <w:spacing w:val="-7"/>
                <w:sz w:val="18"/>
                <w:szCs w:val="18"/>
                <w:highlight w:val="none"/>
              </w:rPr>
              <w:t xml:space="preserve"> 空调机</w:t>
            </w:r>
            <w:r>
              <w:rPr>
                <w:rFonts w:hint="eastAsia" w:ascii="宋体" w:hAnsi="宋体" w:cs="宋体"/>
                <w:color w:val="auto"/>
                <w:sz w:val="18"/>
                <w:szCs w:val="18"/>
                <w:highlight w:val="none"/>
              </w:rPr>
              <w:t>组</w:t>
            </w:r>
          </w:p>
        </w:tc>
        <w:tc>
          <w:tcPr>
            <w:tcW w:w="1926" w:type="dxa"/>
            <w:vAlign w:val="center"/>
          </w:tcPr>
          <w:p w14:paraId="62C32FF1">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多联式空调（热泵）机 组 ( 制 冷量&gt;14000W)</w:t>
            </w:r>
          </w:p>
        </w:tc>
        <w:tc>
          <w:tcPr>
            <w:tcW w:w="3622" w:type="dxa"/>
            <w:vAlign w:val="center"/>
          </w:tcPr>
          <w:p w14:paraId="751321FD">
            <w:pPr>
              <w:autoSpaceDE w:val="0"/>
              <w:autoSpaceDN w:val="0"/>
              <w:jc w:val="center"/>
              <w:rPr>
                <w:rFonts w:ascii="宋体" w:hAnsi="宋体" w:cs="宋体"/>
                <w:color w:val="auto"/>
                <w:spacing w:val="9"/>
                <w:sz w:val="18"/>
                <w:szCs w:val="18"/>
                <w:highlight w:val="none"/>
              </w:rPr>
            </w:pPr>
            <w:r>
              <w:rPr>
                <w:rFonts w:hint="eastAsia" w:ascii="宋体" w:hAnsi="宋体" w:cs="宋体"/>
                <w:color w:val="auto"/>
                <w:sz w:val="18"/>
                <w:szCs w:val="18"/>
                <w:highlight w:val="none"/>
              </w:rPr>
              <w:t>《多联式空调（热泵）机组能效限</w:t>
            </w:r>
            <w:r>
              <w:rPr>
                <w:rFonts w:hint="eastAsia" w:ascii="宋体" w:hAnsi="宋体" w:cs="宋体"/>
                <w:color w:val="auto"/>
                <w:spacing w:val="-11"/>
                <w:sz w:val="18"/>
                <w:szCs w:val="18"/>
                <w:highlight w:val="none"/>
              </w:rPr>
              <w:t>定值及能源效率等级》</w:t>
            </w:r>
            <w:r>
              <w:rPr>
                <w:rFonts w:hint="eastAsia" w:ascii="宋体" w:hAnsi="宋体" w:cs="宋体"/>
                <w:color w:val="auto"/>
                <w:sz w:val="18"/>
                <w:szCs w:val="18"/>
                <w:highlight w:val="none"/>
              </w:rPr>
              <w:t>（GB</w:t>
            </w:r>
            <w:r>
              <w:rPr>
                <w:rFonts w:hint="eastAsia" w:ascii="宋体" w:hAnsi="宋体" w:cs="宋体"/>
                <w:color w:val="auto"/>
                <w:spacing w:val="55"/>
                <w:sz w:val="18"/>
                <w:szCs w:val="18"/>
                <w:highlight w:val="none"/>
              </w:rPr>
              <w:t xml:space="preserve"> </w:t>
            </w:r>
            <w:r>
              <w:rPr>
                <w:rFonts w:hint="eastAsia" w:ascii="宋体" w:hAnsi="宋体" w:cs="宋体"/>
                <w:color w:val="auto"/>
                <w:sz w:val="18"/>
                <w:szCs w:val="18"/>
                <w:highlight w:val="none"/>
              </w:rPr>
              <w:t>21454）</w:t>
            </w:r>
          </w:p>
        </w:tc>
      </w:tr>
      <w:tr w14:paraId="3605C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946" w:type="dxa"/>
            <w:vMerge w:val="continue"/>
            <w:vAlign w:val="center"/>
          </w:tcPr>
          <w:p w14:paraId="35B3D506">
            <w:pPr>
              <w:autoSpaceDE w:val="0"/>
              <w:autoSpaceDN w:val="0"/>
              <w:jc w:val="center"/>
              <w:rPr>
                <w:rFonts w:ascii="宋体" w:hAnsi="宋体" w:cs="宋体"/>
                <w:color w:val="auto"/>
                <w:sz w:val="18"/>
                <w:szCs w:val="18"/>
                <w:highlight w:val="none"/>
              </w:rPr>
            </w:pPr>
          </w:p>
        </w:tc>
        <w:tc>
          <w:tcPr>
            <w:tcW w:w="1662" w:type="dxa"/>
            <w:vMerge w:val="continue"/>
            <w:vAlign w:val="center"/>
          </w:tcPr>
          <w:p w14:paraId="4F001F5F">
            <w:pPr>
              <w:autoSpaceDE w:val="0"/>
              <w:autoSpaceDN w:val="0"/>
              <w:jc w:val="center"/>
              <w:rPr>
                <w:rFonts w:ascii="宋体" w:hAnsi="宋体" w:cs="宋体"/>
                <w:color w:val="auto"/>
                <w:sz w:val="18"/>
                <w:szCs w:val="18"/>
                <w:highlight w:val="none"/>
              </w:rPr>
            </w:pPr>
          </w:p>
        </w:tc>
        <w:tc>
          <w:tcPr>
            <w:tcW w:w="1390" w:type="dxa"/>
            <w:vMerge w:val="continue"/>
            <w:vAlign w:val="center"/>
          </w:tcPr>
          <w:p w14:paraId="52C05155">
            <w:pPr>
              <w:autoSpaceDE w:val="0"/>
              <w:autoSpaceDN w:val="0"/>
              <w:jc w:val="center"/>
              <w:rPr>
                <w:rFonts w:ascii="宋体" w:hAnsi="宋体" w:cs="宋体"/>
                <w:color w:val="auto"/>
                <w:sz w:val="18"/>
                <w:szCs w:val="18"/>
                <w:highlight w:val="none"/>
              </w:rPr>
            </w:pPr>
          </w:p>
        </w:tc>
        <w:tc>
          <w:tcPr>
            <w:tcW w:w="1926" w:type="dxa"/>
            <w:vAlign w:val="center"/>
          </w:tcPr>
          <w:p w14:paraId="36FD1135">
            <w:pPr>
              <w:autoSpaceDE w:val="0"/>
              <w:autoSpaceDN w:val="0"/>
              <w:jc w:val="center"/>
              <w:rPr>
                <w:rFonts w:ascii="宋体" w:hAnsi="宋体" w:cs="宋体"/>
                <w:color w:val="auto"/>
                <w:spacing w:val="8"/>
                <w:sz w:val="18"/>
                <w:szCs w:val="18"/>
                <w:highlight w:val="none"/>
              </w:rPr>
            </w:pPr>
            <w:r>
              <w:rPr>
                <w:rFonts w:hint="eastAsia" w:ascii="宋体" w:hAnsi="宋体" w:cs="宋体"/>
                <w:color w:val="auto"/>
                <w:spacing w:val="35"/>
                <w:sz w:val="18"/>
                <w:szCs w:val="18"/>
                <w:highlight w:val="none"/>
              </w:rPr>
              <w:t>单元式空气调节机（</w:t>
            </w:r>
            <w:r>
              <w:rPr>
                <w:rFonts w:hint="eastAsia" w:ascii="宋体" w:hAnsi="宋体" w:cs="宋体"/>
                <w:color w:val="auto"/>
                <w:sz w:val="18"/>
                <w:szCs w:val="18"/>
                <w:highlight w:val="none"/>
              </w:rPr>
              <w:t>制冷量&gt;14000W)</w:t>
            </w:r>
          </w:p>
        </w:tc>
        <w:tc>
          <w:tcPr>
            <w:tcW w:w="3622" w:type="dxa"/>
            <w:vAlign w:val="center"/>
          </w:tcPr>
          <w:p w14:paraId="2589E43D">
            <w:pPr>
              <w:autoSpaceDE w:val="0"/>
              <w:autoSpaceDN w:val="0"/>
              <w:jc w:val="center"/>
              <w:rPr>
                <w:rFonts w:ascii="宋体" w:hAnsi="宋体" w:cs="宋体"/>
                <w:color w:val="auto"/>
                <w:spacing w:val="9"/>
                <w:sz w:val="18"/>
                <w:szCs w:val="18"/>
                <w:highlight w:val="none"/>
              </w:rPr>
            </w:pPr>
            <w:r>
              <w:rPr>
                <w:rFonts w:hint="eastAsia" w:ascii="宋体" w:hAnsi="宋体" w:cs="宋体"/>
                <w:color w:val="auto"/>
                <w:spacing w:val="9"/>
                <w:sz w:val="18"/>
                <w:szCs w:val="18"/>
                <w:highlight w:val="none"/>
              </w:rPr>
              <w:t>《单元式空气调节机能效限定值</w:t>
            </w:r>
            <w:r>
              <w:rPr>
                <w:rFonts w:hint="eastAsia" w:ascii="宋体" w:hAnsi="宋体" w:cs="宋体"/>
                <w:color w:val="auto"/>
                <w:sz w:val="18"/>
                <w:szCs w:val="18"/>
                <w:highlight w:val="none"/>
              </w:rPr>
              <w:t>及能效等级》（GB</w:t>
            </w:r>
            <w:r>
              <w:rPr>
                <w:rFonts w:hint="eastAsia" w:ascii="宋体" w:hAnsi="宋体" w:cs="宋体"/>
                <w:color w:val="auto"/>
                <w:spacing w:val="41"/>
                <w:sz w:val="18"/>
                <w:szCs w:val="18"/>
                <w:highlight w:val="none"/>
              </w:rPr>
              <w:t xml:space="preserve"> </w:t>
            </w:r>
            <w:r>
              <w:rPr>
                <w:rFonts w:hint="eastAsia" w:ascii="宋体" w:hAnsi="宋体" w:cs="宋体"/>
                <w:color w:val="auto"/>
                <w:sz w:val="18"/>
                <w:szCs w:val="18"/>
                <w:highlight w:val="none"/>
              </w:rPr>
              <w:t>19576）《风管</w:t>
            </w:r>
            <w:r>
              <w:rPr>
                <w:rFonts w:hint="eastAsia" w:ascii="宋体" w:hAnsi="宋体" w:cs="宋体"/>
                <w:color w:val="auto"/>
                <w:spacing w:val="9"/>
                <w:sz w:val="18"/>
                <w:szCs w:val="18"/>
                <w:highlight w:val="none"/>
              </w:rPr>
              <w:t>送风式空调机组能效限定值及能</w:t>
            </w:r>
            <w:r>
              <w:rPr>
                <w:rFonts w:hint="eastAsia" w:ascii="宋体" w:hAnsi="宋体" w:cs="宋体"/>
                <w:color w:val="auto"/>
                <w:sz w:val="18"/>
                <w:szCs w:val="18"/>
                <w:highlight w:val="none"/>
              </w:rPr>
              <w:t>效等级》（GB 37479）</w:t>
            </w:r>
          </w:p>
        </w:tc>
      </w:tr>
      <w:tr w14:paraId="3296E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946" w:type="dxa"/>
            <w:vMerge w:val="continue"/>
            <w:vAlign w:val="center"/>
          </w:tcPr>
          <w:p w14:paraId="165672B2">
            <w:pPr>
              <w:autoSpaceDE w:val="0"/>
              <w:autoSpaceDN w:val="0"/>
              <w:jc w:val="center"/>
              <w:rPr>
                <w:rFonts w:ascii="宋体" w:hAnsi="宋体" w:cs="宋体"/>
                <w:color w:val="auto"/>
                <w:sz w:val="18"/>
                <w:szCs w:val="18"/>
                <w:highlight w:val="none"/>
              </w:rPr>
            </w:pPr>
          </w:p>
        </w:tc>
        <w:tc>
          <w:tcPr>
            <w:tcW w:w="1662" w:type="dxa"/>
            <w:vMerge w:val="continue"/>
            <w:vAlign w:val="center"/>
          </w:tcPr>
          <w:p w14:paraId="0D7ACE57">
            <w:pPr>
              <w:autoSpaceDE w:val="0"/>
              <w:autoSpaceDN w:val="0"/>
              <w:jc w:val="center"/>
              <w:rPr>
                <w:rFonts w:ascii="宋体" w:hAnsi="宋体" w:cs="宋体"/>
                <w:color w:val="auto"/>
                <w:sz w:val="18"/>
                <w:szCs w:val="18"/>
                <w:highlight w:val="none"/>
              </w:rPr>
            </w:pPr>
          </w:p>
        </w:tc>
        <w:tc>
          <w:tcPr>
            <w:tcW w:w="1390" w:type="dxa"/>
            <w:vAlign w:val="center"/>
          </w:tcPr>
          <w:p w14:paraId="3B4A9182">
            <w:pPr>
              <w:autoSpaceDE w:val="0"/>
              <w:autoSpaceDN w:val="0"/>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★A02052309</w:t>
            </w:r>
            <w:r>
              <w:rPr>
                <w:rFonts w:hint="eastAsia" w:ascii="宋体" w:hAnsi="宋体" w:cs="宋体"/>
                <w:color w:val="auto"/>
                <w:spacing w:val="-7"/>
                <w:sz w:val="18"/>
                <w:szCs w:val="18"/>
                <w:highlight w:val="none"/>
              </w:rPr>
              <w:t xml:space="preserve"> 专用制</w:t>
            </w:r>
            <w:r>
              <w:rPr>
                <w:rFonts w:hint="eastAsia" w:ascii="宋体" w:hAnsi="宋体" w:cs="宋体"/>
                <w:color w:val="auto"/>
                <w:sz w:val="18"/>
                <w:szCs w:val="18"/>
                <w:highlight w:val="none"/>
              </w:rPr>
              <w:t>冷、空调设备</w:t>
            </w:r>
          </w:p>
        </w:tc>
        <w:tc>
          <w:tcPr>
            <w:tcW w:w="1926" w:type="dxa"/>
            <w:vAlign w:val="center"/>
          </w:tcPr>
          <w:p w14:paraId="36BD0104">
            <w:pPr>
              <w:autoSpaceDE w:val="0"/>
              <w:autoSpaceDN w:val="0"/>
              <w:jc w:val="center"/>
              <w:rPr>
                <w:rFonts w:ascii="宋体" w:hAnsi="宋体" w:cs="宋体"/>
                <w:color w:val="auto"/>
                <w:spacing w:val="8"/>
                <w:sz w:val="18"/>
                <w:szCs w:val="18"/>
                <w:highlight w:val="none"/>
              </w:rPr>
            </w:pPr>
            <w:r>
              <w:rPr>
                <w:rFonts w:hint="eastAsia" w:ascii="宋体" w:hAnsi="宋体" w:cs="宋体"/>
                <w:color w:val="auto"/>
                <w:sz w:val="18"/>
                <w:szCs w:val="18"/>
                <w:highlight w:val="none"/>
              </w:rPr>
              <w:t>机房空调</w:t>
            </w:r>
          </w:p>
        </w:tc>
        <w:tc>
          <w:tcPr>
            <w:tcW w:w="3622" w:type="dxa"/>
            <w:vAlign w:val="center"/>
          </w:tcPr>
          <w:p w14:paraId="0BDCD9A9">
            <w:pPr>
              <w:autoSpaceDE w:val="0"/>
              <w:autoSpaceDN w:val="0"/>
              <w:jc w:val="center"/>
              <w:rPr>
                <w:rFonts w:ascii="宋体" w:hAnsi="宋体" w:cs="宋体"/>
                <w:color w:val="auto"/>
                <w:spacing w:val="9"/>
                <w:sz w:val="18"/>
                <w:szCs w:val="18"/>
                <w:highlight w:val="none"/>
              </w:rPr>
            </w:pPr>
            <w:r>
              <w:rPr>
                <w:rFonts w:hint="eastAsia" w:ascii="宋体" w:hAnsi="宋体" w:cs="宋体"/>
                <w:color w:val="auto"/>
                <w:spacing w:val="9"/>
                <w:sz w:val="18"/>
                <w:szCs w:val="18"/>
                <w:highlight w:val="none"/>
              </w:rPr>
              <w:t>《单元式空气调节机能效限定值</w:t>
            </w:r>
            <w:r>
              <w:rPr>
                <w:rFonts w:hint="eastAsia" w:ascii="宋体" w:hAnsi="宋体" w:cs="宋体"/>
                <w:color w:val="auto"/>
                <w:sz w:val="18"/>
                <w:szCs w:val="18"/>
                <w:highlight w:val="none"/>
              </w:rPr>
              <w:t>及能效等级》（GB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19576）</w:t>
            </w:r>
          </w:p>
        </w:tc>
      </w:tr>
      <w:tr w14:paraId="467BD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946" w:type="dxa"/>
            <w:vMerge w:val="continue"/>
            <w:vAlign w:val="center"/>
          </w:tcPr>
          <w:p w14:paraId="63522B17">
            <w:pPr>
              <w:autoSpaceDE w:val="0"/>
              <w:autoSpaceDN w:val="0"/>
              <w:jc w:val="center"/>
              <w:rPr>
                <w:rFonts w:ascii="宋体" w:hAnsi="宋体" w:cs="宋体"/>
                <w:color w:val="auto"/>
                <w:sz w:val="18"/>
                <w:szCs w:val="18"/>
                <w:highlight w:val="none"/>
              </w:rPr>
            </w:pPr>
          </w:p>
        </w:tc>
        <w:tc>
          <w:tcPr>
            <w:tcW w:w="1662" w:type="dxa"/>
            <w:vMerge w:val="continue"/>
            <w:vAlign w:val="center"/>
          </w:tcPr>
          <w:p w14:paraId="624C0E69">
            <w:pPr>
              <w:autoSpaceDE w:val="0"/>
              <w:autoSpaceDN w:val="0"/>
              <w:jc w:val="center"/>
              <w:rPr>
                <w:rFonts w:ascii="宋体" w:hAnsi="宋体" w:cs="宋体"/>
                <w:color w:val="auto"/>
                <w:sz w:val="18"/>
                <w:szCs w:val="18"/>
                <w:highlight w:val="none"/>
              </w:rPr>
            </w:pPr>
          </w:p>
        </w:tc>
        <w:tc>
          <w:tcPr>
            <w:tcW w:w="1390" w:type="dxa"/>
            <w:vAlign w:val="center"/>
          </w:tcPr>
          <w:p w14:paraId="1AD1B20E">
            <w:pPr>
              <w:autoSpaceDE w:val="0"/>
              <w:autoSpaceDN w:val="0"/>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A02052399</w:t>
            </w:r>
            <w:r>
              <w:rPr>
                <w:rFonts w:hint="eastAsia" w:ascii="宋体" w:hAnsi="宋体" w:cs="宋体"/>
                <w:color w:val="auto"/>
                <w:spacing w:val="-6"/>
                <w:sz w:val="18"/>
                <w:szCs w:val="18"/>
                <w:highlight w:val="none"/>
              </w:rPr>
              <w:t xml:space="preserve"> 其他制冷</w:t>
            </w:r>
            <w:r>
              <w:rPr>
                <w:rFonts w:hint="eastAsia" w:ascii="宋体" w:hAnsi="宋体" w:cs="宋体"/>
                <w:color w:val="auto"/>
                <w:sz w:val="18"/>
                <w:szCs w:val="18"/>
                <w:highlight w:val="none"/>
              </w:rPr>
              <w:t>空调设备</w:t>
            </w:r>
          </w:p>
        </w:tc>
        <w:tc>
          <w:tcPr>
            <w:tcW w:w="1926" w:type="dxa"/>
            <w:vAlign w:val="center"/>
          </w:tcPr>
          <w:p w14:paraId="79A889BD">
            <w:pPr>
              <w:autoSpaceDE w:val="0"/>
              <w:autoSpaceDN w:val="0"/>
              <w:jc w:val="center"/>
              <w:rPr>
                <w:rFonts w:ascii="宋体" w:hAnsi="宋体" w:cs="宋体"/>
                <w:color w:val="auto"/>
                <w:spacing w:val="8"/>
                <w:sz w:val="18"/>
                <w:szCs w:val="18"/>
                <w:highlight w:val="none"/>
              </w:rPr>
            </w:pPr>
            <w:r>
              <w:rPr>
                <w:rFonts w:hint="eastAsia" w:ascii="宋体" w:hAnsi="宋体" w:cs="宋体"/>
                <w:color w:val="auto"/>
                <w:sz w:val="18"/>
                <w:szCs w:val="18"/>
                <w:highlight w:val="none"/>
              </w:rPr>
              <w:t>冷却塔</w:t>
            </w:r>
          </w:p>
        </w:tc>
        <w:tc>
          <w:tcPr>
            <w:tcW w:w="3622" w:type="dxa"/>
            <w:vAlign w:val="center"/>
          </w:tcPr>
          <w:p w14:paraId="51B922E0">
            <w:pPr>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 xml:space="preserve">《机械通风冷却塔 第 </w:t>
            </w:r>
            <w:r>
              <w:rPr>
                <w:rFonts w:hint="eastAsia" w:ascii="宋体" w:hAnsi="宋体" w:cs="宋体"/>
                <w:color w:val="auto"/>
                <w:sz w:val="18"/>
                <w:szCs w:val="18"/>
                <w:highlight w:val="none"/>
              </w:rPr>
              <w:t>1 部分：中小型开式冷却塔</w:t>
            </w:r>
            <w:r>
              <w:rPr>
                <w:rFonts w:hint="eastAsia" w:ascii="宋体" w:hAnsi="宋体" w:cs="宋体"/>
                <w:color w:val="auto"/>
                <w:spacing w:val="-171"/>
                <w:sz w:val="18"/>
                <w:szCs w:val="18"/>
                <w:highlight w:val="none"/>
              </w:rPr>
              <w:t>》</w:t>
            </w:r>
            <w:r>
              <w:rPr>
                <w:rFonts w:hint="eastAsia" w:ascii="宋体" w:hAnsi="宋体" w:cs="宋体"/>
                <w:color w:val="auto"/>
                <w:spacing w:val="-1"/>
                <w:sz w:val="18"/>
                <w:szCs w:val="18"/>
                <w:highlight w:val="none"/>
              </w:rPr>
              <w:t>（</w:t>
            </w:r>
            <w:r>
              <w:rPr>
                <w:rFonts w:hint="eastAsia" w:ascii="宋体" w:hAnsi="宋体" w:cs="宋体"/>
                <w:color w:val="auto"/>
                <w:spacing w:val="1"/>
                <w:sz w:val="18"/>
                <w:szCs w:val="18"/>
                <w:highlight w:val="none"/>
              </w:rPr>
              <w:t>G</w:t>
            </w:r>
            <w:r>
              <w:rPr>
                <w:rFonts w:hint="eastAsia" w:ascii="宋体" w:hAnsi="宋体" w:cs="宋体"/>
                <w:color w:val="auto"/>
                <w:sz w:val="18"/>
                <w:szCs w:val="18"/>
                <w:highlight w:val="none"/>
              </w:rPr>
              <w:t>B</w:t>
            </w:r>
            <w:r>
              <w:rPr>
                <w:rFonts w:hint="eastAsia" w:ascii="宋体" w:hAnsi="宋体" w:cs="宋体"/>
                <w:color w:val="auto"/>
                <w:spacing w:val="-49"/>
                <w:sz w:val="18"/>
                <w:szCs w:val="18"/>
                <w:highlight w:val="none"/>
              </w:rPr>
              <w:t xml:space="preserve"> </w:t>
            </w:r>
            <w:r>
              <w:rPr>
                <w:rFonts w:hint="eastAsia" w:ascii="宋体" w:hAnsi="宋体" w:cs="宋体"/>
                <w:color w:val="auto"/>
                <w:spacing w:val="1"/>
                <w:sz w:val="18"/>
                <w:szCs w:val="18"/>
                <w:highlight w:val="none"/>
              </w:rPr>
              <w:t>/</w:t>
            </w:r>
            <w:r>
              <w:rPr>
                <w:rFonts w:hint="eastAsia" w:ascii="宋体" w:hAnsi="宋体" w:cs="宋体"/>
                <w:color w:val="auto"/>
                <w:sz w:val="18"/>
                <w:szCs w:val="18"/>
                <w:highlight w:val="none"/>
              </w:rPr>
              <w:t>T</w:t>
            </w:r>
            <w:r>
              <w:rPr>
                <w:rFonts w:hint="eastAsia" w:ascii="宋体" w:hAnsi="宋体" w:cs="宋体"/>
                <w:color w:val="auto"/>
                <w:spacing w:val="-49"/>
                <w:sz w:val="18"/>
                <w:szCs w:val="18"/>
                <w:highlight w:val="none"/>
              </w:rPr>
              <w:t xml:space="preserve"> </w:t>
            </w:r>
            <w:r>
              <w:rPr>
                <w:rFonts w:hint="eastAsia" w:ascii="宋体" w:hAnsi="宋体" w:cs="宋体"/>
                <w:color w:val="auto"/>
                <w:sz w:val="18"/>
                <w:szCs w:val="18"/>
                <w:highlight w:val="none"/>
              </w:rPr>
              <w:t>7190</w:t>
            </w:r>
            <w:r>
              <w:rPr>
                <w:rFonts w:hint="eastAsia" w:ascii="宋体" w:hAnsi="宋体" w:cs="宋体"/>
                <w:color w:val="auto"/>
                <w:spacing w:val="1"/>
                <w:sz w:val="18"/>
                <w:szCs w:val="18"/>
                <w:highlight w:val="none"/>
              </w:rPr>
              <w:t>.1</w:t>
            </w:r>
            <w:r>
              <w:rPr>
                <w:rFonts w:hint="eastAsia" w:ascii="宋体" w:hAnsi="宋体" w:cs="宋体"/>
                <w:color w:val="auto"/>
                <w:spacing w:val="-87"/>
                <w:sz w:val="18"/>
                <w:szCs w:val="18"/>
                <w:highlight w:val="none"/>
              </w:rPr>
              <w:t>）</w:t>
            </w:r>
            <w:r>
              <w:rPr>
                <w:rFonts w:hint="eastAsia" w:ascii="宋体" w:hAnsi="宋体" w:cs="宋体"/>
                <w:color w:val="auto"/>
                <w:sz w:val="18"/>
                <w:szCs w:val="18"/>
                <w:highlight w:val="none"/>
              </w:rPr>
              <w:t>；</w:t>
            </w:r>
            <w:r>
              <w:rPr>
                <w:rFonts w:hint="eastAsia" w:ascii="宋体" w:hAnsi="宋体" w:cs="宋体"/>
                <w:color w:val="auto"/>
                <w:spacing w:val="4"/>
                <w:sz w:val="18"/>
                <w:szCs w:val="18"/>
                <w:highlight w:val="none"/>
              </w:rPr>
              <w:t xml:space="preserve">《机械通风冷却塔 第 </w:t>
            </w:r>
            <w:r>
              <w:rPr>
                <w:rFonts w:hint="eastAsia" w:ascii="宋体" w:hAnsi="宋体" w:cs="宋体"/>
                <w:color w:val="auto"/>
                <w:sz w:val="18"/>
                <w:szCs w:val="18"/>
                <w:highlight w:val="none"/>
              </w:rPr>
              <w:t>2 部分：大型开式冷却塔》（GB</w:t>
            </w:r>
            <w:r>
              <w:rPr>
                <w:rFonts w:hint="eastAsia" w:ascii="宋体" w:hAnsi="宋体" w:cs="宋体"/>
                <w:color w:val="auto"/>
                <w:spacing w:val="-6"/>
                <w:sz w:val="18"/>
                <w:szCs w:val="18"/>
                <w:highlight w:val="none"/>
              </w:rPr>
              <w:t xml:space="preserve"> </w:t>
            </w:r>
            <w:r>
              <w:rPr>
                <w:rFonts w:hint="eastAsia" w:ascii="宋体" w:hAnsi="宋体" w:cs="宋体"/>
                <w:color w:val="auto"/>
                <w:sz w:val="18"/>
                <w:szCs w:val="18"/>
                <w:highlight w:val="none"/>
              </w:rPr>
              <w:t>/T</w:t>
            </w:r>
            <w:r>
              <w:rPr>
                <w:rFonts w:hint="eastAsia" w:ascii="宋体" w:hAnsi="宋体" w:cs="宋体"/>
                <w:color w:val="auto"/>
                <w:spacing w:val="-7"/>
                <w:sz w:val="18"/>
                <w:szCs w:val="18"/>
                <w:highlight w:val="none"/>
              </w:rPr>
              <w:t xml:space="preserve"> </w:t>
            </w:r>
            <w:r>
              <w:rPr>
                <w:rFonts w:hint="eastAsia" w:ascii="宋体" w:hAnsi="宋体" w:cs="宋体"/>
                <w:color w:val="auto"/>
                <w:sz w:val="18"/>
                <w:szCs w:val="18"/>
                <w:highlight w:val="none"/>
              </w:rPr>
              <w:t>7190.2）</w:t>
            </w:r>
          </w:p>
        </w:tc>
      </w:tr>
      <w:tr w14:paraId="10262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Align w:val="center"/>
          </w:tcPr>
          <w:p w14:paraId="181E0011">
            <w:pPr>
              <w:jc w:val="center"/>
              <w:rPr>
                <w:rFonts w:ascii="宋体" w:hAnsi="宋体" w:cs="宋体"/>
                <w:color w:val="auto"/>
                <w:sz w:val="18"/>
                <w:szCs w:val="18"/>
                <w:highlight w:val="none"/>
              </w:rPr>
            </w:pPr>
            <w:r>
              <w:rPr>
                <w:rFonts w:hint="eastAsia" w:ascii="宋体" w:hAnsi="宋体" w:cs="宋体"/>
                <w:color w:val="auto"/>
                <w:sz w:val="18"/>
                <w:szCs w:val="18"/>
                <w:highlight w:val="none"/>
              </w:rPr>
              <w:t>7</w:t>
            </w:r>
          </w:p>
        </w:tc>
        <w:tc>
          <w:tcPr>
            <w:tcW w:w="1662" w:type="dxa"/>
            <w:vAlign w:val="center"/>
          </w:tcPr>
          <w:p w14:paraId="51F53C81">
            <w:pPr>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A020601</w:t>
            </w:r>
            <w:r>
              <w:rPr>
                <w:rFonts w:hint="eastAsia" w:ascii="宋体" w:hAnsi="宋体" w:cs="宋体"/>
                <w:color w:val="auto"/>
                <w:spacing w:val="-20"/>
                <w:sz w:val="18"/>
                <w:szCs w:val="18"/>
                <w:highlight w:val="none"/>
              </w:rPr>
              <w:t xml:space="preserve"> 电机</w:t>
            </w:r>
          </w:p>
        </w:tc>
        <w:tc>
          <w:tcPr>
            <w:tcW w:w="1390" w:type="dxa"/>
            <w:vAlign w:val="center"/>
          </w:tcPr>
          <w:p w14:paraId="481F00C5">
            <w:pPr>
              <w:jc w:val="center"/>
              <w:rPr>
                <w:rFonts w:ascii="宋体" w:hAnsi="宋体" w:cs="宋体"/>
                <w:color w:val="auto"/>
                <w:sz w:val="18"/>
                <w:szCs w:val="18"/>
                <w:highlight w:val="none"/>
              </w:rPr>
            </w:pPr>
          </w:p>
        </w:tc>
        <w:tc>
          <w:tcPr>
            <w:tcW w:w="1926" w:type="dxa"/>
            <w:vAlign w:val="center"/>
          </w:tcPr>
          <w:p w14:paraId="686D7296">
            <w:pPr>
              <w:jc w:val="center"/>
              <w:rPr>
                <w:rFonts w:ascii="宋体" w:hAnsi="宋体" w:cs="宋体"/>
                <w:color w:val="auto"/>
                <w:sz w:val="18"/>
                <w:szCs w:val="18"/>
                <w:highlight w:val="none"/>
              </w:rPr>
            </w:pPr>
          </w:p>
        </w:tc>
        <w:tc>
          <w:tcPr>
            <w:tcW w:w="3622" w:type="dxa"/>
            <w:vAlign w:val="center"/>
          </w:tcPr>
          <w:p w14:paraId="49D1C958">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《中小型三相异步电动机能效限</w:t>
            </w:r>
            <w:r>
              <w:rPr>
                <w:rFonts w:hint="eastAsia" w:ascii="宋体" w:hAnsi="宋体" w:cs="宋体"/>
                <w:color w:val="auto"/>
                <w:sz w:val="18"/>
                <w:szCs w:val="18"/>
                <w:highlight w:val="none"/>
              </w:rPr>
              <w:t>定值及能效等级》（GB 18613）</w:t>
            </w:r>
          </w:p>
        </w:tc>
      </w:tr>
      <w:tr w14:paraId="03615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Align w:val="center"/>
          </w:tcPr>
          <w:p w14:paraId="21E18C8B">
            <w:pPr>
              <w:jc w:val="center"/>
              <w:rPr>
                <w:rFonts w:ascii="宋体" w:hAnsi="宋体" w:cs="宋体"/>
                <w:color w:val="auto"/>
                <w:sz w:val="18"/>
                <w:szCs w:val="18"/>
                <w:highlight w:val="none"/>
              </w:rPr>
            </w:pPr>
            <w:r>
              <w:rPr>
                <w:rFonts w:hint="eastAsia" w:ascii="宋体" w:hAnsi="宋体" w:cs="宋体"/>
                <w:color w:val="auto"/>
                <w:sz w:val="18"/>
                <w:szCs w:val="18"/>
                <w:highlight w:val="none"/>
              </w:rPr>
              <w:t>8</w:t>
            </w:r>
          </w:p>
        </w:tc>
        <w:tc>
          <w:tcPr>
            <w:tcW w:w="1662" w:type="dxa"/>
            <w:vAlign w:val="center"/>
          </w:tcPr>
          <w:p w14:paraId="64D96911">
            <w:pPr>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A020602</w:t>
            </w:r>
            <w:r>
              <w:rPr>
                <w:rFonts w:hint="eastAsia" w:ascii="宋体" w:hAnsi="宋体" w:cs="宋体"/>
                <w:color w:val="auto"/>
                <w:spacing w:val="-20"/>
                <w:sz w:val="18"/>
                <w:szCs w:val="18"/>
                <w:highlight w:val="none"/>
              </w:rPr>
              <w:t xml:space="preserve"> 变 压 </w:t>
            </w:r>
            <w:r>
              <w:rPr>
                <w:rFonts w:hint="eastAsia" w:ascii="宋体" w:hAnsi="宋体" w:cs="宋体"/>
                <w:color w:val="auto"/>
                <w:sz w:val="18"/>
                <w:szCs w:val="18"/>
                <w:highlight w:val="none"/>
              </w:rPr>
              <w:t>器</w:t>
            </w:r>
          </w:p>
        </w:tc>
        <w:tc>
          <w:tcPr>
            <w:tcW w:w="1390" w:type="dxa"/>
            <w:vAlign w:val="center"/>
          </w:tcPr>
          <w:p w14:paraId="03A09057">
            <w:pPr>
              <w:jc w:val="center"/>
              <w:rPr>
                <w:rFonts w:ascii="宋体" w:hAnsi="宋体" w:cs="宋体"/>
                <w:color w:val="auto"/>
                <w:sz w:val="18"/>
                <w:szCs w:val="18"/>
                <w:highlight w:val="none"/>
              </w:rPr>
            </w:pPr>
            <w:r>
              <w:rPr>
                <w:rFonts w:hint="eastAsia" w:ascii="宋体" w:hAnsi="宋体" w:cs="宋体"/>
                <w:color w:val="auto"/>
                <w:sz w:val="18"/>
                <w:szCs w:val="18"/>
                <w:highlight w:val="none"/>
              </w:rPr>
              <w:t>配电变压器</w:t>
            </w:r>
          </w:p>
        </w:tc>
        <w:tc>
          <w:tcPr>
            <w:tcW w:w="1926" w:type="dxa"/>
            <w:vAlign w:val="center"/>
          </w:tcPr>
          <w:p w14:paraId="41CE00F1">
            <w:pPr>
              <w:jc w:val="center"/>
              <w:rPr>
                <w:rFonts w:ascii="宋体" w:hAnsi="宋体" w:cs="宋体"/>
                <w:color w:val="auto"/>
                <w:sz w:val="18"/>
                <w:szCs w:val="18"/>
                <w:highlight w:val="none"/>
              </w:rPr>
            </w:pPr>
          </w:p>
        </w:tc>
        <w:tc>
          <w:tcPr>
            <w:tcW w:w="3622" w:type="dxa"/>
            <w:vAlign w:val="center"/>
          </w:tcPr>
          <w:p w14:paraId="17070541">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《三相配电变压器能效限定值及</w:t>
            </w:r>
            <w:r>
              <w:rPr>
                <w:rFonts w:hint="eastAsia" w:ascii="宋体" w:hAnsi="宋体" w:cs="宋体"/>
                <w:color w:val="auto"/>
                <w:sz w:val="18"/>
                <w:szCs w:val="18"/>
                <w:highlight w:val="none"/>
              </w:rPr>
              <w:t>能效等级》（GB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20052）</w:t>
            </w:r>
          </w:p>
        </w:tc>
      </w:tr>
      <w:tr w14:paraId="582E6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Align w:val="center"/>
          </w:tcPr>
          <w:p w14:paraId="47702429">
            <w:pPr>
              <w:jc w:val="center"/>
              <w:rPr>
                <w:rFonts w:ascii="宋体" w:hAnsi="宋体" w:cs="宋体"/>
                <w:color w:val="auto"/>
                <w:sz w:val="18"/>
                <w:szCs w:val="18"/>
                <w:highlight w:val="none"/>
              </w:rPr>
            </w:pPr>
            <w:r>
              <w:rPr>
                <w:rFonts w:hint="eastAsia" w:ascii="宋体" w:hAnsi="宋体" w:cs="宋体"/>
                <w:color w:val="auto"/>
                <w:sz w:val="18"/>
                <w:szCs w:val="18"/>
                <w:highlight w:val="none"/>
              </w:rPr>
              <w:t>9</w:t>
            </w:r>
          </w:p>
        </w:tc>
        <w:tc>
          <w:tcPr>
            <w:tcW w:w="1662" w:type="dxa"/>
            <w:vAlign w:val="center"/>
          </w:tcPr>
          <w:p w14:paraId="34282611">
            <w:pPr>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★A020609</w:t>
            </w:r>
            <w:r>
              <w:rPr>
                <w:rFonts w:hint="eastAsia" w:ascii="宋体" w:hAnsi="宋体" w:cs="宋体"/>
                <w:color w:val="auto"/>
                <w:spacing w:val="-29"/>
                <w:sz w:val="18"/>
                <w:szCs w:val="18"/>
                <w:highlight w:val="none"/>
              </w:rPr>
              <w:t xml:space="preserve"> 镇 </w:t>
            </w:r>
            <w:r>
              <w:rPr>
                <w:rFonts w:hint="eastAsia" w:ascii="宋体" w:hAnsi="宋体" w:cs="宋体"/>
                <w:color w:val="auto"/>
                <w:sz w:val="18"/>
                <w:szCs w:val="18"/>
                <w:highlight w:val="none"/>
              </w:rPr>
              <w:t>流器</w:t>
            </w:r>
          </w:p>
        </w:tc>
        <w:tc>
          <w:tcPr>
            <w:tcW w:w="1390" w:type="dxa"/>
            <w:vAlign w:val="center"/>
          </w:tcPr>
          <w:p w14:paraId="0349269B">
            <w:pPr>
              <w:jc w:val="center"/>
              <w:rPr>
                <w:rFonts w:ascii="宋体" w:hAnsi="宋体" w:cs="宋体"/>
                <w:color w:val="auto"/>
                <w:sz w:val="18"/>
                <w:szCs w:val="18"/>
                <w:highlight w:val="none"/>
              </w:rPr>
            </w:pPr>
            <w:r>
              <w:rPr>
                <w:rFonts w:hint="eastAsia" w:ascii="宋体" w:hAnsi="宋体" w:cs="宋体"/>
                <w:color w:val="auto"/>
                <w:sz w:val="18"/>
                <w:szCs w:val="18"/>
                <w:highlight w:val="none"/>
              </w:rPr>
              <w:t>管型荧光灯镇流器</w:t>
            </w:r>
          </w:p>
        </w:tc>
        <w:tc>
          <w:tcPr>
            <w:tcW w:w="1926" w:type="dxa"/>
            <w:vAlign w:val="center"/>
          </w:tcPr>
          <w:p w14:paraId="285AC647">
            <w:pPr>
              <w:jc w:val="center"/>
              <w:rPr>
                <w:rFonts w:ascii="宋体" w:hAnsi="宋体" w:cs="宋体"/>
                <w:color w:val="auto"/>
                <w:sz w:val="18"/>
                <w:szCs w:val="18"/>
                <w:highlight w:val="none"/>
              </w:rPr>
            </w:pPr>
          </w:p>
        </w:tc>
        <w:tc>
          <w:tcPr>
            <w:tcW w:w="3622" w:type="dxa"/>
            <w:vAlign w:val="center"/>
          </w:tcPr>
          <w:p w14:paraId="3D754D97">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《管形荧光灯镇流器能效限定值</w:t>
            </w:r>
            <w:r>
              <w:rPr>
                <w:rFonts w:hint="eastAsia" w:ascii="宋体" w:hAnsi="宋体" w:cs="宋体"/>
                <w:color w:val="auto"/>
                <w:sz w:val="18"/>
                <w:szCs w:val="18"/>
                <w:highlight w:val="none"/>
              </w:rPr>
              <w:t>及能效等级》（GB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17896）</w:t>
            </w:r>
          </w:p>
        </w:tc>
      </w:tr>
      <w:tr w14:paraId="6A1D9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restart"/>
            <w:vAlign w:val="center"/>
          </w:tcPr>
          <w:p w14:paraId="06814337">
            <w:pPr>
              <w:jc w:val="center"/>
              <w:rPr>
                <w:rFonts w:ascii="宋体" w:hAnsi="宋体" w:cs="宋体"/>
                <w:color w:val="auto"/>
                <w:sz w:val="18"/>
                <w:szCs w:val="18"/>
                <w:highlight w:val="none"/>
              </w:rPr>
            </w:pPr>
            <w:r>
              <w:rPr>
                <w:rFonts w:hint="eastAsia" w:ascii="宋体" w:hAnsi="宋体" w:cs="宋体"/>
                <w:color w:val="auto"/>
                <w:sz w:val="18"/>
                <w:szCs w:val="18"/>
                <w:highlight w:val="none"/>
              </w:rPr>
              <w:t>10</w:t>
            </w:r>
          </w:p>
        </w:tc>
        <w:tc>
          <w:tcPr>
            <w:tcW w:w="1662" w:type="dxa"/>
            <w:vMerge w:val="restart"/>
            <w:vAlign w:val="center"/>
          </w:tcPr>
          <w:p w14:paraId="27FC40E4">
            <w:pPr>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A020618</w:t>
            </w:r>
            <w:r>
              <w:rPr>
                <w:rFonts w:hint="eastAsia" w:ascii="宋体" w:hAnsi="宋体" w:cs="宋体"/>
                <w:color w:val="auto"/>
                <w:spacing w:val="-20"/>
                <w:sz w:val="18"/>
                <w:szCs w:val="18"/>
                <w:highlight w:val="none"/>
              </w:rPr>
              <w:t xml:space="preserve"> 生活</w:t>
            </w:r>
            <w:r>
              <w:rPr>
                <w:rFonts w:hint="eastAsia" w:ascii="宋体" w:hAnsi="宋体" w:cs="宋体"/>
                <w:color w:val="auto"/>
                <w:sz w:val="18"/>
                <w:szCs w:val="18"/>
                <w:highlight w:val="none"/>
              </w:rPr>
              <w:t>用电器</w:t>
            </w:r>
          </w:p>
        </w:tc>
        <w:tc>
          <w:tcPr>
            <w:tcW w:w="1390" w:type="dxa"/>
            <w:vAlign w:val="center"/>
          </w:tcPr>
          <w:p w14:paraId="13522F3E">
            <w:pPr>
              <w:jc w:val="center"/>
              <w:rPr>
                <w:rFonts w:ascii="宋体" w:hAnsi="宋体" w:cs="宋体"/>
                <w:color w:val="auto"/>
                <w:sz w:val="18"/>
                <w:szCs w:val="18"/>
                <w:highlight w:val="none"/>
              </w:rPr>
            </w:pPr>
            <w:r>
              <w:rPr>
                <w:rFonts w:hint="eastAsia" w:ascii="宋体" w:hAnsi="宋体" w:cs="宋体"/>
                <w:color w:val="auto"/>
                <w:sz w:val="18"/>
                <w:szCs w:val="18"/>
                <w:highlight w:val="none"/>
              </w:rPr>
              <w:t>A0206180101 电冰箱</w:t>
            </w:r>
          </w:p>
        </w:tc>
        <w:tc>
          <w:tcPr>
            <w:tcW w:w="1926" w:type="dxa"/>
            <w:vAlign w:val="center"/>
          </w:tcPr>
          <w:p w14:paraId="52EB0AC8">
            <w:pPr>
              <w:jc w:val="center"/>
              <w:rPr>
                <w:rFonts w:ascii="宋体" w:hAnsi="宋体" w:cs="宋体"/>
                <w:color w:val="auto"/>
                <w:sz w:val="18"/>
                <w:szCs w:val="18"/>
                <w:highlight w:val="none"/>
              </w:rPr>
            </w:pPr>
          </w:p>
        </w:tc>
        <w:tc>
          <w:tcPr>
            <w:tcW w:w="3622" w:type="dxa"/>
            <w:vAlign w:val="center"/>
          </w:tcPr>
          <w:p w14:paraId="1E096969">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《家用电冰箱耗电量限定值及能</w:t>
            </w:r>
            <w:r>
              <w:rPr>
                <w:rFonts w:hint="eastAsia" w:ascii="宋体" w:hAnsi="宋体" w:cs="宋体"/>
                <w:color w:val="auto"/>
                <w:sz w:val="18"/>
                <w:szCs w:val="18"/>
                <w:highlight w:val="none"/>
              </w:rPr>
              <w:t>效等级》（GB</w:t>
            </w:r>
            <w:r>
              <w:rPr>
                <w:rFonts w:hint="eastAsia" w:ascii="宋体" w:hAnsi="宋体" w:cs="宋体"/>
                <w:color w:val="auto"/>
                <w:spacing w:val="2"/>
                <w:sz w:val="18"/>
                <w:szCs w:val="18"/>
                <w:highlight w:val="none"/>
              </w:rPr>
              <w:t xml:space="preserve"> </w:t>
            </w:r>
            <w:r>
              <w:rPr>
                <w:rFonts w:hint="eastAsia" w:ascii="宋体" w:hAnsi="宋体" w:cs="宋体"/>
                <w:color w:val="auto"/>
                <w:sz w:val="18"/>
                <w:szCs w:val="18"/>
                <w:highlight w:val="none"/>
              </w:rPr>
              <w:t>12021.2）</w:t>
            </w:r>
          </w:p>
        </w:tc>
      </w:tr>
      <w:tr w14:paraId="6D19F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946" w:type="dxa"/>
            <w:vMerge w:val="continue"/>
            <w:vAlign w:val="center"/>
          </w:tcPr>
          <w:p w14:paraId="0B4E8FC6">
            <w:pPr>
              <w:autoSpaceDE w:val="0"/>
              <w:autoSpaceDN w:val="0"/>
              <w:jc w:val="center"/>
              <w:rPr>
                <w:rFonts w:ascii="宋体" w:hAnsi="宋体" w:cs="宋体"/>
                <w:color w:val="auto"/>
                <w:sz w:val="18"/>
                <w:szCs w:val="18"/>
                <w:highlight w:val="none"/>
              </w:rPr>
            </w:pPr>
          </w:p>
        </w:tc>
        <w:tc>
          <w:tcPr>
            <w:tcW w:w="1662" w:type="dxa"/>
            <w:vMerge w:val="continue"/>
            <w:vAlign w:val="center"/>
          </w:tcPr>
          <w:p w14:paraId="5FEE5C12">
            <w:pPr>
              <w:autoSpaceDE w:val="0"/>
              <w:autoSpaceDN w:val="0"/>
              <w:jc w:val="center"/>
              <w:rPr>
                <w:rFonts w:ascii="宋体" w:hAnsi="宋体" w:cs="宋体"/>
                <w:color w:val="auto"/>
                <w:sz w:val="18"/>
                <w:szCs w:val="18"/>
                <w:highlight w:val="none"/>
              </w:rPr>
            </w:pPr>
          </w:p>
        </w:tc>
        <w:tc>
          <w:tcPr>
            <w:tcW w:w="1390" w:type="dxa"/>
            <w:vMerge w:val="restart"/>
            <w:vAlign w:val="center"/>
          </w:tcPr>
          <w:p w14:paraId="564F00C5">
            <w:pPr>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★A0206180203</w:t>
            </w:r>
            <w:r>
              <w:rPr>
                <w:rFonts w:hint="eastAsia" w:ascii="宋体" w:hAnsi="宋体" w:cs="宋体"/>
                <w:color w:val="auto"/>
                <w:spacing w:val="-7"/>
                <w:sz w:val="18"/>
                <w:szCs w:val="18"/>
                <w:highlight w:val="none"/>
              </w:rPr>
              <w:t xml:space="preserve"> 空调</w:t>
            </w:r>
            <w:r>
              <w:rPr>
                <w:rFonts w:hint="eastAsia" w:ascii="宋体" w:hAnsi="宋体" w:cs="宋体"/>
                <w:color w:val="auto"/>
                <w:sz w:val="18"/>
                <w:szCs w:val="18"/>
                <w:highlight w:val="none"/>
              </w:rPr>
              <w:t>机</w:t>
            </w:r>
          </w:p>
        </w:tc>
        <w:tc>
          <w:tcPr>
            <w:tcW w:w="1926" w:type="dxa"/>
            <w:vAlign w:val="center"/>
          </w:tcPr>
          <w:p w14:paraId="2FDD646D">
            <w:pPr>
              <w:jc w:val="center"/>
              <w:rPr>
                <w:rFonts w:ascii="宋体" w:hAnsi="宋体" w:cs="宋体"/>
                <w:color w:val="auto"/>
                <w:sz w:val="18"/>
                <w:szCs w:val="18"/>
                <w:highlight w:val="none"/>
              </w:rPr>
            </w:pPr>
            <w:r>
              <w:rPr>
                <w:rFonts w:hint="eastAsia" w:ascii="宋体" w:hAnsi="宋体" w:cs="宋体"/>
                <w:color w:val="auto"/>
                <w:sz w:val="18"/>
                <w:szCs w:val="18"/>
                <w:highlight w:val="none"/>
              </w:rPr>
              <w:t>房间空气调节器</w:t>
            </w:r>
          </w:p>
        </w:tc>
        <w:tc>
          <w:tcPr>
            <w:tcW w:w="3622" w:type="dxa"/>
            <w:vAlign w:val="center"/>
          </w:tcPr>
          <w:p w14:paraId="5B6281C9">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《转速可控型房间空气调节器能</w:t>
            </w:r>
            <w:r>
              <w:rPr>
                <w:rFonts w:hint="eastAsia" w:ascii="宋体" w:hAnsi="宋体" w:cs="宋体"/>
                <w:color w:val="auto"/>
                <w:spacing w:val="-18"/>
                <w:sz w:val="18"/>
                <w:szCs w:val="18"/>
                <w:highlight w:val="none"/>
              </w:rPr>
              <w:t xml:space="preserve">效 限 定 值 及 能 效 等 级》 </w:t>
            </w:r>
            <w:r>
              <w:rPr>
                <w:rFonts w:hint="eastAsia" w:ascii="宋体" w:hAnsi="宋体" w:cs="宋体"/>
                <w:color w:val="auto"/>
                <w:sz w:val="18"/>
                <w:szCs w:val="18"/>
                <w:highlight w:val="none"/>
              </w:rPr>
              <w:t>（ GB</w:t>
            </w:r>
            <w:r>
              <w:rPr>
                <w:rFonts w:hint="eastAsia" w:ascii="宋体" w:hAnsi="宋体" w:cs="宋体"/>
                <w:color w:val="auto"/>
                <w:spacing w:val="-92"/>
                <w:sz w:val="18"/>
                <w:szCs w:val="18"/>
                <w:highlight w:val="none"/>
              </w:rPr>
              <w:t xml:space="preserve"> </w:t>
            </w:r>
            <w:r>
              <w:rPr>
                <w:rFonts w:hint="eastAsia" w:ascii="宋体" w:hAnsi="宋体" w:cs="宋体"/>
                <w:color w:val="auto"/>
                <w:sz w:val="18"/>
                <w:szCs w:val="18"/>
                <w:highlight w:val="none"/>
              </w:rPr>
              <w:t>21455-2013），</w:t>
            </w:r>
            <w:r>
              <w:rPr>
                <w:rFonts w:hint="eastAsia" w:ascii="宋体" w:hAnsi="宋体" w:cs="宋体"/>
                <w:color w:val="auto"/>
                <w:spacing w:val="6"/>
                <w:sz w:val="18"/>
                <w:szCs w:val="18"/>
                <w:highlight w:val="none"/>
              </w:rPr>
              <w:t xml:space="preserve">待 </w:t>
            </w:r>
            <w:r>
              <w:rPr>
                <w:rFonts w:hint="eastAsia" w:ascii="宋体" w:hAnsi="宋体" w:cs="宋体"/>
                <w:color w:val="auto"/>
                <w:sz w:val="18"/>
                <w:szCs w:val="18"/>
                <w:highlight w:val="none"/>
              </w:rPr>
              <w:t>2019</w:t>
            </w:r>
            <w:r>
              <w:rPr>
                <w:rFonts w:hint="eastAsia" w:ascii="宋体" w:hAnsi="宋体" w:cs="宋体"/>
                <w:color w:val="auto"/>
                <w:spacing w:val="2"/>
                <w:sz w:val="18"/>
                <w:szCs w:val="18"/>
                <w:highlight w:val="none"/>
              </w:rPr>
              <w:t xml:space="preserve"> 年修订发</w:t>
            </w:r>
            <w:r>
              <w:rPr>
                <w:rFonts w:hint="eastAsia" w:ascii="宋体" w:hAnsi="宋体" w:cs="宋体"/>
                <w:color w:val="auto"/>
                <w:sz w:val="18"/>
                <w:szCs w:val="18"/>
                <w:highlight w:val="none"/>
              </w:rPr>
              <w:t>布后，按《房间空气调节器能效限</w:t>
            </w:r>
            <w:r>
              <w:rPr>
                <w:rFonts w:hint="eastAsia" w:ascii="宋体" w:hAnsi="宋体" w:cs="宋体"/>
                <w:color w:val="auto"/>
                <w:spacing w:val="-1"/>
                <w:sz w:val="18"/>
                <w:szCs w:val="18"/>
                <w:highlight w:val="none"/>
              </w:rPr>
              <w:t>定值及能效等级</w:t>
            </w:r>
            <w:r>
              <w:rPr>
                <w:rFonts w:hint="eastAsia" w:ascii="宋体" w:hAnsi="宋体" w:cs="宋体"/>
                <w:color w:val="auto"/>
                <w:spacing w:val="-156"/>
                <w:sz w:val="18"/>
                <w:szCs w:val="18"/>
                <w:highlight w:val="none"/>
              </w:rPr>
              <w:t>》</w:t>
            </w:r>
            <w:r>
              <w:rPr>
                <w:rFonts w:hint="eastAsia" w:ascii="宋体" w:hAnsi="宋体" w:cs="宋体"/>
                <w:color w:val="auto"/>
                <w:sz w:val="18"/>
                <w:szCs w:val="18"/>
                <w:highlight w:val="none"/>
              </w:rPr>
              <w:t>（GB21455-2019）实施。</w:t>
            </w:r>
          </w:p>
        </w:tc>
      </w:tr>
      <w:tr w14:paraId="7ADF6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946" w:type="dxa"/>
            <w:vMerge w:val="continue"/>
            <w:vAlign w:val="center"/>
          </w:tcPr>
          <w:p w14:paraId="17BA5638">
            <w:pPr>
              <w:autoSpaceDE w:val="0"/>
              <w:autoSpaceDN w:val="0"/>
              <w:jc w:val="center"/>
              <w:rPr>
                <w:rFonts w:ascii="宋体" w:hAnsi="宋体" w:cs="宋体"/>
                <w:color w:val="auto"/>
                <w:sz w:val="18"/>
                <w:szCs w:val="18"/>
                <w:highlight w:val="none"/>
              </w:rPr>
            </w:pPr>
          </w:p>
        </w:tc>
        <w:tc>
          <w:tcPr>
            <w:tcW w:w="1662" w:type="dxa"/>
            <w:vMerge w:val="continue"/>
            <w:vAlign w:val="center"/>
          </w:tcPr>
          <w:p w14:paraId="628A6866">
            <w:pPr>
              <w:autoSpaceDE w:val="0"/>
              <w:autoSpaceDN w:val="0"/>
              <w:jc w:val="center"/>
              <w:rPr>
                <w:rFonts w:ascii="宋体" w:hAnsi="宋体" w:cs="宋体"/>
                <w:color w:val="auto"/>
                <w:sz w:val="18"/>
                <w:szCs w:val="18"/>
                <w:highlight w:val="none"/>
              </w:rPr>
            </w:pPr>
          </w:p>
        </w:tc>
        <w:tc>
          <w:tcPr>
            <w:tcW w:w="1390" w:type="dxa"/>
            <w:vMerge w:val="continue"/>
            <w:vAlign w:val="center"/>
          </w:tcPr>
          <w:p w14:paraId="72D40AE3">
            <w:pPr>
              <w:autoSpaceDE w:val="0"/>
              <w:autoSpaceDN w:val="0"/>
              <w:jc w:val="center"/>
              <w:rPr>
                <w:rFonts w:ascii="宋体" w:hAnsi="宋体" w:cs="宋体"/>
                <w:color w:val="auto"/>
                <w:sz w:val="18"/>
                <w:szCs w:val="18"/>
                <w:highlight w:val="none"/>
              </w:rPr>
            </w:pPr>
          </w:p>
        </w:tc>
        <w:tc>
          <w:tcPr>
            <w:tcW w:w="1926" w:type="dxa"/>
            <w:vAlign w:val="center"/>
          </w:tcPr>
          <w:p w14:paraId="4BB28DA4">
            <w:pPr>
              <w:jc w:val="center"/>
              <w:rPr>
                <w:rFonts w:ascii="宋体" w:hAnsi="宋体" w:cs="宋体"/>
                <w:color w:val="auto"/>
                <w:sz w:val="18"/>
                <w:szCs w:val="18"/>
                <w:highlight w:val="none"/>
              </w:rPr>
            </w:pPr>
            <w:r>
              <w:rPr>
                <w:rFonts w:hint="eastAsia" w:ascii="宋体" w:hAnsi="宋体" w:cs="宋体"/>
                <w:color w:val="auto"/>
                <w:spacing w:val="11"/>
                <w:sz w:val="18"/>
                <w:szCs w:val="18"/>
                <w:highlight w:val="none"/>
              </w:rPr>
              <w:t>多联式空调（</w:t>
            </w:r>
            <w:r>
              <w:rPr>
                <w:rFonts w:hint="eastAsia" w:ascii="宋体" w:hAnsi="宋体" w:cs="宋体"/>
                <w:color w:val="auto"/>
                <w:spacing w:val="12"/>
                <w:sz w:val="18"/>
                <w:szCs w:val="18"/>
                <w:highlight w:val="none"/>
              </w:rPr>
              <w:t>热泵</w:t>
            </w:r>
            <w:r>
              <w:rPr>
                <w:rFonts w:hint="eastAsia" w:ascii="宋体" w:hAnsi="宋体" w:cs="宋体"/>
                <w:color w:val="auto"/>
                <w:sz w:val="18"/>
                <w:szCs w:val="18"/>
                <w:highlight w:val="none"/>
              </w:rPr>
              <w:t>）</w:t>
            </w:r>
            <w:r>
              <w:rPr>
                <w:rFonts w:hint="eastAsia" w:ascii="宋体" w:hAnsi="宋体" w:cs="宋体"/>
                <w:color w:val="auto"/>
                <w:spacing w:val="-12"/>
                <w:sz w:val="18"/>
                <w:szCs w:val="18"/>
                <w:highlight w:val="none"/>
              </w:rPr>
              <w:t xml:space="preserve">机 组 </w:t>
            </w:r>
            <w:r>
              <w:rPr>
                <w:rFonts w:hint="eastAsia" w:ascii="宋体" w:hAnsi="宋体" w:cs="宋体"/>
                <w:color w:val="auto"/>
                <w:sz w:val="18"/>
                <w:szCs w:val="18"/>
                <w:highlight w:val="none"/>
              </w:rPr>
              <w:t>（</w:t>
            </w:r>
            <w:r>
              <w:rPr>
                <w:rFonts w:hint="eastAsia" w:ascii="宋体" w:hAnsi="宋体" w:cs="宋体"/>
                <w:color w:val="auto"/>
                <w:spacing w:val="-13"/>
                <w:sz w:val="18"/>
                <w:szCs w:val="18"/>
                <w:highlight w:val="none"/>
              </w:rPr>
              <w:t xml:space="preserve"> 制 冷 量 ≤</w:t>
            </w:r>
            <w:r>
              <w:rPr>
                <w:rFonts w:hint="eastAsia" w:ascii="宋体" w:hAnsi="宋体" w:cs="宋体"/>
                <w:color w:val="auto"/>
                <w:spacing w:val="-97"/>
                <w:sz w:val="18"/>
                <w:szCs w:val="18"/>
                <w:highlight w:val="none"/>
              </w:rPr>
              <w:t xml:space="preserve"> </w:t>
            </w:r>
            <w:r>
              <w:rPr>
                <w:rFonts w:hint="eastAsia" w:ascii="宋体" w:hAnsi="宋体" w:cs="宋体"/>
                <w:color w:val="auto"/>
                <w:sz w:val="18"/>
                <w:szCs w:val="18"/>
                <w:highlight w:val="none"/>
              </w:rPr>
              <w:t>14000W）</w:t>
            </w:r>
          </w:p>
        </w:tc>
        <w:tc>
          <w:tcPr>
            <w:tcW w:w="3622" w:type="dxa"/>
            <w:vAlign w:val="center"/>
          </w:tcPr>
          <w:p w14:paraId="1BF0AB11">
            <w:pPr>
              <w:jc w:val="center"/>
              <w:rPr>
                <w:rFonts w:ascii="宋体" w:hAnsi="宋体" w:cs="宋体"/>
                <w:color w:val="auto"/>
                <w:sz w:val="18"/>
                <w:szCs w:val="18"/>
                <w:highlight w:val="none"/>
              </w:rPr>
            </w:pPr>
            <w:r>
              <w:rPr>
                <w:rFonts w:hint="eastAsia" w:ascii="宋体" w:hAnsi="宋体" w:cs="宋体"/>
                <w:color w:val="auto"/>
                <w:sz w:val="18"/>
                <w:szCs w:val="18"/>
                <w:highlight w:val="none"/>
              </w:rPr>
              <w:t>《多联式空调（热泵）机组能效限</w:t>
            </w:r>
            <w:r>
              <w:rPr>
                <w:rFonts w:hint="eastAsia" w:ascii="宋体" w:hAnsi="宋体" w:cs="宋体"/>
                <w:color w:val="auto"/>
                <w:spacing w:val="-11"/>
                <w:sz w:val="18"/>
                <w:szCs w:val="18"/>
                <w:highlight w:val="none"/>
              </w:rPr>
              <w:t>定值及能源效率等级》</w:t>
            </w:r>
            <w:r>
              <w:rPr>
                <w:rFonts w:hint="eastAsia" w:ascii="宋体" w:hAnsi="宋体" w:cs="宋体"/>
                <w:color w:val="auto"/>
                <w:sz w:val="18"/>
                <w:szCs w:val="18"/>
                <w:highlight w:val="none"/>
              </w:rPr>
              <w:t>（GB</w:t>
            </w:r>
            <w:r>
              <w:rPr>
                <w:rFonts w:hint="eastAsia" w:ascii="宋体" w:hAnsi="宋体" w:cs="宋体"/>
                <w:color w:val="auto"/>
                <w:spacing w:val="55"/>
                <w:sz w:val="18"/>
                <w:szCs w:val="18"/>
                <w:highlight w:val="none"/>
              </w:rPr>
              <w:t xml:space="preserve"> </w:t>
            </w:r>
            <w:r>
              <w:rPr>
                <w:rFonts w:hint="eastAsia" w:ascii="宋体" w:hAnsi="宋体" w:cs="宋体"/>
                <w:color w:val="auto"/>
                <w:sz w:val="18"/>
                <w:szCs w:val="18"/>
                <w:highlight w:val="none"/>
              </w:rPr>
              <w:t>21454）</w:t>
            </w:r>
          </w:p>
        </w:tc>
      </w:tr>
      <w:tr w14:paraId="74F59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946" w:type="dxa"/>
            <w:vMerge w:val="continue"/>
            <w:vAlign w:val="center"/>
          </w:tcPr>
          <w:p w14:paraId="6686DB1B">
            <w:pPr>
              <w:autoSpaceDE w:val="0"/>
              <w:autoSpaceDN w:val="0"/>
              <w:jc w:val="center"/>
              <w:rPr>
                <w:rFonts w:ascii="宋体" w:hAnsi="宋体" w:cs="宋体"/>
                <w:color w:val="auto"/>
                <w:sz w:val="18"/>
                <w:szCs w:val="18"/>
                <w:highlight w:val="none"/>
              </w:rPr>
            </w:pPr>
          </w:p>
        </w:tc>
        <w:tc>
          <w:tcPr>
            <w:tcW w:w="1662" w:type="dxa"/>
            <w:vMerge w:val="continue"/>
            <w:vAlign w:val="center"/>
          </w:tcPr>
          <w:p w14:paraId="5E908056">
            <w:pPr>
              <w:autoSpaceDE w:val="0"/>
              <w:autoSpaceDN w:val="0"/>
              <w:jc w:val="center"/>
              <w:rPr>
                <w:rFonts w:ascii="宋体" w:hAnsi="宋体" w:cs="宋体"/>
                <w:color w:val="auto"/>
                <w:sz w:val="18"/>
                <w:szCs w:val="18"/>
                <w:highlight w:val="none"/>
              </w:rPr>
            </w:pPr>
          </w:p>
        </w:tc>
        <w:tc>
          <w:tcPr>
            <w:tcW w:w="1390" w:type="dxa"/>
            <w:vMerge w:val="continue"/>
            <w:vAlign w:val="center"/>
          </w:tcPr>
          <w:p w14:paraId="689841CD">
            <w:pPr>
              <w:autoSpaceDE w:val="0"/>
              <w:autoSpaceDN w:val="0"/>
              <w:jc w:val="center"/>
              <w:rPr>
                <w:rFonts w:ascii="宋体" w:hAnsi="宋体" w:cs="宋体"/>
                <w:color w:val="auto"/>
                <w:sz w:val="18"/>
                <w:szCs w:val="18"/>
                <w:highlight w:val="none"/>
              </w:rPr>
            </w:pPr>
          </w:p>
        </w:tc>
        <w:tc>
          <w:tcPr>
            <w:tcW w:w="1926" w:type="dxa"/>
            <w:vAlign w:val="center"/>
          </w:tcPr>
          <w:p w14:paraId="34213827">
            <w:pPr>
              <w:jc w:val="center"/>
              <w:rPr>
                <w:rFonts w:ascii="宋体" w:hAnsi="宋体" w:cs="宋体"/>
                <w:color w:val="auto"/>
                <w:sz w:val="18"/>
                <w:szCs w:val="18"/>
                <w:highlight w:val="none"/>
              </w:rPr>
            </w:pPr>
            <w:r>
              <w:rPr>
                <w:rFonts w:hint="eastAsia" w:ascii="宋体" w:hAnsi="宋体" w:cs="宋体"/>
                <w:color w:val="auto"/>
                <w:spacing w:val="35"/>
                <w:sz w:val="18"/>
                <w:szCs w:val="18"/>
                <w:highlight w:val="none"/>
              </w:rPr>
              <w:t>单元式空气调节机（</w:t>
            </w:r>
            <w:r>
              <w:rPr>
                <w:rFonts w:hint="eastAsia" w:ascii="宋体" w:hAnsi="宋体" w:cs="宋体"/>
                <w:color w:val="auto"/>
                <w:sz w:val="18"/>
                <w:szCs w:val="18"/>
                <w:highlight w:val="none"/>
              </w:rPr>
              <w:t>制冷量≤14000W)</w:t>
            </w:r>
          </w:p>
        </w:tc>
        <w:tc>
          <w:tcPr>
            <w:tcW w:w="3622" w:type="dxa"/>
            <w:vAlign w:val="center"/>
          </w:tcPr>
          <w:p w14:paraId="79741279">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《单元式空气调节机能效限定值</w:t>
            </w:r>
            <w:r>
              <w:rPr>
                <w:rFonts w:hint="eastAsia" w:ascii="宋体" w:hAnsi="宋体" w:cs="宋体"/>
                <w:color w:val="auto"/>
                <w:spacing w:val="-13"/>
                <w:sz w:val="18"/>
                <w:szCs w:val="18"/>
                <w:highlight w:val="none"/>
              </w:rPr>
              <w:t>及能源效率等级》</w:t>
            </w: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G</w:t>
            </w:r>
            <w:r>
              <w:rPr>
                <w:rFonts w:hint="eastAsia" w:ascii="宋体" w:hAnsi="宋体" w:cs="宋体"/>
                <w:color w:val="auto"/>
                <w:sz w:val="18"/>
                <w:szCs w:val="18"/>
                <w:highlight w:val="none"/>
              </w:rPr>
              <w:t>B</w:t>
            </w:r>
            <w:r>
              <w:rPr>
                <w:rFonts w:hint="eastAsia" w:ascii="宋体" w:hAnsi="宋体" w:cs="宋体"/>
                <w:color w:val="auto"/>
                <w:spacing w:val="-49"/>
                <w:sz w:val="18"/>
                <w:szCs w:val="18"/>
                <w:highlight w:val="none"/>
              </w:rPr>
              <w:t xml:space="preserve"> </w:t>
            </w:r>
            <w:r>
              <w:rPr>
                <w:rFonts w:hint="eastAsia" w:ascii="宋体" w:hAnsi="宋体" w:cs="宋体"/>
                <w:color w:val="auto"/>
                <w:spacing w:val="1"/>
                <w:sz w:val="18"/>
                <w:szCs w:val="18"/>
                <w:highlight w:val="none"/>
              </w:rPr>
              <w:t>195</w:t>
            </w:r>
            <w:r>
              <w:rPr>
                <w:rFonts w:hint="eastAsia" w:ascii="宋体" w:hAnsi="宋体" w:cs="宋体"/>
                <w:color w:val="auto"/>
                <w:sz w:val="18"/>
                <w:szCs w:val="18"/>
                <w:highlight w:val="none"/>
              </w:rPr>
              <w:t>7</w:t>
            </w:r>
            <w:r>
              <w:rPr>
                <w:rFonts w:hint="eastAsia" w:ascii="宋体" w:hAnsi="宋体" w:cs="宋体"/>
                <w:color w:val="auto"/>
                <w:spacing w:val="-3"/>
                <w:sz w:val="18"/>
                <w:szCs w:val="18"/>
                <w:highlight w:val="none"/>
              </w:rPr>
              <w:t>6</w:t>
            </w:r>
            <w:r>
              <w:rPr>
                <w:rFonts w:hint="eastAsia" w:ascii="宋体" w:hAnsi="宋体" w:cs="宋体"/>
                <w:color w:val="auto"/>
                <w:spacing w:val="-104"/>
                <w:sz w:val="18"/>
                <w:szCs w:val="18"/>
                <w:highlight w:val="none"/>
              </w:rPr>
              <w:t>）</w:t>
            </w:r>
            <w:r>
              <w:rPr>
                <w:rFonts w:hint="eastAsia" w:ascii="宋体" w:hAnsi="宋体" w:cs="宋体"/>
                <w:color w:val="auto"/>
                <w:spacing w:val="-6"/>
                <w:sz w:val="18"/>
                <w:szCs w:val="18"/>
                <w:highlight w:val="none"/>
              </w:rPr>
              <w:t>《风</w:t>
            </w:r>
            <w:r>
              <w:rPr>
                <w:rFonts w:hint="eastAsia" w:ascii="宋体" w:hAnsi="宋体" w:cs="宋体"/>
                <w:color w:val="auto"/>
                <w:spacing w:val="9"/>
                <w:sz w:val="18"/>
                <w:szCs w:val="18"/>
                <w:highlight w:val="none"/>
              </w:rPr>
              <w:t>管送风式空调机组能效限定值及</w:t>
            </w:r>
            <w:r>
              <w:rPr>
                <w:rFonts w:hint="eastAsia" w:ascii="宋体" w:hAnsi="宋体" w:cs="宋体"/>
                <w:color w:val="auto"/>
                <w:sz w:val="18"/>
                <w:szCs w:val="18"/>
                <w:highlight w:val="none"/>
              </w:rPr>
              <w:t>能效等级》（GB</w:t>
            </w:r>
            <w:r>
              <w:rPr>
                <w:rFonts w:hint="eastAsia" w:ascii="宋体" w:hAnsi="宋体" w:cs="宋体"/>
                <w:color w:val="auto"/>
                <w:spacing w:val="-2"/>
                <w:sz w:val="18"/>
                <w:szCs w:val="18"/>
                <w:highlight w:val="none"/>
              </w:rPr>
              <w:t xml:space="preserve"> </w:t>
            </w:r>
            <w:r>
              <w:rPr>
                <w:rFonts w:hint="eastAsia" w:ascii="宋体" w:hAnsi="宋体" w:cs="宋体"/>
                <w:color w:val="auto"/>
                <w:sz w:val="18"/>
                <w:szCs w:val="18"/>
                <w:highlight w:val="none"/>
              </w:rPr>
              <w:t>37479）</w:t>
            </w:r>
          </w:p>
        </w:tc>
      </w:tr>
      <w:tr w14:paraId="637E0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0BE6A02B">
            <w:pPr>
              <w:autoSpaceDE w:val="0"/>
              <w:autoSpaceDN w:val="0"/>
              <w:jc w:val="center"/>
              <w:rPr>
                <w:rFonts w:ascii="宋体" w:hAnsi="宋体" w:cs="宋体"/>
                <w:color w:val="auto"/>
                <w:sz w:val="18"/>
                <w:szCs w:val="18"/>
                <w:highlight w:val="none"/>
              </w:rPr>
            </w:pPr>
          </w:p>
        </w:tc>
        <w:tc>
          <w:tcPr>
            <w:tcW w:w="1662" w:type="dxa"/>
            <w:vMerge w:val="continue"/>
            <w:vAlign w:val="center"/>
          </w:tcPr>
          <w:p w14:paraId="299B4480">
            <w:pPr>
              <w:autoSpaceDE w:val="0"/>
              <w:autoSpaceDN w:val="0"/>
              <w:jc w:val="center"/>
              <w:rPr>
                <w:rFonts w:ascii="宋体" w:hAnsi="宋体" w:cs="宋体"/>
                <w:color w:val="auto"/>
                <w:sz w:val="18"/>
                <w:szCs w:val="18"/>
                <w:highlight w:val="none"/>
              </w:rPr>
            </w:pPr>
          </w:p>
        </w:tc>
        <w:tc>
          <w:tcPr>
            <w:tcW w:w="1390" w:type="dxa"/>
            <w:vAlign w:val="center"/>
          </w:tcPr>
          <w:p w14:paraId="449FA2CA">
            <w:pPr>
              <w:jc w:val="center"/>
              <w:rPr>
                <w:rFonts w:ascii="宋体" w:hAnsi="宋体" w:cs="宋体"/>
                <w:color w:val="auto"/>
                <w:sz w:val="18"/>
                <w:szCs w:val="18"/>
                <w:highlight w:val="none"/>
              </w:rPr>
            </w:pPr>
            <w:r>
              <w:rPr>
                <w:rFonts w:hint="eastAsia" w:ascii="宋体" w:hAnsi="宋体" w:cs="宋体"/>
                <w:color w:val="auto"/>
                <w:sz w:val="18"/>
                <w:szCs w:val="18"/>
                <w:highlight w:val="none"/>
              </w:rPr>
              <w:t>A0206180301 洗衣机</w:t>
            </w:r>
          </w:p>
        </w:tc>
        <w:tc>
          <w:tcPr>
            <w:tcW w:w="1926" w:type="dxa"/>
            <w:vAlign w:val="center"/>
          </w:tcPr>
          <w:p w14:paraId="3B34F361">
            <w:pPr>
              <w:jc w:val="center"/>
              <w:rPr>
                <w:rFonts w:ascii="宋体" w:hAnsi="宋体" w:cs="宋体"/>
                <w:color w:val="auto"/>
                <w:sz w:val="18"/>
                <w:szCs w:val="18"/>
                <w:highlight w:val="none"/>
              </w:rPr>
            </w:pPr>
          </w:p>
        </w:tc>
        <w:tc>
          <w:tcPr>
            <w:tcW w:w="3622" w:type="dxa"/>
            <w:vAlign w:val="center"/>
          </w:tcPr>
          <w:p w14:paraId="79699B77">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《电动洗衣机能效水效限定值及</w:t>
            </w:r>
            <w:r>
              <w:rPr>
                <w:rFonts w:hint="eastAsia" w:ascii="宋体" w:hAnsi="宋体" w:cs="宋体"/>
                <w:color w:val="auto"/>
                <w:sz w:val="18"/>
                <w:szCs w:val="18"/>
                <w:highlight w:val="none"/>
              </w:rPr>
              <w:t>等级》（GB 12021.4）</w:t>
            </w:r>
          </w:p>
        </w:tc>
      </w:tr>
      <w:tr w14:paraId="4B257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75A531F8">
            <w:pPr>
              <w:jc w:val="center"/>
              <w:rPr>
                <w:rFonts w:ascii="宋体" w:hAnsi="宋体" w:cs="宋体"/>
                <w:color w:val="auto"/>
                <w:sz w:val="18"/>
                <w:szCs w:val="18"/>
                <w:highlight w:val="none"/>
              </w:rPr>
            </w:pPr>
          </w:p>
        </w:tc>
        <w:tc>
          <w:tcPr>
            <w:tcW w:w="1662" w:type="dxa"/>
            <w:vMerge w:val="continue"/>
            <w:vAlign w:val="center"/>
          </w:tcPr>
          <w:p w14:paraId="5D7AF652">
            <w:pPr>
              <w:jc w:val="center"/>
              <w:rPr>
                <w:rFonts w:ascii="宋体" w:hAnsi="宋体" w:cs="宋体"/>
                <w:color w:val="auto"/>
                <w:sz w:val="18"/>
                <w:szCs w:val="18"/>
                <w:highlight w:val="none"/>
              </w:rPr>
            </w:pPr>
          </w:p>
        </w:tc>
        <w:tc>
          <w:tcPr>
            <w:tcW w:w="1390" w:type="dxa"/>
            <w:vMerge w:val="restart"/>
            <w:vAlign w:val="center"/>
          </w:tcPr>
          <w:p w14:paraId="5148921D">
            <w:pPr>
              <w:jc w:val="center"/>
              <w:rPr>
                <w:rFonts w:ascii="宋体" w:hAnsi="宋体" w:cs="宋体"/>
                <w:color w:val="auto"/>
                <w:sz w:val="18"/>
                <w:szCs w:val="18"/>
                <w:highlight w:val="none"/>
              </w:rPr>
            </w:pPr>
            <w:r>
              <w:rPr>
                <w:rFonts w:hint="eastAsia" w:ascii="宋体" w:hAnsi="宋体" w:cs="宋体"/>
                <w:color w:val="auto"/>
                <w:sz w:val="18"/>
                <w:szCs w:val="18"/>
                <w:highlight w:val="none"/>
              </w:rPr>
              <w:t>A02061808</w:t>
            </w:r>
            <w:r>
              <w:rPr>
                <w:rFonts w:hint="eastAsia" w:ascii="宋体" w:hAnsi="宋体" w:cs="宋体"/>
                <w:color w:val="auto"/>
                <w:spacing w:val="-8"/>
                <w:sz w:val="18"/>
                <w:szCs w:val="18"/>
                <w:highlight w:val="none"/>
              </w:rPr>
              <w:t xml:space="preserve"> 热水器</w:t>
            </w:r>
          </w:p>
        </w:tc>
        <w:tc>
          <w:tcPr>
            <w:tcW w:w="1926" w:type="dxa"/>
            <w:vAlign w:val="center"/>
          </w:tcPr>
          <w:p w14:paraId="681A32B5">
            <w:pPr>
              <w:jc w:val="center"/>
              <w:rPr>
                <w:rFonts w:ascii="宋体" w:hAnsi="宋体" w:cs="宋体"/>
                <w:color w:val="auto"/>
                <w:sz w:val="18"/>
                <w:szCs w:val="18"/>
                <w:highlight w:val="none"/>
              </w:rPr>
            </w:pPr>
            <w:r>
              <w:rPr>
                <w:rFonts w:hint="eastAsia" w:ascii="宋体" w:hAnsi="宋体" w:cs="宋体"/>
                <w:color w:val="auto"/>
                <w:sz w:val="18"/>
                <w:szCs w:val="18"/>
                <w:highlight w:val="none"/>
              </w:rPr>
              <w:t>★电热水器</w:t>
            </w:r>
          </w:p>
        </w:tc>
        <w:tc>
          <w:tcPr>
            <w:tcW w:w="3622" w:type="dxa"/>
            <w:vAlign w:val="center"/>
          </w:tcPr>
          <w:p w14:paraId="5018313B">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《储水式电热水器能效限定值及</w:t>
            </w:r>
            <w:r>
              <w:rPr>
                <w:rFonts w:hint="eastAsia" w:ascii="宋体" w:hAnsi="宋体" w:cs="宋体"/>
                <w:color w:val="auto"/>
                <w:sz w:val="18"/>
                <w:szCs w:val="18"/>
                <w:highlight w:val="none"/>
              </w:rPr>
              <w:t>能效等级》（GB</w:t>
            </w:r>
            <w:r>
              <w:rPr>
                <w:rFonts w:hint="eastAsia" w:ascii="宋体" w:hAnsi="宋体" w:cs="宋体"/>
                <w:color w:val="auto"/>
                <w:spacing w:val="2"/>
                <w:sz w:val="18"/>
                <w:szCs w:val="18"/>
                <w:highlight w:val="none"/>
              </w:rPr>
              <w:t xml:space="preserve"> </w:t>
            </w:r>
            <w:r>
              <w:rPr>
                <w:rFonts w:hint="eastAsia" w:ascii="宋体" w:hAnsi="宋体" w:cs="宋体"/>
                <w:color w:val="auto"/>
                <w:sz w:val="18"/>
                <w:szCs w:val="18"/>
                <w:highlight w:val="none"/>
              </w:rPr>
              <w:t>21519）</w:t>
            </w:r>
          </w:p>
        </w:tc>
      </w:tr>
      <w:tr w14:paraId="66AA5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7786FF51">
            <w:pPr>
              <w:autoSpaceDE w:val="0"/>
              <w:autoSpaceDN w:val="0"/>
              <w:jc w:val="center"/>
              <w:rPr>
                <w:rFonts w:ascii="宋体" w:hAnsi="宋体" w:cs="宋体"/>
                <w:color w:val="auto"/>
                <w:sz w:val="18"/>
                <w:szCs w:val="18"/>
                <w:highlight w:val="none"/>
              </w:rPr>
            </w:pPr>
          </w:p>
        </w:tc>
        <w:tc>
          <w:tcPr>
            <w:tcW w:w="1662" w:type="dxa"/>
            <w:vMerge w:val="continue"/>
            <w:vAlign w:val="center"/>
          </w:tcPr>
          <w:p w14:paraId="10FDB27A">
            <w:pPr>
              <w:autoSpaceDE w:val="0"/>
              <w:autoSpaceDN w:val="0"/>
              <w:jc w:val="center"/>
              <w:rPr>
                <w:rFonts w:ascii="宋体" w:hAnsi="宋体" w:cs="宋体"/>
                <w:color w:val="auto"/>
                <w:sz w:val="18"/>
                <w:szCs w:val="18"/>
                <w:highlight w:val="none"/>
              </w:rPr>
            </w:pPr>
          </w:p>
        </w:tc>
        <w:tc>
          <w:tcPr>
            <w:tcW w:w="1390" w:type="dxa"/>
            <w:vMerge w:val="continue"/>
            <w:vAlign w:val="center"/>
          </w:tcPr>
          <w:p w14:paraId="6FB4A319">
            <w:pPr>
              <w:autoSpaceDE w:val="0"/>
              <w:autoSpaceDN w:val="0"/>
              <w:jc w:val="center"/>
              <w:rPr>
                <w:rFonts w:ascii="宋体" w:hAnsi="宋体" w:cs="宋体"/>
                <w:color w:val="auto"/>
                <w:sz w:val="18"/>
                <w:szCs w:val="18"/>
                <w:highlight w:val="none"/>
              </w:rPr>
            </w:pPr>
          </w:p>
        </w:tc>
        <w:tc>
          <w:tcPr>
            <w:tcW w:w="1926" w:type="dxa"/>
            <w:vAlign w:val="center"/>
          </w:tcPr>
          <w:p w14:paraId="7FE1D96F">
            <w:pPr>
              <w:jc w:val="center"/>
              <w:rPr>
                <w:rFonts w:ascii="宋体" w:hAnsi="宋体" w:cs="宋体"/>
                <w:color w:val="auto"/>
                <w:sz w:val="18"/>
                <w:szCs w:val="18"/>
                <w:highlight w:val="none"/>
              </w:rPr>
            </w:pPr>
            <w:r>
              <w:rPr>
                <w:rFonts w:hint="eastAsia" w:ascii="宋体" w:hAnsi="宋体" w:cs="宋体"/>
                <w:color w:val="auto"/>
                <w:sz w:val="18"/>
                <w:szCs w:val="18"/>
                <w:highlight w:val="none"/>
              </w:rPr>
              <w:t>燃气热水器</w:t>
            </w:r>
          </w:p>
        </w:tc>
        <w:tc>
          <w:tcPr>
            <w:tcW w:w="3622" w:type="dxa"/>
            <w:vAlign w:val="center"/>
          </w:tcPr>
          <w:p w14:paraId="165F7222">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《家用燃气快速热水器和燃气采</w:t>
            </w:r>
            <w:r>
              <w:rPr>
                <w:rFonts w:hint="eastAsia" w:ascii="宋体" w:hAnsi="宋体" w:cs="宋体"/>
                <w:color w:val="auto"/>
                <w:spacing w:val="-1"/>
                <w:sz w:val="18"/>
                <w:szCs w:val="18"/>
                <w:highlight w:val="none"/>
              </w:rPr>
              <w:t>暖热水炉能效限定值及能效等级》</w:t>
            </w:r>
            <w:r>
              <w:rPr>
                <w:rFonts w:hint="eastAsia" w:ascii="宋体" w:hAnsi="宋体" w:cs="宋体"/>
                <w:color w:val="auto"/>
                <w:sz w:val="18"/>
                <w:szCs w:val="18"/>
                <w:highlight w:val="none"/>
              </w:rPr>
              <w:t>（GB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20665）</w:t>
            </w:r>
          </w:p>
        </w:tc>
      </w:tr>
      <w:tr w14:paraId="66D3C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2EF6289D">
            <w:pPr>
              <w:autoSpaceDE w:val="0"/>
              <w:autoSpaceDN w:val="0"/>
              <w:jc w:val="center"/>
              <w:rPr>
                <w:rFonts w:ascii="宋体" w:hAnsi="宋体" w:cs="宋体"/>
                <w:color w:val="auto"/>
                <w:sz w:val="18"/>
                <w:szCs w:val="18"/>
                <w:highlight w:val="none"/>
              </w:rPr>
            </w:pPr>
          </w:p>
        </w:tc>
        <w:tc>
          <w:tcPr>
            <w:tcW w:w="1662" w:type="dxa"/>
            <w:vMerge w:val="continue"/>
            <w:vAlign w:val="center"/>
          </w:tcPr>
          <w:p w14:paraId="3480E488">
            <w:pPr>
              <w:autoSpaceDE w:val="0"/>
              <w:autoSpaceDN w:val="0"/>
              <w:jc w:val="center"/>
              <w:rPr>
                <w:rFonts w:ascii="宋体" w:hAnsi="宋体" w:cs="宋体"/>
                <w:color w:val="auto"/>
                <w:sz w:val="18"/>
                <w:szCs w:val="18"/>
                <w:highlight w:val="none"/>
              </w:rPr>
            </w:pPr>
          </w:p>
        </w:tc>
        <w:tc>
          <w:tcPr>
            <w:tcW w:w="1390" w:type="dxa"/>
            <w:vMerge w:val="continue"/>
            <w:vAlign w:val="center"/>
          </w:tcPr>
          <w:p w14:paraId="4FCBF28C">
            <w:pPr>
              <w:autoSpaceDE w:val="0"/>
              <w:autoSpaceDN w:val="0"/>
              <w:jc w:val="center"/>
              <w:rPr>
                <w:rFonts w:ascii="宋体" w:hAnsi="宋体" w:cs="宋体"/>
                <w:color w:val="auto"/>
                <w:sz w:val="18"/>
                <w:szCs w:val="18"/>
                <w:highlight w:val="none"/>
              </w:rPr>
            </w:pPr>
          </w:p>
        </w:tc>
        <w:tc>
          <w:tcPr>
            <w:tcW w:w="1926" w:type="dxa"/>
            <w:vAlign w:val="center"/>
          </w:tcPr>
          <w:p w14:paraId="5E24C717">
            <w:pPr>
              <w:jc w:val="center"/>
              <w:rPr>
                <w:rFonts w:ascii="宋体" w:hAnsi="宋体" w:cs="宋体"/>
                <w:color w:val="auto"/>
                <w:sz w:val="18"/>
                <w:szCs w:val="18"/>
                <w:highlight w:val="none"/>
              </w:rPr>
            </w:pPr>
            <w:r>
              <w:rPr>
                <w:rFonts w:hint="eastAsia" w:ascii="宋体" w:hAnsi="宋体" w:cs="宋体"/>
                <w:color w:val="auto"/>
                <w:sz w:val="18"/>
                <w:szCs w:val="18"/>
                <w:highlight w:val="none"/>
              </w:rPr>
              <w:t>热泵热水器</w:t>
            </w:r>
          </w:p>
        </w:tc>
        <w:tc>
          <w:tcPr>
            <w:tcW w:w="3622" w:type="dxa"/>
            <w:vAlign w:val="center"/>
          </w:tcPr>
          <w:p w14:paraId="43F69C37">
            <w:pPr>
              <w:jc w:val="center"/>
              <w:rPr>
                <w:rFonts w:ascii="宋体" w:hAnsi="宋体" w:cs="宋体"/>
                <w:color w:val="auto"/>
                <w:sz w:val="18"/>
                <w:szCs w:val="18"/>
                <w:highlight w:val="none"/>
              </w:rPr>
            </w:pPr>
            <w:r>
              <w:rPr>
                <w:rFonts w:hint="eastAsia" w:ascii="宋体" w:hAnsi="宋体" w:cs="宋体"/>
                <w:color w:val="auto"/>
                <w:spacing w:val="-5"/>
                <w:sz w:val="18"/>
                <w:szCs w:val="18"/>
                <w:highlight w:val="none"/>
              </w:rPr>
              <w:t>《热泵热水机（电</w:t>
            </w:r>
            <w:r>
              <w:rPr>
                <w:rFonts w:hint="eastAsia" w:ascii="宋体" w:hAnsi="宋体" w:cs="宋体"/>
                <w:color w:val="auto"/>
                <w:spacing w:val="-4"/>
                <w:sz w:val="18"/>
                <w:szCs w:val="18"/>
                <w:highlight w:val="none"/>
              </w:rPr>
              <w:t>器）能效限定值及</w:t>
            </w:r>
            <w:r>
              <w:rPr>
                <w:rFonts w:hint="eastAsia" w:ascii="宋体" w:hAnsi="宋体" w:cs="宋体"/>
                <w:color w:val="auto"/>
                <w:sz w:val="18"/>
                <w:szCs w:val="18"/>
                <w:highlight w:val="none"/>
              </w:rPr>
              <w:t>能效等级》（GB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29541）</w:t>
            </w:r>
          </w:p>
        </w:tc>
      </w:tr>
      <w:tr w14:paraId="45ED4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64CCE3CE">
            <w:pPr>
              <w:autoSpaceDE w:val="0"/>
              <w:autoSpaceDN w:val="0"/>
              <w:jc w:val="center"/>
              <w:rPr>
                <w:rFonts w:ascii="宋体" w:hAnsi="宋体" w:cs="宋体"/>
                <w:color w:val="auto"/>
                <w:sz w:val="18"/>
                <w:szCs w:val="18"/>
                <w:highlight w:val="none"/>
              </w:rPr>
            </w:pPr>
          </w:p>
        </w:tc>
        <w:tc>
          <w:tcPr>
            <w:tcW w:w="1662" w:type="dxa"/>
            <w:vMerge w:val="continue"/>
            <w:vAlign w:val="center"/>
          </w:tcPr>
          <w:p w14:paraId="234C3D2A">
            <w:pPr>
              <w:autoSpaceDE w:val="0"/>
              <w:autoSpaceDN w:val="0"/>
              <w:jc w:val="center"/>
              <w:rPr>
                <w:rFonts w:ascii="宋体" w:hAnsi="宋体" w:cs="宋体"/>
                <w:color w:val="auto"/>
                <w:sz w:val="18"/>
                <w:szCs w:val="18"/>
                <w:highlight w:val="none"/>
              </w:rPr>
            </w:pPr>
          </w:p>
        </w:tc>
        <w:tc>
          <w:tcPr>
            <w:tcW w:w="1390" w:type="dxa"/>
            <w:vMerge w:val="continue"/>
            <w:vAlign w:val="center"/>
          </w:tcPr>
          <w:p w14:paraId="3ED33A3E">
            <w:pPr>
              <w:autoSpaceDE w:val="0"/>
              <w:autoSpaceDN w:val="0"/>
              <w:jc w:val="center"/>
              <w:rPr>
                <w:rFonts w:ascii="宋体" w:hAnsi="宋体" w:cs="宋体"/>
                <w:color w:val="auto"/>
                <w:sz w:val="18"/>
                <w:szCs w:val="18"/>
                <w:highlight w:val="none"/>
              </w:rPr>
            </w:pPr>
          </w:p>
        </w:tc>
        <w:tc>
          <w:tcPr>
            <w:tcW w:w="1926" w:type="dxa"/>
            <w:vAlign w:val="center"/>
          </w:tcPr>
          <w:p w14:paraId="486E2906">
            <w:pPr>
              <w:jc w:val="center"/>
              <w:rPr>
                <w:rFonts w:ascii="宋体" w:hAnsi="宋体" w:cs="宋体"/>
                <w:color w:val="auto"/>
                <w:sz w:val="18"/>
                <w:szCs w:val="18"/>
                <w:highlight w:val="none"/>
              </w:rPr>
            </w:pPr>
            <w:r>
              <w:rPr>
                <w:rFonts w:hint="eastAsia" w:ascii="宋体" w:hAnsi="宋体" w:cs="宋体"/>
                <w:color w:val="auto"/>
                <w:sz w:val="18"/>
                <w:szCs w:val="18"/>
                <w:highlight w:val="none"/>
              </w:rPr>
              <w:t>太阳能热水系统</w:t>
            </w:r>
          </w:p>
        </w:tc>
        <w:tc>
          <w:tcPr>
            <w:tcW w:w="3622" w:type="dxa"/>
            <w:vAlign w:val="center"/>
          </w:tcPr>
          <w:p w14:paraId="4528B67A">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《家用太阳能热水系统能效限定</w:t>
            </w:r>
            <w:r>
              <w:rPr>
                <w:rFonts w:hint="eastAsia" w:ascii="宋体" w:hAnsi="宋体" w:cs="宋体"/>
                <w:color w:val="auto"/>
                <w:sz w:val="18"/>
                <w:szCs w:val="18"/>
                <w:highlight w:val="none"/>
              </w:rPr>
              <w:t>值及能效等级》（GB 26969）</w:t>
            </w:r>
          </w:p>
        </w:tc>
      </w:tr>
      <w:tr w14:paraId="31F6A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restart"/>
            <w:vAlign w:val="center"/>
          </w:tcPr>
          <w:p w14:paraId="3A642F53">
            <w:pPr>
              <w:jc w:val="center"/>
              <w:rPr>
                <w:rFonts w:ascii="宋体" w:hAnsi="宋体" w:cs="宋体"/>
                <w:color w:val="auto"/>
                <w:sz w:val="18"/>
                <w:szCs w:val="18"/>
                <w:highlight w:val="none"/>
              </w:rPr>
            </w:pPr>
            <w:r>
              <w:rPr>
                <w:rFonts w:hint="eastAsia" w:ascii="宋体" w:hAnsi="宋体" w:cs="宋体"/>
                <w:color w:val="auto"/>
                <w:sz w:val="18"/>
                <w:szCs w:val="18"/>
                <w:highlight w:val="none"/>
              </w:rPr>
              <w:t>11</w:t>
            </w:r>
          </w:p>
        </w:tc>
        <w:tc>
          <w:tcPr>
            <w:tcW w:w="1662" w:type="dxa"/>
            <w:vMerge w:val="restart"/>
            <w:vAlign w:val="center"/>
          </w:tcPr>
          <w:p w14:paraId="30785BF2">
            <w:pPr>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A020619</w:t>
            </w:r>
            <w:r>
              <w:rPr>
                <w:rFonts w:hint="eastAsia" w:ascii="宋体" w:hAnsi="宋体" w:cs="宋体"/>
                <w:color w:val="auto"/>
                <w:spacing w:val="-20"/>
                <w:sz w:val="18"/>
                <w:szCs w:val="18"/>
                <w:highlight w:val="none"/>
              </w:rPr>
              <w:t xml:space="preserve"> 照明</w:t>
            </w:r>
            <w:r>
              <w:rPr>
                <w:rFonts w:hint="eastAsia" w:ascii="宋体" w:hAnsi="宋体" w:cs="宋体"/>
                <w:color w:val="auto"/>
                <w:sz w:val="18"/>
                <w:szCs w:val="18"/>
                <w:highlight w:val="none"/>
              </w:rPr>
              <w:t>设备</w:t>
            </w:r>
          </w:p>
        </w:tc>
        <w:tc>
          <w:tcPr>
            <w:tcW w:w="1390" w:type="dxa"/>
            <w:vAlign w:val="center"/>
          </w:tcPr>
          <w:p w14:paraId="146C0FC2">
            <w:pPr>
              <w:jc w:val="center"/>
              <w:rPr>
                <w:rFonts w:ascii="宋体" w:hAnsi="宋体" w:cs="宋体"/>
                <w:color w:val="auto"/>
                <w:sz w:val="18"/>
                <w:szCs w:val="18"/>
                <w:highlight w:val="none"/>
              </w:rPr>
            </w:pPr>
            <w:r>
              <w:rPr>
                <w:rFonts w:hint="eastAsia" w:ascii="宋体" w:hAnsi="宋体" w:cs="宋体"/>
                <w:color w:val="auto"/>
                <w:spacing w:val="11"/>
                <w:sz w:val="18"/>
                <w:szCs w:val="18"/>
                <w:highlight w:val="none"/>
              </w:rPr>
              <w:t>★ 普通照明用双端</w:t>
            </w:r>
            <w:r>
              <w:rPr>
                <w:rFonts w:hint="eastAsia" w:ascii="宋体" w:hAnsi="宋体" w:cs="宋体"/>
                <w:color w:val="auto"/>
                <w:sz w:val="18"/>
                <w:szCs w:val="18"/>
                <w:highlight w:val="none"/>
              </w:rPr>
              <w:t>荧光灯</w:t>
            </w:r>
          </w:p>
        </w:tc>
        <w:tc>
          <w:tcPr>
            <w:tcW w:w="1926" w:type="dxa"/>
            <w:vAlign w:val="center"/>
          </w:tcPr>
          <w:p w14:paraId="10A54BD6">
            <w:pPr>
              <w:jc w:val="center"/>
              <w:rPr>
                <w:rFonts w:ascii="宋体" w:hAnsi="宋体" w:cs="宋体"/>
                <w:color w:val="auto"/>
                <w:sz w:val="18"/>
                <w:szCs w:val="18"/>
                <w:highlight w:val="none"/>
              </w:rPr>
            </w:pPr>
          </w:p>
        </w:tc>
        <w:tc>
          <w:tcPr>
            <w:tcW w:w="3622" w:type="dxa"/>
            <w:vAlign w:val="center"/>
          </w:tcPr>
          <w:p w14:paraId="305B19B9">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《普通照明用双端荧光灯能效限</w:t>
            </w:r>
            <w:r>
              <w:rPr>
                <w:rFonts w:hint="eastAsia" w:ascii="宋体" w:hAnsi="宋体" w:cs="宋体"/>
                <w:color w:val="auto"/>
                <w:sz w:val="18"/>
                <w:szCs w:val="18"/>
                <w:highlight w:val="none"/>
              </w:rPr>
              <w:t>定值及能效等级》（GB 19043）</w:t>
            </w:r>
          </w:p>
        </w:tc>
      </w:tr>
      <w:tr w14:paraId="2247A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5E20EB76">
            <w:pPr>
              <w:autoSpaceDE w:val="0"/>
              <w:autoSpaceDN w:val="0"/>
              <w:jc w:val="center"/>
              <w:rPr>
                <w:rFonts w:ascii="宋体" w:hAnsi="宋体" w:cs="宋体"/>
                <w:color w:val="auto"/>
                <w:sz w:val="18"/>
                <w:szCs w:val="18"/>
                <w:highlight w:val="none"/>
              </w:rPr>
            </w:pPr>
          </w:p>
        </w:tc>
        <w:tc>
          <w:tcPr>
            <w:tcW w:w="1662" w:type="dxa"/>
            <w:vMerge w:val="continue"/>
            <w:vAlign w:val="center"/>
          </w:tcPr>
          <w:p w14:paraId="2FF5FAE4">
            <w:pPr>
              <w:autoSpaceDE w:val="0"/>
              <w:autoSpaceDN w:val="0"/>
              <w:jc w:val="center"/>
              <w:rPr>
                <w:rFonts w:ascii="宋体" w:hAnsi="宋体" w:cs="宋体"/>
                <w:color w:val="auto"/>
                <w:sz w:val="18"/>
                <w:szCs w:val="18"/>
                <w:highlight w:val="none"/>
              </w:rPr>
            </w:pPr>
          </w:p>
        </w:tc>
        <w:tc>
          <w:tcPr>
            <w:tcW w:w="1390" w:type="dxa"/>
            <w:vAlign w:val="center"/>
          </w:tcPr>
          <w:p w14:paraId="0AA6BB52">
            <w:pPr>
              <w:jc w:val="center"/>
              <w:rPr>
                <w:rFonts w:ascii="宋体" w:hAnsi="宋体" w:cs="宋体"/>
                <w:color w:val="auto"/>
                <w:sz w:val="18"/>
                <w:szCs w:val="18"/>
                <w:highlight w:val="none"/>
              </w:rPr>
            </w:pPr>
            <w:r>
              <w:rPr>
                <w:rFonts w:hint="eastAsia" w:ascii="宋体" w:hAnsi="宋体" w:cs="宋体"/>
                <w:color w:val="auto"/>
                <w:sz w:val="18"/>
                <w:szCs w:val="18"/>
                <w:highlight w:val="none"/>
              </w:rPr>
              <w:t>LED</w:t>
            </w:r>
            <w:r>
              <w:rPr>
                <w:rFonts w:hint="eastAsia" w:ascii="宋体" w:hAnsi="宋体" w:cs="宋体"/>
                <w:color w:val="auto"/>
                <w:spacing w:val="3"/>
                <w:sz w:val="18"/>
                <w:szCs w:val="18"/>
                <w:highlight w:val="none"/>
              </w:rPr>
              <w:t xml:space="preserve"> 道路</w:t>
            </w:r>
            <w:r>
              <w:rPr>
                <w:rFonts w:hint="eastAsia" w:ascii="宋体" w:hAnsi="宋体" w:cs="宋体"/>
                <w:color w:val="auto"/>
                <w:spacing w:val="13"/>
                <w:sz w:val="18"/>
                <w:szCs w:val="18"/>
                <w:highlight w:val="none"/>
              </w:rPr>
              <w:t>/</w:t>
            </w:r>
            <w:r>
              <w:rPr>
                <w:rFonts w:hint="eastAsia" w:ascii="宋体" w:hAnsi="宋体" w:cs="宋体"/>
                <w:color w:val="auto"/>
                <w:spacing w:val="9"/>
                <w:sz w:val="18"/>
                <w:szCs w:val="18"/>
                <w:highlight w:val="none"/>
              </w:rPr>
              <w:t>隧道照明</w:t>
            </w:r>
            <w:r>
              <w:rPr>
                <w:rFonts w:hint="eastAsia" w:ascii="宋体" w:hAnsi="宋体" w:cs="宋体"/>
                <w:color w:val="auto"/>
                <w:sz w:val="18"/>
                <w:szCs w:val="18"/>
                <w:highlight w:val="none"/>
              </w:rPr>
              <w:t>产品</w:t>
            </w:r>
          </w:p>
        </w:tc>
        <w:tc>
          <w:tcPr>
            <w:tcW w:w="1926" w:type="dxa"/>
            <w:vAlign w:val="center"/>
          </w:tcPr>
          <w:p w14:paraId="396CFEFF">
            <w:pPr>
              <w:jc w:val="center"/>
              <w:rPr>
                <w:rFonts w:ascii="宋体" w:hAnsi="宋体" w:cs="宋体"/>
                <w:color w:val="auto"/>
                <w:sz w:val="18"/>
                <w:szCs w:val="18"/>
                <w:highlight w:val="none"/>
              </w:rPr>
            </w:pPr>
          </w:p>
        </w:tc>
        <w:tc>
          <w:tcPr>
            <w:tcW w:w="3622" w:type="dxa"/>
            <w:vAlign w:val="center"/>
          </w:tcPr>
          <w:p w14:paraId="257F5E0C">
            <w:pPr>
              <w:jc w:val="center"/>
              <w:rPr>
                <w:rFonts w:ascii="宋体" w:hAnsi="宋体" w:cs="宋体"/>
                <w:color w:val="auto"/>
                <w:sz w:val="18"/>
                <w:szCs w:val="18"/>
                <w:highlight w:val="none"/>
              </w:rPr>
            </w:pPr>
            <w:r>
              <w:rPr>
                <w:rFonts w:hint="eastAsia" w:ascii="宋体" w:hAnsi="宋体" w:cs="宋体"/>
                <w:color w:val="auto"/>
                <w:spacing w:val="1"/>
                <w:sz w:val="18"/>
                <w:szCs w:val="18"/>
                <w:highlight w:val="none"/>
              </w:rPr>
              <w:t xml:space="preserve">《道路和隧道照明用 </w:t>
            </w:r>
            <w:r>
              <w:rPr>
                <w:rFonts w:hint="eastAsia" w:ascii="宋体" w:hAnsi="宋体" w:cs="宋体"/>
                <w:color w:val="auto"/>
                <w:sz w:val="18"/>
                <w:szCs w:val="18"/>
                <w:highlight w:val="none"/>
              </w:rPr>
              <w:t>LED</w:t>
            </w:r>
            <w:r>
              <w:rPr>
                <w:rFonts w:hint="eastAsia" w:ascii="宋体" w:hAnsi="宋体" w:cs="宋体"/>
                <w:color w:val="auto"/>
                <w:spacing w:val="3"/>
                <w:sz w:val="18"/>
                <w:szCs w:val="18"/>
                <w:highlight w:val="none"/>
              </w:rPr>
              <w:t xml:space="preserve"> 灯具能</w:t>
            </w:r>
            <w:r>
              <w:rPr>
                <w:rFonts w:hint="eastAsia" w:ascii="宋体" w:hAnsi="宋体" w:cs="宋体"/>
                <w:color w:val="auto"/>
                <w:spacing w:val="-11"/>
                <w:sz w:val="18"/>
                <w:szCs w:val="18"/>
                <w:highlight w:val="none"/>
              </w:rPr>
              <w:t>效限定值及能效等级》</w:t>
            </w:r>
            <w:r>
              <w:rPr>
                <w:rFonts w:hint="eastAsia" w:ascii="宋体" w:hAnsi="宋体" w:cs="宋体"/>
                <w:color w:val="auto"/>
                <w:sz w:val="18"/>
                <w:szCs w:val="18"/>
                <w:highlight w:val="none"/>
              </w:rPr>
              <w:t>（GB</w:t>
            </w:r>
            <w:r>
              <w:rPr>
                <w:rFonts w:hint="eastAsia" w:ascii="宋体" w:hAnsi="宋体" w:cs="宋体"/>
                <w:color w:val="auto"/>
                <w:spacing w:val="55"/>
                <w:sz w:val="18"/>
                <w:szCs w:val="18"/>
                <w:highlight w:val="none"/>
              </w:rPr>
              <w:t xml:space="preserve"> </w:t>
            </w:r>
            <w:r>
              <w:rPr>
                <w:rFonts w:hint="eastAsia" w:ascii="宋体" w:hAnsi="宋体" w:cs="宋体"/>
                <w:color w:val="auto"/>
                <w:sz w:val="18"/>
                <w:szCs w:val="18"/>
                <w:highlight w:val="none"/>
              </w:rPr>
              <w:t>37478）</w:t>
            </w:r>
          </w:p>
        </w:tc>
      </w:tr>
      <w:tr w14:paraId="1D412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32754B9F">
            <w:pPr>
              <w:autoSpaceDE w:val="0"/>
              <w:autoSpaceDN w:val="0"/>
              <w:jc w:val="center"/>
              <w:rPr>
                <w:rFonts w:ascii="宋体" w:hAnsi="宋体" w:cs="宋体"/>
                <w:color w:val="auto"/>
                <w:sz w:val="18"/>
                <w:szCs w:val="18"/>
                <w:highlight w:val="none"/>
              </w:rPr>
            </w:pPr>
          </w:p>
        </w:tc>
        <w:tc>
          <w:tcPr>
            <w:tcW w:w="1662" w:type="dxa"/>
            <w:vMerge w:val="continue"/>
            <w:vAlign w:val="center"/>
          </w:tcPr>
          <w:p w14:paraId="58E2E076">
            <w:pPr>
              <w:autoSpaceDE w:val="0"/>
              <w:autoSpaceDN w:val="0"/>
              <w:jc w:val="center"/>
              <w:rPr>
                <w:rFonts w:ascii="宋体" w:hAnsi="宋体" w:cs="宋体"/>
                <w:color w:val="auto"/>
                <w:sz w:val="18"/>
                <w:szCs w:val="18"/>
                <w:highlight w:val="none"/>
              </w:rPr>
            </w:pPr>
          </w:p>
        </w:tc>
        <w:tc>
          <w:tcPr>
            <w:tcW w:w="1390" w:type="dxa"/>
            <w:vAlign w:val="center"/>
          </w:tcPr>
          <w:p w14:paraId="12C9F692">
            <w:pPr>
              <w:jc w:val="center"/>
              <w:rPr>
                <w:rFonts w:ascii="宋体" w:hAnsi="宋体" w:cs="宋体"/>
                <w:color w:val="auto"/>
                <w:sz w:val="18"/>
                <w:szCs w:val="18"/>
                <w:highlight w:val="none"/>
              </w:rPr>
            </w:pPr>
            <w:r>
              <w:rPr>
                <w:rFonts w:hint="eastAsia" w:ascii="宋体" w:hAnsi="宋体" w:cs="宋体"/>
                <w:color w:val="auto"/>
                <w:sz w:val="18"/>
                <w:szCs w:val="18"/>
                <w:highlight w:val="none"/>
              </w:rPr>
              <w:t>LED</w:t>
            </w:r>
            <w:r>
              <w:rPr>
                <w:rFonts w:hint="eastAsia" w:ascii="宋体" w:hAnsi="宋体" w:cs="宋体"/>
                <w:color w:val="auto"/>
                <w:spacing w:val="-13"/>
                <w:sz w:val="18"/>
                <w:szCs w:val="18"/>
                <w:highlight w:val="none"/>
              </w:rPr>
              <w:t xml:space="preserve"> 筒灯</w:t>
            </w:r>
          </w:p>
        </w:tc>
        <w:tc>
          <w:tcPr>
            <w:tcW w:w="1926" w:type="dxa"/>
            <w:vAlign w:val="center"/>
          </w:tcPr>
          <w:p w14:paraId="69050180">
            <w:pPr>
              <w:jc w:val="center"/>
              <w:rPr>
                <w:rFonts w:ascii="宋体" w:hAnsi="宋体" w:cs="宋体"/>
                <w:color w:val="auto"/>
                <w:sz w:val="18"/>
                <w:szCs w:val="18"/>
                <w:highlight w:val="none"/>
              </w:rPr>
            </w:pPr>
          </w:p>
        </w:tc>
        <w:tc>
          <w:tcPr>
            <w:tcW w:w="3622" w:type="dxa"/>
            <w:vAlign w:val="center"/>
          </w:tcPr>
          <w:p w14:paraId="001769C4">
            <w:pPr>
              <w:jc w:val="center"/>
              <w:rPr>
                <w:rFonts w:ascii="宋体" w:hAnsi="宋体" w:cs="宋体"/>
                <w:color w:val="auto"/>
                <w:sz w:val="18"/>
                <w:szCs w:val="18"/>
                <w:highlight w:val="none"/>
              </w:rPr>
            </w:pPr>
            <w:r>
              <w:rPr>
                <w:rFonts w:hint="eastAsia" w:ascii="宋体" w:hAnsi="宋体" w:cs="宋体"/>
                <w:color w:val="auto"/>
                <w:spacing w:val="1"/>
                <w:sz w:val="18"/>
                <w:szCs w:val="18"/>
                <w:highlight w:val="none"/>
              </w:rPr>
              <w:t xml:space="preserve">《室内照明用 </w:t>
            </w:r>
            <w:r>
              <w:rPr>
                <w:rFonts w:hint="eastAsia" w:ascii="宋体" w:hAnsi="宋体" w:cs="宋体"/>
                <w:color w:val="auto"/>
                <w:sz w:val="18"/>
                <w:szCs w:val="18"/>
                <w:highlight w:val="none"/>
              </w:rPr>
              <w:t>LED 产品能效限定值及能效等级》（GB 30255）</w:t>
            </w:r>
          </w:p>
        </w:tc>
      </w:tr>
      <w:tr w14:paraId="31974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946" w:type="dxa"/>
            <w:vMerge w:val="continue"/>
            <w:vAlign w:val="center"/>
          </w:tcPr>
          <w:p w14:paraId="6727C0BB">
            <w:pPr>
              <w:autoSpaceDE w:val="0"/>
              <w:autoSpaceDN w:val="0"/>
              <w:jc w:val="center"/>
              <w:rPr>
                <w:rFonts w:ascii="宋体" w:hAnsi="宋体" w:cs="宋体"/>
                <w:color w:val="auto"/>
                <w:sz w:val="18"/>
                <w:szCs w:val="18"/>
                <w:highlight w:val="none"/>
              </w:rPr>
            </w:pPr>
          </w:p>
        </w:tc>
        <w:tc>
          <w:tcPr>
            <w:tcW w:w="1662" w:type="dxa"/>
            <w:vMerge w:val="continue"/>
            <w:vAlign w:val="center"/>
          </w:tcPr>
          <w:p w14:paraId="7B19B7E5">
            <w:pPr>
              <w:autoSpaceDE w:val="0"/>
              <w:autoSpaceDN w:val="0"/>
              <w:jc w:val="center"/>
              <w:rPr>
                <w:rFonts w:ascii="宋体" w:hAnsi="宋体" w:cs="宋体"/>
                <w:color w:val="auto"/>
                <w:sz w:val="18"/>
                <w:szCs w:val="18"/>
                <w:highlight w:val="none"/>
              </w:rPr>
            </w:pPr>
          </w:p>
        </w:tc>
        <w:tc>
          <w:tcPr>
            <w:tcW w:w="1390" w:type="dxa"/>
            <w:vAlign w:val="center"/>
          </w:tcPr>
          <w:p w14:paraId="24B0D6F6">
            <w:pPr>
              <w:jc w:val="center"/>
              <w:rPr>
                <w:rFonts w:ascii="宋体" w:hAnsi="宋体" w:cs="宋体"/>
                <w:color w:val="auto"/>
                <w:sz w:val="18"/>
                <w:szCs w:val="18"/>
                <w:highlight w:val="none"/>
              </w:rPr>
            </w:pPr>
            <w:r>
              <w:rPr>
                <w:rFonts w:hint="eastAsia" w:ascii="宋体" w:hAnsi="宋体" w:cs="宋体"/>
                <w:color w:val="auto"/>
                <w:spacing w:val="21"/>
                <w:sz w:val="18"/>
                <w:szCs w:val="18"/>
                <w:highlight w:val="none"/>
              </w:rPr>
              <w:t>普通照明用非定向</w:t>
            </w:r>
            <w:r>
              <w:rPr>
                <w:rFonts w:hint="eastAsia" w:ascii="宋体" w:hAnsi="宋体" w:cs="宋体"/>
                <w:color w:val="auto"/>
                <w:spacing w:val="-11"/>
                <w:sz w:val="18"/>
                <w:szCs w:val="18"/>
                <w:highlight w:val="none"/>
              </w:rPr>
              <w:t xml:space="preserve">自镇流 </w:t>
            </w:r>
            <w:r>
              <w:rPr>
                <w:rFonts w:hint="eastAsia" w:ascii="宋体" w:hAnsi="宋体" w:cs="宋体"/>
                <w:color w:val="auto"/>
                <w:sz w:val="18"/>
                <w:szCs w:val="18"/>
                <w:highlight w:val="none"/>
              </w:rPr>
              <w:t>LED</w:t>
            </w:r>
            <w:r>
              <w:rPr>
                <w:rFonts w:hint="eastAsia" w:ascii="宋体" w:hAnsi="宋体" w:cs="宋体"/>
                <w:color w:val="auto"/>
                <w:spacing w:val="-20"/>
                <w:sz w:val="18"/>
                <w:szCs w:val="18"/>
                <w:highlight w:val="none"/>
              </w:rPr>
              <w:t xml:space="preserve"> 灯</w:t>
            </w:r>
          </w:p>
        </w:tc>
        <w:tc>
          <w:tcPr>
            <w:tcW w:w="1926" w:type="dxa"/>
            <w:vAlign w:val="center"/>
          </w:tcPr>
          <w:p w14:paraId="2F335E21">
            <w:pPr>
              <w:jc w:val="center"/>
              <w:rPr>
                <w:rFonts w:ascii="宋体" w:hAnsi="宋体" w:cs="宋体"/>
                <w:color w:val="auto"/>
                <w:sz w:val="18"/>
                <w:szCs w:val="18"/>
                <w:highlight w:val="none"/>
              </w:rPr>
            </w:pPr>
          </w:p>
        </w:tc>
        <w:tc>
          <w:tcPr>
            <w:tcW w:w="3622" w:type="dxa"/>
            <w:vAlign w:val="center"/>
          </w:tcPr>
          <w:p w14:paraId="60AEEBC2">
            <w:pPr>
              <w:jc w:val="center"/>
              <w:rPr>
                <w:rFonts w:ascii="宋体" w:hAnsi="宋体" w:cs="宋体"/>
                <w:color w:val="auto"/>
                <w:sz w:val="18"/>
                <w:szCs w:val="18"/>
                <w:highlight w:val="none"/>
              </w:rPr>
            </w:pPr>
            <w:r>
              <w:rPr>
                <w:rFonts w:hint="eastAsia" w:ascii="宋体" w:hAnsi="宋体" w:cs="宋体"/>
                <w:color w:val="auto"/>
                <w:spacing w:val="1"/>
                <w:sz w:val="18"/>
                <w:szCs w:val="18"/>
                <w:highlight w:val="none"/>
              </w:rPr>
              <w:t xml:space="preserve">《室内照明用 </w:t>
            </w:r>
            <w:r>
              <w:rPr>
                <w:rFonts w:hint="eastAsia" w:ascii="宋体" w:hAnsi="宋体" w:cs="宋体"/>
                <w:color w:val="auto"/>
                <w:sz w:val="18"/>
                <w:szCs w:val="18"/>
                <w:highlight w:val="none"/>
              </w:rPr>
              <w:t>LED 产品能效限定值及能效等级》（GB 30255）</w:t>
            </w:r>
          </w:p>
        </w:tc>
      </w:tr>
      <w:tr w14:paraId="62F4B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946" w:type="dxa"/>
            <w:vAlign w:val="center"/>
          </w:tcPr>
          <w:p w14:paraId="149E6F30">
            <w:pPr>
              <w:jc w:val="center"/>
              <w:rPr>
                <w:rFonts w:ascii="宋体" w:hAnsi="宋体" w:cs="宋体"/>
                <w:color w:val="auto"/>
                <w:sz w:val="18"/>
                <w:szCs w:val="18"/>
                <w:highlight w:val="none"/>
              </w:rPr>
            </w:pPr>
            <w:r>
              <w:rPr>
                <w:rFonts w:hint="eastAsia" w:ascii="宋体" w:hAnsi="宋体" w:cs="宋体"/>
                <w:color w:val="auto"/>
                <w:sz w:val="18"/>
                <w:szCs w:val="18"/>
                <w:highlight w:val="none"/>
              </w:rPr>
              <w:t>12</w:t>
            </w:r>
          </w:p>
        </w:tc>
        <w:tc>
          <w:tcPr>
            <w:tcW w:w="1662" w:type="dxa"/>
            <w:vAlign w:val="center"/>
          </w:tcPr>
          <w:p w14:paraId="1D1C3452">
            <w:pPr>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★A020910</w:t>
            </w:r>
            <w:r>
              <w:rPr>
                <w:rFonts w:hint="eastAsia" w:ascii="宋体" w:hAnsi="宋体" w:cs="宋体"/>
                <w:color w:val="auto"/>
                <w:spacing w:val="-29"/>
                <w:sz w:val="18"/>
                <w:szCs w:val="18"/>
                <w:highlight w:val="none"/>
              </w:rPr>
              <w:t xml:space="preserve"> 电 </w:t>
            </w:r>
            <w:r>
              <w:rPr>
                <w:rFonts w:hint="eastAsia" w:ascii="宋体" w:hAnsi="宋体" w:cs="宋体"/>
                <w:color w:val="auto"/>
                <w:sz w:val="18"/>
                <w:szCs w:val="18"/>
                <w:highlight w:val="none"/>
              </w:rPr>
              <w:t>视设备</w:t>
            </w:r>
          </w:p>
        </w:tc>
        <w:tc>
          <w:tcPr>
            <w:tcW w:w="1390" w:type="dxa"/>
            <w:vAlign w:val="center"/>
          </w:tcPr>
          <w:p w14:paraId="5E0FE3E3">
            <w:pPr>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A02091001</w:t>
            </w:r>
            <w:r>
              <w:rPr>
                <w:rFonts w:hint="eastAsia" w:ascii="宋体" w:hAnsi="宋体" w:cs="宋体"/>
                <w:color w:val="auto"/>
                <w:spacing w:val="-6"/>
                <w:sz w:val="18"/>
                <w:szCs w:val="18"/>
                <w:highlight w:val="none"/>
              </w:rPr>
              <w:t xml:space="preserve"> 普通电视</w:t>
            </w:r>
            <w:r>
              <w:rPr>
                <w:rFonts w:hint="eastAsia" w:ascii="宋体" w:hAnsi="宋体" w:cs="宋体"/>
                <w:color w:val="auto"/>
                <w:sz w:val="18"/>
                <w:szCs w:val="18"/>
                <w:highlight w:val="none"/>
              </w:rPr>
              <w:t>设备（电视机）</w:t>
            </w:r>
          </w:p>
        </w:tc>
        <w:tc>
          <w:tcPr>
            <w:tcW w:w="1926" w:type="dxa"/>
            <w:vAlign w:val="center"/>
          </w:tcPr>
          <w:p w14:paraId="22A65ADA">
            <w:pPr>
              <w:jc w:val="center"/>
              <w:rPr>
                <w:rFonts w:ascii="宋体" w:hAnsi="宋体" w:cs="宋体"/>
                <w:color w:val="auto"/>
                <w:sz w:val="18"/>
                <w:szCs w:val="18"/>
                <w:highlight w:val="none"/>
              </w:rPr>
            </w:pPr>
          </w:p>
        </w:tc>
        <w:tc>
          <w:tcPr>
            <w:tcW w:w="3622" w:type="dxa"/>
            <w:vAlign w:val="center"/>
          </w:tcPr>
          <w:p w14:paraId="62F81970">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《平板电视能效限定值及能效等</w:t>
            </w:r>
            <w:r>
              <w:rPr>
                <w:rFonts w:hint="eastAsia" w:ascii="宋体" w:hAnsi="宋体" w:cs="宋体"/>
                <w:color w:val="auto"/>
                <w:sz w:val="18"/>
                <w:szCs w:val="18"/>
                <w:highlight w:val="none"/>
              </w:rPr>
              <w:t>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24850）</w:t>
            </w:r>
          </w:p>
        </w:tc>
      </w:tr>
      <w:tr w14:paraId="32FD0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946" w:type="dxa"/>
            <w:vAlign w:val="center"/>
          </w:tcPr>
          <w:p w14:paraId="616B0520">
            <w:pPr>
              <w:jc w:val="center"/>
              <w:rPr>
                <w:rFonts w:ascii="宋体" w:hAnsi="宋体" w:cs="宋体"/>
                <w:color w:val="auto"/>
                <w:sz w:val="18"/>
                <w:szCs w:val="18"/>
                <w:highlight w:val="none"/>
              </w:rPr>
            </w:pPr>
            <w:r>
              <w:rPr>
                <w:rFonts w:hint="eastAsia" w:ascii="宋体" w:hAnsi="宋体" w:cs="宋体"/>
                <w:color w:val="auto"/>
                <w:sz w:val="18"/>
                <w:szCs w:val="18"/>
                <w:highlight w:val="none"/>
              </w:rPr>
              <w:t>13</w:t>
            </w:r>
          </w:p>
        </w:tc>
        <w:tc>
          <w:tcPr>
            <w:tcW w:w="1662" w:type="dxa"/>
            <w:vAlign w:val="center"/>
          </w:tcPr>
          <w:p w14:paraId="61B096AE">
            <w:pPr>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★A020911</w:t>
            </w:r>
            <w:r>
              <w:rPr>
                <w:rFonts w:hint="eastAsia" w:ascii="宋体" w:hAnsi="宋体" w:cs="宋体"/>
                <w:color w:val="auto"/>
                <w:spacing w:val="-29"/>
                <w:sz w:val="18"/>
                <w:szCs w:val="18"/>
                <w:highlight w:val="none"/>
              </w:rPr>
              <w:t xml:space="preserve"> 视 </w:t>
            </w:r>
            <w:r>
              <w:rPr>
                <w:rFonts w:hint="eastAsia" w:ascii="宋体" w:hAnsi="宋体" w:cs="宋体"/>
                <w:color w:val="auto"/>
                <w:sz w:val="18"/>
                <w:szCs w:val="18"/>
                <w:highlight w:val="none"/>
              </w:rPr>
              <w:t>频设备</w:t>
            </w:r>
          </w:p>
        </w:tc>
        <w:tc>
          <w:tcPr>
            <w:tcW w:w="1390" w:type="dxa"/>
            <w:vAlign w:val="center"/>
          </w:tcPr>
          <w:p w14:paraId="4E918D4B">
            <w:pPr>
              <w:jc w:val="center"/>
              <w:rPr>
                <w:rFonts w:ascii="宋体" w:hAnsi="宋体" w:cs="宋体"/>
                <w:color w:val="auto"/>
                <w:spacing w:val="-6"/>
                <w:sz w:val="18"/>
                <w:szCs w:val="18"/>
                <w:highlight w:val="none"/>
              </w:rPr>
            </w:pPr>
            <w:r>
              <w:rPr>
                <w:rFonts w:hint="eastAsia" w:ascii="宋体" w:hAnsi="宋体" w:cs="宋体"/>
                <w:color w:val="auto"/>
                <w:spacing w:val="-2"/>
                <w:sz w:val="18"/>
                <w:szCs w:val="18"/>
                <w:highlight w:val="none"/>
              </w:rPr>
              <w:t>A02091107</w:t>
            </w:r>
          </w:p>
          <w:p w14:paraId="40E6484B">
            <w:pPr>
              <w:jc w:val="center"/>
              <w:rPr>
                <w:rFonts w:ascii="宋体" w:hAnsi="宋体" w:cs="宋体"/>
                <w:color w:val="auto"/>
                <w:sz w:val="18"/>
                <w:szCs w:val="18"/>
                <w:highlight w:val="none"/>
              </w:rPr>
            </w:pPr>
            <w:r>
              <w:rPr>
                <w:rFonts w:hint="eastAsia" w:ascii="宋体" w:hAnsi="宋体" w:cs="宋体"/>
                <w:color w:val="auto"/>
                <w:spacing w:val="-6"/>
                <w:sz w:val="18"/>
                <w:szCs w:val="18"/>
                <w:highlight w:val="none"/>
              </w:rPr>
              <w:t>视频监控</w:t>
            </w:r>
            <w:r>
              <w:rPr>
                <w:rFonts w:hint="eastAsia" w:ascii="宋体" w:hAnsi="宋体" w:cs="宋体"/>
                <w:color w:val="auto"/>
                <w:sz w:val="18"/>
                <w:szCs w:val="18"/>
                <w:highlight w:val="none"/>
              </w:rPr>
              <w:t>设备</w:t>
            </w:r>
          </w:p>
        </w:tc>
        <w:tc>
          <w:tcPr>
            <w:tcW w:w="1926" w:type="dxa"/>
            <w:vAlign w:val="center"/>
          </w:tcPr>
          <w:p w14:paraId="5D703B1D">
            <w:pPr>
              <w:jc w:val="center"/>
              <w:rPr>
                <w:rFonts w:ascii="宋体" w:hAnsi="宋体" w:cs="宋体"/>
                <w:color w:val="auto"/>
                <w:sz w:val="18"/>
                <w:szCs w:val="18"/>
                <w:highlight w:val="none"/>
              </w:rPr>
            </w:pPr>
            <w:r>
              <w:rPr>
                <w:rFonts w:hint="eastAsia" w:ascii="宋体" w:hAnsi="宋体" w:cs="宋体"/>
                <w:color w:val="auto"/>
                <w:sz w:val="18"/>
                <w:szCs w:val="18"/>
                <w:highlight w:val="none"/>
              </w:rPr>
              <w:t>监视器</w:t>
            </w:r>
          </w:p>
        </w:tc>
        <w:tc>
          <w:tcPr>
            <w:tcW w:w="3622" w:type="dxa"/>
            <w:vAlign w:val="center"/>
          </w:tcPr>
          <w:p w14:paraId="3598A785">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以射频信号为主要信号输入的监</w:t>
            </w:r>
            <w:r>
              <w:rPr>
                <w:rFonts w:hint="eastAsia" w:ascii="宋体" w:hAnsi="宋体" w:cs="宋体"/>
                <w:color w:val="auto"/>
                <w:spacing w:val="-8"/>
                <w:sz w:val="18"/>
                <w:szCs w:val="18"/>
                <w:highlight w:val="none"/>
              </w:rPr>
              <w:t>视器应符合《平板电视能效限定值</w:t>
            </w:r>
            <w:r>
              <w:rPr>
                <w:rFonts w:hint="eastAsia" w:ascii="宋体" w:hAnsi="宋体" w:cs="宋体"/>
                <w:color w:val="auto"/>
                <w:sz w:val="18"/>
                <w:szCs w:val="18"/>
                <w:highlight w:val="none"/>
              </w:rPr>
              <w:t>及能效等级》（GB 24850），</w:t>
            </w:r>
            <w:r>
              <w:rPr>
                <w:rFonts w:hint="eastAsia" w:ascii="宋体" w:hAnsi="宋体" w:cs="宋体"/>
                <w:color w:val="auto"/>
                <w:spacing w:val="9"/>
                <w:sz w:val="18"/>
                <w:szCs w:val="18"/>
                <w:highlight w:val="none"/>
              </w:rPr>
              <w:t>以数字信号为主要信号输入的监</w:t>
            </w:r>
          </w:p>
          <w:p w14:paraId="3C5F66F1">
            <w:pPr>
              <w:jc w:val="center"/>
              <w:rPr>
                <w:rFonts w:ascii="宋体" w:hAnsi="宋体" w:cs="宋体"/>
                <w:color w:val="auto"/>
                <w:sz w:val="18"/>
                <w:szCs w:val="18"/>
                <w:highlight w:val="none"/>
              </w:rPr>
            </w:pPr>
            <w:r>
              <w:rPr>
                <w:rFonts w:hint="eastAsia" w:ascii="宋体" w:hAnsi="宋体" w:cs="宋体"/>
                <w:color w:val="auto"/>
                <w:spacing w:val="-8"/>
                <w:sz w:val="18"/>
                <w:szCs w:val="18"/>
                <w:highlight w:val="none"/>
              </w:rPr>
              <w:t>视器应符合《计算机显示器能效限</w:t>
            </w:r>
            <w:r>
              <w:rPr>
                <w:rFonts w:hint="eastAsia" w:ascii="宋体" w:hAnsi="宋体" w:cs="宋体"/>
                <w:color w:val="auto"/>
                <w:sz w:val="18"/>
                <w:szCs w:val="18"/>
                <w:highlight w:val="none"/>
              </w:rPr>
              <w:t>定值及能效等级》（GB 21520）</w:t>
            </w:r>
          </w:p>
        </w:tc>
      </w:tr>
      <w:tr w14:paraId="7352D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Align w:val="center"/>
          </w:tcPr>
          <w:p w14:paraId="30CD131A">
            <w:pPr>
              <w:jc w:val="center"/>
              <w:rPr>
                <w:rFonts w:ascii="宋体" w:hAnsi="宋体" w:cs="宋体"/>
                <w:color w:val="auto"/>
                <w:sz w:val="18"/>
                <w:szCs w:val="18"/>
                <w:highlight w:val="none"/>
              </w:rPr>
            </w:pPr>
            <w:r>
              <w:rPr>
                <w:rFonts w:hint="eastAsia" w:ascii="宋体" w:hAnsi="宋体" w:cs="宋体"/>
                <w:color w:val="auto"/>
                <w:sz w:val="18"/>
                <w:szCs w:val="18"/>
                <w:highlight w:val="none"/>
              </w:rPr>
              <w:t>14</w:t>
            </w:r>
          </w:p>
        </w:tc>
        <w:tc>
          <w:tcPr>
            <w:tcW w:w="1662" w:type="dxa"/>
            <w:vAlign w:val="center"/>
          </w:tcPr>
          <w:p w14:paraId="4662AA55">
            <w:pPr>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A031210</w:t>
            </w:r>
            <w:r>
              <w:rPr>
                <w:rFonts w:hint="eastAsia" w:ascii="宋体" w:hAnsi="宋体" w:cs="宋体"/>
                <w:color w:val="auto"/>
                <w:spacing w:val="-20"/>
                <w:sz w:val="18"/>
                <w:szCs w:val="18"/>
                <w:highlight w:val="none"/>
              </w:rPr>
              <w:t xml:space="preserve"> 饮 食 </w:t>
            </w:r>
            <w:r>
              <w:rPr>
                <w:rFonts w:hint="eastAsia" w:ascii="宋体" w:hAnsi="宋体" w:cs="宋体"/>
                <w:color w:val="auto"/>
                <w:sz w:val="18"/>
                <w:szCs w:val="18"/>
                <w:highlight w:val="none"/>
              </w:rPr>
              <w:t>炊事机械</w:t>
            </w:r>
          </w:p>
        </w:tc>
        <w:tc>
          <w:tcPr>
            <w:tcW w:w="1390" w:type="dxa"/>
            <w:vAlign w:val="center"/>
          </w:tcPr>
          <w:p w14:paraId="522D4935">
            <w:pPr>
              <w:jc w:val="center"/>
              <w:rPr>
                <w:rFonts w:ascii="宋体" w:hAnsi="宋体" w:cs="宋体"/>
                <w:color w:val="auto"/>
                <w:sz w:val="18"/>
                <w:szCs w:val="18"/>
                <w:highlight w:val="none"/>
              </w:rPr>
            </w:pPr>
            <w:r>
              <w:rPr>
                <w:rFonts w:hint="eastAsia" w:ascii="宋体" w:hAnsi="宋体" w:cs="宋体"/>
                <w:color w:val="auto"/>
                <w:sz w:val="18"/>
                <w:szCs w:val="18"/>
                <w:highlight w:val="none"/>
              </w:rPr>
              <w:t>商用燃气灶具</w:t>
            </w:r>
          </w:p>
        </w:tc>
        <w:tc>
          <w:tcPr>
            <w:tcW w:w="1926" w:type="dxa"/>
            <w:vAlign w:val="center"/>
          </w:tcPr>
          <w:p w14:paraId="2E5E574A">
            <w:pPr>
              <w:jc w:val="center"/>
              <w:rPr>
                <w:rFonts w:ascii="宋体" w:hAnsi="宋体" w:cs="宋体"/>
                <w:color w:val="auto"/>
                <w:sz w:val="18"/>
                <w:szCs w:val="18"/>
                <w:highlight w:val="none"/>
              </w:rPr>
            </w:pPr>
          </w:p>
        </w:tc>
        <w:tc>
          <w:tcPr>
            <w:tcW w:w="3622" w:type="dxa"/>
            <w:vAlign w:val="center"/>
          </w:tcPr>
          <w:p w14:paraId="74476DF9">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《商用燃气灶具能效限定值及能</w:t>
            </w:r>
            <w:r>
              <w:rPr>
                <w:rFonts w:hint="eastAsia" w:ascii="宋体" w:hAnsi="宋体" w:cs="宋体"/>
                <w:color w:val="auto"/>
                <w:sz w:val="18"/>
                <w:szCs w:val="18"/>
                <w:highlight w:val="none"/>
              </w:rPr>
              <w:t>效等级》（GB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30531）</w:t>
            </w:r>
          </w:p>
        </w:tc>
      </w:tr>
      <w:tr w14:paraId="5D24A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46" w:type="dxa"/>
            <w:vMerge w:val="restart"/>
            <w:vAlign w:val="center"/>
          </w:tcPr>
          <w:p w14:paraId="4CFD9F9C">
            <w:pPr>
              <w:jc w:val="center"/>
              <w:rPr>
                <w:rFonts w:ascii="宋体" w:hAnsi="宋体" w:cs="宋体"/>
                <w:color w:val="auto"/>
                <w:sz w:val="18"/>
                <w:szCs w:val="18"/>
                <w:highlight w:val="none"/>
              </w:rPr>
            </w:pPr>
            <w:r>
              <w:rPr>
                <w:rFonts w:hint="eastAsia" w:ascii="宋体" w:hAnsi="宋体" w:cs="宋体"/>
                <w:color w:val="auto"/>
                <w:sz w:val="18"/>
                <w:szCs w:val="18"/>
                <w:highlight w:val="none"/>
              </w:rPr>
              <w:t>15</w:t>
            </w:r>
          </w:p>
        </w:tc>
        <w:tc>
          <w:tcPr>
            <w:tcW w:w="1662" w:type="dxa"/>
            <w:vMerge w:val="restart"/>
            <w:vAlign w:val="center"/>
          </w:tcPr>
          <w:p w14:paraId="38E0FDA9">
            <w:pPr>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★A060805</w:t>
            </w:r>
            <w:r>
              <w:rPr>
                <w:rFonts w:hint="eastAsia" w:ascii="宋体" w:hAnsi="宋体" w:cs="宋体"/>
                <w:color w:val="auto"/>
                <w:spacing w:val="-29"/>
                <w:sz w:val="18"/>
                <w:szCs w:val="18"/>
                <w:highlight w:val="none"/>
              </w:rPr>
              <w:t xml:space="preserve"> 便 </w:t>
            </w:r>
            <w:r>
              <w:rPr>
                <w:rFonts w:hint="eastAsia" w:ascii="宋体" w:hAnsi="宋体" w:cs="宋体"/>
                <w:color w:val="auto"/>
                <w:sz w:val="18"/>
                <w:szCs w:val="18"/>
                <w:highlight w:val="none"/>
              </w:rPr>
              <w:t>器</w:t>
            </w:r>
          </w:p>
        </w:tc>
        <w:tc>
          <w:tcPr>
            <w:tcW w:w="1390" w:type="dxa"/>
            <w:vAlign w:val="center"/>
          </w:tcPr>
          <w:p w14:paraId="2A701C01">
            <w:pPr>
              <w:jc w:val="center"/>
              <w:rPr>
                <w:rFonts w:ascii="宋体" w:hAnsi="宋体" w:cs="宋体"/>
                <w:color w:val="auto"/>
                <w:sz w:val="18"/>
                <w:szCs w:val="18"/>
                <w:highlight w:val="none"/>
              </w:rPr>
            </w:pPr>
            <w:r>
              <w:rPr>
                <w:rFonts w:hint="eastAsia" w:ascii="宋体" w:hAnsi="宋体" w:cs="宋体"/>
                <w:color w:val="auto"/>
                <w:sz w:val="18"/>
                <w:szCs w:val="18"/>
                <w:highlight w:val="none"/>
              </w:rPr>
              <w:t>坐便器</w:t>
            </w:r>
          </w:p>
        </w:tc>
        <w:tc>
          <w:tcPr>
            <w:tcW w:w="1926" w:type="dxa"/>
            <w:vAlign w:val="center"/>
          </w:tcPr>
          <w:p w14:paraId="29EF2383">
            <w:pPr>
              <w:jc w:val="center"/>
              <w:rPr>
                <w:rFonts w:ascii="宋体" w:hAnsi="宋体" w:cs="宋体"/>
                <w:color w:val="auto"/>
                <w:sz w:val="18"/>
                <w:szCs w:val="18"/>
                <w:highlight w:val="none"/>
              </w:rPr>
            </w:pPr>
          </w:p>
        </w:tc>
        <w:tc>
          <w:tcPr>
            <w:tcW w:w="3622" w:type="dxa"/>
            <w:vAlign w:val="center"/>
          </w:tcPr>
          <w:p w14:paraId="56322790">
            <w:pPr>
              <w:jc w:val="center"/>
              <w:rPr>
                <w:rFonts w:ascii="宋体" w:hAnsi="宋体" w:cs="宋体"/>
                <w:color w:val="auto"/>
                <w:sz w:val="18"/>
                <w:szCs w:val="18"/>
                <w:highlight w:val="none"/>
              </w:rPr>
            </w:pPr>
            <w:r>
              <w:rPr>
                <w:rFonts w:hint="eastAsia" w:ascii="宋体" w:hAnsi="宋体" w:cs="宋体"/>
                <w:color w:val="auto"/>
                <w:sz w:val="18"/>
                <w:szCs w:val="18"/>
                <w:highlight w:val="none"/>
              </w:rPr>
              <w:t>《坐便器水效限定值及水效等级》（GB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25502）</w:t>
            </w:r>
          </w:p>
        </w:tc>
      </w:tr>
      <w:tr w14:paraId="3ABD5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62A96118">
            <w:pPr>
              <w:autoSpaceDE w:val="0"/>
              <w:autoSpaceDN w:val="0"/>
              <w:jc w:val="center"/>
              <w:rPr>
                <w:rFonts w:ascii="宋体" w:hAnsi="宋体" w:cs="宋体"/>
                <w:color w:val="auto"/>
                <w:sz w:val="18"/>
                <w:szCs w:val="18"/>
                <w:highlight w:val="none"/>
              </w:rPr>
            </w:pPr>
          </w:p>
        </w:tc>
        <w:tc>
          <w:tcPr>
            <w:tcW w:w="1662" w:type="dxa"/>
            <w:vMerge w:val="continue"/>
            <w:vAlign w:val="center"/>
          </w:tcPr>
          <w:p w14:paraId="16FEBA5A">
            <w:pPr>
              <w:autoSpaceDE w:val="0"/>
              <w:autoSpaceDN w:val="0"/>
              <w:jc w:val="center"/>
              <w:rPr>
                <w:rFonts w:ascii="宋体" w:hAnsi="宋体" w:cs="宋体"/>
                <w:color w:val="auto"/>
                <w:sz w:val="18"/>
                <w:szCs w:val="18"/>
                <w:highlight w:val="none"/>
              </w:rPr>
            </w:pPr>
          </w:p>
        </w:tc>
        <w:tc>
          <w:tcPr>
            <w:tcW w:w="1390" w:type="dxa"/>
            <w:vAlign w:val="center"/>
          </w:tcPr>
          <w:p w14:paraId="453FC000">
            <w:pPr>
              <w:jc w:val="center"/>
              <w:rPr>
                <w:rFonts w:ascii="宋体" w:hAnsi="宋体" w:cs="宋体"/>
                <w:color w:val="auto"/>
                <w:sz w:val="18"/>
                <w:szCs w:val="18"/>
                <w:highlight w:val="none"/>
              </w:rPr>
            </w:pPr>
            <w:r>
              <w:rPr>
                <w:rFonts w:hint="eastAsia" w:ascii="宋体" w:hAnsi="宋体" w:cs="宋体"/>
                <w:color w:val="auto"/>
                <w:sz w:val="18"/>
                <w:szCs w:val="18"/>
                <w:highlight w:val="none"/>
              </w:rPr>
              <w:t>蹲便器</w:t>
            </w:r>
          </w:p>
        </w:tc>
        <w:tc>
          <w:tcPr>
            <w:tcW w:w="1926" w:type="dxa"/>
            <w:vAlign w:val="center"/>
          </w:tcPr>
          <w:p w14:paraId="39B58768">
            <w:pPr>
              <w:jc w:val="center"/>
              <w:rPr>
                <w:rFonts w:ascii="宋体" w:hAnsi="宋体" w:cs="宋体"/>
                <w:color w:val="auto"/>
                <w:sz w:val="18"/>
                <w:szCs w:val="18"/>
                <w:highlight w:val="none"/>
              </w:rPr>
            </w:pPr>
          </w:p>
        </w:tc>
        <w:tc>
          <w:tcPr>
            <w:tcW w:w="3622" w:type="dxa"/>
            <w:vAlign w:val="center"/>
          </w:tcPr>
          <w:p w14:paraId="04187E98">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《蹲便器用水效率限定值及用水</w:t>
            </w:r>
            <w:r>
              <w:rPr>
                <w:rFonts w:hint="eastAsia" w:ascii="宋体" w:hAnsi="宋体" w:cs="宋体"/>
                <w:color w:val="auto"/>
                <w:sz w:val="18"/>
                <w:szCs w:val="18"/>
                <w:highlight w:val="none"/>
              </w:rPr>
              <w:t>效率等级》（GB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30717）</w:t>
            </w:r>
          </w:p>
        </w:tc>
      </w:tr>
      <w:tr w14:paraId="0E881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0BC922EC">
            <w:pPr>
              <w:autoSpaceDE w:val="0"/>
              <w:autoSpaceDN w:val="0"/>
              <w:jc w:val="center"/>
              <w:rPr>
                <w:rFonts w:ascii="宋体" w:hAnsi="宋体" w:cs="宋体"/>
                <w:color w:val="auto"/>
                <w:sz w:val="18"/>
                <w:szCs w:val="18"/>
                <w:highlight w:val="none"/>
              </w:rPr>
            </w:pPr>
          </w:p>
        </w:tc>
        <w:tc>
          <w:tcPr>
            <w:tcW w:w="1662" w:type="dxa"/>
            <w:vMerge w:val="continue"/>
            <w:vAlign w:val="center"/>
          </w:tcPr>
          <w:p w14:paraId="3E4D7374">
            <w:pPr>
              <w:autoSpaceDE w:val="0"/>
              <w:autoSpaceDN w:val="0"/>
              <w:jc w:val="center"/>
              <w:rPr>
                <w:rFonts w:ascii="宋体" w:hAnsi="宋体" w:cs="宋体"/>
                <w:color w:val="auto"/>
                <w:sz w:val="18"/>
                <w:szCs w:val="18"/>
                <w:highlight w:val="none"/>
              </w:rPr>
            </w:pPr>
          </w:p>
        </w:tc>
        <w:tc>
          <w:tcPr>
            <w:tcW w:w="1390" w:type="dxa"/>
            <w:vAlign w:val="center"/>
          </w:tcPr>
          <w:p w14:paraId="3C52FA10">
            <w:pPr>
              <w:jc w:val="center"/>
              <w:rPr>
                <w:rFonts w:ascii="宋体" w:hAnsi="宋体" w:cs="宋体"/>
                <w:color w:val="auto"/>
                <w:sz w:val="18"/>
                <w:szCs w:val="18"/>
                <w:highlight w:val="none"/>
              </w:rPr>
            </w:pPr>
            <w:r>
              <w:rPr>
                <w:rFonts w:hint="eastAsia" w:ascii="宋体" w:hAnsi="宋体" w:cs="宋体"/>
                <w:color w:val="auto"/>
                <w:sz w:val="18"/>
                <w:szCs w:val="18"/>
                <w:highlight w:val="none"/>
              </w:rPr>
              <w:t>小便器</w:t>
            </w:r>
          </w:p>
        </w:tc>
        <w:tc>
          <w:tcPr>
            <w:tcW w:w="1926" w:type="dxa"/>
            <w:vAlign w:val="center"/>
          </w:tcPr>
          <w:p w14:paraId="5650183F">
            <w:pPr>
              <w:jc w:val="center"/>
              <w:rPr>
                <w:rFonts w:ascii="宋体" w:hAnsi="宋体" w:cs="宋体"/>
                <w:color w:val="auto"/>
                <w:sz w:val="18"/>
                <w:szCs w:val="18"/>
                <w:highlight w:val="none"/>
              </w:rPr>
            </w:pPr>
          </w:p>
        </w:tc>
        <w:tc>
          <w:tcPr>
            <w:tcW w:w="3622" w:type="dxa"/>
            <w:vAlign w:val="center"/>
          </w:tcPr>
          <w:p w14:paraId="59BEF9F5">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《小便器用水效率限定值及用水</w:t>
            </w:r>
            <w:r>
              <w:rPr>
                <w:rFonts w:hint="eastAsia" w:ascii="宋体" w:hAnsi="宋体" w:cs="宋体"/>
                <w:color w:val="auto"/>
                <w:sz w:val="18"/>
                <w:szCs w:val="18"/>
                <w:highlight w:val="none"/>
              </w:rPr>
              <w:t>效率等级》（GB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28377）</w:t>
            </w:r>
          </w:p>
        </w:tc>
      </w:tr>
      <w:tr w14:paraId="0148C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Align w:val="center"/>
          </w:tcPr>
          <w:p w14:paraId="16689DB5">
            <w:pPr>
              <w:jc w:val="center"/>
              <w:rPr>
                <w:rFonts w:ascii="宋体" w:hAnsi="宋体" w:cs="宋体"/>
                <w:color w:val="auto"/>
                <w:sz w:val="18"/>
                <w:szCs w:val="18"/>
                <w:highlight w:val="none"/>
              </w:rPr>
            </w:pPr>
            <w:r>
              <w:rPr>
                <w:rFonts w:hint="eastAsia" w:ascii="宋体" w:hAnsi="宋体" w:cs="宋体"/>
                <w:color w:val="auto"/>
                <w:sz w:val="18"/>
                <w:szCs w:val="18"/>
                <w:highlight w:val="none"/>
              </w:rPr>
              <w:t>16</w:t>
            </w:r>
          </w:p>
        </w:tc>
        <w:tc>
          <w:tcPr>
            <w:tcW w:w="1662" w:type="dxa"/>
            <w:vAlign w:val="center"/>
          </w:tcPr>
          <w:p w14:paraId="4676F182">
            <w:pPr>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★A060806</w:t>
            </w:r>
            <w:r>
              <w:rPr>
                <w:rFonts w:hint="eastAsia" w:ascii="宋体" w:hAnsi="宋体" w:cs="宋体"/>
                <w:color w:val="auto"/>
                <w:spacing w:val="-29"/>
                <w:sz w:val="18"/>
                <w:szCs w:val="18"/>
                <w:highlight w:val="none"/>
              </w:rPr>
              <w:t xml:space="preserve"> 水 </w:t>
            </w:r>
            <w:r>
              <w:rPr>
                <w:rFonts w:hint="eastAsia" w:ascii="宋体" w:hAnsi="宋体" w:cs="宋体"/>
                <w:color w:val="auto"/>
                <w:sz w:val="18"/>
                <w:szCs w:val="18"/>
                <w:highlight w:val="none"/>
              </w:rPr>
              <w:t>嘴</w:t>
            </w:r>
          </w:p>
        </w:tc>
        <w:tc>
          <w:tcPr>
            <w:tcW w:w="1390" w:type="dxa"/>
            <w:vAlign w:val="center"/>
          </w:tcPr>
          <w:p w14:paraId="5C1BF060">
            <w:pPr>
              <w:jc w:val="center"/>
              <w:rPr>
                <w:rFonts w:ascii="宋体" w:hAnsi="宋体" w:cs="宋体"/>
                <w:color w:val="auto"/>
                <w:sz w:val="18"/>
                <w:szCs w:val="18"/>
                <w:highlight w:val="none"/>
              </w:rPr>
            </w:pPr>
          </w:p>
        </w:tc>
        <w:tc>
          <w:tcPr>
            <w:tcW w:w="1926" w:type="dxa"/>
            <w:vAlign w:val="center"/>
          </w:tcPr>
          <w:p w14:paraId="36E17F26">
            <w:pPr>
              <w:jc w:val="center"/>
              <w:rPr>
                <w:rFonts w:ascii="宋体" w:hAnsi="宋体" w:cs="宋体"/>
                <w:color w:val="auto"/>
                <w:sz w:val="18"/>
                <w:szCs w:val="18"/>
                <w:highlight w:val="none"/>
              </w:rPr>
            </w:pPr>
          </w:p>
        </w:tc>
        <w:tc>
          <w:tcPr>
            <w:tcW w:w="3622" w:type="dxa"/>
            <w:vAlign w:val="center"/>
          </w:tcPr>
          <w:p w14:paraId="03D79A58">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《水嘴用水效率限定值及用水效</w:t>
            </w:r>
            <w:r>
              <w:rPr>
                <w:rFonts w:hint="eastAsia" w:ascii="宋体" w:hAnsi="宋体" w:cs="宋体"/>
                <w:color w:val="auto"/>
                <w:sz w:val="18"/>
                <w:szCs w:val="18"/>
                <w:highlight w:val="none"/>
              </w:rPr>
              <w:t>率等级》（GB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25501）</w:t>
            </w:r>
          </w:p>
        </w:tc>
      </w:tr>
      <w:tr w14:paraId="32314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Align w:val="center"/>
          </w:tcPr>
          <w:p w14:paraId="5FAD650E">
            <w:pPr>
              <w:jc w:val="center"/>
              <w:rPr>
                <w:rFonts w:ascii="宋体" w:hAnsi="宋体" w:cs="宋体"/>
                <w:color w:val="auto"/>
                <w:sz w:val="18"/>
                <w:szCs w:val="18"/>
                <w:highlight w:val="none"/>
              </w:rPr>
            </w:pPr>
            <w:r>
              <w:rPr>
                <w:rFonts w:hint="eastAsia" w:ascii="宋体" w:hAnsi="宋体" w:cs="宋体"/>
                <w:color w:val="auto"/>
                <w:sz w:val="18"/>
                <w:szCs w:val="18"/>
                <w:highlight w:val="none"/>
              </w:rPr>
              <w:t>17</w:t>
            </w:r>
          </w:p>
        </w:tc>
        <w:tc>
          <w:tcPr>
            <w:tcW w:w="1662" w:type="dxa"/>
            <w:vAlign w:val="center"/>
          </w:tcPr>
          <w:p w14:paraId="1A0AA5E0">
            <w:pPr>
              <w:jc w:val="center"/>
              <w:rPr>
                <w:rFonts w:ascii="宋体" w:hAnsi="宋体" w:cs="宋体"/>
                <w:color w:val="auto"/>
                <w:spacing w:val="-20"/>
                <w:sz w:val="18"/>
                <w:szCs w:val="18"/>
                <w:highlight w:val="none"/>
              </w:rPr>
            </w:pPr>
            <w:r>
              <w:rPr>
                <w:rFonts w:hint="eastAsia" w:ascii="宋体" w:hAnsi="宋体" w:cs="宋体"/>
                <w:color w:val="auto"/>
                <w:spacing w:val="-2"/>
                <w:sz w:val="18"/>
                <w:szCs w:val="18"/>
                <w:highlight w:val="none"/>
              </w:rPr>
              <w:t>A060807</w:t>
            </w:r>
            <w:r>
              <w:rPr>
                <w:rFonts w:hint="eastAsia" w:ascii="宋体" w:hAnsi="宋体" w:cs="宋体"/>
                <w:color w:val="auto"/>
                <w:spacing w:val="-20"/>
                <w:sz w:val="18"/>
                <w:szCs w:val="18"/>
                <w:highlight w:val="none"/>
              </w:rPr>
              <w:t xml:space="preserve"> 便</w:t>
            </w:r>
          </w:p>
          <w:p w14:paraId="258A54DF">
            <w:pPr>
              <w:jc w:val="center"/>
              <w:rPr>
                <w:rFonts w:ascii="宋体" w:hAnsi="宋体" w:cs="宋体"/>
                <w:color w:val="auto"/>
                <w:sz w:val="18"/>
                <w:szCs w:val="18"/>
                <w:highlight w:val="none"/>
              </w:rPr>
            </w:pPr>
            <w:r>
              <w:rPr>
                <w:rFonts w:hint="eastAsia" w:ascii="宋体" w:hAnsi="宋体" w:cs="宋体"/>
                <w:color w:val="auto"/>
                <w:spacing w:val="-20"/>
                <w:sz w:val="18"/>
                <w:szCs w:val="18"/>
                <w:highlight w:val="none"/>
              </w:rPr>
              <w:t>器</w:t>
            </w:r>
            <w:r>
              <w:rPr>
                <w:rFonts w:hint="eastAsia" w:ascii="宋体" w:hAnsi="宋体" w:cs="宋体"/>
                <w:color w:val="auto"/>
                <w:sz w:val="18"/>
                <w:szCs w:val="18"/>
                <w:highlight w:val="none"/>
              </w:rPr>
              <w:t>冲洗阀</w:t>
            </w:r>
          </w:p>
        </w:tc>
        <w:tc>
          <w:tcPr>
            <w:tcW w:w="1390" w:type="dxa"/>
            <w:vAlign w:val="center"/>
          </w:tcPr>
          <w:p w14:paraId="46E6C853">
            <w:pPr>
              <w:jc w:val="center"/>
              <w:rPr>
                <w:rFonts w:ascii="宋体" w:hAnsi="宋体" w:cs="宋体"/>
                <w:color w:val="auto"/>
                <w:sz w:val="18"/>
                <w:szCs w:val="18"/>
                <w:highlight w:val="none"/>
              </w:rPr>
            </w:pPr>
          </w:p>
        </w:tc>
        <w:tc>
          <w:tcPr>
            <w:tcW w:w="1926" w:type="dxa"/>
            <w:vAlign w:val="center"/>
          </w:tcPr>
          <w:p w14:paraId="1EA005C6">
            <w:pPr>
              <w:jc w:val="center"/>
              <w:rPr>
                <w:rFonts w:ascii="宋体" w:hAnsi="宋体" w:cs="宋体"/>
                <w:color w:val="auto"/>
                <w:sz w:val="18"/>
                <w:szCs w:val="18"/>
                <w:highlight w:val="none"/>
              </w:rPr>
            </w:pPr>
          </w:p>
        </w:tc>
        <w:tc>
          <w:tcPr>
            <w:tcW w:w="3622" w:type="dxa"/>
            <w:vAlign w:val="center"/>
          </w:tcPr>
          <w:p w14:paraId="7C0A4CCD">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《便器冲洗阀用水效率限定值及</w:t>
            </w:r>
            <w:r>
              <w:rPr>
                <w:rFonts w:hint="eastAsia" w:ascii="宋体" w:hAnsi="宋体" w:cs="宋体"/>
                <w:color w:val="auto"/>
                <w:sz w:val="18"/>
                <w:szCs w:val="18"/>
                <w:highlight w:val="none"/>
              </w:rPr>
              <w:t>用水效率等级》（GB 28379）</w:t>
            </w:r>
          </w:p>
        </w:tc>
      </w:tr>
      <w:tr w14:paraId="70518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46" w:type="dxa"/>
            <w:vAlign w:val="center"/>
          </w:tcPr>
          <w:p w14:paraId="27681B2B">
            <w:pPr>
              <w:jc w:val="center"/>
              <w:rPr>
                <w:rFonts w:ascii="宋体" w:hAnsi="宋体" w:cs="宋体"/>
                <w:color w:val="auto"/>
                <w:sz w:val="18"/>
                <w:szCs w:val="18"/>
                <w:highlight w:val="none"/>
              </w:rPr>
            </w:pPr>
            <w:r>
              <w:rPr>
                <w:rFonts w:hint="eastAsia" w:ascii="宋体" w:hAnsi="宋体" w:cs="宋体"/>
                <w:color w:val="auto"/>
                <w:sz w:val="18"/>
                <w:szCs w:val="18"/>
                <w:highlight w:val="none"/>
              </w:rPr>
              <w:t>18</w:t>
            </w:r>
          </w:p>
        </w:tc>
        <w:tc>
          <w:tcPr>
            <w:tcW w:w="1662" w:type="dxa"/>
            <w:vAlign w:val="center"/>
          </w:tcPr>
          <w:p w14:paraId="5FE70A59">
            <w:pPr>
              <w:jc w:val="center"/>
              <w:rPr>
                <w:rFonts w:ascii="宋体" w:hAnsi="宋体" w:cs="宋体"/>
                <w:color w:val="auto"/>
                <w:sz w:val="18"/>
                <w:szCs w:val="18"/>
                <w:highlight w:val="none"/>
              </w:rPr>
            </w:pPr>
            <w:r>
              <w:rPr>
                <w:rFonts w:hint="eastAsia" w:ascii="宋体" w:hAnsi="宋体" w:cs="宋体"/>
                <w:color w:val="auto"/>
                <w:sz w:val="18"/>
                <w:szCs w:val="18"/>
                <w:highlight w:val="none"/>
              </w:rPr>
              <w:t>A060810</w:t>
            </w:r>
            <w:r>
              <w:rPr>
                <w:rFonts w:hint="eastAsia" w:ascii="宋体" w:hAnsi="宋体" w:cs="宋体"/>
                <w:color w:val="auto"/>
                <w:spacing w:val="-9"/>
                <w:sz w:val="18"/>
                <w:szCs w:val="18"/>
                <w:highlight w:val="none"/>
              </w:rPr>
              <w:t xml:space="preserve"> 淋浴</w:t>
            </w:r>
            <w:r>
              <w:rPr>
                <w:rFonts w:hint="eastAsia" w:ascii="宋体" w:hAnsi="宋体" w:cs="宋体"/>
                <w:color w:val="auto"/>
                <w:sz w:val="18"/>
                <w:szCs w:val="18"/>
                <w:highlight w:val="none"/>
              </w:rPr>
              <w:t>器</w:t>
            </w:r>
          </w:p>
        </w:tc>
        <w:tc>
          <w:tcPr>
            <w:tcW w:w="1390" w:type="dxa"/>
            <w:vAlign w:val="center"/>
          </w:tcPr>
          <w:p w14:paraId="3D84EE58">
            <w:pPr>
              <w:jc w:val="center"/>
              <w:rPr>
                <w:rFonts w:ascii="宋体" w:hAnsi="宋体" w:cs="宋体"/>
                <w:color w:val="auto"/>
                <w:sz w:val="18"/>
                <w:szCs w:val="18"/>
                <w:highlight w:val="none"/>
              </w:rPr>
            </w:pPr>
          </w:p>
        </w:tc>
        <w:tc>
          <w:tcPr>
            <w:tcW w:w="1926" w:type="dxa"/>
            <w:vAlign w:val="center"/>
          </w:tcPr>
          <w:p w14:paraId="2FB88308">
            <w:pPr>
              <w:jc w:val="center"/>
              <w:rPr>
                <w:rFonts w:ascii="宋体" w:hAnsi="宋体" w:cs="宋体"/>
                <w:color w:val="auto"/>
                <w:sz w:val="18"/>
                <w:szCs w:val="18"/>
                <w:highlight w:val="none"/>
              </w:rPr>
            </w:pPr>
          </w:p>
        </w:tc>
        <w:tc>
          <w:tcPr>
            <w:tcW w:w="3622" w:type="dxa"/>
            <w:vAlign w:val="center"/>
          </w:tcPr>
          <w:p w14:paraId="5487944F">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《淋浴器用水效率限定值及用水</w:t>
            </w:r>
            <w:r>
              <w:rPr>
                <w:rFonts w:hint="eastAsia" w:ascii="宋体" w:hAnsi="宋体" w:cs="宋体"/>
                <w:color w:val="auto"/>
                <w:sz w:val="18"/>
                <w:szCs w:val="18"/>
                <w:highlight w:val="none"/>
              </w:rPr>
              <w:t>效率等级》（GB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28378）</w:t>
            </w:r>
          </w:p>
        </w:tc>
      </w:tr>
      <w:bookmarkEnd w:id="50"/>
    </w:tbl>
    <w:p w14:paraId="020FEB5E">
      <w:pPr>
        <w:pStyle w:val="2"/>
        <w:spacing w:line="360" w:lineRule="auto"/>
        <w:rPr>
          <w:rFonts w:ascii="宋体" w:hAnsi="宋体" w:cs="宋体"/>
          <w:color w:val="auto"/>
          <w:sz w:val="21"/>
          <w:szCs w:val="21"/>
          <w:highlight w:val="none"/>
        </w:rPr>
      </w:pPr>
      <w:r>
        <w:rPr>
          <w:rFonts w:hint="eastAsia" w:ascii="宋体" w:hAnsi="宋体" w:cs="宋体"/>
          <w:color w:val="auto"/>
          <w:spacing w:val="-3"/>
          <w:sz w:val="21"/>
          <w:szCs w:val="21"/>
          <w:highlight w:val="none"/>
        </w:rPr>
        <w:t>注：1.节能产品认证应依据相关国家标准的最新版本，依据国家标准中二级能效（水效）</w:t>
      </w:r>
      <w:r>
        <w:rPr>
          <w:rFonts w:hint="eastAsia" w:ascii="宋体" w:hAnsi="宋体" w:cs="宋体"/>
          <w:color w:val="auto"/>
          <w:sz w:val="21"/>
          <w:szCs w:val="21"/>
          <w:highlight w:val="none"/>
        </w:rPr>
        <w:t>指标。</w:t>
      </w:r>
    </w:p>
    <w:p w14:paraId="37C51CA3">
      <w:pPr>
        <w:pStyle w:val="2"/>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    2.上述产品中认证标准发生变更的，依据原认证标准获得的、仍在有效期内的认证证书可使用至2019年6月1日。</w:t>
      </w:r>
    </w:p>
    <w:p w14:paraId="1FE8687E">
      <w:pPr>
        <w:widowControl/>
        <w:jc w:val="left"/>
        <w:rPr>
          <w:rFonts w:ascii="宋体" w:hAnsi="宋体" w:cs="宋体"/>
          <w:color w:val="auto"/>
          <w:szCs w:val="21"/>
          <w:highlight w:val="none"/>
        </w:rPr>
      </w:pPr>
      <w:r>
        <w:rPr>
          <w:rFonts w:hint="eastAsia" w:ascii="宋体" w:hAnsi="宋体" w:cs="宋体"/>
          <w:color w:val="auto"/>
          <w:szCs w:val="21"/>
          <w:highlight w:val="none"/>
        </w:rPr>
        <w:t xml:space="preserve">    3.以“★”标注的为政府强制采购产品。</w:t>
      </w:r>
    </w:p>
    <w:p w14:paraId="31FD7AFF">
      <w:pPr>
        <w:spacing w:line="528" w:lineRule="exact"/>
        <w:ind w:left="1871"/>
        <w:rPr>
          <w:rFonts w:ascii="宋体" w:hAnsi="宋体" w:cs="微软雅黑"/>
          <w:color w:val="auto"/>
          <w:sz w:val="40"/>
          <w:szCs w:val="40"/>
          <w:highlight w:val="none"/>
        </w:rPr>
        <w:sectPr>
          <w:footerReference r:id="rId8" w:type="default"/>
          <w:pgSz w:w="11906" w:h="16838"/>
          <w:pgMar w:top="1134" w:right="1332" w:bottom="1134" w:left="1332" w:header="851" w:footer="992" w:gutter="0"/>
          <w:cols w:space="0" w:num="1"/>
          <w:titlePg/>
          <w:docGrid w:linePitch="312" w:charSpace="0"/>
        </w:sectPr>
      </w:pPr>
    </w:p>
    <w:p w14:paraId="64645E94">
      <w:pPr>
        <w:widowControl/>
        <w:jc w:val="left"/>
        <w:rPr>
          <w:rFonts w:ascii="宋体" w:hAnsi="宋体" w:cs="宋体"/>
          <w:b/>
          <w:bCs/>
          <w:color w:val="auto"/>
          <w:sz w:val="32"/>
          <w:szCs w:val="32"/>
          <w:highlight w:val="none"/>
        </w:rPr>
      </w:pPr>
    </w:p>
    <w:p w14:paraId="798D3AB7">
      <w:pPr>
        <w:widowControl/>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t>附件2：</w:t>
      </w:r>
    </w:p>
    <w:p w14:paraId="3A126E59">
      <w:pPr>
        <w:pStyle w:val="2"/>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中小企业划型标准规定</w:t>
      </w:r>
    </w:p>
    <w:tbl>
      <w:tblPr>
        <w:tblStyle w:val="50"/>
        <w:tblW w:w="9615" w:type="dxa"/>
        <w:jc w:val="center"/>
        <w:tblLayout w:type="fixed"/>
        <w:tblCellMar>
          <w:top w:w="0" w:type="dxa"/>
          <w:left w:w="108" w:type="dxa"/>
          <w:bottom w:w="0" w:type="dxa"/>
          <w:right w:w="108" w:type="dxa"/>
        </w:tblCellMar>
      </w:tblPr>
      <w:tblGrid>
        <w:gridCol w:w="2161"/>
        <w:gridCol w:w="1618"/>
        <w:gridCol w:w="1346"/>
        <w:gridCol w:w="1796"/>
        <w:gridCol w:w="1647"/>
        <w:gridCol w:w="1047"/>
      </w:tblGrid>
      <w:tr w14:paraId="40CAF18D">
        <w:tblPrEx>
          <w:tblCellMar>
            <w:top w:w="0" w:type="dxa"/>
            <w:left w:w="108" w:type="dxa"/>
            <w:bottom w:w="0" w:type="dxa"/>
            <w:right w:w="108" w:type="dxa"/>
          </w:tblCellMar>
        </w:tblPrEx>
        <w:trPr>
          <w:trHeight w:val="453" w:hRule="atLeast"/>
          <w:jc w:val="center"/>
        </w:trPr>
        <w:tc>
          <w:tcPr>
            <w:tcW w:w="2161" w:type="dxa"/>
            <w:tcBorders>
              <w:top w:val="single" w:color="auto" w:sz="4" w:space="0"/>
              <w:left w:val="single" w:color="auto" w:sz="4" w:space="0"/>
              <w:bottom w:val="single" w:color="auto" w:sz="4" w:space="0"/>
              <w:right w:val="single" w:color="auto" w:sz="4" w:space="0"/>
            </w:tcBorders>
            <w:vAlign w:val="center"/>
          </w:tcPr>
          <w:p w14:paraId="70202D83">
            <w:pPr>
              <w:widowControl/>
              <w:spacing w:line="336"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618" w:type="dxa"/>
            <w:tcBorders>
              <w:top w:val="single" w:color="auto" w:sz="4" w:space="0"/>
              <w:left w:val="nil"/>
              <w:bottom w:val="single" w:color="auto" w:sz="4" w:space="0"/>
              <w:right w:val="single" w:color="auto" w:sz="4" w:space="0"/>
            </w:tcBorders>
            <w:vAlign w:val="center"/>
          </w:tcPr>
          <w:p w14:paraId="1D7EEAFC">
            <w:pPr>
              <w:widowControl/>
              <w:spacing w:line="336"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1346" w:type="dxa"/>
            <w:tcBorders>
              <w:top w:val="single" w:color="auto" w:sz="4" w:space="0"/>
              <w:left w:val="nil"/>
              <w:bottom w:val="single" w:color="auto" w:sz="4" w:space="0"/>
              <w:right w:val="single" w:color="auto" w:sz="4" w:space="0"/>
            </w:tcBorders>
            <w:vAlign w:val="center"/>
          </w:tcPr>
          <w:p w14:paraId="29098AB5">
            <w:pPr>
              <w:widowControl/>
              <w:spacing w:line="336"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796" w:type="dxa"/>
            <w:tcBorders>
              <w:top w:val="single" w:color="auto" w:sz="4" w:space="0"/>
              <w:left w:val="nil"/>
              <w:bottom w:val="single" w:color="auto" w:sz="4" w:space="0"/>
              <w:right w:val="single" w:color="auto" w:sz="4" w:space="0"/>
            </w:tcBorders>
            <w:vAlign w:val="center"/>
          </w:tcPr>
          <w:p w14:paraId="6E1B0E54">
            <w:pPr>
              <w:widowControl/>
              <w:spacing w:line="336"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647" w:type="dxa"/>
            <w:tcBorders>
              <w:top w:val="single" w:color="auto" w:sz="4" w:space="0"/>
              <w:left w:val="nil"/>
              <w:bottom w:val="single" w:color="auto" w:sz="4" w:space="0"/>
              <w:right w:val="single" w:color="auto" w:sz="4" w:space="0"/>
            </w:tcBorders>
            <w:vAlign w:val="center"/>
          </w:tcPr>
          <w:p w14:paraId="1F019EC9">
            <w:pPr>
              <w:widowControl/>
              <w:spacing w:line="336"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047" w:type="dxa"/>
            <w:tcBorders>
              <w:top w:val="single" w:color="auto" w:sz="4" w:space="0"/>
              <w:left w:val="nil"/>
              <w:bottom w:val="single" w:color="auto" w:sz="4" w:space="0"/>
              <w:right w:val="single" w:color="auto" w:sz="4" w:space="0"/>
            </w:tcBorders>
            <w:vAlign w:val="center"/>
          </w:tcPr>
          <w:p w14:paraId="1C3538A6">
            <w:pPr>
              <w:widowControl/>
              <w:spacing w:line="336"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07803C54">
        <w:tblPrEx>
          <w:tblCellMar>
            <w:top w:w="0" w:type="dxa"/>
            <w:left w:w="108" w:type="dxa"/>
            <w:bottom w:w="0" w:type="dxa"/>
            <w:right w:w="108" w:type="dxa"/>
          </w:tblCellMar>
        </w:tblPrEx>
        <w:trPr>
          <w:trHeight w:val="342" w:hRule="atLeast"/>
          <w:jc w:val="center"/>
        </w:trPr>
        <w:tc>
          <w:tcPr>
            <w:tcW w:w="2161" w:type="dxa"/>
            <w:tcBorders>
              <w:top w:val="nil"/>
              <w:left w:val="single" w:color="auto" w:sz="4" w:space="0"/>
              <w:bottom w:val="single" w:color="auto" w:sz="4" w:space="0"/>
              <w:right w:val="single" w:color="auto" w:sz="4" w:space="0"/>
            </w:tcBorders>
            <w:vAlign w:val="center"/>
          </w:tcPr>
          <w:p w14:paraId="44A17F5F">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618" w:type="dxa"/>
            <w:tcBorders>
              <w:top w:val="nil"/>
              <w:left w:val="nil"/>
              <w:bottom w:val="single" w:color="auto" w:sz="4" w:space="0"/>
              <w:right w:val="single" w:color="auto" w:sz="4" w:space="0"/>
            </w:tcBorders>
            <w:vAlign w:val="center"/>
          </w:tcPr>
          <w:p w14:paraId="02A02E7D">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5624361E">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463D0C65">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47" w:type="dxa"/>
            <w:tcBorders>
              <w:top w:val="nil"/>
              <w:left w:val="nil"/>
              <w:bottom w:val="single" w:color="auto" w:sz="4" w:space="0"/>
              <w:right w:val="single" w:color="auto" w:sz="4" w:space="0"/>
            </w:tcBorders>
            <w:vAlign w:val="center"/>
          </w:tcPr>
          <w:p w14:paraId="2F1153F6">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047" w:type="dxa"/>
            <w:tcBorders>
              <w:top w:val="nil"/>
              <w:left w:val="nil"/>
              <w:bottom w:val="single" w:color="auto" w:sz="4" w:space="0"/>
              <w:right w:val="single" w:color="auto" w:sz="4" w:space="0"/>
            </w:tcBorders>
            <w:vAlign w:val="center"/>
          </w:tcPr>
          <w:p w14:paraId="46CED2F8">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69F9614">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5D9719E3">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618" w:type="dxa"/>
            <w:tcBorders>
              <w:top w:val="nil"/>
              <w:left w:val="nil"/>
              <w:bottom w:val="single" w:color="auto" w:sz="4" w:space="0"/>
              <w:right w:val="single" w:color="auto" w:sz="4" w:space="0"/>
            </w:tcBorders>
            <w:vAlign w:val="center"/>
          </w:tcPr>
          <w:p w14:paraId="08C8FC39">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346" w:type="dxa"/>
            <w:tcBorders>
              <w:top w:val="nil"/>
              <w:left w:val="nil"/>
              <w:bottom w:val="single" w:color="auto" w:sz="4" w:space="0"/>
              <w:right w:val="single" w:color="auto" w:sz="4" w:space="0"/>
            </w:tcBorders>
            <w:vAlign w:val="center"/>
          </w:tcPr>
          <w:p w14:paraId="2180D99F">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6" w:type="dxa"/>
            <w:tcBorders>
              <w:top w:val="nil"/>
              <w:left w:val="nil"/>
              <w:bottom w:val="single" w:color="auto" w:sz="4" w:space="0"/>
              <w:right w:val="single" w:color="auto" w:sz="4" w:space="0"/>
            </w:tcBorders>
            <w:vAlign w:val="center"/>
          </w:tcPr>
          <w:p w14:paraId="6729641A">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47" w:type="dxa"/>
            <w:tcBorders>
              <w:top w:val="nil"/>
              <w:left w:val="nil"/>
              <w:bottom w:val="single" w:color="auto" w:sz="4" w:space="0"/>
              <w:right w:val="single" w:color="auto" w:sz="4" w:space="0"/>
            </w:tcBorders>
            <w:vAlign w:val="center"/>
          </w:tcPr>
          <w:p w14:paraId="39F2344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7" w:type="dxa"/>
            <w:tcBorders>
              <w:top w:val="nil"/>
              <w:left w:val="nil"/>
              <w:bottom w:val="single" w:color="auto" w:sz="4" w:space="0"/>
              <w:right w:val="single" w:color="auto" w:sz="4" w:space="0"/>
            </w:tcBorders>
            <w:vAlign w:val="center"/>
          </w:tcPr>
          <w:p w14:paraId="1BCB704A">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26F8880">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134D7D3F">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1ECA96A8">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5D026A6B">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40B97E56">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647" w:type="dxa"/>
            <w:tcBorders>
              <w:top w:val="nil"/>
              <w:left w:val="nil"/>
              <w:bottom w:val="single" w:color="auto" w:sz="4" w:space="0"/>
              <w:right w:val="single" w:color="auto" w:sz="4" w:space="0"/>
            </w:tcBorders>
            <w:vAlign w:val="center"/>
          </w:tcPr>
          <w:p w14:paraId="27307F90">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047" w:type="dxa"/>
            <w:tcBorders>
              <w:top w:val="nil"/>
              <w:left w:val="nil"/>
              <w:bottom w:val="single" w:color="auto" w:sz="4" w:space="0"/>
              <w:right w:val="single" w:color="auto" w:sz="4" w:space="0"/>
            </w:tcBorders>
            <w:vAlign w:val="center"/>
          </w:tcPr>
          <w:p w14:paraId="0A9A7462">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7EF4396">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6BD4797A">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618" w:type="dxa"/>
            <w:tcBorders>
              <w:top w:val="nil"/>
              <w:left w:val="nil"/>
              <w:bottom w:val="single" w:color="auto" w:sz="4" w:space="0"/>
              <w:right w:val="single" w:color="auto" w:sz="4" w:space="0"/>
            </w:tcBorders>
            <w:vAlign w:val="center"/>
          </w:tcPr>
          <w:p w14:paraId="51453B80">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680872D7">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272A9E0A">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647" w:type="dxa"/>
            <w:tcBorders>
              <w:top w:val="nil"/>
              <w:left w:val="nil"/>
              <w:bottom w:val="single" w:color="auto" w:sz="4" w:space="0"/>
              <w:right w:val="single" w:color="auto" w:sz="4" w:space="0"/>
            </w:tcBorders>
            <w:vAlign w:val="center"/>
          </w:tcPr>
          <w:p w14:paraId="28FDA9BF">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047" w:type="dxa"/>
            <w:tcBorders>
              <w:top w:val="nil"/>
              <w:left w:val="nil"/>
              <w:bottom w:val="single" w:color="auto" w:sz="4" w:space="0"/>
              <w:right w:val="single" w:color="auto" w:sz="4" w:space="0"/>
            </w:tcBorders>
            <w:vAlign w:val="center"/>
          </w:tcPr>
          <w:p w14:paraId="2665BC2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61C8131">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2100A62A">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30F3567A">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346" w:type="dxa"/>
            <w:tcBorders>
              <w:top w:val="nil"/>
              <w:left w:val="nil"/>
              <w:bottom w:val="single" w:color="auto" w:sz="4" w:space="0"/>
              <w:right w:val="single" w:color="auto" w:sz="4" w:space="0"/>
            </w:tcBorders>
            <w:vAlign w:val="center"/>
          </w:tcPr>
          <w:p w14:paraId="02494929">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50885E45">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647" w:type="dxa"/>
            <w:tcBorders>
              <w:top w:val="nil"/>
              <w:left w:val="nil"/>
              <w:bottom w:val="single" w:color="auto" w:sz="4" w:space="0"/>
              <w:right w:val="single" w:color="auto" w:sz="4" w:space="0"/>
            </w:tcBorders>
            <w:vAlign w:val="center"/>
          </w:tcPr>
          <w:p w14:paraId="1A9555A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047" w:type="dxa"/>
            <w:tcBorders>
              <w:top w:val="nil"/>
              <w:left w:val="nil"/>
              <w:bottom w:val="single" w:color="auto" w:sz="4" w:space="0"/>
              <w:right w:val="single" w:color="auto" w:sz="4" w:space="0"/>
            </w:tcBorders>
            <w:vAlign w:val="center"/>
          </w:tcPr>
          <w:p w14:paraId="6E030D27">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ACB942B">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0E94D732">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618" w:type="dxa"/>
            <w:tcBorders>
              <w:top w:val="nil"/>
              <w:left w:val="nil"/>
              <w:bottom w:val="single" w:color="auto" w:sz="4" w:space="0"/>
              <w:right w:val="single" w:color="auto" w:sz="4" w:space="0"/>
            </w:tcBorders>
            <w:vAlign w:val="center"/>
          </w:tcPr>
          <w:p w14:paraId="7F105AF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346" w:type="dxa"/>
            <w:tcBorders>
              <w:top w:val="nil"/>
              <w:left w:val="nil"/>
              <w:bottom w:val="single" w:color="auto" w:sz="4" w:space="0"/>
              <w:right w:val="single" w:color="auto" w:sz="4" w:space="0"/>
            </w:tcBorders>
            <w:vAlign w:val="center"/>
          </w:tcPr>
          <w:p w14:paraId="317E088D">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6" w:type="dxa"/>
            <w:tcBorders>
              <w:top w:val="nil"/>
              <w:left w:val="nil"/>
              <w:bottom w:val="single" w:color="auto" w:sz="4" w:space="0"/>
              <w:right w:val="single" w:color="auto" w:sz="4" w:space="0"/>
            </w:tcBorders>
            <w:vAlign w:val="center"/>
          </w:tcPr>
          <w:p w14:paraId="4B1ACED5">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647" w:type="dxa"/>
            <w:tcBorders>
              <w:top w:val="nil"/>
              <w:left w:val="nil"/>
              <w:bottom w:val="single" w:color="auto" w:sz="4" w:space="0"/>
              <w:right w:val="single" w:color="auto" w:sz="4" w:space="0"/>
            </w:tcBorders>
            <w:vAlign w:val="center"/>
          </w:tcPr>
          <w:p w14:paraId="5E7D9167">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047" w:type="dxa"/>
            <w:tcBorders>
              <w:top w:val="nil"/>
              <w:left w:val="nil"/>
              <w:bottom w:val="single" w:color="auto" w:sz="4" w:space="0"/>
              <w:right w:val="single" w:color="auto" w:sz="4" w:space="0"/>
            </w:tcBorders>
            <w:vAlign w:val="center"/>
          </w:tcPr>
          <w:p w14:paraId="123FF5F6">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198ABCBE">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2EFFF922">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2D055A14">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415D8B1B">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3CAE5C7B">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647" w:type="dxa"/>
            <w:tcBorders>
              <w:top w:val="nil"/>
              <w:left w:val="nil"/>
              <w:bottom w:val="single" w:color="auto" w:sz="4" w:space="0"/>
              <w:right w:val="single" w:color="auto" w:sz="4" w:space="0"/>
            </w:tcBorders>
            <w:vAlign w:val="center"/>
          </w:tcPr>
          <w:p w14:paraId="081EB414">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047" w:type="dxa"/>
            <w:tcBorders>
              <w:top w:val="nil"/>
              <w:left w:val="nil"/>
              <w:bottom w:val="single" w:color="auto" w:sz="4" w:space="0"/>
              <w:right w:val="single" w:color="auto" w:sz="4" w:space="0"/>
            </w:tcBorders>
            <w:vAlign w:val="center"/>
          </w:tcPr>
          <w:p w14:paraId="1CEF0B2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0C0816A0">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7A7790FF">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618" w:type="dxa"/>
            <w:tcBorders>
              <w:top w:val="nil"/>
              <w:left w:val="nil"/>
              <w:bottom w:val="single" w:color="auto" w:sz="4" w:space="0"/>
              <w:right w:val="single" w:color="auto" w:sz="4" w:space="0"/>
            </w:tcBorders>
            <w:vAlign w:val="center"/>
          </w:tcPr>
          <w:p w14:paraId="58028DE2">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346" w:type="dxa"/>
            <w:tcBorders>
              <w:top w:val="nil"/>
              <w:left w:val="nil"/>
              <w:bottom w:val="single" w:color="auto" w:sz="4" w:space="0"/>
              <w:right w:val="single" w:color="auto" w:sz="4" w:space="0"/>
            </w:tcBorders>
            <w:vAlign w:val="center"/>
          </w:tcPr>
          <w:p w14:paraId="7509EBB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6" w:type="dxa"/>
            <w:tcBorders>
              <w:top w:val="nil"/>
              <w:left w:val="nil"/>
              <w:bottom w:val="single" w:color="auto" w:sz="4" w:space="0"/>
              <w:right w:val="single" w:color="auto" w:sz="4" w:space="0"/>
            </w:tcBorders>
            <w:vAlign w:val="center"/>
          </w:tcPr>
          <w:p w14:paraId="18A3E847">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647" w:type="dxa"/>
            <w:tcBorders>
              <w:top w:val="nil"/>
              <w:left w:val="nil"/>
              <w:bottom w:val="single" w:color="auto" w:sz="4" w:space="0"/>
              <w:right w:val="single" w:color="auto" w:sz="4" w:space="0"/>
            </w:tcBorders>
            <w:vAlign w:val="center"/>
          </w:tcPr>
          <w:p w14:paraId="6312B2C0">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047" w:type="dxa"/>
            <w:tcBorders>
              <w:top w:val="nil"/>
              <w:left w:val="nil"/>
              <w:bottom w:val="single" w:color="auto" w:sz="4" w:space="0"/>
              <w:right w:val="single" w:color="auto" w:sz="4" w:space="0"/>
            </w:tcBorders>
            <w:vAlign w:val="center"/>
          </w:tcPr>
          <w:p w14:paraId="5F604A1D">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0B9BCFA">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2D58B4AB">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3F17D4F8">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10520790">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35F8CE25">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47" w:type="dxa"/>
            <w:tcBorders>
              <w:top w:val="nil"/>
              <w:left w:val="nil"/>
              <w:bottom w:val="single" w:color="auto" w:sz="4" w:space="0"/>
              <w:right w:val="single" w:color="auto" w:sz="4" w:space="0"/>
            </w:tcBorders>
            <w:vAlign w:val="center"/>
          </w:tcPr>
          <w:p w14:paraId="2509291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047" w:type="dxa"/>
            <w:tcBorders>
              <w:top w:val="nil"/>
              <w:left w:val="nil"/>
              <w:bottom w:val="single" w:color="auto" w:sz="4" w:space="0"/>
              <w:right w:val="single" w:color="auto" w:sz="4" w:space="0"/>
            </w:tcBorders>
            <w:vAlign w:val="center"/>
          </w:tcPr>
          <w:p w14:paraId="6B798A40">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5716F9E">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609382E2">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618" w:type="dxa"/>
            <w:tcBorders>
              <w:top w:val="nil"/>
              <w:left w:val="nil"/>
              <w:bottom w:val="single" w:color="auto" w:sz="4" w:space="0"/>
              <w:right w:val="single" w:color="auto" w:sz="4" w:space="0"/>
            </w:tcBorders>
            <w:vAlign w:val="center"/>
          </w:tcPr>
          <w:p w14:paraId="1610FD8F">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346" w:type="dxa"/>
            <w:tcBorders>
              <w:top w:val="nil"/>
              <w:left w:val="nil"/>
              <w:bottom w:val="single" w:color="auto" w:sz="4" w:space="0"/>
              <w:right w:val="single" w:color="auto" w:sz="4" w:space="0"/>
            </w:tcBorders>
            <w:vAlign w:val="center"/>
          </w:tcPr>
          <w:p w14:paraId="24DC082E">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6" w:type="dxa"/>
            <w:tcBorders>
              <w:top w:val="nil"/>
              <w:left w:val="nil"/>
              <w:bottom w:val="single" w:color="auto" w:sz="4" w:space="0"/>
              <w:right w:val="single" w:color="auto" w:sz="4" w:space="0"/>
            </w:tcBorders>
            <w:vAlign w:val="center"/>
          </w:tcPr>
          <w:p w14:paraId="28328D27">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47" w:type="dxa"/>
            <w:tcBorders>
              <w:top w:val="nil"/>
              <w:left w:val="nil"/>
              <w:bottom w:val="single" w:color="auto" w:sz="4" w:space="0"/>
              <w:right w:val="single" w:color="auto" w:sz="4" w:space="0"/>
            </w:tcBorders>
            <w:vAlign w:val="center"/>
          </w:tcPr>
          <w:p w14:paraId="365DCCBD">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7" w:type="dxa"/>
            <w:tcBorders>
              <w:top w:val="nil"/>
              <w:left w:val="nil"/>
              <w:bottom w:val="single" w:color="auto" w:sz="4" w:space="0"/>
              <w:right w:val="single" w:color="auto" w:sz="4" w:space="0"/>
            </w:tcBorders>
            <w:vAlign w:val="center"/>
          </w:tcPr>
          <w:p w14:paraId="478431A5">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33A9496">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5BD3D0B8">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67FB184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26DE67A8">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3D3B5D0A">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647" w:type="dxa"/>
            <w:tcBorders>
              <w:top w:val="nil"/>
              <w:left w:val="nil"/>
              <w:bottom w:val="single" w:color="auto" w:sz="4" w:space="0"/>
              <w:right w:val="single" w:color="auto" w:sz="4" w:space="0"/>
            </w:tcBorders>
            <w:vAlign w:val="center"/>
          </w:tcPr>
          <w:p w14:paraId="296D2DA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047" w:type="dxa"/>
            <w:tcBorders>
              <w:top w:val="nil"/>
              <w:left w:val="nil"/>
              <w:bottom w:val="single" w:color="auto" w:sz="4" w:space="0"/>
              <w:right w:val="single" w:color="auto" w:sz="4" w:space="0"/>
            </w:tcBorders>
            <w:vAlign w:val="center"/>
          </w:tcPr>
          <w:p w14:paraId="5C7C9A5C">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AC10498">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69631E2C">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618" w:type="dxa"/>
            <w:tcBorders>
              <w:top w:val="nil"/>
              <w:left w:val="nil"/>
              <w:bottom w:val="single" w:color="auto" w:sz="4" w:space="0"/>
              <w:right w:val="single" w:color="auto" w:sz="4" w:space="0"/>
            </w:tcBorders>
            <w:vAlign w:val="center"/>
          </w:tcPr>
          <w:p w14:paraId="1A897C77">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346" w:type="dxa"/>
            <w:tcBorders>
              <w:top w:val="nil"/>
              <w:left w:val="nil"/>
              <w:bottom w:val="single" w:color="auto" w:sz="4" w:space="0"/>
              <w:right w:val="single" w:color="auto" w:sz="4" w:space="0"/>
            </w:tcBorders>
            <w:vAlign w:val="center"/>
          </w:tcPr>
          <w:p w14:paraId="2778AC16">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6" w:type="dxa"/>
            <w:tcBorders>
              <w:top w:val="nil"/>
              <w:left w:val="nil"/>
              <w:bottom w:val="single" w:color="auto" w:sz="4" w:space="0"/>
              <w:right w:val="single" w:color="auto" w:sz="4" w:space="0"/>
            </w:tcBorders>
            <w:vAlign w:val="center"/>
          </w:tcPr>
          <w:p w14:paraId="5B6E8D1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647" w:type="dxa"/>
            <w:tcBorders>
              <w:top w:val="nil"/>
              <w:left w:val="nil"/>
              <w:bottom w:val="single" w:color="auto" w:sz="4" w:space="0"/>
              <w:right w:val="single" w:color="auto" w:sz="4" w:space="0"/>
            </w:tcBorders>
            <w:vAlign w:val="center"/>
          </w:tcPr>
          <w:p w14:paraId="3B26FDE0">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047" w:type="dxa"/>
            <w:tcBorders>
              <w:top w:val="nil"/>
              <w:left w:val="nil"/>
              <w:bottom w:val="single" w:color="auto" w:sz="4" w:space="0"/>
              <w:right w:val="single" w:color="auto" w:sz="4" w:space="0"/>
            </w:tcBorders>
            <w:vAlign w:val="center"/>
          </w:tcPr>
          <w:p w14:paraId="61E64A66">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F898B93">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39DA1762">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7EBFCE1C">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1F52FB44">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4D7E132E">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647" w:type="dxa"/>
            <w:tcBorders>
              <w:top w:val="nil"/>
              <w:left w:val="nil"/>
              <w:bottom w:val="single" w:color="auto" w:sz="4" w:space="0"/>
              <w:right w:val="single" w:color="auto" w:sz="4" w:space="0"/>
            </w:tcBorders>
            <w:vAlign w:val="center"/>
          </w:tcPr>
          <w:p w14:paraId="78B29D6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7" w:type="dxa"/>
            <w:tcBorders>
              <w:top w:val="nil"/>
              <w:left w:val="nil"/>
              <w:bottom w:val="single" w:color="auto" w:sz="4" w:space="0"/>
              <w:right w:val="single" w:color="auto" w:sz="4" w:space="0"/>
            </w:tcBorders>
            <w:vAlign w:val="center"/>
          </w:tcPr>
          <w:p w14:paraId="774C91FD">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D023FC8">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6ABC5932">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618" w:type="dxa"/>
            <w:tcBorders>
              <w:top w:val="nil"/>
              <w:left w:val="nil"/>
              <w:bottom w:val="single" w:color="auto" w:sz="4" w:space="0"/>
              <w:right w:val="single" w:color="auto" w:sz="4" w:space="0"/>
            </w:tcBorders>
            <w:vAlign w:val="center"/>
          </w:tcPr>
          <w:p w14:paraId="56B6C85A">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346" w:type="dxa"/>
            <w:tcBorders>
              <w:top w:val="nil"/>
              <w:left w:val="nil"/>
              <w:bottom w:val="single" w:color="auto" w:sz="4" w:space="0"/>
              <w:right w:val="single" w:color="auto" w:sz="4" w:space="0"/>
            </w:tcBorders>
            <w:vAlign w:val="center"/>
          </w:tcPr>
          <w:p w14:paraId="3D3101D5">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6" w:type="dxa"/>
            <w:tcBorders>
              <w:top w:val="nil"/>
              <w:left w:val="nil"/>
              <w:bottom w:val="single" w:color="auto" w:sz="4" w:space="0"/>
              <w:right w:val="single" w:color="auto" w:sz="4" w:space="0"/>
            </w:tcBorders>
            <w:vAlign w:val="center"/>
          </w:tcPr>
          <w:p w14:paraId="1C2019C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47" w:type="dxa"/>
            <w:tcBorders>
              <w:top w:val="nil"/>
              <w:left w:val="nil"/>
              <w:bottom w:val="single" w:color="auto" w:sz="4" w:space="0"/>
              <w:right w:val="single" w:color="auto" w:sz="4" w:space="0"/>
            </w:tcBorders>
            <w:vAlign w:val="center"/>
          </w:tcPr>
          <w:p w14:paraId="1688BEA2">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7" w:type="dxa"/>
            <w:tcBorders>
              <w:top w:val="nil"/>
              <w:left w:val="nil"/>
              <w:bottom w:val="single" w:color="auto" w:sz="4" w:space="0"/>
              <w:right w:val="single" w:color="auto" w:sz="4" w:space="0"/>
            </w:tcBorders>
            <w:vAlign w:val="center"/>
          </w:tcPr>
          <w:p w14:paraId="1706053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1E2321C">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3A55B5B9">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05293A6D">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19B30E4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0536EFB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647" w:type="dxa"/>
            <w:tcBorders>
              <w:top w:val="nil"/>
              <w:left w:val="nil"/>
              <w:bottom w:val="single" w:color="auto" w:sz="4" w:space="0"/>
              <w:right w:val="single" w:color="auto" w:sz="4" w:space="0"/>
            </w:tcBorders>
            <w:vAlign w:val="center"/>
          </w:tcPr>
          <w:p w14:paraId="27961A7D">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7" w:type="dxa"/>
            <w:tcBorders>
              <w:top w:val="nil"/>
              <w:left w:val="nil"/>
              <w:bottom w:val="single" w:color="auto" w:sz="4" w:space="0"/>
              <w:right w:val="single" w:color="auto" w:sz="4" w:space="0"/>
            </w:tcBorders>
            <w:vAlign w:val="center"/>
          </w:tcPr>
          <w:p w14:paraId="4483084C">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54B27BF">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0DA94899">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618" w:type="dxa"/>
            <w:tcBorders>
              <w:top w:val="nil"/>
              <w:left w:val="nil"/>
              <w:bottom w:val="single" w:color="auto" w:sz="4" w:space="0"/>
              <w:right w:val="single" w:color="auto" w:sz="4" w:space="0"/>
            </w:tcBorders>
            <w:vAlign w:val="center"/>
          </w:tcPr>
          <w:p w14:paraId="3252C2C4">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346" w:type="dxa"/>
            <w:tcBorders>
              <w:top w:val="nil"/>
              <w:left w:val="nil"/>
              <w:bottom w:val="single" w:color="auto" w:sz="4" w:space="0"/>
              <w:right w:val="single" w:color="auto" w:sz="4" w:space="0"/>
            </w:tcBorders>
            <w:vAlign w:val="center"/>
          </w:tcPr>
          <w:p w14:paraId="2C06A0FC">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6" w:type="dxa"/>
            <w:tcBorders>
              <w:top w:val="nil"/>
              <w:left w:val="nil"/>
              <w:bottom w:val="single" w:color="auto" w:sz="4" w:space="0"/>
              <w:right w:val="single" w:color="auto" w:sz="4" w:space="0"/>
            </w:tcBorders>
            <w:vAlign w:val="center"/>
          </w:tcPr>
          <w:p w14:paraId="155ABDD7">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7" w:type="dxa"/>
            <w:tcBorders>
              <w:top w:val="nil"/>
              <w:left w:val="nil"/>
              <w:bottom w:val="single" w:color="auto" w:sz="4" w:space="0"/>
              <w:right w:val="single" w:color="auto" w:sz="4" w:space="0"/>
            </w:tcBorders>
            <w:vAlign w:val="center"/>
          </w:tcPr>
          <w:p w14:paraId="55318FDC">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7" w:type="dxa"/>
            <w:tcBorders>
              <w:top w:val="nil"/>
              <w:left w:val="nil"/>
              <w:bottom w:val="single" w:color="auto" w:sz="4" w:space="0"/>
              <w:right w:val="single" w:color="auto" w:sz="4" w:space="0"/>
            </w:tcBorders>
            <w:vAlign w:val="center"/>
          </w:tcPr>
          <w:p w14:paraId="6968D1F2">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C024A63">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5F40CDBC">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54218F2B">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267E57B6">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57F7BAF4">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47" w:type="dxa"/>
            <w:tcBorders>
              <w:top w:val="nil"/>
              <w:left w:val="nil"/>
              <w:bottom w:val="single" w:color="auto" w:sz="4" w:space="0"/>
              <w:right w:val="single" w:color="auto" w:sz="4" w:space="0"/>
            </w:tcBorders>
            <w:vAlign w:val="center"/>
          </w:tcPr>
          <w:p w14:paraId="55CC1AAD">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7" w:type="dxa"/>
            <w:tcBorders>
              <w:top w:val="nil"/>
              <w:left w:val="nil"/>
              <w:bottom w:val="single" w:color="auto" w:sz="4" w:space="0"/>
              <w:right w:val="single" w:color="auto" w:sz="4" w:space="0"/>
            </w:tcBorders>
            <w:vAlign w:val="center"/>
          </w:tcPr>
          <w:p w14:paraId="1228383D">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7E03380">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6EEC83B7">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618" w:type="dxa"/>
            <w:tcBorders>
              <w:top w:val="nil"/>
              <w:left w:val="nil"/>
              <w:bottom w:val="single" w:color="auto" w:sz="4" w:space="0"/>
              <w:right w:val="single" w:color="auto" w:sz="4" w:space="0"/>
            </w:tcBorders>
            <w:vAlign w:val="center"/>
          </w:tcPr>
          <w:p w14:paraId="0285F5D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346" w:type="dxa"/>
            <w:tcBorders>
              <w:top w:val="nil"/>
              <w:left w:val="nil"/>
              <w:bottom w:val="single" w:color="auto" w:sz="4" w:space="0"/>
              <w:right w:val="single" w:color="auto" w:sz="4" w:space="0"/>
            </w:tcBorders>
            <w:vAlign w:val="center"/>
          </w:tcPr>
          <w:p w14:paraId="68345A52">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6" w:type="dxa"/>
            <w:tcBorders>
              <w:top w:val="nil"/>
              <w:left w:val="nil"/>
              <w:bottom w:val="single" w:color="auto" w:sz="4" w:space="0"/>
              <w:right w:val="single" w:color="auto" w:sz="4" w:space="0"/>
            </w:tcBorders>
            <w:vAlign w:val="center"/>
          </w:tcPr>
          <w:p w14:paraId="3B79DE3F">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7" w:type="dxa"/>
            <w:tcBorders>
              <w:top w:val="nil"/>
              <w:left w:val="nil"/>
              <w:bottom w:val="single" w:color="auto" w:sz="4" w:space="0"/>
              <w:right w:val="single" w:color="auto" w:sz="4" w:space="0"/>
            </w:tcBorders>
            <w:vAlign w:val="center"/>
          </w:tcPr>
          <w:p w14:paraId="4D4FFB4A">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7" w:type="dxa"/>
            <w:tcBorders>
              <w:top w:val="nil"/>
              <w:left w:val="nil"/>
              <w:bottom w:val="single" w:color="auto" w:sz="4" w:space="0"/>
              <w:right w:val="single" w:color="auto" w:sz="4" w:space="0"/>
            </w:tcBorders>
            <w:vAlign w:val="center"/>
          </w:tcPr>
          <w:p w14:paraId="10682F0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5EF3EBB">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3F246BD3">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73494B9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5DE54302">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3F48804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47" w:type="dxa"/>
            <w:tcBorders>
              <w:top w:val="nil"/>
              <w:left w:val="nil"/>
              <w:bottom w:val="single" w:color="auto" w:sz="4" w:space="0"/>
              <w:right w:val="single" w:color="auto" w:sz="4" w:space="0"/>
            </w:tcBorders>
            <w:vAlign w:val="center"/>
          </w:tcPr>
          <w:p w14:paraId="5B6D70B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7" w:type="dxa"/>
            <w:tcBorders>
              <w:top w:val="nil"/>
              <w:left w:val="nil"/>
              <w:bottom w:val="single" w:color="auto" w:sz="4" w:space="0"/>
              <w:right w:val="single" w:color="auto" w:sz="4" w:space="0"/>
            </w:tcBorders>
            <w:vAlign w:val="center"/>
          </w:tcPr>
          <w:p w14:paraId="108914CA">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7E70CCF">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7646725C">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618" w:type="dxa"/>
            <w:tcBorders>
              <w:top w:val="nil"/>
              <w:left w:val="nil"/>
              <w:bottom w:val="single" w:color="auto" w:sz="4" w:space="0"/>
              <w:right w:val="single" w:color="auto" w:sz="4" w:space="0"/>
            </w:tcBorders>
            <w:vAlign w:val="center"/>
          </w:tcPr>
          <w:p w14:paraId="079E18F4">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346" w:type="dxa"/>
            <w:tcBorders>
              <w:top w:val="nil"/>
              <w:left w:val="nil"/>
              <w:bottom w:val="single" w:color="auto" w:sz="4" w:space="0"/>
              <w:right w:val="single" w:color="auto" w:sz="4" w:space="0"/>
            </w:tcBorders>
            <w:vAlign w:val="center"/>
          </w:tcPr>
          <w:p w14:paraId="573000E9">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6" w:type="dxa"/>
            <w:tcBorders>
              <w:top w:val="nil"/>
              <w:left w:val="nil"/>
              <w:bottom w:val="single" w:color="auto" w:sz="4" w:space="0"/>
              <w:right w:val="single" w:color="auto" w:sz="4" w:space="0"/>
            </w:tcBorders>
            <w:vAlign w:val="center"/>
          </w:tcPr>
          <w:p w14:paraId="679FD44B">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647" w:type="dxa"/>
            <w:tcBorders>
              <w:top w:val="nil"/>
              <w:left w:val="nil"/>
              <w:bottom w:val="single" w:color="auto" w:sz="4" w:space="0"/>
              <w:right w:val="single" w:color="auto" w:sz="4" w:space="0"/>
            </w:tcBorders>
            <w:vAlign w:val="center"/>
          </w:tcPr>
          <w:p w14:paraId="79A01F6E">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7" w:type="dxa"/>
            <w:tcBorders>
              <w:top w:val="nil"/>
              <w:left w:val="nil"/>
              <w:bottom w:val="single" w:color="auto" w:sz="4" w:space="0"/>
              <w:right w:val="single" w:color="auto" w:sz="4" w:space="0"/>
            </w:tcBorders>
            <w:vAlign w:val="center"/>
          </w:tcPr>
          <w:p w14:paraId="0EE2A52B">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FE55BE3">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65E31ECA">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5521110F">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709858F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1F99165B">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647" w:type="dxa"/>
            <w:tcBorders>
              <w:top w:val="nil"/>
              <w:left w:val="nil"/>
              <w:bottom w:val="single" w:color="auto" w:sz="4" w:space="0"/>
              <w:right w:val="single" w:color="auto" w:sz="4" w:space="0"/>
            </w:tcBorders>
            <w:vAlign w:val="center"/>
          </w:tcPr>
          <w:p w14:paraId="4EFB5DD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7" w:type="dxa"/>
            <w:tcBorders>
              <w:top w:val="nil"/>
              <w:left w:val="nil"/>
              <w:bottom w:val="single" w:color="auto" w:sz="4" w:space="0"/>
              <w:right w:val="single" w:color="auto" w:sz="4" w:space="0"/>
            </w:tcBorders>
            <w:vAlign w:val="center"/>
          </w:tcPr>
          <w:p w14:paraId="1C4B4D68">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7C2D5E3">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6D02C36B">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618" w:type="dxa"/>
            <w:tcBorders>
              <w:top w:val="nil"/>
              <w:left w:val="nil"/>
              <w:bottom w:val="single" w:color="auto" w:sz="4" w:space="0"/>
              <w:right w:val="single" w:color="auto" w:sz="4" w:space="0"/>
            </w:tcBorders>
            <w:vAlign w:val="center"/>
          </w:tcPr>
          <w:p w14:paraId="1E0FC34E">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346" w:type="dxa"/>
            <w:tcBorders>
              <w:top w:val="nil"/>
              <w:left w:val="nil"/>
              <w:bottom w:val="single" w:color="auto" w:sz="4" w:space="0"/>
              <w:right w:val="single" w:color="auto" w:sz="4" w:space="0"/>
            </w:tcBorders>
            <w:vAlign w:val="center"/>
          </w:tcPr>
          <w:p w14:paraId="5DC43C4F">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6" w:type="dxa"/>
            <w:tcBorders>
              <w:top w:val="nil"/>
              <w:left w:val="nil"/>
              <w:bottom w:val="single" w:color="auto" w:sz="4" w:space="0"/>
              <w:right w:val="single" w:color="auto" w:sz="4" w:space="0"/>
            </w:tcBorders>
            <w:vAlign w:val="center"/>
          </w:tcPr>
          <w:p w14:paraId="4C4A8CA6">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7" w:type="dxa"/>
            <w:tcBorders>
              <w:top w:val="nil"/>
              <w:left w:val="nil"/>
              <w:bottom w:val="single" w:color="auto" w:sz="4" w:space="0"/>
              <w:right w:val="single" w:color="auto" w:sz="4" w:space="0"/>
            </w:tcBorders>
            <w:vAlign w:val="center"/>
          </w:tcPr>
          <w:p w14:paraId="63028FFF">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7" w:type="dxa"/>
            <w:tcBorders>
              <w:top w:val="nil"/>
              <w:left w:val="nil"/>
              <w:bottom w:val="single" w:color="auto" w:sz="4" w:space="0"/>
              <w:right w:val="single" w:color="auto" w:sz="4" w:space="0"/>
            </w:tcBorders>
            <w:vAlign w:val="center"/>
          </w:tcPr>
          <w:p w14:paraId="745B25B7">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A8BDDE9">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389461C6">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2F77A985">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1CAF1CD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04F18566">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647" w:type="dxa"/>
            <w:tcBorders>
              <w:top w:val="nil"/>
              <w:left w:val="nil"/>
              <w:bottom w:val="single" w:color="auto" w:sz="4" w:space="0"/>
              <w:right w:val="single" w:color="auto" w:sz="4" w:space="0"/>
            </w:tcBorders>
            <w:vAlign w:val="center"/>
          </w:tcPr>
          <w:p w14:paraId="40975D1E">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047" w:type="dxa"/>
            <w:tcBorders>
              <w:top w:val="nil"/>
              <w:left w:val="nil"/>
              <w:bottom w:val="single" w:color="auto" w:sz="4" w:space="0"/>
              <w:right w:val="single" w:color="auto" w:sz="4" w:space="0"/>
            </w:tcBorders>
            <w:vAlign w:val="center"/>
          </w:tcPr>
          <w:p w14:paraId="09DC112F">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37612F7">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42CD296F">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618" w:type="dxa"/>
            <w:tcBorders>
              <w:top w:val="nil"/>
              <w:left w:val="nil"/>
              <w:bottom w:val="single" w:color="auto" w:sz="4" w:space="0"/>
              <w:right w:val="single" w:color="auto" w:sz="4" w:space="0"/>
            </w:tcBorders>
            <w:vAlign w:val="center"/>
          </w:tcPr>
          <w:p w14:paraId="53BB4F7B">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53E4F87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121C3AA8">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647" w:type="dxa"/>
            <w:tcBorders>
              <w:top w:val="nil"/>
              <w:left w:val="nil"/>
              <w:bottom w:val="single" w:color="auto" w:sz="4" w:space="0"/>
              <w:right w:val="single" w:color="auto" w:sz="4" w:space="0"/>
            </w:tcBorders>
            <w:vAlign w:val="center"/>
          </w:tcPr>
          <w:p w14:paraId="6003019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047" w:type="dxa"/>
            <w:tcBorders>
              <w:top w:val="nil"/>
              <w:left w:val="nil"/>
              <w:bottom w:val="single" w:color="auto" w:sz="4" w:space="0"/>
              <w:right w:val="single" w:color="auto" w:sz="4" w:space="0"/>
            </w:tcBorders>
            <w:vAlign w:val="center"/>
          </w:tcPr>
          <w:p w14:paraId="6E5FFCE7">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30BA6D0">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13C2810C">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27DD71D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346" w:type="dxa"/>
            <w:tcBorders>
              <w:top w:val="nil"/>
              <w:left w:val="nil"/>
              <w:bottom w:val="single" w:color="auto" w:sz="4" w:space="0"/>
              <w:right w:val="single" w:color="auto" w:sz="4" w:space="0"/>
            </w:tcBorders>
            <w:vAlign w:val="center"/>
          </w:tcPr>
          <w:p w14:paraId="75642B3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1EDA4049">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647" w:type="dxa"/>
            <w:tcBorders>
              <w:top w:val="nil"/>
              <w:left w:val="nil"/>
              <w:bottom w:val="single" w:color="auto" w:sz="4" w:space="0"/>
              <w:right w:val="single" w:color="auto" w:sz="4" w:space="0"/>
            </w:tcBorders>
            <w:vAlign w:val="center"/>
          </w:tcPr>
          <w:p w14:paraId="35E0F4A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047" w:type="dxa"/>
            <w:tcBorders>
              <w:top w:val="nil"/>
              <w:left w:val="nil"/>
              <w:bottom w:val="single" w:color="auto" w:sz="4" w:space="0"/>
              <w:right w:val="single" w:color="auto" w:sz="4" w:space="0"/>
            </w:tcBorders>
            <w:vAlign w:val="center"/>
          </w:tcPr>
          <w:p w14:paraId="1215A29A">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2F1D61BB">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510B7498">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618" w:type="dxa"/>
            <w:tcBorders>
              <w:top w:val="nil"/>
              <w:left w:val="nil"/>
              <w:bottom w:val="single" w:color="auto" w:sz="4" w:space="0"/>
              <w:right w:val="single" w:color="auto" w:sz="4" w:space="0"/>
            </w:tcBorders>
            <w:vAlign w:val="center"/>
          </w:tcPr>
          <w:p w14:paraId="3F84CECC">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346" w:type="dxa"/>
            <w:tcBorders>
              <w:top w:val="nil"/>
              <w:left w:val="nil"/>
              <w:bottom w:val="single" w:color="auto" w:sz="4" w:space="0"/>
              <w:right w:val="single" w:color="auto" w:sz="4" w:space="0"/>
            </w:tcBorders>
            <w:vAlign w:val="center"/>
          </w:tcPr>
          <w:p w14:paraId="64FE514F">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6" w:type="dxa"/>
            <w:tcBorders>
              <w:top w:val="nil"/>
              <w:left w:val="nil"/>
              <w:bottom w:val="single" w:color="auto" w:sz="4" w:space="0"/>
              <w:right w:val="single" w:color="auto" w:sz="4" w:space="0"/>
            </w:tcBorders>
            <w:vAlign w:val="center"/>
          </w:tcPr>
          <w:p w14:paraId="0B821E7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47" w:type="dxa"/>
            <w:tcBorders>
              <w:top w:val="nil"/>
              <w:left w:val="nil"/>
              <w:bottom w:val="single" w:color="auto" w:sz="4" w:space="0"/>
              <w:right w:val="single" w:color="auto" w:sz="4" w:space="0"/>
            </w:tcBorders>
            <w:vAlign w:val="center"/>
          </w:tcPr>
          <w:p w14:paraId="19D6874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047" w:type="dxa"/>
            <w:tcBorders>
              <w:top w:val="nil"/>
              <w:left w:val="nil"/>
              <w:bottom w:val="single" w:color="auto" w:sz="4" w:space="0"/>
              <w:right w:val="single" w:color="auto" w:sz="4" w:space="0"/>
            </w:tcBorders>
            <w:vAlign w:val="center"/>
          </w:tcPr>
          <w:p w14:paraId="560F96EA">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1D639284">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153B0ACB">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1519C8A5">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19330C94">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56764ACD">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647" w:type="dxa"/>
            <w:tcBorders>
              <w:top w:val="nil"/>
              <w:left w:val="nil"/>
              <w:bottom w:val="single" w:color="auto" w:sz="4" w:space="0"/>
              <w:right w:val="single" w:color="auto" w:sz="4" w:space="0"/>
            </w:tcBorders>
            <w:vAlign w:val="center"/>
          </w:tcPr>
          <w:p w14:paraId="13208DCA">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047" w:type="dxa"/>
            <w:tcBorders>
              <w:top w:val="nil"/>
              <w:left w:val="nil"/>
              <w:bottom w:val="single" w:color="auto" w:sz="4" w:space="0"/>
              <w:right w:val="single" w:color="auto" w:sz="4" w:space="0"/>
            </w:tcBorders>
            <w:vAlign w:val="center"/>
          </w:tcPr>
          <w:p w14:paraId="62EC46C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63A89B44">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0FF8861B">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618" w:type="dxa"/>
            <w:tcBorders>
              <w:top w:val="nil"/>
              <w:left w:val="nil"/>
              <w:bottom w:val="single" w:color="auto" w:sz="4" w:space="0"/>
              <w:right w:val="single" w:color="auto" w:sz="4" w:space="0"/>
            </w:tcBorders>
            <w:vAlign w:val="center"/>
          </w:tcPr>
          <w:p w14:paraId="4C3D7D78">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346" w:type="dxa"/>
            <w:tcBorders>
              <w:top w:val="nil"/>
              <w:left w:val="nil"/>
              <w:bottom w:val="single" w:color="auto" w:sz="4" w:space="0"/>
              <w:right w:val="single" w:color="auto" w:sz="4" w:space="0"/>
            </w:tcBorders>
            <w:vAlign w:val="center"/>
          </w:tcPr>
          <w:p w14:paraId="6E033F4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6" w:type="dxa"/>
            <w:tcBorders>
              <w:top w:val="nil"/>
              <w:left w:val="nil"/>
              <w:bottom w:val="single" w:color="auto" w:sz="4" w:space="0"/>
              <w:right w:val="single" w:color="auto" w:sz="4" w:space="0"/>
            </w:tcBorders>
            <w:vAlign w:val="center"/>
          </w:tcPr>
          <w:p w14:paraId="0D9E9894">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7" w:type="dxa"/>
            <w:tcBorders>
              <w:top w:val="nil"/>
              <w:left w:val="nil"/>
              <w:bottom w:val="single" w:color="auto" w:sz="4" w:space="0"/>
              <w:right w:val="single" w:color="auto" w:sz="4" w:space="0"/>
            </w:tcBorders>
            <w:vAlign w:val="center"/>
          </w:tcPr>
          <w:p w14:paraId="185011E7">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7" w:type="dxa"/>
            <w:tcBorders>
              <w:top w:val="nil"/>
              <w:left w:val="nil"/>
              <w:bottom w:val="single" w:color="auto" w:sz="4" w:space="0"/>
              <w:right w:val="single" w:color="auto" w:sz="4" w:space="0"/>
            </w:tcBorders>
            <w:vAlign w:val="center"/>
          </w:tcPr>
          <w:p w14:paraId="52CB7DDE">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43D315C">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565975F0">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410E6A27">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346" w:type="dxa"/>
            <w:tcBorders>
              <w:top w:val="nil"/>
              <w:left w:val="nil"/>
              <w:bottom w:val="single" w:color="auto" w:sz="4" w:space="0"/>
              <w:right w:val="single" w:color="auto" w:sz="4" w:space="0"/>
            </w:tcBorders>
            <w:vAlign w:val="center"/>
          </w:tcPr>
          <w:p w14:paraId="610B3E92">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076C502B">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647" w:type="dxa"/>
            <w:tcBorders>
              <w:top w:val="nil"/>
              <w:left w:val="nil"/>
              <w:bottom w:val="single" w:color="auto" w:sz="4" w:space="0"/>
              <w:right w:val="single" w:color="auto" w:sz="4" w:space="0"/>
            </w:tcBorders>
            <w:vAlign w:val="center"/>
          </w:tcPr>
          <w:p w14:paraId="614C2F07">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047" w:type="dxa"/>
            <w:tcBorders>
              <w:top w:val="nil"/>
              <w:left w:val="nil"/>
              <w:bottom w:val="single" w:color="auto" w:sz="4" w:space="0"/>
              <w:right w:val="single" w:color="auto" w:sz="4" w:space="0"/>
            </w:tcBorders>
            <w:vAlign w:val="center"/>
          </w:tcPr>
          <w:p w14:paraId="42B4FC3B">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3226760">
        <w:tblPrEx>
          <w:tblCellMar>
            <w:top w:w="0" w:type="dxa"/>
            <w:left w:w="108" w:type="dxa"/>
            <w:bottom w:w="0" w:type="dxa"/>
            <w:right w:w="108" w:type="dxa"/>
          </w:tblCellMar>
        </w:tblPrEx>
        <w:trPr>
          <w:trHeight w:val="426" w:hRule="atLeast"/>
          <w:jc w:val="center"/>
        </w:trPr>
        <w:tc>
          <w:tcPr>
            <w:tcW w:w="2161" w:type="dxa"/>
            <w:tcBorders>
              <w:top w:val="nil"/>
              <w:left w:val="single" w:color="auto" w:sz="4" w:space="0"/>
              <w:bottom w:val="single" w:color="auto" w:sz="4" w:space="0"/>
              <w:right w:val="single" w:color="auto" w:sz="4" w:space="0"/>
            </w:tcBorders>
            <w:vAlign w:val="center"/>
          </w:tcPr>
          <w:p w14:paraId="2A9B6CAA">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618" w:type="dxa"/>
            <w:tcBorders>
              <w:top w:val="nil"/>
              <w:left w:val="nil"/>
              <w:bottom w:val="single" w:color="auto" w:sz="4" w:space="0"/>
              <w:right w:val="single" w:color="auto" w:sz="4" w:space="0"/>
            </w:tcBorders>
            <w:vAlign w:val="center"/>
          </w:tcPr>
          <w:p w14:paraId="27A49239">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346" w:type="dxa"/>
            <w:tcBorders>
              <w:top w:val="nil"/>
              <w:left w:val="nil"/>
              <w:bottom w:val="single" w:color="auto" w:sz="4" w:space="0"/>
              <w:right w:val="single" w:color="auto" w:sz="4" w:space="0"/>
            </w:tcBorders>
            <w:vAlign w:val="center"/>
          </w:tcPr>
          <w:p w14:paraId="6F8A4DBA">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6" w:type="dxa"/>
            <w:tcBorders>
              <w:top w:val="nil"/>
              <w:left w:val="nil"/>
              <w:bottom w:val="single" w:color="auto" w:sz="4" w:space="0"/>
              <w:right w:val="single" w:color="auto" w:sz="4" w:space="0"/>
            </w:tcBorders>
            <w:vAlign w:val="center"/>
          </w:tcPr>
          <w:p w14:paraId="27D4BB2E">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7" w:type="dxa"/>
            <w:tcBorders>
              <w:top w:val="nil"/>
              <w:left w:val="nil"/>
              <w:bottom w:val="single" w:color="auto" w:sz="4" w:space="0"/>
              <w:right w:val="single" w:color="auto" w:sz="4" w:space="0"/>
            </w:tcBorders>
            <w:vAlign w:val="center"/>
          </w:tcPr>
          <w:p w14:paraId="271D88B0">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7" w:type="dxa"/>
            <w:tcBorders>
              <w:top w:val="nil"/>
              <w:left w:val="nil"/>
              <w:bottom w:val="single" w:color="auto" w:sz="4" w:space="0"/>
              <w:right w:val="single" w:color="auto" w:sz="4" w:space="0"/>
            </w:tcBorders>
            <w:vAlign w:val="center"/>
          </w:tcPr>
          <w:p w14:paraId="33118B86">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9E4A398">
      <w:pPr>
        <w:pStyle w:val="125"/>
        <w:spacing w:after="120"/>
        <w:ind w:firstLine="420"/>
        <w:rPr>
          <w:color w:val="auto"/>
          <w:highlight w:val="none"/>
        </w:rPr>
      </w:pPr>
      <w:r>
        <w:rPr>
          <w:rFonts w:hint="eastAsia" w:ascii="宋体" w:hAnsi="宋体" w:cs="宋体"/>
          <w:color w:val="auto"/>
          <w:kern w:val="2"/>
          <w:sz w:val="21"/>
          <w:szCs w:val="21"/>
          <w:highlight w:val="none"/>
        </w:rPr>
        <w:t>说明：上述标准参照《关于印发中小企业划型标准规定的通知》（工信部联企业[2011]300号），大型、中型和小型企业须同时满足所列指标的下限，否则下划一档；微型企业只需满足所列指标中的一项即可。</w:t>
      </w:r>
    </w:p>
    <w:p w14:paraId="7364D043">
      <w:pPr>
        <w:pStyle w:val="61"/>
        <w:rPr>
          <w:color w:val="auto"/>
          <w:highlight w:val="none"/>
        </w:rPr>
        <w:sectPr>
          <w:pgSz w:w="11906" w:h="16838"/>
          <w:pgMar w:top="1134" w:right="1332" w:bottom="1134" w:left="1332" w:header="851" w:footer="992" w:gutter="0"/>
          <w:cols w:space="0" w:num="1"/>
          <w:titlePg/>
          <w:docGrid w:linePitch="312" w:charSpace="0"/>
        </w:sectPr>
      </w:pPr>
    </w:p>
    <w:p w14:paraId="7D969691">
      <w:pPr>
        <w:pStyle w:val="5"/>
        <w:spacing w:before="0" w:after="0" w:line="360" w:lineRule="auto"/>
        <w:jc w:val="center"/>
        <w:rPr>
          <w:rFonts w:ascii="宋体" w:hAnsi="宋体"/>
          <w:color w:val="auto"/>
          <w:highlight w:val="none"/>
        </w:rPr>
      </w:pPr>
      <w:bookmarkStart w:id="51" w:name="_Toc74320802"/>
      <w:r>
        <w:rPr>
          <w:rFonts w:hint="eastAsia" w:ascii="宋体" w:hAnsi="宋体"/>
          <w:color w:val="auto"/>
          <w:highlight w:val="none"/>
        </w:rPr>
        <w:t>第三章  投标人须知</w:t>
      </w:r>
      <w:bookmarkEnd w:id="51"/>
    </w:p>
    <w:p w14:paraId="151B3F2D">
      <w:pPr>
        <w:jc w:val="center"/>
        <w:rPr>
          <w:rFonts w:ascii="宋体" w:hAnsi="宋体"/>
          <w:color w:val="auto"/>
          <w:sz w:val="36"/>
          <w:szCs w:val="36"/>
          <w:highlight w:val="none"/>
        </w:rPr>
      </w:pPr>
      <w:bookmarkStart w:id="52" w:name="_Toc254970667"/>
      <w:bookmarkStart w:id="53" w:name="_Toc254970526"/>
      <w:r>
        <w:rPr>
          <w:rFonts w:hint="eastAsia" w:ascii="宋体" w:hAnsi="宋体"/>
          <w:color w:val="auto"/>
          <w:sz w:val="36"/>
          <w:szCs w:val="36"/>
          <w:highlight w:val="none"/>
        </w:rPr>
        <w:t>投标人须知前附表</w:t>
      </w:r>
      <w:bookmarkEnd w:id="52"/>
      <w:bookmarkEnd w:id="53"/>
    </w:p>
    <w:tbl>
      <w:tblPr>
        <w:tblStyle w:val="50"/>
        <w:tblW w:w="98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2"/>
        <w:gridCol w:w="8853"/>
      </w:tblGrid>
      <w:tr w14:paraId="74E8D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5153569F">
            <w:pPr>
              <w:snapToGrid w:val="0"/>
              <w:spacing w:line="360" w:lineRule="auto"/>
              <w:jc w:val="left"/>
              <w:rPr>
                <w:rFonts w:ascii="宋体" w:hAnsi="宋体"/>
                <w:color w:val="auto"/>
                <w:szCs w:val="21"/>
                <w:highlight w:val="none"/>
              </w:rPr>
            </w:pPr>
            <w:r>
              <w:rPr>
                <w:rFonts w:hint="eastAsia" w:ascii="宋体" w:hAnsi="宋体"/>
                <w:color w:val="auto"/>
                <w:szCs w:val="21"/>
                <w:highlight w:val="none"/>
              </w:rPr>
              <w:t>条款号</w:t>
            </w:r>
          </w:p>
        </w:tc>
        <w:tc>
          <w:tcPr>
            <w:tcW w:w="8853" w:type="dxa"/>
            <w:tcBorders>
              <w:top w:val="single" w:color="auto" w:sz="4" w:space="0"/>
              <w:left w:val="single" w:color="auto" w:sz="4" w:space="0"/>
              <w:bottom w:val="single" w:color="auto" w:sz="4" w:space="0"/>
              <w:right w:val="single" w:color="auto" w:sz="4" w:space="0"/>
            </w:tcBorders>
            <w:vAlign w:val="center"/>
          </w:tcPr>
          <w:p w14:paraId="052EF139">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编列内容</w:t>
            </w:r>
          </w:p>
        </w:tc>
      </w:tr>
      <w:tr w14:paraId="12A28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24234097">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8853" w:type="dxa"/>
            <w:tcBorders>
              <w:top w:val="single" w:color="auto" w:sz="4" w:space="0"/>
              <w:left w:val="single" w:color="auto" w:sz="4" w:space="0"/>
              <w:bottom w:val="single" w:color="auto" w:sz="4" w:space="0"/>
              <w:right w:val="single" w:color="auto" w:sz="4" w:space="0"/>
            </w:tcBorders>
            <w:vAlign w:val="center"/>
          </w:tcPr>
          <w:p w14:paraId="7771A4D0">
            <w:pPr>
              <w:snapToGrid w:val="0"/>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5DCCB619">
            <w:pPr>
              <w:snapToGrid w:val="0"/>
              <w:spacing w:line="360" w:lineRule="auto"/>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1172C4B6">
            <w:pPr>
              <w:snapToGrid w:val="0"/>
              <w:spacing w:line="360" w:lineRule="auto"/>
              <w:jc w:val="left"/>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AF1359B">
            <w:pPr>
              <w:snapToGrid w:val="0"/>
              <w:spacing w:line="360" w:lineRule="auto"/>
              <w:jc w:val="left"/>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B131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7FB0D397">
            <w:pPr>
              <w:spacing w:line="360" w:lineRule="auto"/>
              <w:jc w:val="center"/>
              <w:rPr>
                <w:rFonts w:ascii="宋体" w:hAnsi="宋体"/>
                <w:color w:val="auto"/>
                <w:szCs w:val="21"/>
                <w:highlight w:val="none"/>
              </w:rPr>
            </w:pPr>
            <w:bookmarkStart w:id="54" w:name="_5"/>
            <w:bookmarkEnd w:id="54"/>
            <w:bookmarkStart w:id="55" w:name="_8.1"/>
            <w:bookmarkEnd w:id="55"/>
            <w:bookmarkStart w:id="56" w:name="_9.2"/>
            <w:bookmarkEnd w:id="56"/>
            <w:r>
              <w:rPr>
                <w:rFonts w:hint="eastAsia" w:ascii="宋体" w:hAnsi="宋体"/>
                <w:color w:val="auto"/>
                <w:szCs w:val="21"/>
                <w:highlight w:val="none"/>
              </w:rPr>
              <w:t>6.1</w:t>
            </w:r>
          </w:p>
        </w:tc>
        <w:tc>
          <w:tcPr>
            <w:tcW w:w="8853" w:type="dxa"/>
            <w:tcBorders>
              <w:top w:val="single" w:color="auto" w:sz="4" w:space="0"/>
              <w:left w:val="single" w:color="auto" w:sz="4" w:space="0"/>
              <w:bottom w:val="single" w:color="auto" w:sz="4" w:space="0"/>
              <w:right w:val="single" w:color="auto" w:sz="4" w:space="0"/>
            </w:tcBorders>
            <w:vAlign w:val="center"/>
          </w:tcPr>
          <w:p w14:paraId="3DB24523">
            <w:pPr>
              <w:pStyle w:val="20"/>
              <w:spacing w:line="360" w:lineRule="auto"/>
              <w:rPr>
                <w:rFonts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263A7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277911EB">
            <w:pPr>
              <w:spacing w:line="360" w:lineRule="auto"/>
              <w:jc w:val="center"/>
              <w:rPr>
                <w:rFonts w:ascii="宋体" w:hAnsi="宋体"/>
                <w:color w:val="auto"/>
                <w:szCs w:val="21"/>
                <w:highlight w:val="none"/>
              </w:rPr>
            </w:pPr>
            <w:r>
              <w:rPr>
                <w:rFonts w:ascii="宋体" w:hAnsi="宋体"/>
                <w:color w:val="auto"/>
                <w:szCs w:val="21"/>
                <w:highlight w:val="none"/>
              </w:rPr>
              <w:t>6.2</w:t>
            </w:r>
          </w:p>
        </w:tc>
        <w:tc>
          <w:tcPr>
            <w:tcW w:w="8853" w:type="dxa"/>
            <w:tcBorders>
              <w:top w:val="single" w:color="auto" w:sz="4" w:space="0"/>
              <w:left w:val="single" w:color="auto" w:sz="4" w:space="0"/>
              <w:bottom w:val="single" w:color="auto" w:sz="4" w:space="0"/>
              <w:right w:val="single" w:color="auto" w:sz="4" w:space="0"/>
            </w:tcBorders>
            <w:vAlign w:val="center"/>
          </w:tcPr>
          <w:p w14:paraId="6AB12422">
            <w:pPr>
              <w:pStyle w:val="20"/>
              <w:spacing w:line="360" w:lineRule="auto"/>
              <w:rPr>
                <w:rFonts w:ascii="宋体" w:hAnsi="宋体"/>
                <w:color w:val="auto"/>
                <w:szCs w:val="21"/>
                <w:highlight w:val="none"/>
              </w:rPr>
            </w:pPr>
            <w:bookmarkStart w:id="57" w:name="_Hlk54105293"/>
            <w:r>
              <w:rPr>
                <w:rFonts w:hint="eastAsia" w:ascii="宋体" w:hAnsi="宋体"/>
                <w:color w:val="auto"/>
                <w:szCs w:val="21"/>
                <w:highlight w:val="none"/>
              </w:rPr>
              <w:t>如接受联合体投标，</w:t>
            </w:r>
            <w:bookmarkEnd w:id="57"/>
            <w:r>
              <w:rPr>
                <w:rFonts w:hint="eastAsia" w:ascii="宋体" w:hAnsi="宋体"/>
                <w:color w:val="auto"/>
                <w:szCs w:val="21"/>
                <w:highlight w:val="none"/>
              </w:rPr>
              <w:t>联合体投标要求如下：</w:t>
            </w:r>
          </w:p>
          <w:p w14:paraId="28C41C4C">
            <w:pPr>
              <w:pStyle w:val="20"/>
              <w:spacing w:line="360" w:lineRule="auto"/>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两个以上投标人可以组成一个投标联合体，以一个投标人的身份共同参加投标。联合体投标的，须提供《联合体投标协议书》（格式后附）。</w:t>
            </w:r>
          </w:p>
          <w:p w14:paraId="067E5153">
            <w:pPr>
              <w:pStyle w:val="20"/>
              <w:spacing w:line="360" w:lineRule="auto"/>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37029C18">
            <w:pPr>
              <w:pStyle w:val="20"/>
              <w:spacing w:line="360" w:lineRule="auto"/>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联合体各方之间必须签订联合投标协议，协议书必须明确主体方（或者牵头方）并明确约定联合体各方承担的工作和相应的责任（各方承担责任与义务的分工必须符合采购需求，否则，</w:t>
            </w:r>
            <w:r>
              <w:rPr>
                <w:rFonts w:hint="eastAsia" w:ascii="宋体" w:hAnsi="宋体"/>
                <w:b/>
                <w:bCs/>
                <w:color w:val="auto"/>
                <w:szCs w:val="21"/>
                <w:highlight w:val="none"/>
              </w:rPr>
              <w:t>联合体投标无效</w:t>
            </w:r>
            <w:r>
              <w:rPr>
                <w:rFonts w:hint="eastAsia" w:ascii="宋体" w:hAnsi="宋体"/>
                <w:color w:val="auto"/>
                <w:szCs w:val="21"/>
                <w:highlight w:val="none"/>
              </w:rPr>
              <w:t>），并将联合投标协议放入投标文件。联合体各方必须共同与采购人签订采购合同，就采购合同约定的事项对采购人承担连带责任。</w:t>
            </w:r>
          </w:p>
          <w:p w14:paraId="7A2B0E5F">
            <w:pPr>
              <w:pStyle w:val="20"/>
              <w:spacing w:line="360" w:lineRule="auto"/>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以联合体形式参加政府采购活动的，联合体各方不得再单独参加或者与其他投标人另外组成联合体参加同一合同项下的政府采购活动。</w:t>
            </w:r>
          </w:p>
          <w:p w14:paraId="60D3418E">
            <w:pPr>
              <w:pStyle w:val="20"/>
              <w:spacing w:line="360" w:lineRule="auto"/>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联合体中有同类资质的投标人按照联合体分工承担相同工作的，应当按照资质等级较低的投标人确定资质等级。</w:t>
            </w:r>
          </w:p>
          <w:p w14:paraId="2386C5EB">
            <w:pPr>
              <w:pStyle w:val="20"/>
              <w:spacing w:line="360" w:lineRule="auto"/>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联合体投标业绩、履约能力按照联合体各方其中较高的一方认定并计算（招标文件另有规定的除外）。</w:t>
            </w:r>
          </w:p>
          <w:p w14:paraId="0463A057">
            <w:pPr>
              <w:pStyle w:val="20"/>
              <w:spacing w:line="360" w:lineRule="auto"/>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投标人为联合体的，可以由联合体中的一方或者多方共同交纳投标保证金，其交纳的保证金对联合体各方均具有约束力。</w:t>
            </w:r>
          </w:p>
          <w:p w14:paraId="7D0AE685">
            <w:pPr>
              <w:pStyle w:val="20"/>
              <w:spacing w:line="360" w:lineRule="auto"/>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联合体各方均应按照招标文件的规定提交资格证明文件。</w:t>
            </w:r>
          </w:p>
        </w:tc>
      </w:tr>
      <w:tr w14:paraId="4F44E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2AE7C196">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853" w:type="dxa"/>
            <w:tcBorders>
              <w:top w:val="single" w:color="auto" w:sz="4" w:space="0"/>
              <w:left w:val="single" w:color="auto" w:sz="4" w:space="0"/>
              <w:bottom w:val="single" w:color="auto" w:sz="4" w:space="0"/>
              <w:right w:val="single" w:color="auto" w:sz="4" w:space="0"/>
            </w:tcBorders>
            <w:vAlign w:val="center"/>
          </w:tcPr>
          <w:p w14:paraId="17FA6E90">
            <w:pPr>
              <w:pStyle w:val="20"/>
              <w:spacing w:line="360" w:lineRule="auto"/>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不允许分包</w:t>
            </w:r>
          </w:p>
          <w:p w14:paraId="7D704055">
            <w:pPr>
              <w:pStyle w:val="20"/>
              <w:spacing w:line="360" w:lineRule="auto"/>
              <w:rPr>
                <w:rFonts w:ascii="宋体" w:hAnsi="宋体"/>
                <w:color w:val="auto"/>
                <w:szCs w:val="21"/>
                <w:highlight w:val="none"/>
              </w:rPr>
            </w:pPr>
            <w:r>
              <w:rPr>
                <w:rFonts w:hint="eastAsia" w:ascii="宋体" w:hAnsi="宋体"/>
                <w:color w:val="auto"/>
                <w:szCs w:val="21"/>
                <w:highlight w:val="none"/>
              </w:rPr>
              <w:t>□允许分包</w:t>
            </w:r>
          </w:p>
          <w:p w14:paraId="5660FBA8">
            <w:pPr>
              <w:pStyle w:val="20"/>
              <w:spacing w:line="360" w:lineRule="auto"/>
              <w:rPr>
                <w:rFonts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                         。</w:t>
            </w:r>
          </w:p>
          <w:p w14:paraId="61A342C2">
            <w:pPr>
              <w:pStyle w:val="20"/>
              <w:spacing w:line="360" w:lineRule="auto"/>
              <w:jc w:val="both"/>
              <w:rPr>
                <w:rFonts w:ascii="宋体" w:hAnsi="宋体"/>
                <w:color w:val="auto"/>
                <w:szCs w:val="21"/>
                <w:highlight w:val="none"/>
                <w:u w:val="singl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                 。</w:t>
            </w:r>
          </w:p>
        </w:tc>
      </w:tr>
      <w:tr w14:paraId="33549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216FA129">
            <w:pPr>
              <w:spacing w:line="360" w:lineRule="auto"/>
              <w:jc w:val="center"/>
              <w:rPr>
                <w:rFonts w:ascii="宋体" w:hAnsi="宋体"/>
                <w:color w:val="auto"/>
                <w:szCs w:val="21"/>
                <w:highlight w:val="none"/>
              </w:rPr>
            </w:pPr>
            <w:r>
              <w:rPr>
                <w:rFonts w:hint="eastAsia" w:ascii="宋体" w:hAnsi="宋体"/>
                <w:color w:val="auto"/>
                <w:szCs w:val="21"/>
                <w:highlight w:val="none"/>
              </w:rPr>
              <w:t>8.1</w:t>
            </w:r>
          </w:p>
        </w:tc>
        <w:tc>
          <w:tcPr>
            <w:tcW w:w="8853" w:type="dxa"/>
            <w:tcBorders>
              <w:top w:val="single" w:color="auto" w:sz="4" w:space="0"/>
              <w:left w:val="single" w:color="auto" w:sz="4" w:space="0"/>
              <w:bottom w:val="single" w:color="auto" w:sz="4" w:space="0"/>
              <w:right w:val="single" w:color="auto" w:sz="4" w:space="0"/>
            </w:tcBorders>
            <w:vAlign w:val="center"/>
          </w:tcPr>
          <w:p w14:paraId="528663D5">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采用综合评分法的采购项目，提供相同品牌产品（非单一产品采购项目的，指核心产品）的不同投标人评审得分相同时，按照下列方式确定一个投标人获得中标人推荐资格：</w:t>
            </w:r>
          </w:p>
          <w:p w14:paraId="08B0B63A">
            <w:pPr>
              <w:autoSpaceDE w:val="0"/>
              <w:autoSpaceDN w:val="0"/>
              <w:snapToGrid w:val="0"/>
              <w:spacing w:line="360" w:lineRule="auto"/>
              <w:textAlignment w:val="bottom"/>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依次按投标报价低的优先、政策分得分高的优先、技术评分高的优先、商务评分高的优先、保修期长优先、服务方案优的优先、故障响应时间短优先的顺序推荐；</w:t>
            </w:r>
          </w:p>
          <w:p w14:paraId="7E4B8C5C">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□随机抽取；</w:t>
            </w:r>
          </w:p>
        </w:tc>
      </w:tr>
      <w:tr w14:paraId="2794D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972" w:type="dxa"/>
            <w:vMerge w:val="restart"/>
            <w:tcBorders>
              <w:top w:val="single" w:color="auto" w:sz="4" w:space="0"/>
              <w:left w:val="single" w:color="auto" w:sz="4" w:space="0"/>
              <w:right w:val="single" w:color="auto" w:sz="4" w:space="0"/>
            </w:tcBorders>
            <w:vAlign w:val="center"/>
          </w:tcPr>
          <w:p w14:paraId="4EFB988C">
            <w:pPr>
              <w:spacing w:line="360" w:lineRule="auto"/>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853" w:type="dxa"/>
            <w:tcBorders>
              <w:top w:val="single" w:color="auto" w:sz="4" w:space="0"/>
              <w:left w:val="single" w:color="auto" w:sz="4" w:space="0"/>
              <w:bottom w:val="single" w:color="auto" w:sz="4" w:space="0"/>
              <w:right w:val="single" w:color="auto" w:sz="4" w:space="0"/>
            </w:tcBorders>
            <w:vAlign w:val="center"/>
          </w:tcPr>
          <w:p w14:paraId="251812C5">
            <w:pPr>
              <w:snapToGrid w:val="0"/>
              <w:spacing w:line="360" w:lineRule="auto"/>
              <w:rPr>
                <w:rFonts w:ascii="宋体" w:hAnsi="宋体"/>
                <w:color w:val="auto"/>
                <w:szCs w:val="21"/>
                <w:highlight w:val="none"/>
              </w:rPr>
            </w:pPr>
            <w:r>
              <w:rPr>
                <w:rFonts w:hint="eastAsia" w:ascii="宋体" w:hAnsi="宋体"/>
                <w:color w:val="auto"/>
                <w:szCs w:val="21"/>
                <w:highlight w:val="none"/>
              </w:rPr>
              <w:t>是否组织现场考察详见第二章《采购需求》中的《</w:t>
            </w:r>
            <w:r>
              <w:rPr>
                <w:rFonts w:hint="eastAsia" w:ascii="宋体" w:hAnsi="宋体" w:cs="宋体"/>
                <w:color w:val="auto"/>
                <w:szCs w:val="21"/>
                <w:highlight w:val="none"/>
              </w:rPr>
              <w:t>涉及项目的其他要求及说明</w:t>
            </w:r>
            <w:r>
              <w:rPr>
                <w:rFonts w:hint="eastAsia" w:ascii="宋体" w:hAnsi="宋体"/>
                <w:color w:val="auto"/>
                <w:szCs w:val="21"/>
                <w:highlight w:val="none"/>
              </w:rPr>
              <w:t>》。</w:t>
            </w:r>
          </w:p>
        </w:tc>
      </w:tr>
      <w:tr w14:paraId="040D8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jc w:val="center"/>
        </w:trPr>
        <w:tc>
          <w:tcPr>
            <w:tcW w:w="972" w:type="dxa"/>
            <w:vMerge w:val="continue"/>
            <w:tcBorders>
              <w:left w:val="single" w:color="auto" w:sz="4" w:space="0"/>
              <w:bottom w:val="single" w:color="auto" w:sz="4" w:space="0"/>
              <w:right w:val="single" w:color="auto" w:sz="4" w:space="0"/>
            </w:tcBorders>
            <w:vAlign w:val="center"/>
          </w:tcPr>
          <w:p w14:paraId="13EB2D90">
            <w:pPr>
              <w:spacing w:line="360" w:lineRule="auto"/>
              <w:jc w:val="center"/>
              <w:rPr>
                <w:rFonts w:ascii="宋体" w:hAnsi="宋体"/>
                <w:color w:val="auto"/>
                <w:szCs w:val="21"/>
                <w:highlight w:val="none"/>
              </w:rPr>
            </w:pPr>
          </w:p>
        </w:tc>
        <w:tc>
          <w:tcPr>
            <w:tcW w:w="8853" w:type="dxa"/>
            <w:tcBorders>
              <w:top w:val="single" w:color="auto" w:sz="4" w:space="0"/>
              <w:left w:val="single" w:color="auto" w:sz="4" w:space="0"/>
              <w:bottom w:val="single" w:color="auto" w:sz="4" w:space="0"/>
              <w:right w:val="single" w:color="auto" w:sz="4" w:space="0"/>
            </w:tcBorders>
            <w:vAlign w:val="center"/>
          </w:tcPr>
          <w:p w14:paraId="403FB385">
            <w:pPr>
              <w:snapToGrid w:val="0"/>
              <w:spacing w:line="360" w:lineRule="auto"/>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不组织召开开标前答疑会</w:t>
            </w:r>
          </w:p>
          <w:p w14:paraId="66D6D6B9">
            <w:pPr>
              <w:snapToGrid w:val="0"/>
              <w:spacing w:line="360" w:lineRule="auto"/>
              <w:rPr>
                <w:rFonts w:ascii="宋体" w:hAnsi="宋体"/>
                <w:color w:val="auto"/>
                <w:szCs w:val="21"/>
                <w:highlight w:val="none"/>
              </w:rPr>
            </w:pPr>
            <w:r>
              <w:rPr>
                <w:rFonts w:hint="eastAsia" w:ascii="宋体" w:hAnsi="宋体"/>
                <w:color w:val="auto"/>
                <w:szCs w:val="21"/>
                <w:highlight w:val="none"/>
              </w:rPr>
              <w:t>□组织召开开标前答疑会</w:t>
            </w:r>
          </w:p>
          <w:p w14:paraId="5AF85624">
            <w:pPr>
              <w:snapToGrid w:val="0"/>
              <w:spacing w:line="360" w:lineRule="auto"/>
              <w:rPr>
                <w:rFonts w:ascii="宋体" w:hAnsi="宋体"/>
                <w:color w:val="auto"/>
                <w:szCs w:val="21"/>
                <w:highlight w:val="non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  </w:t>
            </w:r>
            <w:r>
              <w:rPr>
                <w:rFonts w:hint="eastAsia" w:ascii="宋体" w:hAnsi="宋体"/>
                <w:color w:val="auto"/>
                <w:szCs w:val="21"/>
                <w:highlight w:val="none"/>
              </w:rPr>
              <w:t>年</w:t>
            </w:r>
            <w:r>
              <w:rPr>
                <w:rFonts w:hint="eastAsia" w:ascii="宋体" w:hAnsi="宋体"/>
                <w:color w:val="auto"/>
                <w:szCs w:val="21"/>
                <w:highlight w:val="none"/>
                <w:u w:val="single"/>
              </w:rPr>
              <w:t xml:space="preserve"> / </w:t>
            </w:r>
            <w:r>
              <w:rPr>
                <w:rFonts w:hint="eastAsia" w:ascii="宋体" w:hAnsi="宋体"/>
                <w:color w:val="auto"/>
                <w:szCs w:val="21"/>
                <w:highlight w:val="none"/>
              </w:rPr>
              <w:t>月</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 </w:t>
            </w:r>
            <w:r>
              <w:rPr>
                <w:rFonts w:hint="eastAsia" w:ascii="宋体" w:hAnsi="宋体"/>
                <w:color w:val="auto"/>
                <w:szCs w:val="21"/>
                <w:highlight w:val="none"/>
              </w:rPr>
              <w:t>时</w:t>
            </w:r>
            <w:r>
              <w:rPr>
                <w:rFonts w:hint="eastAsia" w:ascii="宋体" w:hAnsi="宋体"/>
                <w:color w:val="auto"/>
                <w:szCs w:val="21"/>
                <w:highlight w:val="none"/>
                <w:u w:val="single"/>
              </w:rPr>
              <w:t xml:space="preserve"> /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p>
        </w:tc>
      </w:tr>
      <w:tr w14:paraId="4270E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vMerge w:val="restart"/>
            <w:tcBorders>
              <w:top w:val="single" w:color="auto" w:sz="4" w:space="0"/>
              <w:left w:val="single" w:color="auto" w:sz="4" w:space="0"/>
              <w:right w:val="single" w:color="auto" w:sz="4" w:space="0"/>
            </w:tcBorders>
            <w:vAlign w:val="center"/>
          </w:tcPr>
          <w:p w14:paraId="154A2BDD">
            <w:pPr>
              <w:spacing w:line="360" w:lineRule="auto"/>
              <w:jc w:val="center"/>
              <w:rPr>
                <w:rFonts w:ascii="宋体" w:hAnsi="宋体"/>
                <w:color w:val="auto"/>
                <w:szCs w:val="21"/>
                <w:highlight w:val="none"/>
              </w:rPr>
            </w:pPr>
            <w:bookmarkStart w:id="58" w:name="_13.1"/>
            <w:bookmarkEnd w:id="58"/>
            <w:r>
              <w:rPr>
                <w:rFonts w:hint="eastAsia" w:ascii="宋体" w:hAnsi="宋体"/>
                <w:color w:val="auto"/>
                <w:szCs w:val="21"/>
                <w:highlight w:val="none"/>
              </w:rPr>
              <w:t>13</w:t>
            </w:r>
          </w:p>
        </w:tc>
        <w:tc>
          <w:tcPr>
            <w:tcW w:w="8853" w:type="dxa"/>
            <w:tcBorders>
              <w:top w:val="single" w:color="auto" w:sz="4" w:space="0"/>
              <w:left w:val="single" w:color="auto" w:sz="4" w:space="0"/>
              <w:bottom w:val="single" w:color="auto" w:sz="4" w:space="0"/>
              <w:right w:val="single" w:color="auto" w:sz="4" w:space="0"/>
            </w:tcBorders>
            <w:vAlign w:val="center"/>
          </w:tcPr>
          <w:p w14:paraId="59817E9F">
            <w:pPr>
              <w:snapToGrid w:val="0"/>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报价文件：</w:t>
            </w:r>
          </w:p>
          <w:p w14:paraId="57E38296">
            <w:pPr>
              <w:tabs>
                <w:tab w:val="left" w:pos="34"/>
              </w:tabs>
              <w:snapToGrid w:val="0"/>
              <w:spacing w:line="360" w:lineRule="auto"/>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投标函（格式后附）；</w:t>
            </w:r>
            <w:r>
              <w:rPr>
                <w:rFonts w:hint="eastAsia" w:ascii="宋体" w:hAnsi="宋体"/>
                <w:b/>
                <w:color w:val="auto"/>
                <w:szCs w:val="21"/>
                <w:highlight w:val="none"/>
              </w:rPr>
              <w:t>（必须提供，否则按无效投标处理）</w:t>
            </w:r>
          </w:p>
          <w:p w14:paraId="4E1592C0">
            <w:pPr>
              <w:tabs>
                <w:tab w:val="left" w:pos="34"/>
              </w:tabs>
              <w:snapToGrid w:val="0"/>
              <w:spacing w:line="360" w:lineRule="auto"/>
              <w:jc w:val="left"/>
              <w:rPr>
                <w:rFonts w:ascii="宋体" w:hAnsi="宋体"/>
                <w:color w:val="auto"/>
                <w:szCs w:val="21"/>
                <w:highlight w:val="none"/>
              </w:rPr>
            </w:pPr>
            <w:bookmarkStart w:id="59" w:name="_Hlk71299233"/>
            <w:r>
              <w:rPr>
                <w:rFonts w:ascii="宋体" w:hAnsi="宋体"/>
                <w:color w:val="auto"/>
                <w:szCs w:val="21"/>
                <w:highlight w:val="none"/>
              </w:rPr>
              <w:t>2.</w:t>
            </w:r>
            <w:r>
              <w:rPr>
                <w:rFonts w:hint="eastAsia" w:ascii="宋体" w:hAnsi="宋体"/>
                <w:color w:val="auto"/>
                <w:szCs w:val="21"/>
                <w:highlight w:val="none"/>
              </w:rPr>
              <w:t>开标一览表</w:t>
            </w:r>
            <w:bookmarkEnd w:id="59"/>
            <w:r>
              <w:rPr>
                <w:rFonts w:hint="eastAsia" w:ascii="宋体" w:hAnsi="宋体"/>
                <w:color w:val="auto"/>
                <w:szCs w:val="21"/>
                <w:highlight w:val="none"/>
              </w:rPr>
              <w:t>（格式后附）；（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CABBCEC">
            <w:pPr>
              <w:tabs>
                <w:tab w:val="left" w:pos="34"/>
              </w:tabs>
              <w:snapToGrid w:val="0"/>
              <w:spacing w:line="360" w:lineRule="auto"/>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投标人针对报价需要说明的其他文件和说明（格式自拟）。</w:t>
            </w:r>
          </w:p>
          <w:p w14:paraId="537B7629">
            <w:pPr>
              <w:tabs>
                <w:tab w:val="left" w:pos="34"/>
              </w:tabs>
              <w:snapToGrid w:val="0"/>
              <w:spacing w:line="360" w:lineRule="auto"/>
              <w:jc w:val="left"/>
              <w:rPr>
                <w:rFonts w:ascii="宋体" w:hAnsi="宋体"/>
                <w:color w:val="auto"/>
                <w:szCs w:val="21"/>
                <w:highlight w:val="none"/>
              </w:rPr>
            </w:pPr>
            <w:r>
              <w:rPr>
                <w:rFonts w:hint="eastAsia" w:ascii="宋体" w:hAnsi="宋体"/>
                <w:b/>
                <w:bCs/>
                <w:color w:val="auto"/>
                <w:szCs w:val="21"/>
                <w:highlight w:val="none"/>
              </w:rPr>
              <w:t>注：投标函、开标一览表必须由法定代表人（或负责人）或者委托代理人在规定签章处逐一签字或者电子签名并加盖投标人公章，否则按无效投标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631FA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vMerge w:val="continue"/>
            <w:tcBorders>
              <w:left w:val="single" w:color="auto" w:sz="4" w:space="0"/>
              <w:right w:val="single" w:color="auto" w:sz="4" w:space="0"/>
            </w:tcBorders>
            <w:vAlign w:val="center"/>
          </w:tcPr>
          <w:p w14:paraId="006357DE">
            <w:pPr>
              <w:spacing w:line="360" w:lineRule="auto"/>
              <w:rPr>
                <w:rFonts w:ascii="宋体" w:hAnsi="宋体"/>
                <w:color w:val="auto"/>
                <w:szCs w:val="21"/>
                <w:highlight w:val="none"/>
              </w:rPr>
            </w:pPr>
            <w:bookmarkStart w:id="60" w:name="_13.2"/>
            <w:bookmarkEnd w:id="60"/>
          </w:p>
        </w:tc>
        <w:tc>
          <w:tcPr>
            <w:tcW w:w="8853" w:type="dxa"/>
            <w:tcBorders>
              <w:top w:val="single" w:color="auto" w:sz="4" w:space="0"/>
              <w:left w:val="single" w:color="auto" w:sz="4" w:space="0"/>
              <w:bottom w:val="single" w:color="auto" w:sz="4" w:space="0"/>
              <w:right w:val="single" w:color="auto" w:sz="4" w:space="0"/>
            </w:tcBorders>
            <w:vAlign w:val="center"/>
          </w:tcPr>
          <w:p w14:paraId="7E2E912C">
            <w:pPr>
              <w:snapToGrid w:val="0"/>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资格证明文件</w:t>
            </w:r>
          </w:p>
          <w:p w14:paraId="5B8447A9">
            <w:pPr>
              <w:snapToGrid w:val="0"/>
              <w:spacing w:line="360" w:lineRule="auto"/>
              <w:jc w:val="left"/>
              <w:rPr>
                <w:rFonts w:ascii="宋体" w:hAnsi="宋体" w:cs="Courier New"/>
                <w:b/>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109"/>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CBDFE39">
            <w:pPr>
              <w:snapToGrid w:val="0"/>
              <w:spacing w:line="360" w:lineRule="auto"/>
              <w:jc w:val="left"/>
              <w:rPr>
                <w:rFonts w:ascii="宋体" w:hAnsi="宋体" w:cs="Courier New"/>
                <w:b/>
                <w:color w:val="auto"/>
                <w:szCs w:val="21"/>
                <w:highlight w:val="none"/>
              </w:rPr>
            </w:pPr>
            <w:r>
              <w:rPr>
                <w:rFonts w:hint="eastAsia" w:ascii="宋体" w:hAnsi="宋体" w:cs="宋体"/>
                <w:color w:val="auto"/>
                <w:szCs w:val="21"/>
                <w:highlight w:val="none"/>
              </w:rPr>
              <w:t>2.投标人依法缴纳税收的相关材料（2025年9月至2026年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月内任意</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rPr>
              <w:t>个月的依法缴纳税收的凭据复印件；</w:t>
            </w:r>
            <w:r>
              <w:rPr>
                <w:rFonts w:hint="eastAsia" w:ascii="宋体" w:hAnsi="宋体"/>
                <w:color w:val="auto"/>
                <w:szCs w:val="21"/>
                <w:highlight w:val="none"/>
              </w:rPr>
              <w:t>依法免税的供应商，必须提供相应文件证明其依法免税。</w:t>
            </w:r>
            <w:r>
              <w:rPr>
                <w:rFonts w:hint="eastAsia" w:ascii="宋体" w:hAnsi="宋体" w:cs="宋体"/>
                <w:color w:val="auto"/>
                <w:szCs w:val="21"/>
                <w:highlight w:val="none"/>
              </w:rPr>
              <w:t>从</w:t>
            </w:r>
            <w:r>
              <w:rPr>
                <w:rFonts w:hint="eastAsia" w:ascii="宋体" w:hAnsi="宋体"/>
                <w:color w:val="auto"/>
                <w:szCs w:val="21"/>
                <w:highlight w:val="none"/>
              </w:rPr>
              <w:t>成立之日</w:t>
            </w:r>
            <w:r>
              <w:rPr>
                <w:rFonts w:hint="eastAsia" w:ascii="宋体" w:hAnsi="宋体" w:cs="宋体"/>
                <w:color w:val="auto"/>
                <w:szCs w:val="21"/>
                <w:highlight w:val="none"/>
              </w:rPr>
              <w:t>起到投标文件提交截止时间止不足要求月数的，只需提供从</w:t>
            </w:r>
            <w:r>
              <w:rPr>
                <w:rFonts w:hint="eastAsia" w:ascii="宋体" w:hAnsi="宋体"/>
                <w:color w:val="auto"/>
                <w:szCs w:val="21"/>
                <w:highlight w:val="none"/>
              </w:rPr>
              <w:t>成立之日起</w:t>
            </w:r>
            <w:r>
              <w:rPr>
                <w:rFonts w:hint="eastAsia" w:ascii="宋体" w:hAnsi="宋体" w:cs="宋体"/>
                <w:color w:val="auto"/>
                <w:szCs w:val="21"/>
                <w:highlight w:val="none"/>
              </w:rPr>
              <w:t>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FCEDD20">
            <w:pPr>
              <w:snapToGrid w:val="0"/>
              <w:spacing w:line="360" w:lineRule="auto"/>
              <w:jc w:val="left"/>
              <w:rPr>
                <w:rFonts w:ascii="宋体" w:hAnsi="宋体" w:cs="Courier New"/>
                <w:b/>
                <w:color w:val="auto"/>
                <w:szCs w:val="21"/>
                <w:highlight w:val="none"/>
              </w:rPr>
            </w:pPr>
            <w:r>
              <w:rPr>
                <w:rFonts w:hint="eastAsia" w:ascii="宋体" w:hAnsi="宋体" w:cs="宋体"/>
                <w:color w:val="auto"/>
                <w:szCs w:val="21"/>
                <w:highlight w:val="none"/>
              </w:rPr>
              <w:t>3.投标人依法缴纳社会保障资金的相关材料[2025年9月至2026年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月内任意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rFonts w:hint="eastAsia" w:ascii="宋体" w:hAnsi="宋体"/>
                <w:color w:val="auto"/>
                <w:szCs w:val="21"/>
                <w:highlight w:val="none"/>
              </w:rPr>
              <w:t>成立之日起</w:t>
            </w:r>
            <w:r>
              <w:rPr>
                <w:rFonts w:hint="eastAsia" w:ascii="宋体" w:hAnsi="宋体" w:cs="宋体"/>
                <w:color w:val="auto"/>
                <w:szCs w:val="21"/>
                <w:highlight w:val="none"/>
              </w:rPr>
              <w:t>到投标文件提交截止时间止不足要求月数的只需提供从</w:t>
            </w:r>
            <w:r>
              <w:rPr>
                <w:rFonts w:hint="eastAsia" w:ascii="宋体" w:hAnsi="宋体"/>
                <w:color w:val="auto"/>
                <w:szCs w:val="21"/>
                <w:highlight w:val="none"/>
              </w:rPr>
              <w:t>成立之日起</w:t>
            </w:r>
            <w:r>
              <w:rPr>
                <w:rFonts w:hint="eastAsia" w:ascii="宋体" w:hAnsi="宋体" w:cs="宋体"/>
                <w:color w:val="auto"/>
                <w:szCs w:val="21"/>
                <w:highlight w:val="none"/>
              </w:rPr>
              <w:t>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E05D762">
            <w:pPr>
              <w:snapToGrid w:val="0"/>
              <w:spacing w:line="360" w:lineRule="auto"/>
              <w:jc w:val="left"/>
              <w:rPr>
                <w:rFonts w:ascii="宋体" w:hAnsi="宋体" w:cs="Courier New"/>
                <w:b/>
                <w:color w:val="auto"/>
                <w:szCs w:val="21"/>
                <w:highlight w:val="none"/>
              </w:rPr>
            </w:pPr>
            <w:r>
              <w:rPr>
                <w:rFonts w:hint="eastAsia" w:ascii="宋体" w:hAnsi="宋体" w:cs="宋体"/>
                <w:color w:val="auto"/>
                <w:szCs w:val="21"/>
                <w:highlight w:val="none"/>
              </w:rPr>
              <w:t>4.投标人</w:t>
            </w:r>
            <w:r>
              <w:rPr>
                <w:rFonts w:hint="eastAsia" w:ascii="宋体" w:hAnsi="宋体"/>
                <w:color w:val="auto"/>
                <w:szCs w:val="21"/>
                <w:highlight w:val="none"/>
              </w:rPr>
              <w:t>财务状况报告（</w:t>
            </w:r>
            <w:r>
              <w:rPr>
                <w:rFonts w:hint="eastAsia" w:ascii="宋体" w:hAnsi="宋体"/>
                <w:color w:val="auto"/>
                <w:szCs w:val="21"/>
                <w:highlight w:val="none"/>
                <w:u w:val="single"/>
              </w:rPr>
              <w:t>2024</w:t>
            </w:r>
            <w:r>
              <w:rPr>
                <w:rFonts w:hint="eastAsia" w:ascii="宋体" w:hAnsi="宋体"/>
                <w:color w:val="auto"/>
                <w:szCs w:val="21"/>
                <w:highlight w:val="none"/>
              </w:rPr>
              <w:t>年度或</w:t>
            </w:r>
            <w:r>
              <w:rPr>
                <w:rFonts w:hint="eastAsia" w:ascii="宋体" w:hAnsi="宋体"/>
                <w:color w:val="auto"/>
                <w:szCs w:val="21"/>
                <w:highlight w:val="none"/>
                <w:u w:val="single"/>
              </w:rPr>
              <w:t>2025</w:t>
            </w:r>
            <w:r>
              <w:rPr>
                <w:rFonts w:hint="eastAsia" w:ascii="宋体" w:hAnsi="宋体"/>
                <w:color w:val="auto"/>
                <w:szCs w:val="21"/>
                <w:highlight w:val="none"/>
              </w:rPr>
              <w:t>年度财务报表复印件或者银行出具的资信证明；投标人属于成立时间</w:t>
            </w:r>
            <w:r>
              <w:rPr>
                <w:rFonts w:hint="eastAsia" w:ascii="宋体" w:hAnsi="宋体"/>
                <w:color w:val="auto"/>
                <w:kern w:val="0"/>
                <w:szCs w:val="21"/>
                <w:highlight w:val="none"/>
              </w:rPr>
              <w:t>在规定年度之后</w:t>
            </w:r>
            <w:r>
              <w:rPr>
                <w:rFonts w:hint="eastAsia" w:ascii="宋体" w:hAnsi="宋体"/>
                <w:color w:val="auto"/>
                <w:szCs w:val="21"/>
                <w:highlight w:val="none"/>
              </w:rPr>
              <w:t>的法人或其他组织，需提供成立之日起至投标截止时间前的月报表或银行出具的资信证明；资信证明应在有效期内，未注明有效期的，银行出具时间至投标截止时间不超过一年）；（</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124C4BD">
            <w:pPr>
              <w:snapToGrid w:val="0"/>
              <w:spacing w:line="360" w:lineRule="auto"/>
              <w:jc w:val="left"/>
              <w:rPr>
                <w:rFonts w:ascii="宋体" w:hAnsi="宋体"/>
                <w:color w:val="auto"/>
                <w:szCs w:val="21"/>
                <w:highlight w:val="none"/>
              </w:rPr>
            </w:pPr>
            <w:r>
              <w:rPr>
                <w:rFonts w:hint="eastAsia" w:ascii="宋体" w:hAnsi="宋体"/>
                <w:color w:val="auto"/>
                <w:szCs w:val="21"/>
                <w:highlight w:val="none"/>
              </w:rPr>
              <w:t>5.投标人直接控股、管理关系信息表（格式后附）；（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A9C3CFC">
            <w:pPr>
              <w:snapToGrid w:val="0"/>
              <w:spacing w:line="360" w:lineRule="auto"/>
              <w:jc w:val="left"/>
              <w:rPr>
                <w:rFonts w:ascii="宋体" w:hAnsi="宋体"/>
                <w:color w:val="auto"/>
                <w:szCs w:val="21"/>
                <w:highlight w:val="none"/>
              </w:rPr>
            </w:pPr>
            <w:r>
              <w:rPr>
                <w:rFonts w:hint="eastAsia" w:ascii="宋体" w:hAnsi="宋体"/>
                <w:color w:val="auto"/>
                <w:szCs w:val="21"/>
                <w:highlight w:val="none"/>
              </w:rPr>
              <w:t>6.投标声明（格式后附）；（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6DC5D78">
            <w:pPr>
              <w:snapToGrid w:val="0"/>
              <w:spacing w:line="360" w:lineRule="auto"/>
              <w:jc w:val="left"/>
              <w:rPr>
                <w:rFonts w:ascii="宋体" w:hAnsi="宋体"/>
                <w:color w:val="auto"/>
                <w:szCs w:val="21"/>
                <w:highlight w:val="none"/>
              </w:rPr>
            </w:pPr>
            <w:r>
              <w:rPr>
                <w:rFonts w:hint="eastAsia" w:ascii="宋体" w:hAnsi="宋体"/>
                <w:color w:val="auto"/>
                <w:szCs w:val="21"/>
                <w:highlight w:val="none"/>
              </w:rPr>
              <w:t>7.特定资格要求资格证明材料：</w:t>
            </w:r>
          </w:p>
          <w:p w14:paraId="7EFAC132">
            <w:pPr>
              <w:snapToGrid w:val="0"/>
              <w:spacing w:line="360" w:lineRule="auto"/>
              <w:jc w:val="left"/>
              <w:rPr>
                <w:rFonts w:ascii="宋体" w:hAnsi="宋体"/>
                <w:color w:val="auto"/>
                <w:szCs w:val="21"/>
                <w:highlight w:val="none"/>
              </w:rPr>
            </w:pPr>
            <w:r>
              <w:rPr>
                <w:rFonts w:hint="eastAsia" w:ascii="宋体" w:hAnsi="宋体"/>
                <w:color w:val="auto"/>
                <w:szCs w:val="21"/>
                <w:highlight w:val="none"/>
              </w:rPr>
              <w:t>投标人须具备合格有效的《中华人民共和国出版物经营许可证》；（</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4D29E10">
            <w:pPr>
              <w:snapToGrid w:val="0"/>
              <w:spacing w:line="360" w:lineRule="auto"/>
              <w:jc w:val="left"/>
              <w:rPr>
                <w:rFonts w:ascii="宋体" w:hAnsi="宋体"/>
                <w:color w:val="auto"/>
                <w:szCs w:val="21"/>
                <w:highlight w:val="none"/>
              </w:rPr>
            </w:pPr>
            <w:r>
              <w:rPr>
                <w:rFonts w:hint="eastAsia" w:ascii="宋体" w:hAnsi="宋体"/>
                <w:color w:val="auto"/>
                <w:szCs w:val="21"/>
                <w:highlight w:val="none"/>
              </w:rPr>
              <w:t>8.联合体协议书（格式后附）；（</w:t>
            </w:r>
            <w:r>
              <w:rPr>
                <w:rFonts w:hint="eastAsia" w:ascii="宋体" w:hAnsi="宋体"/>
                <w:b/>
                <w:color w:val="auto"/>
                <w:szCs w:val="21"/>
                <w:highlight w:val="none"/>
              </w:rPr>
              <w:t>如接受联合体投标的，联合体投标时必须提供，否则按无效投标处理</w:t>
            </w:r>
            <w:r>
              <w:rPr>
                <w:rFonts w:hint="eastAsia" w:ascii="宋体" w:hAnsi="宋体"/>
                <w:color w:val="auto"/>
                <w:szCs w:val="21"/>
                <w:highlight w:val="none"/>
              </w:rPr>
              <w:t>）</w:t>
            </w:r>
          </w:p>
          <w:p w14:paraId="4F06B23D">
            <w:pPr>
              <w:snapToGrid w:val="0"/>
              <w:spacing w:line="360" w:lineRule="auto"/>
              <w:jc w:val="left"/>
              <w:rPr>
                <w:rFonts w:ascii="宋体" w:hAnsi="宋体" w:cs="Courier New"/>
                <w:b/>
                <w:color w:val="auto"/>
                <w:szCs w:val="21"/>
                <w:highlight w:val="none"/>
              </w:rPr>
            </w:pPr>
            <w:r>
              <w:rPr>
                <w:rFonts w:hint="eastAsia" w:ascii="宋体" w:hAnsi="宋体"/>
                <w:color w:val="auto"/>
                <w:szCs w:val="21"/>
                <w:highlight w:val="none"/>
              </w:rPr>
              <w:t>9.除招标文件规定必须提供以外，投标人认为需要提供的其他证明材料。</w:t>
            </w:r>
          </w:p>
          <w:p w14:paraId="4EF0B3B0">
            <w:pPr>
              <w:tabs>
                <w:tab w:val="left" w:pos="0"/>
              </w:tabs>
              <w:snapToGrid w:val="0"/>
              <w:spacing w:line="360" w:lineRule="auto"/>
              <w:jc w:val="left"/>
              <w:rPr>
                <w:rFonts w:ascii="宋体" w:hAnsi="宋体"/>
                <w:b/>
                <w:bCs/>
                <w:color w:val="auto"/>
                <w:szCs w:val="21"/>
                <w:highlight w:val="none"/>
              </w:rPr>
            </w:pPr>
            <w:r>
              <w:rPr>
                <w:rFonts w:hint="eastAsia" w:ascii="宋体" w:hAnsi="宋体"/>
                <w:b/>
                <w:bCs/>
                <w:color w:val="auto"/>
                <w:szCs w:val="21"/>
                <w:highlight w:val="none"/>
              </w:rPr>
              <w:t>注：</w:t>
            </w:r>
          </w:p>
          <w:p w14:paraId="032A4580">
            <w:pPr>
              <w:tabs>
                <w:tab w:val="left" w:pos="0"/>
              </w:tabs>
              <w:snapToGrid w:val="0"/>
              <w:spacing w:line="360" w:lineRule="auto"/>
              <w:jc w:val="left"/>
              <w:rPr>
                <w:rFonts w:ascii="宋体" w:hAnsi="宋体" w:cs="Courier New"/>
                <w:b/>
                <w:color w:val="auto"/>
                <w:szCs w:val="21"/>
                <w:highlight w:val="none"/>
              </w:rPr>
            </w:pPr>
            <w:r>
              <w:rPr>
                <w:rFonts w:hint="eastAsia" w:ascii="宋体" w:hAnsi="宋体"/>
                <w:b/>
                <w:bCs/>
                <w:color w:val="auto"/>
                <w:szCs w:val="21"/>
                <w:highlight w:val="none"/>
              </w:rPr>
              <w:t>1.以上标明“必须提供”的材料属于复印件的，必须加盖投标人公章，否则按无效投标</w:t>
            </w:r>
            <w:r>
              <w:rPr>
                <w:rFonts w:hint="eastAsia" w:ascii="宋体" w:hAnsi="宋体" w:cs="Courier New"/>
                <w:b/>
                <w:color w:val="auto"/>
                <w:szCs w:val="21"/>
                <w:highlight w:val="none"/>
              </w:rPr>
              <w:t>处理。</w:t>
            </w:r>
          </w:p>
          <w:p w14:paraId="07B8FBD2">
            <w:pPr>
              <w:tabs>
                <w:tab w:val="left" w:pos="0"/>
              </w:tabs>
              <w:snapToGrid w:val="0"/>
              <w:spacing w:line="360" w:lineRule="auto"/>
              <w:jc w:val="left"/>
              <w:rPr>
                <w:rFonts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投标声明必须由法定代表人（或负责人）在规定签章处签字或者电子签名并加盖投标人公章，否则按无效投标处理。</w:t>
            </w:r>
          </w:p>
          <w:p w14:paraId="5EA1633C">
            <w:pPr>
              <w:tabs>
                <w:tab w:val="left" w:pos="0"/>
              </w:tabs>
              <w:snapToGrid w:val="0"/>
              <w:spacing w:line="360" w:lineRule="auto"/>
              <w:jc w:val="left"/>
              <w:rPr>
                <w:rFonts w:ascii="宋体" w:hAnsi="宋体"/>
                <w:b/>
                <w:bCs/>
                <w:color w:val="auto"/>
                <w:szCs w:val="21"/>
                <w:highlight w:val="none"/>
              </w:rPr>
            </w:pPr>
            <w:r>
              <w:rPr>
                <w:rFonts w:hint="eastAsia" w:ascii="宋体" w:hAnsi="宋体"/>
                <w:b/>
                <w:bCs/>
                <w:color w:val="auto"/>
                <w:szCs w:val="21"/>
                <w:highlight w:val="none"/>
              </w:rPr>
              <w:t>3.投标人直接控股、管理关系信息表必须由法定代表人（或负责人）或者委托代理人在规定签章处签字或者电子签名并加盖投标人公章，否则按无效投标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7068CB41">
            <w:pPr>
              <w:tabs>
                <w:tab w:val="left" w:pos="0"/>
              </w:tabs>
              <w:snapToGrid w:val="0"/>
              <w:spacing w:line="360" w:lineRule="auto"/>
              <w:jc w:val="left"/>
              <w:rPr>
                <w:rFonts w:ascii="宋体" w:hAnsi="宋体"/>
                <w:b/>
                <w:bCs/>
                <w:color w:val="auto"/>
                <w:szCs w:val="21"/>
                <w:highlight w:val="none"/>
              </w:rPr>
            </w:pPr>
            <w:r>
              <w:rPr>
                <w:rFonts w:hint="eastAsia" w:ascii="宋体" w:hAnsi="宋体"/>
                <w:b/>
                <w:bCs/>
                <w:color w:val="auto"/>
                <w:szCs w:val="21"/>
                <w:highlight w:val="none"/>
              </w:rPr>
              <w:t>4.联合体投标时，第1-5项资格证明文件联合体各方均必须分别提供，联合体各方分别盖章和签字（或者电子签名），否则按无效投标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7F4A5EB1">
            <w:pPr>
              <w:tabs>
                <w:tab w:val="left" w:pos="0"/>
              </w:tabs>
              <w:snapToGrid w:val="0"/>
              <w:spacing w:line="360" w:lineRule="auto"/>
              <w:jc w:val="left"/>
              <w:rPr>
                <w:rFonts w:ascii="宋体" w:hAnsi="宋体"/>
                <w:b/>
                <w:bCs/>
                <w:color w:val="auto"/>
                <w:szCs w:val="21"/>
                <w:highlight w:val="none"/>
              </w:rPr>
            </w:pPr>
            <w:r>
              <w:rPr>
                <w:rFonts w:hint="eastAsia" w:ascii="宋体" w:hAnsi="宋体"/>
                <w:b/>
                <w:bCs/>
                <w:color w:val="auto"/>
                <w:szCs w:val="21"/>
                <w:highlight w:val="none"/>
              </w:rPr>
              <w:t>5.分公司参加投标的，应当取得总公司授权。</w:t>
            </w:r>
          </w:p>
        </w:tc>
      </w:tr>
      <w:tr w14:paraId="443E3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vMerge w:val="continue"/>
            <w:tcBorders>
              <w:left w:val="single" w:color="auto" w:sz="4" w:space="0"/>
              <w:right w:val="single" w:color="auto" w:sz="4" w:space="0"/>
            </w:tcBorders>
            <w:vAlign w:val="center"/>
          </w:tcPr>
          <w:p w14:paraId="4FD671DF">
            <w:pPr>
              <w:spacing w:line="360" w:lineRule="auto"/>
              <w:rPr>
                <w:rFonts w:ascii="宋体" w:hAnsi="宋体"/>
                <w:color w:val="auto"/>
                <w:szCs w:val="21"/>
                <w:highlight w:val="none"/>
              </w:rPr>
            </w:pPr>
            <w:bookmarkStart w:id="61" w:name="_13.3"/>
            <w:bookmarkEnd w:id="61"/>
          </w:p>
        </w:tc>
        <w:tc>
          <w:tcPr>
            <w:tcW w:w="8853" w:type="dxa"/>
            <w:tcBorders>
              <w:top w:val="single" w:color="auto" w:sz="4" w:space="0"/>
              <w:left w:val="single" w:color="auto" w:sz="4" w:space="0"/>
              <w:bottom w:val="single" w:color="auto" w:sz="4" w:space="0"/>
              <w:right w:val="single" w:color="auto" w:sz="4" w:space="0"/>
            </w:tcBorders>
            <w:vAlign w:val="center"/>
          </w:tcPr>
          <w:p w14:paraId="70DB4BEE">
            <w:pPr>
              <w:snapToGrid w:val="0"/>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商务文件：</w:t>
            </w:r>
          </w:p>
          <w:p w14:paraId="27FCD416">
            <w:pPr>
              <w:snapToGrid w:val="0"/>
              <w:spacing w:line="360" w:lineRule="auto"/>
              <w:jc w:val="left"/>
              <w:rPr>
                <w:rFonts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96115C1">
            <w:pPr>
              <w:pStyle w:val="3"/>
              <w:spacing w:line="360" w:lineRule="auto"/>
              <w:rPr>
                <w:rFonts w:ascii="宋体" w:hAnsi="宋体" w:cs="Times New Roman"/>
                <w:color w:val="auto"/>
                <w:kern w:val="2"/>
                <w:sz w:val="21"/>
                <w:szCs w:val="21"/>
                <w:highlight w:val="none"/>
              </w:rPr>
            </w:pPr>
            <w:r>
              <w:rPr>
                <w:rFonts w:hint="eastAsia" w:ascii="宋体" w:hAnsi="宋体" w:cs="Times New Roman"/>
                <w:color w:val="auto"/>
                <w:kern w:val="2"/>
                <w:sz w:val="21"/>
                <w:szCs w:val="21"/>
                <w:highlight w:val="none"/>
              </w:rPr>
              <w:t>2.投标保证金提交凭证；</w:t>
            </w:r>
            <w:r>
              <w:rPr>
                <w:rFonts w:hint="eastAsia" w:ascii="宋体" w:hAnsi="宋体" w:cs="Times New Roman"/>
                <w:b/>
                <w:bCs/>
                <w:color w:val="auto"/>
                <w:kern w:val="2"/>
                <w:sz w:val="21"/>
                <w:szCs w:val="21"/>
                <w:highlight w:val="none"/>
              </w:rPr>
              <w:t>（必须提供，否则按无效投标处理）</w:t>
            </w:r>
          </w:p>
          <w:p w14:paraId="0C8C44B7">
            <w:pPr>
              <w:snapToGrid w:val="0"/>
              <w:spacing w:line="360" w:lineRule="auto"/>
              <w:jc w:val="left"/>
              <w:rPr>
                <w:rFonts w:ascii="宋体" w:hAnsi="宋体"/>
                <w:color w:val="auto"/>
                <w:szCs w:val="21"/>
                <w:highlight w:val="none"/>
              </w:rPr>
            </w:pPr>
            <w:r>
              <w:rPr>
                <w:rFonts w:hint="eastAsia" w:ascii="宋体" w:hAnsi="宋体"/>
                <w:color w:val="auto"/>
                <w:szCs w:val="21"/>
                <w:highlight w:val="none"/>
              </w:rPr>
              <w:t>3.法定代表人（或负责人）身份证明及法定代表人（或负责人）有效身份证正反面复印件（格式后附）；</w:t>
            </w:r>
            <w:r>
              <w:rPr>
                <w:rFonts w:hint="eastAsia" w:ascii="宋体" w:hAnsi="宋体"/>
                <w:b/>
                <w:bCs/>
                <w:color w:val="auto"/>
                <w:szCs w:val="21"/>
                <w:highlight w:val="none"/>
              </w:rPr>
              <w:t>（除自然人投标外必须提供，否则按无效投标处理）</w:t>
            </w:r>
          </w:p>
          <w:p w14:paraId="7C34CB69">
            <w:pPr>
              <w:snapToGrid w:val="0"/>
              <w:spacing w:line="360" w:lineRule="auto"/>
              <w:ind w:left="34"/>
              <w:jc w:val="left"/>
              <w:rPr>
                <w:rFonts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106C7E6C">
            <w:pPr>
              <w:snapToGrid w:val="0"/>
              <w:spacing w:line="360" w:lineRule="auto"/>
              <w:ind w:left="34"/>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D3AB1B4">
            <w:pPr>
              <w:snapToGrid w:val="0"/>
              <w:spacing w:line="360" w:lineRule="auto"/>
              <w:ind w:left="34"/>
              <w:jc w:val="left"/>
              <w:rPr>
                <w:rFonts w:ascii="宋体" w:hAnsi="宋体"/>
                <w:color w:val="auto"/>
                <w:szCs w:val="21"/>
                <w:highlight w:val="none"/>
              </w:rPr>
            </w:pPr>
            <w:r>
              <w:rPr>
                <w:rFonts w:hint="eastAsia" w:ascii="宋体" w:hAnsi="宋体"/>
                <w:color w:val="auto"/>
                <w:szCs w:val="21"/>
                <w:highlight w:val="none"/>
              </w:rPr>
              <w:t>6.投标人情况介绍（格式自拟）；</w:t>
            </w:r>
          </w:p>
          <w:p w14:paraId="3FC01045">
            <w:pPr>
              <w:snapToGrid w:val="0"/>
              <w:spacing w:line="360" w:lineRule="auto"/>
              <w:jc w:val="left"/>
              <w:rPr>
                <w:rFonts w:ascii="宋体" w:hAnsi="宋体"/>
                <w:color w:val="auto"/>
                <w:szCs w:val="21"/>
                <w:highlight w:val="none"/>
              </w:rPr>
            </w:pPr>
            <w:r>
              <w:rPr>
                <w:rFonts w:hint="eastAsia" w:ascii="宋体" w:hAnsi="宋体"/>
                <w:color w:val="auto"/>
                <w:szCs w:val="21"/>
                <w:highlight w:val="none"/>
              </w:rPr>
              <w:t>7.联合体协议书（格式后附）；（</w:t>
            </w:r>
            <w:r>
              <w:rPr>
                <w:rFonts w:hint="eastAsia" w:ascii="宋体" w:hAnsi="宋体"/>
                <w:b/>
                <w:color w:val="auto"/>
                <w:szCs w:val="21"/>
                <w:highlight w:val="none"/>
              </w:rPr>
              <w:t>如接受联合体投标的，联合体投标时必须提供，否则按无效投标处理</w:t>
            </w:r>
            <w:r>
              <w:rPr>
                <w:rFonts w:hint="eastAsia" w:ascii="宋体" w:hAnsi="宋体"/>
                <w:color w:val="auto"/>
                <w:szCs w:val="21"/>
                <w:highlight w:val="none"/>
              </w:rPr>
              <w:t>）</w:t>
            </w:r>
          </w:p>
          <w:p w14:paraId="463D04A7">
            <w:pPr>
              <w:snapToGrid w:val="0"/>
              <w:spacing w:line="360" w:lineRule="auto"/>
              <w:ind w:left="34"/>
              <w:jc w:val="left"/>
              <w:rPr>
                <w:rFonts w:ascii="宋体" w:hAnsi="宋体"/>
                <w:color w:val="auto"/>
                <w:szCs w:val="21"/>
                <w:highlight w:val="none"/>
              </w:rPr>
            </w:pPr>
            <w:r>
              <w:rPr>
                <w:rFonts w:hint="eastAsia" w:ascii="宋体" w:hAnsi="宋体"/>
                <w:color w:val="auto"/>
                <w:szCs w:val="21"/>
                <w:highlight w:val="none"/>
              </w:rPr>
              <w:t>8.除招标文件规定必须提供以外，投标人认为需要提供的其他证明材料（格式自拟）。（投标人根据“第二章 采购需求”及“第四章 评标方法及评标标准”提供有关证明材料）。</w:t>
            </w:r>
          </w:p>
          <w:p w14:paraId="2DE84F7D">
            <w:pPr>
              <w:snapToGrid w:val="0"/>
              <w:spacing w:line="360" w:lineRule="auto"/>
              <w:jc w:val="left"/>
              <w:rPr>
                <w:rFonts w:ascii="宋体" w:hAnsi="宋体"/>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71C8C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vMerge w:val="continue"/>
            <w:tcBorders>
              <w:left w:val="single" w:color="auto" w:sz="4" w:space="0"/>
              <w:bottom w:val="single" w:color="auto" w:sz="4" w:space="0"/>
              <w:right w:val="single" w:color="auto" w:sz="4" w:space="0"/>
            </w:tcBorders>
            <w:vAlign w:val="center"/>
          </w:tcPr>
          <w:p w14:paraId="22332A46">
            <w:pPr>
              <w:spacing w:line="360" w:lineRule="auto"/>
              <w:rPr>
                <w:rFonts w:ascii="宋体" w:hAnsi="宋体"/>
                <w:color w:val="auto"/>
                <w:szCs w:val="21"/>
                <w:highlight w:val="none"/>
              </w:rPr>
            </w:pPr>
            <w:bookmarkStart w:id="62" w:name="_13.4"/>
            <w:bookmarkEnd w:id="62"/>
          </w:p>
        </w:tc>
        <w:tc>
          <w:tcPr>
            <w:tcW w:w="8853" w:type="dxa"/>
            <w:tcBorders>
              <w:top w:val="single" w:color="auto" w:sz="4" w:space="0"/>
              <w:left w:val="single" w:color="auto" w:sz="4" w:space="0"/>
              <w:bottom w:val="single" w:color="auto" w:sz="4" w:space="0"/>
              <w:right w:val="single" w:color="auto" w:sz="4" w:space="0"/>
            </w:tcBorders>
            <w:vAlign w:val="center"/>
          </w:tcPr>
          <w:p w14:paraId="1FE9748E">
            <w:pPr>
              <w:snapToGrid w:val="0"/>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技术文件：</w:t>
            </w:r>
          </w:p>
          <w:p w14:paraId="5A293D1B">
            <w:pPr>
              <w:snapToGrid w:val="0"/>
              <w:spacing w:line="360" w:lineRule="auto"/>
              <w:ind w:left="-2" w:leftChars="-1"/>
              <w:jc w:val="left"/>
              <w:rPr>
                <w:rFonts w:ascii="宋体" w:hAnsi="宋体" w:cs="宋体"/>
                <w:color w:val="auto"/>
                <w:szCs w:val="21"/>
                <w:highlight w:val="none"/>
              </w:rPr>
            </w:pPr>
            <w:r>
              <w:rPr>
                <w:rFonts w:hint="eastAsia" w:ascii="宋体" w:hAnsi="宋体" w:cs="宋体"/>
                <w:color w:val="auto"/>
                <w:szCs w:val="21"/>
                <w:highlight w:val="none"/>
              </w:rPr>
              <w:t>1.技术要求偏离表（格式后附）；（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B1A269F">
            <w:pPr>
              <w:snapToGrid w:val="0"/>
              <w:spacing w:line="400" w:lineRule="exact"/>
              <w:jc w:val="left"/>
              <w:rPr>
                <w:rFonts w:ascii="宋体" w:hAnsi="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服务实施方案（格式自拟）；（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5489E98">
            <w:pPr>
              <w:snapToGrid w:val="0"/>
              <w:spacing w:line="360" w:lineRule="auto"/>
              <w:ind w:left="-2" w:leftChars="-1"/>
              <w:jc w:val="left"/>
              <w:rPr>
                <w:rFonts w:ascii="宋体" w:hAnsi="宋体" w:cs="宋体"/>
                <w:color w:val="auto"/>
                <w:szCs w:val="21"/>
                <w:highlight w:val="none"/>
              </w:rPr>
            </w:pPr>
            <w:r>
              <w:rPr>
                <w:rFonts w:hint="eastAsia" w:ascii="宋体" w:hAnsi="宋体" w:cs="宋体"/>
                <w:color w:val="auto"/>
                <w:szCs w:val="21"/>
                <w:highlight w:val="none"/>
              </w:rPr>
              <w:t>3.项目实施方案；（如有，请提供，格式自拟）</w:t>
            </w:r>
          </w:p>
          <w:p w14:paraId="3DF8F85F">
            <w:pPr>
              <w:snapToGrid w:val="0"/>
              <w:spacing w:line="360" w:lineRule="auto"/>
              <w:ind w:left="-2" w:leftChars="-1"/>
              <w:jc w:val="left"/>
              <w:rPr>
                <w:rFonts w:ascii="宋体" w:hAnsi="宋体" w:cs="宋体"/>
                <w:color w:val="auto"/>
                <w:szCs w:val="21"/>
                <w:highlight w:val="none"/>
              </w:rPr>
            </w:pPr>
            <w:r>
              <w:rPr>
                <w:rFonts w:hint="eastAsia" w:ascii="宋体" w:hAnsi="宋体" w:cs="宋体"/>
                <w:color w:val="auto"/>
                <w:szCs w:val="21"/>
                <w:highlight w:val="none"/>
              </w:rPr>
              <w:t>4.售后服务方案；（如有，请提供，格式自拟）</w:t>
            </w:r>
          </w:p>
          <w:p w14:paraId="135D3579">
            <w:pPr>
              <w:snapToGrid w:val="0"/>
              <w:spacing w:line="360" w:lineRule="auto"/>
              <w:ind w:left="-2" w:leftChars="-1"/>
              <w:jc w:val="left"/>
              <w:rPr>
                <w:rFonts w:ascii="宋体" w:hAnsi="宋体" w:cs="宋体"/>
                <w:color w:val="auto"/>
                <w:szCs w:val="21"/>
                <w:highlight w:val="none"/>
              </w:rPr>
            </w:pPr>
            <w:r>
              <w:rPr>
                <w:rFonts w:hint="eastAsia" w:ascii="宋体" w:hAnsi="宋体" w:cs="宋体"/>
                <w:color w:val="auto"/>
                <w:szCs w:val="21"/>
                <w:highlight w:val="none"/>
              </w:rPr>
              <w:t>5.拟投入人员一览表；（如有，请提供，格式自拟）</w:t>
            </w:r>
          </w:p>
          <w:p w14:paraId="79D91814">
            <w:pPr>
              <w:snapToGrid w:val="0"/>
              <w:spacing w:line="360" w:lineRule="auto"/>
              <w:ind w:left="-2" w:leftChars="-1"/>
              <w:jc w:val="left"/>
              <w:rPr>
                <w:rFonts w:ascii="宋体" w:hAnsi="宋体" w:cs="宋体"/>
                <w:color w:val="auto"/>
                <w:szCs w:val="21"/>
                <w:highlight w:val="none"/>
              </w:rPr>
            </w:pPr>
            <w:r>
              <w:rPr>
                <w:rFonts w:hint="eastAsia" w:ascii="宋体" w:hAnsi="宋体" w:cs="宋体"/>
                <w:color w:val="auto"/>
                <w:szCs w:val="21"/>
                <w:highlight w:val="none"/>
              </w:rPr>
              <w:t>6.优惠条件：投标人承诺给予招标人的各种优惠条件，包括售后服务、备品备件、专用耗材等方面的优惠；投标人不得给予赠品或者与采购无关的其他商品、服务；</w:t>
            </w:r>
          </w:p>
          <w:p w14:paraId="187DAF27">
            <w:pPr>
              <w:snapToGrid w:val="0"/>
              <w:spacing w:line="360" w:lineRule="auto"/>
              <w:ind w:left="-2" w:leftChars="-1"/>
              <w:jc w:val="left"/>
              <w:rPr>
                <w:rFonts w:ascii="宋体" w:hAnsi="宋体" w:cs="宋体"/>
                <w:color w:val="auto"/>
                <w:szCs w:val="21"/>
                <w:highlight w:val="none"/>
              </w:rPr>
            </w:pPr>
            <w:r>
              <w:rPr>
                <w:rFonts w:hint="eastAsia" w:ascii="宋体" w:hAnsi="宋体" w:cs="宋体"/>
                <w:color w:val="auto"/>
                <w:szCs w:val="21"/>
                <w:highlight w:val="none"/>
              </w:rPr>
              <w:t>7.投标人对本项目的合理化建议和改进措施；（格式自拟）</w:t>
            </w:r>
          </w:p>
          <w:p w14:paraId="28B5369F">
            <w:pPr>
              <w:snapToGrid w:val="0"/>
              <w:spacing w:line="360" w:lineRule="auto"/>
              <w:ind w:left="-2" w:leftChars="-1"/>
              <w:jc w:val="left"/>
              <w:rPr>
                <w:rFonts w:ascii="宋体" w:hAnsi="宋体" w:cs="宋体"/>
                <w:bCs/>
                <w:color w:val="auto"/>
                <w:szCs w:val="21"/>
                <w:highlight w:val="none"/>
              </w:rPr>
            </w:pPr>
            <w:r>
              <w:rPr>
                <w:rFonts w:hint="eastAsia" w:ascii="宋体" w:hAnsi="宋体" w:cs="宋体"/>
                <w:color w:val="auto"/>
                <w:szCs w:val="21"/>
                <w:highlight w:val="none"/>
              </w:rPr>
              <w:t>8.除招标文件规定必须提供以外，投标人需要说明的其他文件和说明。（格式自拟）</w:t>
            </w:r>
          </w:p>
          <w:p w14:paraId="4AFD483B">
            <w:pPr>
              <w:snapToGrid w:val="0"/>
              <w:spacing w:line="360" w:lineRule="auto"/>
              <w:jc w:val="left"/>
              <w:rPr>
                <w:rFonts w:ascii="宋体" w:hAnsi="宋体"/>
                <w:b/>
                <w:bCs/>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48842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3F0AFDB5">
            <w:pPr>
              <w:spacing w:line="360" w:lineRule="auto"/>
              <w:jc w:val="center"/>
              <w:rPr>
                <w:rFonts w:ascii="宋体" w:hAnsi="宋体"/>
                <w:color w:val="auto"/>
                <w:szCs w:val="21"/>
                <w:highlight w:val="none"/>
              </w:rPr>
            </w:pPr>
            <w:bookmarkStart w:id="63" w:name="_16.2"/>
            <w:bookmarkEnd w:id="63"/>
            <w:bookmarkStart w:id="64" w:name="_13.5"/>
            <w:bookmarkEnd w:id="64"/>
            <w:r>
              <w:rPr>
                <w:rFonts w:hint="eastAsia" w:ascii="宋体" w:hAnsi="宋体"/>
                <w:color w:val="auto"/>
                <w:szCs w:val="21"/>
                <w:highlight w:val="none"/>
              </w:rPr>
              <w:t>16</w:t>
            </w:r>
            <w:bookmarkStart w:id="65" w:name="_Hlt19194066"/>
            <w:bookmarkStart w:id="66" w:name="_Hlt19194067"/>
            <w:bookmarkStart w:id="67" w:name="_Hlt19693758"/>
            <w:bookmarkStart w:id="68" w:name="_Hlt19693759"/>
            <w:r>
              <w:rPr>
                <w:rFonts w:hint="eastAsia" w:ascii="宋体" w:hAnsi="宋体"/>
                <w:color w:val="auto"/>
                <w:szCs w:val="21"/>
                <w:highlight w:val="none"/>
              </w:rPr>
              <w:t>.</w:t>
            </w:r>
            <w:bookmarkEnd w:id="65"/>
            <w:bookmarkEnd w:id="66"/>
            <w:bookmarkEnd w:id="67"/>
            <w:bookmarkEnd w:id="68"/>
            <w:r>
              <w:rPr>
                <w:rFonts w:hint="eastAsia" w:ascii="宋体" w:hAnsi="宋体"/>
                <w:color w:val="auto"/>
                <w:szCs w:val="21"/>
                <w:highlight w:val="none"/>
              </w:rPr>
              <w:t>2</w:t>
            </w:r>
          </w:p>
        </w:tc>
        <w:tc>
          <w:tcPr>
            <w:tcW w:w="8853" w:type="dxa"/>
            <w:tcBorders>
              <w:top w:val="single" w:color="auto" w:sz="4" w:space="0"/>
              <w:left w:val="single" w:color="auto" w:sz="4" w:space="0"/>
              <w:bottom w:val="single" w:color="auto" w:sz="4" w:space="0"/>
              <w:right w:val="single" w:color="auto" w:sz="4" w:space="0"/>
            </w:tcBorders>
            <w:vAlign w:val="center"/>
          </w:tcPr>
          <w:p w14:paraId="23B3EC7C">
            <w:pPr>
              <w:pStyle w:val="27"/>
              <w:ind w:left="34"/>
              <w:outlineLvl w:val="0"/>
              <w:rPr>
                <w:rFonts w:hAnsi="宋体"/>
                <w:b/>
                <w:color w:val="auto"/>
                <w:highlight w:val="none"/>
              </w:rPr>
            </w:pPr>
            <w:r>
              <w:rPr>
                <w:rFonts w:hint="eastAsia" w:hAnsi="宋体" w:cs="宋体"/>
                <w:color w:val="auto"/>
                <w:kern w:val="2"/>
                <w:sz w:val="21"/>
                <w:highlight w:val="none"/>
              </w:rPr>
              <w:t>投标报价包含货物、货物标准附件、备品备件、专用工具、设备安装辅材、施工辅材、包装、运输、装卸、保险、平台接入、货到就位的各种费用以及安装、调试等本采购文件所列设备材料需进行补充完善才能完成本项目的功能配置或实际采购中产品材料有任何遗漏的费用（含本项目需要但本文件中未列出的设备材料、功能配置）、调试，及投入使用后质量保修期内的维护、保养、人员培训、售后服务及其他所有成本费用，以及合同明示或暗示的所有责任、义务和一般风险等一切费用。</w:t>
            </w:r>
          </w:p>
        </w:tc>
      </w:tr>
      <w:tr w14:paraId="704A8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101247CA">
            <w:pPr>
              <w:spacing w:line="360" w:lineRule="auto"/>
              <w:jc w:val="center"/>
              <w:rPr>
                <w:rFonts w:ascii="宋体" w:hAnsi="宋体"/>
                <w:color w:val="auto"/>
                <w:szCs w:val="21"/>
                <w:highlight w:val="none"/>
              </w:rPr>
            </w:pPr>
            <w:bookmarkStart w:id="69" w:name="_17.1"/>
            <w:bookmarkEnd w:id="69"/>
            <w:r>
              <w:rPr>
                <w:rFonts w:hint="eastAsia" w:ascii="宋体" w:hAnsi="宋体"/>
                <w:color w:val="auto"/>
                <w:szCs w:val="21"/>
                <w:highlight w:val="none"/>
              </w:rPr>
              <w:t>17.</w:t>
            </w:r>
            <w:r>
              <w:rPr>
                <w:rFonts w:ascii="宋体" w:hAnsi="宋体"/>
                <w:color w:val="auto"/>
                <w:szCs w:val="21"/>
                <w:highlight w:val="none"/>
              </w:rPr>
              <w:t>2</w:t>
            </w:r>
          </w:p>
        </w:tc>
        <w:tc>
          <w:tcPr>
            <w:tcW w:w="8853" w:type="dxa"/>
            <w:tcBorders>
              <w:top w:val="single" w:color="auto" w:sz="4" w:space="0"/>
              <w:left w:val="single" w:color="auto" w:sz="4" w:space="0"/>
              <w:bottom w:val="single" w:color="auto" w:sz="4" w:space="0"/>
              <w:right w:val="single" w:color="auto" w:sz="4" w:space="0"/>
            </w:tcBorders>
            <w:vAlign w:val="center"/>
          </w:tcPr>
          <w:p w14:paraId="2858C356">
            <w:pPr>
              <w:snapToGrid w:val="0"/>
              <w:spacing w:line="360" w:lineRule="auto"/>
              <w:rPr>
                <w:rFonts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120</w:t>
            </w:r>
            <w:r>
              <w:rPr>
                <w:rFonts w:hint="eastAsia" w:ascii="宋体" w:hAnsi="宋体"/>
                <w:color w:val="auto"/>
                <w:szCs w:val="21"/>
                <w:highlight w:val="none"/>
              </w:rPr>
              <w:t>日。</w:t>
            </w:r>
          </w:p>
        </w:tc>
      </w:tr>
      <w:tr w14:paraId="751B5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7556DB5F">
            <w:pPr>
              <w:spacing w:line="360" w:lineRule="auto"/>
              <w:jc w:val="center"/>
              <w:rPr>
                <w:rFonts w:ascii="宋体" w:hAnsi="宋体"/>
                <w:color w:val="auto"/>
                <w:szCs w:val="21"/>
                <w:highlight w:val="none"/>
              </w:rPr>
            </w:pPr>
            <w:bookmarkStart w:id="70" w:name="_18"/>
            <w:bookmarkEnd w:id="70"/>
            <w:r>
              <w:rPr>
                <w:rFonts w:hint="eastAsia" w:ascii="宋体" w:hAnsi="宋体"/>
                <w:color w:val="auto"/>
                <w:szCs w:val="21"/>
                <w:highlight w:val="none"/>
              </w:rPr>
              <w:t>18</w:t>
            </w:r>
            <w:r>
              <w:rPr>
                <w:rFonts w:ascii="宋体" w:hAnsi="宋体"/>
                <w:color w:val="auto"/>
                <w:szCs w:val="21"/>
                <w:highlight w:val="none"/>
              </w:rPr>
              <w:t>.1</w:t>
            </w:r>
          </w:p>
        </w:tc>
        <w:tc>
          <w:tcPr>
            <w:tcW w:w="8853" w:type="dxa"/>
            <w:tcBorders>
              <w:top w:val="single" w:color="auto" w:sz="4" w:space="0"/>
              <w:left w:val="single" w:color="auto" w:sz="4" w:space="0"/>
              <w:bottom w:val="single" w:color="auto" w:sz="4" w:space="0"/>
              <w:right w:val="single" w:color="auto" w:sz="4" w:space="0"/>
            </w:tcBorders>
            <w:vAlign w:val="center"/>
          </w:tcPr>
          <w:p w14:paraId="202ABDA1">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□本项目不收取投标保证金。</w:t>
            </w:r>
          </w:p>
          <w:p w14:paraId="22B9958B">
            <w:pPr>
              <w:snapToGrid w:val="0"/>
              <w:spacing w:line="360" w:lineRule="auto"/>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本项目收取投标保证金，具体规定如下：</w:t>
            </w:r>
          </w:p>
          <w:p w14:paraId="44AAB6FC">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投标保证金：</w:t>
            </w:r>
            <w:r>
              <w:rPr>
                <w:rFonts w:hint="eastAsia" w:ascii="宋体" w:hAnsi="宋体" w:cs="宋体"/>
                <w:b/>
                <w:bCs/>
                <w:color w:val="auto"/>
                <w:kern w:val="0"/>
                <w:szCs w:val="21"/>
                <w:highlight w:val="none"/>
              </w:rPr>
              <w:t>标项一、标项二：</w:t>
            </w:r>
            <w:r>
              <w:rPr>
                <w:rFonts w:hint="eastAsia" w:ascii="宋体" w:hAnsi="宋体" w:cs="宋体"/>
                <w:color w:val="auto"/>
                <w:kern w:val="0"/>
                <w:szCs w:val="21"/>
                <w:highlight w:val="none"/>
              </w:rPr>
              <w:t>人民币捌仟元整（¥8000.00元）；</w:t>
            </w:r>
            <w:r>
              <w:rPr>
                <w:rFonts w:hint="eastAsia" w:ascii="宋体" w:hAnsi="宋体" w:cs="宋体"/>
                <w:b/>
                <w:bCs/>
                <w:color w:val="auto"/>
                <w:kern w:val="0"/>
                <w:szCs w:val="21"/>
                <w:highlight w:val="none"/>
              </w:rPr>
              <w:t>标项三、标项四：</w:t>
            </w:r>
            <w:r>
              <w:rPr>
                <w:rFonts w:hint="eastAsia" w:ascii="宋体" w:hAnsi="宋体" w:cs="宋体"/>
                <w:color w:val="auto"/>
                <w:kern w:val="0"/>
                <w:szCs w:val="21"/>
                <w:highlight w:val="none"/>
              </w:rPr>
              <w:t>人民币柒仟元整（¥7000.00元）。</w:t>
            </w:r>
          </w:p>
          <w:p w14:paraId="643AB1F1">
            <w:pPr>
              <w:snapToGrid w:val="0"/>
              <w:spacing w:line="360" w:lineRule="auto"/>
              <w:rPr>
                <w:rFonts w:ascii="宋体" w:hAnsi="宋体"/>
                <w:b/>
                <w:bCs/>
                <w:color w:val="auto"/>
                <w:szCs w:val="21"/>
                <w:highlight w:val="none"/>
              </w:rPr>
            </w:pPr>
            <w:r>
              <w:rPr>
                <w:rFonts w:hint="eastAsia" w:ascii="宋体" w:hAnsi="宋体" w:cs="宋体"/>
                <w:color w:val="auto"/>
                <w:kern w:val="0"/>
                <w:szCs w:val="21"/>
                <w:highlight w:val="none"/>
              </w:rPr>
              <w:t>投标保证金的交纳方式：</w:t>
            </w:r>
            <w:r>
              <w:rPr>
                <w:rFonts w:hint="eastAsia" w:ascii="宋体" w:hAnsi="宋体" w:cs="宋体"/>
                <w:color w:val="auto"/>
                <w:szCs w:val="21"/>
                <w:highlight w:val="none"/>
              </w:rPr>
              <w:t>支票、汇票、本票、银行转账或者金融机构、担保机构出具的保函（含电子保函）</w:t>
            </w:r>
            <w:r>
              <w:rPr>
                <w:rFonts w:hint="eastAsia" w:ascii="宋体" w:hAnsi="宋体" w:cs="宋体"/>
                <w:color w:val="auto"/>
                <w:kern w:val="0"/>
                <w:szCs w:val="21"/>
                <w:highlight w:val="none"/>
              </w:rPr>
              <w:t>，禁止采用现钞方式。采用银行转账方式的，在投标截止时间前交至指定账户并且到账【开户名称：广西正海招标有限公司，开户银行：广西北部湾银行南宁市兴宁支行，银行账号：800105504300012，行号：313611014014】；采用支票、汇票、本票</w:t>
            </w:r>
            <w:r>
              <w:rPr>
                <w:rFonts w:hint="eastAsia" w:ascii="宋体" w:hAnsi="宋体" w:cs="宋体"/>
                <w:color w:val="auto"/>
                <w:szCs w:val="21"/>
                <w:highlight w:val="none"/>
              </w:rPr>
              <w:t>或者金融机构、担保机构出具的保函（含电子保函）</w:t>
            </w:r>
            <w:r>
              <w:rPr>
                <w:rFonts w:hint="eastAsia" w:ascii="宋体" w:hAnsi="宋体" w:cs="宋体"/>
                <w:color w:val="auto"/>
                <w:kern w:val="0"/>
                <w:szCs w:val="21"/>
                <w:highlight w:val="none"/>
              </w:rPr>
              <w:t>，在投标截止时间前，投标人必须递交单独密封的支票、汇票、本票</w:t>
            </w:r>
            <w:r>
              <w:rPr>
                <w:rFonts w:hint="eastAsia" w:ascii="宋体" w:hAnsi="宋体" w:cs="宋体"/>
                <w:color w:val="auto"/>
                <w:szCs w:val="21"/>
                <w:highlight w:val="none"/>
              </w:rPr>
              <w:t>或者金融机构、担保机构出具的保函（含电子保函）</w:t>
            </w:r>
            <w:r>
              <w:rPr>
                <w:rFonts w:hint="eastAsia" w:ascii="宋体" w:hAnsi="宋体" w:cs="宋体"/>
                <w:color w:val="auto"/>
                <w:kern w:val="0"/>
                <w:szCs w:val="21"/>
                <w:highlight w:val="none"/>
              </w:rPr>
              <w:t>原件。否则视为无效投标保证金。</w:t>
            </w:r>
            <w:r>
              <w:rPr>
                <w:rFonts w:hint="eastAsia" w:ascii="宋体" w:hAnsi="宋体" w:cs="宋体"/>
                <w:b/>
                <w:bCs/>
                <w:color w:val="auto"/>
                <w:kern w:val="0"/>
                <w:szCs w:val="21"/>
                <w:highlight w:val="none"/>
              </w:rPr>
              <w:t>注：投标保证金转账时请备注“项目编号+标项”等字样。</w:t>
            </w:r>
          </w:p>
          <w:p w14:paraId="3AC966EF">
            <w:pPr>
              <w:snapToGrid w:val="0"/>
              <w:spacing w:line="360" w:lineRule="auto"/>
              <w:rPr>
                <w:rFonts w:ascii="宋体" w:hAnsi="宋体"/>
                <w:b/>
                <w:bCs/>
                <w:color w:val="auto"/>
                <w:szCs w:val="21"/>
                <w:highlight w:val="none"/>
              </w:rPr>
            </w:pPr>
            <w:r>
              <w:rPr>
                <w:rFonts w:hint="eastAsia" w:ascii="宋体" w:hAnsi="宋体"/>
                <w:b/>
                <w:bCs/>
                <w:color w:val="auto"/>
                <w:szCs w:val="21"/>
                <w:highlight w:val="none"/>
              </w:rPr>
              <w:t>相关要求：</w:t>
            </w:r>
          </w:p>
          <w:p w14:paraId="5B7EA661">
            <w:pPr>
              <w:pStyle w:val="20"/>
              <w:spacing w:line="360" w:lineRule="auto"/>
              <w:rPr>
                <w:rFonts w:ascii="宋体" w:hAnsi="宋体"/>
                <w:color w:val="auto"/>
                <w:szCs w:val="21"/>
                <w:highlight w:val="none"/>
              </w:rPr>
            </w:pPr>
            <w:r>
              <w:rPr>
                <w:rFonts w:hint="eastAsia" w:ascii="宋体" w:hAnsi="宋体"/>
                <w:color w:val="auto"/>
                <w:szCs w:val="21"/>
                <w:highlight w:val="none"/>
              </w:rPr>
              <w:t>1.投标保证金采用银行转账交纳方式的，在投标截止时间前交至指定账户并且到账，投标人应将银行转账底单的复印件作为投标保证金提交凭证，</w:t>
            </w:r>
            <w:r>
              <w:rPr>
                <w:rFonts w:ascii="宋体" w:hAnsi="宋体"/>
                <w:color w:val="auto"/>
                <w:szCs w:val="21"/>
                <w:highlight w:val="none"/>
              </w:rPr>
              <w:t>放置于</w:t>
            </w:r>
            <w:r>
              <w:rPr>
                <w:rFonts w:hint="eastAsia" w:ascii="宋体" w:hAnsi="宋体"/>
                <w:color w:val="auto"/>
                <w:szCs w:val="21"/>
                <w:highlight w:val="none"/>
              </w:rPr>
              <w:t>商务文件</w:t>
            </w:r>
            <w:r>
              <w:rPr>
                <w:rFonts w:ascii="宋体" w:hAnsi="宋体"/>
                <w:color w:val="auto"/>
                <w:szCs w:val="21"/>
                <w:highlight w:val="none"/>
              </w:rPr>
              <w:t>中</w:t>
            </w:r>
            <w:r>
              <w:rPr>
                <w:rFonts w:hint="eastAsia" w:ascii="宋体" w:hAnsi="宋体"/>
                <w:color w:val="auto"/>
                <w:szCs w:val="21"/>
                <w:highlight w:val="none"/>
              </w:rPr>
              <w:t>，</w:t>
            </w:r>
            <w:r>
              <w:rPr>
                <w:rFonts w:hint="eastAsia" w:ascii="宋体" w:hAnsi="宋体"/>
                <w:b/>
                <w:color w:val="auto"/>
                <w:szCs w:val="21"/>
                <w:highlight w:val="none"/>
              </w:rPr>
              <w:t>否则投标无效</w:t>
            </w:r>
            <w:r>
              <w:rPr>
                <w:rFonts w:hint="eastAsia" w:ascii="宋体" w:hAnsi="宋体"/>
                <w:color w:val="auto"/>
                <w:szCs w:val="21"/>
                <w:highlight w:val="none"/>
              </w:rPr>
              <w:t>。</w:t>
            </w:r>
          </w:p>
          <w:p w14:paraId="24C1C2FD">
            <w:pPr>
              <w:pStyle w:val="20"/>
              <w:spacing w:line="360" w:lineRule="auto"/>
              <w:rPr>
                <w:rFonts w:ascii="宋体" w:hAnsi="宋体"/>
                <w:color w:val="auto"/>
                <w:szCs w:val="21"/>
                <w:highlight w:val="none"/>
              </w:rPr>
            </w:pPr>
            <w:r>
              <w:rPr>
                <w:rFonts w:hint="eastAsia" w:ascii="宋体" w:hAnsi="宋体"/>
                <w:color w:val="auto"/>
                <w:szCs w:val="21"/>
                <w:highlight w:val="none"/>
              </w:rPr>
              <w:t>2.投标保证金采用支票、汇票、本票或者</w:t>
            </w:r>
            <w:r>
              <w:rPr>
                <w:rFonts w:hint="eastAsia" w:ascii="宋体" w:hAnsi="宋体" w:cs="宋体"/>
                <w:color w:val="auto"/>
                <w:szCs w:val="21"/>
                <w:highlight w:val="none"/>
              </w:rPr>
              <w:t>金融机构、担保机构出具</w:t>
            </w:r>
            <w:r>
              <w:rPr>
                <w:rFonts w:hint="eastAsia" w:ascii="宋体" w:hAnsi="宋体"/>
                <w:color w:val="auto"/>
                <w:szCs w:val="21"/>
                <w:highlight w:val="none"/>
              </w:rPr>
              <w:t>的保函（含电子保函）交纳方式的，投标人应在投标截止时间前采用现场或邮寄方式（现场提交地址：</w:t>
            </w:r>
            <w:r>
              <w:rPr>
                <w:rFonts w:hint="eastAsia" w:ascii="宋体" w:hAnsi="宋体"/>
                <w:color w:val="auto"/>
                <w:szCs w:val="21"/>
                <w:highlight w:val="none"/>
                <w:u w:val="single"/>
              </w:rPr>
              <w:t>广西正海招标有限公司（广西南宁市青秀区茅桥路2号习艺基地A栋1号电梯3楼）</w:t>
            </w:r>
            <w:r>
              <w:rPr>
                <w:rFonts w:hint="eastAsia" w:ascii="宋体" w:hAnsi="宋体"/>
                <w:color w:val="auto"/>
                <w:szCs w:val="21"/>
                <w:highlight w:val="none"/>
              </w:rPr>
              <w:t>；邮寄地址：</w:t>
            </w:r>
            <w:r>
              <w:rPr>
                <w:rFonts w:hint="eastAsia" w:ascii="宋体" w:hAnsi="宋体"/>
                <w:color w:val="auto"/>
                <w:szCs w:val="21"/>
                <w:highlight w:val="none"/>
                <w:u w:val="single"/>
              </w:rPr>
              <w:t>广西南宁市青秀区茅桥路2号习艺基地A栋1号电梯3楼</w:t>
            </w:r>
            <w:r>
              <w:rPr>
                <w:rFonts w:hint="eastAsia" w:ascii="宋体" w:hAnsi="宋体"/>
                <w:color w:val="auto"/>
                <w:szCs w:val="21"/>
                <w:highlight w:val="none"/>
              </w:rPr>
              <w:t>，收件人：</w:t>
            </w:r>
            <w:r>
              <w:rPr>
                <w:rFonts w:hint="eastAsia" w:ascii="宋体" w:hAnsi="宋体"/>
                <w:color w:val="auto"/>
                <w:szCs w:val="21"/>
                <w:highlight w:val="none"/>
                <w:u w:val="single"/>
                <w:lang w:eastAsia="zh-CN"/>
              </w:rPr>
              <w:t>覃工</w:t>
            </w:r>
            <w:r>
              <w:rPr>
                <w:rFonts w:hint="eastAsia" w:ascii="宋体" w:hAnsi="宋体"/>
                <w:color w:val="auto"/>
                <w:szCs w:val="21"/>
                <w:highlight w:val="none"/>
              </w:rPr>
              <w:t>，联系方式：</w:t>
            </w:r>
            <w:r>
              <w:rPr>
                <w:rFonts w:hint="eastAsia" w:ascii="宋体" w:hAnsi="宋体"/>
                <w:color w:val="auto"/>
                <w:szCs w:val="21"/>
                <w:highlight w:val="none"/>
                <w:u w:val="single"/>
              </w:rPr>
              <w:t>0771-2865989</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w:t>
            </w:r>
            <w:r>
              <w:rPr>
                <w:rFonts w:hint="eastAsia" w:ascii="宋体" w:hAnsi="宋体" w:cs="宋体"/>
                <w:color w:val="auto"/>
                <w:szCs w:val="21"/>
                <w:highlight w:val="none"/>
              </w:rPr>
              <w:t>金融机构、担保机构出具</w:t>
            </w:r>
            <w:r>
              <w:rPr>
                <w:rFonts w:hint="eastAsia" w:ascii="宋体" w:hAnsi="宋体"/>
                <w:color w:val="auto"/>
                <w:szCs w:val="21"/>
                <w:highlight w:val="none"/>
              </w:rPr>
              <w:t>的保函（含电子保函）原件提交给采购人或者采购代理机构，由采购人或者采购代理机构向投标人出具回执（邮寄方式的除外），并妥善保管。</w:t>
            </w:r>
          </w:p>
          <w:p w14:paraId="38621F08">
            <w:pPr>
              <w:snapToGrid w:val="0"/>
              <w:spacing w:line="360" w:lineRule="auto"/>
              <w:rPr>
                <w:rFonts w:ascii="宋体" w:hAnsi="宋体"/>
                <w:b/>
                <w:color w:val="auto"/>
                <w:szCs w:val="21"/>
                <w:highlight w:val="none"/>
              </w:rPr>
            </w:pPr>
            <w:r>
              <w:rPr>
                <w:rFonts w:hint="eastAsia" w:ascii="宋体" w:hAnsi="宋体"/>
                <w:b/>
                <w:color w:val="auto"/>
                <w:szCs w:val="21"/>
                <w:highlight w:val="none"/>
              </w:rPr>
              <w:t xml:space="preserve">备注： </w:t>
            </w:r>
          </w:p>
          <w:p w14:paraId="274D3573">
            <w:pPr>
              <w:snapToGrid w:val="0"/>
              <w:spacing w:line="360" w:lineRule="auto"/>
              <w:rPr>
                <w:rFonts w:ascii="宋体" w:hAnsi="宋体"/>
                <w:b/>
                <w:color w:val="auto"/>
                <w:szCs w:val="21"/>
                <w:highlight w:val="none"/>
              </w:rPr>
            </w:pPr>
            <w:r>
              <w:rPr>
                <w:rFonts w:hint="eastAsia" w:ascii="宋体" w:hAnsi="宋体"/>
                <w:b/>
                <w:color w:val="auto"/>
                <w:szCs w:val="21"/>
                <w:highlight w:val="none"/>
              </w:rPr>
              <w:t>1.投标保证金在投标截止时间后提交的，或者不按规定交纳方式交纳的，或者未足额交纳的（包含保函额度不足的），视为无效投标保证金。</w:t>
            </w:r>
          </w:p>
          <w:p w14:paraId="58083173">
            <w:pPr>
              <w:snapToGrid w:val="0"/>
              <w:spacing w:line="360" w:lineRule="auto"/>
              <w:rPr>
                <w:rFonts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4D5DFD37">
            <w:pPr>
              <w:snapToGrid w:val="0"/>
              <w:spacing w:line="360" w:lineRule="auto"/>
              <w:rPr>
                <w:rFonts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29C80B29">
            <w:pPr>
              <w:snapToGrid w:val="0"/>
              <w:spacing w:line="360" w:lineRule="auto"/>
              <w:rPr>
                <w:rFonts w:ascii="宋体" w:hAnsi="宋体"/>
                <w:b/>
                <w:color w:val="auto"/>
                <w:szCs w:val="21"/>
                <w:highlight w:val="none"/>
              </w:rPr>
            </w:pPr>
            <w:r>
              <w:rPr>
                <w:rFonts w:hint="eastAsia" w:ascii="宋体" w:hAnsi="宋体"/>
                <w:b/>
                <w:color w:val="auto"/>
                <w:szCs w:val="21"/>
                <w:highlight w:val="none"/>
              </w:rPr>
              <w:t>4.保函（含电子包含）有效期低于投标有效期的，视为无效投标保证金。</w:t>
            </w:r>
          </w:p>
          <w:p w14:paraId="7A60F81C">
            <w:pPr>
              <w:snapToGrid w:val="0"/>
              <w:spacing w:line="360" w:lineRule="auto"/>
              <w:rPr>
                <w:rFonts w:ascii="宋体" w:hAnsi="宋体"/>
                <w:color w:val="auto"/>
                <w:szCs w:val="21"/>
                <w:highlight w:val="none"/>
              </w:rPr>
            </w:pPr>
            <w:r>
              <w:rPr>
                <w:rFonts w:hint="eastAsia" w:ascii="宋体" w:hAnsi="宋体"/>
                <w:b/>
                <w:color w:val="auto"/>
                <w:szCs w:val="21"/>
                <w:highlight w:val="none"/>
              </w:rPr>
              <w:t>5.采用银行、保险机构出具保函（含电子保函）的，必须为无条件保函，否则视为无效投标保证金。</w:t>
            </w:r>
          </w:p>
        </w:tc>
      </w:tr>
      <w:tr w14:paraId="50E20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33F28BC2">
            <w:pPr>
              <w:spacing w:line="360" w:lineRule="auto"/>
              <w:jc w:val="center"/>
              <w:rPr>
                <w:rFonts w:ascii="宋体" w:hAnsi="宋体"/>
                <w:color w:val="auto"/>
                <w:szCs w:val="21"/>
                <w:highlight w:val="none"/>
              </w:rPr>
            </w:pPr>
            <w:bookmarkStart w:id="71" w:name="_19.2"/>
            <w:bookmarkEnd w:id="71"/>
            <w:r>
              <w:rPr>
                <w:rFonts w:hint="eastAsia" w:ascii="宋体" w:hAnsi="宋体"/>
                <w:color w:val="auto"/>
                <w:szCs w:val="21"/>
                <w:highlight w:val="none"/>
              </w:rPr>
              <w:t>20</w:t>
            </w:r>
          </w:p>
        </w:tc>
        <w:tc>
          <w:tcPr>
            <w:tcW w:w="8853" w:type="dxa"/>
            <w:tcBorders>
              <w:top w:val="single" w:color="auto" w:sz="4" w:space="0"/>
              <w:left w:val="single" w:color="auto" w:sz="4" w:space="0"/>
              <w:bottom w:val="single" w:color="auto" w:sz="4" w:space="0"/>
              <w:right w:val="single" w:color="auto" w:sz="4" w:space="0"/>
            </w:tcBorders>
            <w:vAlign w:val="center"/>
          </w:tcPr>
          <w:p w14:paraId="7AE87102">
            <w:pPr>
              <w:autoSpaceDE w:val="0"/>
              <w:autoSpaceDN w:val="0"/>
              <w:snapToGrid w:val="0"/>
              <w:spacing w:line="360" w:lineRule="auto"/>
              <w:textAlignment w:val="bottom"/>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本项目不接受电子备份投标文件；</w:t>
            </w:r>
          </w:p>
          <w:p w14:paraId="42444A45">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sym w:font="Wingdings 2" w:char="00A3"/>
            </w:r>
            <w:r>
              <w:rPr>
                <w:rFonts w:hint="eastAsia" w:ascii="宋体" w:hAnsi="宋体"/>
                <w:color w:val="auto"/>
                <w:szCs w:val="21"/>
                <w:highlight w:val="none"/>
              </w:rPr>
              <w:t>本项目接受电子备份投标文件。</w:t>
            </w:r>
          </w:p>
        </w:tc>
      </w:tr>
      <w:tr w14:paraId="68370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0AFF2B56">
            <w:pPr>
              <w:spacing w:line="360" w:lineRule="auto"/>
              <w:jc w:val="center"/>
              <w:rPr>
                <w:rFonts w:ascii="宋体" w:hAnsi="宋体"/>
                <w:color w:val="auto"/>
                <w:szCs w:val="21"/>
                <w:highlight w:val="none"/>
              </w:rPr>
            </w:pPr>
            <w:bookmarkStart w:id="72" w:name="_21.1"/>
            <w:bookmarkEnd w:id="72"/>
            <w:r>
              <w:rPr>
                <w:rFonts w:hint="eastAsia" w:ascii="宋体" w:hAnsi="宋体"/>
                <w:color w:val="auto"/>
                <w:szCs w:val="21"/>
                <w:highlight w:val="none"/>
              </w:rPr>
              <w:t>21.1</w:t>
            </w:r>
          </w:p>
        </w:tc>
        <w:tc>
          <w:tcPr>
            <w:tcW w:w="8853" w:type="dxa"/>
            <w:tcBorders>
              <w:top w:val="single" w:color="auto" w:sz="4" w:space="0"/>
              <w:left w:val="single" w:color="auto" w:sz="4" w:space="0"/>
              <w:bottom w:val="single" w:color="auto" w:sz="4" w:space="0"/>
              <w:right w:val="single" w:color="auto" w:sz="4" w:space="0"/>
            </w:tcBorders>
            <w:vAlign w:val="center"/>
          </w:tcPr>
          <w:p w14:paraId="7A2E46A6">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1.投标文件提交截止时间：详见招标公告。</w:t>
            </w:r>
          </w:p>
          <w:p w14:paraId="5C594849">
            <w:pPr>
              <w:snapToGrid w:val="0"/>
              <w:spacing w:line="360" w:lineRule="auto"/>
              <w:rPr>
                <w:rFonts w:ascii="宋体" w:hAnsi="宋体"/>
                <w:color w:val="auto"/>
                <w:szCs w:val="21"/>
                <w:highlight w:val="none"/>
              </w:rPr>
            </w:pPr>
            <w:r>
              <w:rPr>
                <w:rFonts w:hint="eastAsia" w:ascii="宋体" w:hAnsi="宋体"/>
                <w:color w:val="auto"/>
                <w:szCs w:val="21"/>
                <w:highlight w:val="none"/>
              </w:rPr>
              <w:t>2.投标地点：详见招标公告。</w:t>
            </w:r>
          </w:p>
        </w:tc>
      </w:tr>
      <w:tr w14:paraId="56E56A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2312D605">
            <w:pPr>
              <w:spacing w:line="360" w:lineRule="auto"/>
              <w:jc w:val="center"/>
              <w:rPr>
                <w:rFonts w:ascii="宋体" w:hAnsi="宋体"/>
                <w:color w:val="auto"/>
                <w:szCs w:val="21"/>
                <w:highlight w:val="none"/>
              </w:rPr>
            </w:pPr>
            <w:bookmarkStart w:id="73" w:name="_23"/>
            <w:bookmarkEnd w:id="73"/>
            <w:r>
              <w:rPr>
                <w:rFonts w:hint="eastAsia" w:ascii="宋体" w:hAnsi="宋体"/>
                <w:color w:val="auto"/>
                <w:szCs w:val="21"/>
                <w:highlight w:val="none"/>
              </w:rPr>
              <w:t>23</w:t>
            </w:r>
          </w:p>
        </w:tc>
        <w:tc>
          <w:tcPr>
            <w:tcW w:w="8853" w:type="dxa"/>
            <w:tcBorders>
              <w:top w:val="single" w:color="auto" w:sz="4" w:space="0"/>
              <w:left w:val="single" w:color="auto" w:sz="4" w:space="0"/>
              <w:bottom w:val="single" w:color="auto" w:sz="4" w:space="0"/>
              <w:right w:val="single" w:color="auto" w:sz="4" w:space="0"/>
            </w:tcBorders>
            <w:vAlign w:val="center"/>
          </w:tcPr>
          <w:p w14:paraId="24A95350">
            <w:pPr>
              <w:snapToGrid w:val="0"/>
              <w:spacing w:line="360" w:lineRule="auto"/>
              <w:rPr>
                <w:rFonts w:ascii="宋体" w:hAnsi="宋体"/>
                <w:color w:val="auto"/>
                <w:szCs w:val="21"/>
                <w:highlight w:val="none"/>
              </w:rPr>
            </w:pPr>
            <w:r>
              <w:rPr>
                <w:rFonts w:hint="eastAsia" w:ascii="宋体" w:hAnsi="宋体"/>
                <w:color w:val="auto"/>
                <w:szCs w:val="21"/>
                <w:highlight w:val="none"/>
              </w:rPr>
              <w:t>1.开标时间：详见招标公告。</w:t>
            </w:r>
          </w:p>
          <w:p w14:paraId="0EEDE135">
            <w:pPr>
              <w:snapToGrid w:val="0"/>
              <w:spacing w:line="360" w:lineRule="auto"/>
              <w:rPr>
                <w:rFonts w:ascii="宋体" w:hAnsi="宋体"/>
                <w:color w:val="auto"/>
                <w:szCs w:val="21"/>
                <w:highlight w:val="none"/>
              </w:rPr>
            </w:pPr>
            <w:r>
              <w:rPr>
                <w:rFonts w:hint="eastAsia" w:ascii="宋体" w:hAnsi="宋体"/>
                <w:color w:val="auto"/>
                <w:szCs w:val="21"/>
                <w:highlight w:val="none"/>
              </w:rPr>
              <w:t>2.开标地点：详见招标公告。</w:t>
            </w:r>
          </w:p>
        </w:tc>
      </w:tr>
      <w:tr w14:paraId="7F865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3A25061F">
            <w:pPr>
              <w:spacing w:line="360" w:lineRule="auto"/>
              <w:jc w:val="center"/>
              <w:rPr>
                <w:rFonts w:ascii="宋体" w:hAnsi="宋体"/>
                <w:color w:val="auto"/>
                <w:szCs w:val="21"/>
                <w:highlight w:val="none"/>
              </w:rPr>
            </w:pPr>
            <w:r>
              <w:rPr>
                <w:rFonts w:hint="eastAsia" w:ascii="宋体" w:hAnsi="宋体"/>
                <w:color w:val="auto"/>
                <w:szCs w:val="21"/>
                <w:highlight w:val="none"/>
              </w:rPr>
              <w:t>24.3（1）</w:t>
            </w:r>
          </w:p>
        </w:tc>
        <w:tc>
          <w:tcPr>
            <w:tcW w:w="8853" w:type="dxa"/>
            <w:tcBorders>
              <w:top w:val="single" w:color="auto" w:sz="4" w:space="0"/>
              <w:left w:val="single" w:color="auto" w:sz="4" w:space="0"/>
              <w:bottom w:val="single" w:color="auto" w:sz="4" w:space="0"/>
              <w:right w:val="single" w:color="auto" w:sz="4" w:space="0"/>
            </w:tcBorders>
            <w:vAlign w:val="center"/>
          </w:tcPr>
          <w:p w14:paraId="3968AB74">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电子投标文件解密时间：</w:t>
            </w:r>
            <w:r>
              <w:rPr>
                <w:rFonts w:hint="eastAsia" w:ascii="宋体" w:hAnsi="宋体"/>
                <w:color w:val="auto"/>
                <w:szCs w:val="21"/>
                <w:highlight w:val="none"/>
                <w:u w:val="single"/>
              </w:rPr>
              <w:t>30</w:t>
            </w:r>
            <w:r>
              <w:rPr>
                <w:rFonts w:hint="eastAsia" w:ascii="宋体" w:hAnsi="宋体"/>
                <w:color w:val="auto"/>
                <w:szCs w:val="21"/>
                <w:highlight w:val="none"/>
              </w:rPr>
              <w:t>分钟</w:t>
            </w:r>
          </w:p>
        </w:tc>
      </w:tr>
      <w:tr w14:paraId="2ADF74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5F298EB1">
            <w:pPr>
              <w:spacing w:line="360" w:lineRule="auto"/>
              <w:jc w:val="center"/>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p>
        </w:tc>
        <w:tc>
          <w:tcPr>
            <w:tcW w:w="8853" w:type="dxa"/>
            <w:tcBorders>
              <w:top w:val="single" w:color="auto" w:sz="4" w:space="0"/>
              <w:left w:val="single" w:color="auto" w:sz="4" w:space="0"/>
              <w:bottom w:val="single" w:color="auto" w:sz="4" w:space="0"/>
              <w:right w:val="single" w:color="auto" w:sz="4" w:space="0"/>
            </w:tcBorders>
            <w:vAlign w:val="center"/>
          </w:tcPr>
          <w:p w14:paraId="585408B9">
            <w:pPr>
              <w:snapToGrid w:val="0"/>
              <w:spacing w:line="360" w:lineRule="auto"/>
              <w:rPr>
                <w:rFonts w:ascii="宋体" w:hAnsi="宋体"/>
                <w:color w:val="auto"/>
                <w:szCs w:val="21"/>
                <w:highlight w:val="none"/>
              </w:rPr>
            </w:pPr>
            <w:r>
              <w:rPr>
                <w:rFonts w:hint="eastAsia" w:ascii="宋体" w:hAnsi="宋体"/>
                <w:color w:val="auto"/>
                <w:szCs w:val="21"/>
                <w:highlight w:val="none"/>
              </w:rPr>
              <w:t>宣布的内容：投标人名称、投标价格。</w:t>
            </w:r>
            <w:r>
              <w:rPr>
                <w:rFonts w:ascii="宋体" w:hAnsi="宋体"/>
                <w:color w:val="auto"/>
                <w:szCs w:val="21"/>
                <w:highlight w:val="none"/>
              </w:rPr>
              <w:t xml:space="preserve"> </w:t>
            </w:r>
          </w:p>
        </w:tc>
      </w:tr>
      <w:tr w14:paraId="5B098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598BF806">
            <w:pPr>
              <w:spacing w:line="360" w:lineRule="auto"/>
              <w:jc w:val="center"/>
              <w:rPr>
                <w:rFonts w:ascii="宋体" w:hAnsi="宋体"/>
                <w:color w:val="auto"/>
                <w:szCs w:val="21"/>
                <w:highlight w:val="none"/>
              </w:rPr>
            </w:pPr>
            <w:bookmarkStart w:id="74" w:name="_25.3"/>
            <w:bookmarkEnd w:id="74"/>
            <w:r>
              <w:rPr>
                <w:rFonts w:hint="eastAsia" w:ascii="宋体" w:hAnsi="宋体"/>
                <w:color w:val="auto"/>
                <w:szCs w:val="21"/>
                <w:highlight w:val="none"/>
              </w:rPr>
              <w:t>25.3（</w:t>
            </w:r>
            <w:r>
              <w:rPr>
                <w:rFonts w:ascii="宋体" w:hAnsi="宋体"/>
                <w:color w:val="auto"/>
                <w:szCs w:val="21"/>
                <w:highlight w:val="none"/>
              </w:rPr>
              <w:t>2</w:t>
            </w:r>
            <w:r>
              <w:rPr>
                <w:rFonts w:hint="eastAsia" w:ascii="宋体" w:hAnsi="宋体"/>
                <w:color w:val="auto"/>
                <w:szCs w:val="21"/>
                <w:highlight w:val="none"/>
              </w:rPr>
              <w:t>）</w:t>
            </w:r>
          </w:p>
        </w:tc>
        <w:tc>
          <w:tcPr>
            <w:tcW w:w="8853" w:type="dxa"/>
            <w:tcBorders>
              <w:top w:val="single" w:color="auto" w:sz="4" w:space="0"/>
              <w:left w:val="single" w:color="auto" w:sz="4" w:space="0"/>
              <w:bottom w:val="single" w:color="auto" w:sz="4" w:space="0"/>
              <w:right w:val="single" w:color="auto" w:sz="4" w:space="0"/>
            </w:tcBorders>
            <w:vAlign w:val="center"/>
          </w:tcPr>
          <w:p w14:paraId="69B6DC96">
            <w:pPr>
              <w:snapToGrid w:val="0"/>
              <w:spacing w:line="360" w:lineRule="auto"/>
              <w:rPr>
                <w:rFonts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2739619A">
            <w:pPr>
              <w:snapToGrid w:val="0"/>
              <w:spacing w:line="360" w:lineRule="auto"/>
              <w:rPr>
                <w:rFonts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5F621521">
            <w:pPr>
              <w:snapToGrid w:val="0"/>
              <w:spacing w:line="360" w:lineRule="auto"/>
              <w:rPr>
                <w:rFonts w:ascii="宋体" w:hAnsi="宋体"/>
                <w:color w:val="auto"/>
                <w:szCs w:val="21"/>
                <w:highlight w:val="none"/>
              </w:rPr>
            </w:pPr>
            <w:r>
              <w:rPr>
                <w:rFonts w:hint="eastAsia" w:ascii="宋体" w:hAnsi="宋体"/>
                <w:color w:val="auto"/>
                <w:szCs w:val="21"/>
                <w:highlight w:val="none"/>
              </w:rPr>
              <w:t>信用查询截止时点：资格审查结束前</w:t>
            </w:r>
          </w:p>
          <w:p w14:paraId="50D17811">
            <w:pPr>
              <w:snapToGrid w:val="0"/>
              <w:spacing w:line="360" w:lineRule="auto"/>
              <w:rPr>
                <w:rFonts w:ascii="宋体" w:hAnsi="宋体"/>
                <w:color w:val="auto"/>
                <w:szCs w:val="21"/>
                <w:highlight w:val="none"/>
              </w:rPr>
            </w:pPr>
            <w:r>
              <w:rPr>
                <w:rFonts w:hint="eastAsia" w:ascii="宋体" w:hAnsi="宋体"/>
                <w:color w:val="auto"/>
                <w:szCs w:val="21"/>
                <w:highlight w:val="none"/>
              </w:rPr>
              <w:t>查询记录和证据留存方式：在查询网站中直接截图查询记录，截图作为在广西政府采购云平台作为附件上传保存。</w:t>
            </w:r>
          </w:p>
          <w:p w14:paraId="0EF7FF4B">
            <w:pPr>
              <w:snapToGrid w:val="0"/>
              <w:spacing w:line="360" w:lineRule="auto"/>
              <w:rPr>
                <w:rFonts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332C9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18BCFA29">
            <w:pPr>
              <w:spacing w:line="360" w:lineRule="auto"/>
              <w:jc w:val="center"/>
              <w:rPr>
                <w:rFonts w:ascii="宋体" w:hAnsi="宋体"/>
                <w:color w:val="auto"/>
                <w:szCs w:val="21"/>
                <w:highlight w:val="none"/>
              </w:rPr>
            </w:pPr>
            <w:bookmarkStart w:id="75" w:name="_26"/>
            <w:bookmarkEnd w:id="75"/>
            <w:r>
              <w:rPr>
                <w:rFonts w:hint="eastAsia" w:ascii="宋体" w:hAnsi="宋体"/>
                <w:color w:val="auto"/>
                <w:szCs w:val="21"/>
                <w:highlight w:val="none"/>
              </w:rPr>
              <w:t>26</w:t>
            </w:r>
            <w:r>
              <w:rPr>
                <w:rFonts w:ascii="宋体" w:hAnsi="宋体"/>
                <w:color w:val="auto"/>
                <w:szCs w:val="21"/>
                <w:highlight w:val="none"/>
              </w:rPr>
              <w:t>.1</w:t>
            </w:r>
          </w:p>
        </w:tc>
        <w:tc>
          <w:tcPr>
            <w:tcW w:w="8853" w:type="dxa"/>
            <w:tcBorders>
              <w:top w:val="single" w:color="auto" w:sz="4" w:space="0"/>
              <w:left w:val="single" w:color="auto" w:sz="4" w:space="0"/>
              <w:bottom w:val="single" w:color="auto" w:sz="4" w:space="0"/>
              <w:right w:val="single" w:color="auto" w:sz="4" w:space="0"/>
            </w:tcBorders>
            <w:vAlign w:val="center"/>
          </w:tcPr>
          <w:p w14:paraId="24D5A521">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rPr>
              <w:t>5</w:t>
            </w:r>
            <w:r>
              <w:rPr>
                <w:rFonts w:hint="eastAsia" w:ascii="宋体" w:hAnsi="宋体"/>
                <w:color w:val="auto"/>
                <w:szCs w:val="21"/>
                <w:highlight w:val="none"/>
              </w:rPr>
              <w:t>人或以上单数。</w:t>
            </w:r>
          </w:p>
        </w:tc>
      </w:tr>
      <w:tr w14:paraId="6ECF3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50FF801E">
            <w:pPr>
              <w:spacing w:line="360" w:lineRule="auto"/>
              <w:jc w:val="center"/>
              <w:rPr>
                <w:rFonts w:ascii="宋体" w:hAnsi="宋体"/>
                <w:color w:val="auto"/>
                <w:szCs w:val="21"/>
                <w:highlight w:val="none"/>
              </w:rPr>
            </w:pPr>
            <w:bookmarkStart w:id="76" w:name="_28.3"/>
            <w:bookmarkEnd w:id="76"/>
            <w:r>
              <w:rPr>
                <w:rFonts w:ascii="宋体" w:hAnsi="宋体"/>
                <w:color w:val="auto"/>
                <w:szCs w:val="21"/>
                <w:highlight w:val="none"/>
              </w:rPr>
              <w:t>29.1</w:t>
            </w:r>
          </w:p>
        </w:tc>
        <w:tc>
          <w:tcPr>
            <w:tcW w:w="8853" w:type="dxa"/>
            <w:tcBorders>
              <w:top w:val="single" w:color="auto" w:sz="4" w:space="0"/>
              <w:left w:val="single" w:color="auto" w:sz="4" w:space="0"/>
              <w:bottom w:val="single" w:color="auto" w:sz="4" w:space="0"/>
              <w:right w:val="single" w:color="auto" w:sz="4" w:space="0"/>
            </w:tcBorders>
            <w:vAlign w:val="center"/>
          </w:tcPr>
          <w:p w14:paraId="74E2D942">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评标方法：</w:t>
            </w:r>
          </w:p>
          <w:p w14:paraId="3DB5BB6D">
            <w:pPr>
              <w:autoSpaceDE w:val="0"/>
              <w:autoSpaceDN w:val="0"/>
              <w:snapToGrid w:val="0"/>
              <w:spacing w:line="360" w:lineRule="auto"/>
              <w:textAlignment w:val="bottom"/>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综合评分法</w:t>
            </w:r>
          </w:p>
          <w:p w14:paraId="7FE42793">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□最低评标价法</w:t>
            </w:r>
          </w:p>
        </w:tc>
      </w:tr>
      <w:tr w14:paraId="5908AF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1D87997A">
            <w:pPr>
              <w:spacing w:line="360" w:lineRule="auto"/>
              <w:jc w:val="center"/>
              <w:rPr>
                <w:rFonts w:ascii="宋体" w:hAnsi="宋体"/>
                <w:color w:val="auto"/>
                <w:szCs w:val="21"/>
                <w:highlight w:val="none"/>
              </w:rPr>
            </w:pPr>
            <w:bookmarkStart w:id="77" w:name="_29.2.2（2）"/>
            <w:bookmarkEnd w:id="77"/>
            <w:r>
              <w:rPr>
                <w:rFonts w:hint="eastAsia" w:ascii="宋体" w:hAnsi="宋体"/>
                <w:color w:val="auto"/>
                <w:szCs w:val="21"/>
                <w:highlight w:val="none"/>
              </w:rPr>
              <w:t>2</w:t>
            </w:r>
            <w:r>
              <w:rPr>
                <w:rFonts w:ascii="宋体" w:hAnsi="宋体"/>
                <w:color w:val="auto"/>
                <w:szCs w:val="21"/>
                <w:highlight w:val="none"/>
              </w:rPr>
              <w:t>9.2</w:t>
            </w:r>
          </w:p>
        </w:tc>
        <w:tc>
          <w:tcPr>
            <w:tcW w:w="8853" w:type="dxa"/>
            <w:tcBorders>
              <w:top w:val="single" w:color="auto" w:sz="4" w:space="0"/>
              <w:left w:val="single" w:color="auto" w:sz="4" w:space="0"/>
              <w:right w:val="single" w:color="auto" w:sz="4" w:space="0"/>
            </w:tcBorders>
            <w:vAlign w:val="center"/>
          </w:tcPr>
          <w:p w14:paraId="76178C99">
            <w:pPr>
              <w:snapToGrid w:val="0"/>
              <w:spacing w:line="360" w:lineRule="auto"/>
              <w:rPr>
                <w:rFonts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0</w:t>
            </w:r>
            <w:r>
              <w:rPr>
                <w:rFonts w:hint="eastAsia" w:ascii="宋体" w:hAnsi="宋体"/>
                <w:color w:val="auto"/>
                <w:szCs w:val="21"/>
                <w:highlight w:val="none"/>
              </w:rPr>
              <w:t>项</w:t>
            </w:r>
            <w:r>
              <w:rPr>
                <w:rFonts w:hint="eastAsia" w:ascii="宋体" w:hAnsi="宋体" w:cs="宋体"/>
                <w:color w:val="auto"/>
                <w:szCs w:val="21"/>
                <w:highlight w:val="none"/>
              </w:rPr>
              <w:t>（负偏离达到1项及以上则投标无效）</w:t>
            </w:r>
            <w:r>
              <w:rPr>
                <w:rFonts w:hint="eastAsia" w:ascii="宋体" w:hAnsi="宋体"/>
                <w:color w:val="auto"/>
                <w:szCs w:val="21"/>
                <w:highlight w:val="none"/>
              </w:rPr>
              <w:t>。</w:t>
            </w:r>
          </w:p>
          <w:p w14:paraId="0079BB0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技术评审中允许负偏离的项目数为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项。（负偏离达到1项及以上则投标无效）。</w:t>
            </w:r>
          </w:p>
        </w:tc>
      </w:tr>
      <w:tr w14:paraId="7F88A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3D3AA3F9">
            <w:pPr>
              <w:spacing w:line="360" w:lineRule="auto"/>
              <w:jc w:val="cente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9.3</w:t>
            </w:r>
          </w:p>
        </w:tc>
        <w:tc>
          <w:tcPr>
            <w:tcW w:w="8853" w:type="dxa"/>
            <w:tcBorders>
              <w:top w:val="single" w:color="auto" w:sz="4" w:space="0"/>
              <w:left w:val="single" w:color="auto" w:sz="4" w:space="0"/>
              <w:right w:val="single" w:color="auto" w:sz="4" w:space="0"/>
            </w:tcBorders>
            <w:vAlign w:val="center"/>
          </w:tcPr>
          <w:p w14:paraId="0DB15BD4">
            <w:pPr>
              <w:snapToGrid w:val="0"/>
              <w:spacing w:line="360" w:lineRule="auto"/>
              <w:rPr>
                <w:rFonts w:ascii="宋体" w:hAnsi="宋体"/>
                <w:color w:val="auto"/>
                <w:szCs w:val="21"/>
                <w:highlight w:val="none"/>
              </w:rPr>
            </w:pPr>
            <w:r>
              <w:rPr>
                <w:rFonts w:ascii="宋体" w:hAnsi="宋体"/>
                <w:color w:val="auto"/>
                <w:szCs w:val="21"/>
                <w:highlight w:val="none"/>
              </w:rPr>
              <w:t>中标候选人推荐数量</w:t>
            </w:r>
            <w:r>
              <w:rPr>
                <w:rFonts w:hint="eastAsia" w:ascii="宋体" w:hAnsi="宋体"/>
                <w:color w:val="auto"/>
                <w:szCs w:val="21"/>
                <w:highlight w:val="none"/>
              </w:rPr>
              <w:t>：</w:t>
            </w:r>
          </w:p>
          <w:p w14:paraId="681C9BB8">
            <w:pPr>
              <w:snapToGrid w:val="0"/>
              <w:spacing w:line="360" w:lineRule="auto"/>
              <w:rPr>
                <w:rFonts w:ascii="宋体" w:hAnsi="宋体"/>
                <w:color w:val="auto"/>
                <w:szCs w:val="21"/>
                <w:highlight w:val="none"/>
              </w:rPr>
            </w:pPr>
            <w:r>
              <w:rPr>
                <w:rFonts w:ascii="Segoe UI Symbol" w:hAnsi="Segoe UI Symbol" w:cs="Segoe UI Symbol"/>
                <w:color w:val="auto"/>
                <w:szCs w:val="21"/>
                <w:highlight w:val="none"/>
              </w:rPr>
              <w:t>☑</w:t>
            </w:r>
            <w:r>
              <w:rPr>
                <w:rFonts w:hint="eastAsia" w:ascii="Segoe UI Symbol" w:hAnsi="Segoe UI Symbol" w:cs="Segoe UI Symbol"/>
                <w:color w:val="auto"/>
                <w:szCs w:val="21"/>
                <w:highlight w:val="none"/>
                <w:u w:val="single"/>
              </w:rPr>
              <w:t xml:space="preserve"> </w:t>
            </w:r>
            <w:r>
              <w:rPr>
                <w:rFonts w:hint="eastAsia" w:ascii="宋体" w:hAnsi="宋体"/>
                <w:color w:val="auto"/>
                <w:szCs w:val="21"/>
                <w:highlight w:val="none"/>
                <w:u w:val="single"/>
              </w:rPr>
              <w:t>3</w:t>
            </w:r>
            <w:r>
              <w:rPr>
                <w:rFonts w:ascii="宋体" w:hAnsi="宋体"/>
                <w:color w:val="auto"/>
                <w:szCs w:val="21"/>
                <w:highlight w:val="none"/>
              </w:rPr>
              <w:t>名</w:t>
            </w:r>
          </w:p>
          <w:p w14:paraId="2C8EDB87">
            <w:pPr>
              <w:snapToGrid w:val="0"/>
              <w:spacing w:line="360" w:lineRule="auto"/>
              <w:rPr>
                <w:rFonts w:ascii="宋体" w:hAnsi="宋体" w:cs="宋体"/>
                <w:color w:val="auto"/>
                <w:szCs w:val="21"/>
                <w:highlight w:val="none"/>
                <w:u w:val="single"/>
              </w:rPr>
            </w:pPr>
            <w:r>
              <w:rPr>
                <w:rFonts w:hint="eastAsia" w:ascii="宋体" w:hAnsi="宋体"/>
                <w:color w:val="auto"/>
                <w:szCs w:val="21"/>
                <w:highlight w:val="none"/>
              </w:rPr>
              <w:t>根据总得分由高到低排列次序，取前三名推荐为中标候选人。</w:t>
            </w:r>
          </w:p>
        </w:tc>
      </w:tr>
      <w:tr w14:paraId="50382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37ECE7CF">
            <w:pPr>
              <w:spacing w:line="360" w:lineRule="auto"/>
              <w:jc w:val="center"/>
              <w:rPr>
                <w:rFonts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853" w:type="dxa"/>
            <w:tcBorders>
              <w:top w:val="single" w:color="auto" w:sz="4" w:space="0"/>
              <w:left w:val="single" w:color="auto" w:sz="4" w:space="0"/>
              <w:bottom w:val="single" w:color="auto" w:sz="4" w:space="0"/>
              <w:right w:val="single" w:color="auto" w:sz="4" w:space="0"/>
            </w:tcBorders>
            <w:vAlign w:val="center"/>
          </w:tcPr>
          <w:p w14:paraId="1685C459">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w:t>
            </w:r>
          </w:p>
          <w:p w14:paraId="24CA3D23">
            <w:pPr>
              <w:autoSpaceDE w:val="0"/>
              <w:autoSpaceDN w:val="0"/>
              <w:snapToGrid w:val="0"/>
              <w:spacing w:line="360" w:lineRule="auto"/>
              <w:textAlignment w:val="bottom"/>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依次按投标报价低的优先、政策分得分高的优先、技术评分高的优先、商务评分高的优先、保修期长优先、</w:t>
            </w:r>
            <w:r>
              <w:rPr>
                <w:color w:val="auto"/>
                <w:highlight w:val="none"/>
              </w:rPr>
              <w:t>服务方案优的优先</w:t>
            </w:r>
            <w:r>
              <w:rPr>
                <w:rFonts w:hint="eastAsia" w:ascii="宋体" w:hAnsi="宋体"/>
                <w:color w:val="auto"/>
                <w:szCs w:val="21"/>
                <w:highlight w:val="none"/>
              </w:rPr>
              <w:t>、故障响应时间短优先的顺序确定；</w:t>
            </w:r>
          </w:p>
          <w:p w14:paraId="7D982108">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□随机抽取；</w:t>
            </w:r>
          </w:p>
        </w:tc>
      </w:tr>
      <w:tr w14:paraId="6676CE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165856D2">
            <w:pPr>
              <w:spacing w:line="360" w:lineRule="auto"/>
              <w:jc w:val="center"/>
              <w:rPr>
                <w:rFonts w:ascii="宋体" w:hAnsi="宋体"/>
                <w:color w:val="auto"/>
                <w:szCs w:val="21"/>
                <w:highlight w:val="none"/>
              </w:rPr>
            </w:pPr>
            <w:bookmarkStart w:id="78" w:name="_39.1"/>
            <w:bookmarkEnd w:id="78"/>
            <w:r>
              <w:rPr>
                <w:rFonts w:hint="eastAsia" w:ascii="宋体" w:hAnsi="宋体"/>
                <w:color w:val="auto"/>
                <w:szCs w:val="21"/>
                <w:highlight w:val="none"/>
              </w:rPr>
              <w:t>35</w:t>
            </w:r>
            <w:r>
              <w:rPr>
                <w:rFonts w:ascii="宋体" w:hAnsi="宋体"/>
                <w:color w:val="auto"/>
                <w:szCs w:val="21"/>
                <w:highlight w:val="none"/>
              </w:rPr>
              <w:t>.1</w:t>
            </w:r>
          </w:p>
        </w:tc>
        <w:tc>
          <w:tcPr>
            <w:tcW w:w="8853" w:type="dxa"/>
            <w:tcBorders>
              <w:top w:val="single" w:color="auto" w:sz="4" w:space="0"/>
              <w:left w:val="single" w:color="auto" w:sz="4" w:space="0"/>
              <w:bottom w:val="single" w:color="auto" w:sz="4" w:space="0"/>
              <w:right w:val="single" w:color="auto" w:sz="4" w:space="0"/>
            </w:tcBorders>
            <w:vAlign w:val="center"/>
          </w:tcPr>
          <w:p w14:paraId="56077B5F">
            <w:pPr>
              <w:autoSpaceDE w:val="0"/>
              <w:autoSpaceDN w:val="0"/>
              <w:snapToGrid w:val="0"/>
              <w:spacing w:line="360" w:lineRule="auto"/>
              <w:textAlignment w:val="bottom"/>
              <w:rPr>
                <w:rFonts w:ascii="宋体" w:hAnsi="宋体"/>
                <w:color w:val="auto"/>
                <w:szCs w:val="21"/>
                <w:highlight w:val="none"/>
              </w:rPr>
            </w:pPr>
            <w:r>
              <w:rPr>
                <w:rFonts w:hint="eastAsia" w:ascii="Segoe UI Symbol" w:hAnsi="Segoe UI Symbol" w:cs="Segoe UI Symbol"/>
                <w:color w:val="auto"/>
                <w:szCs w:val="21"/>
                <w:highlight w:val="none"/>
              </w:rPr>
              <w:t>☑</w:t>
            </w:r>
            <w:r>
              <w:rPr>
                <w:rFonts w:hint="eastAsia" w:ascii="宋体" w:hAnsi="宋体"/>
                <w:color w:val="auto"/>
                <w:szCs w:val="21"/>
                <w:highlight w:val="none"/>
              </w:rPr>
              <w:t>本项目不收取履约保证金。</w:t>
            </w:r>
          </w:p>
          <w:p w14:paraId="7814D77B">
            <w:pPr>
              <w:autoSpaceDE w:val="0"/>
              <w:autoSpaceDN w:val="0"/>
              <w:snapToGrid w:val="0"/>
              <w:spacing w:line="360" w:lineRule="auto"/>
              <w:textAlignment w:val="bottom"/>
              <w:rPr>
                <w:rFonts w:ascii="宋体" w:hAnsi="宋体"/>
                <w:color w:val="auto"/>
                <w:szCs w:val="21"/>
                <w:highlight w:val="none"/>
              </w:rPr>
            </w:pPr>
            <w:r>
              <w:rPr>
                <w:rFonts w:hint="eastAsia" w:ascii="Segoe UI Symbol" w:hAnsi="Segoe UI Symbol" w:cs="Segoe UI Symbol"/>
                <w:color w:val="auto"/>
                <w:szCs w:val="21"/>
                <w:highlight w:val="none"/>
              </w:rPr>
              <w:t>□</w:t>
            </w:r>
            <w:r>
              <w:rPr>
                <w:rFonts w:hint="eastAsia" w:ascii="宋体" w:hAnsi="宋体"/>
                <w:color w:val="auto"/>
                <w:szCs w:val="21"/>
                <w:highlight w:val="none"/>
              </w:rPr>
              <w:t>本项目收取履约保证金，具体规定如下：</w:t>
            </w:r>
          </w:p>
          <w:p w14:paraId="529B8012">
            <w:pPr>
              <w:pStyle w:val="48"/>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1.履约保证金：中标金额的2%（若中标人被认定为中小企业的，履约保证金数额将按中标金额的2%收取）。</w:t>
            </w:r>
          </w:p>
          <w:p w14:paraId="328D0C14">
            <w:pPr>
              <w:pStyle w:val="48"/>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2.履约保证金递交方式：支票、汇票、本票、银行转账或者金融机构、担保机构出具的保函（含电子保函）等非现金形式。</w:t>
            </w:r>
          </w:p>
          <w:p w14:paraId="6815376D">
            <w:pPr>
              <w:pStyle w:val="48"/>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3.履约保证金递交时间：签订合同前由中标人转入采购人指定账户。</w:t>
            </w:r>
          </w:p>
          <w:p w14:paraId="10FC3A79">
            <w:pPr>
              <w:pStyle w:val="48"/>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4.履约保证金退还：验收合格后一年无质量问题，中标人提供《政府采购项目履约保证金退付意见书》及《政府采购项目合同验收报告》，向采购人提出书面申请退还，采购人在收到申请后五个工作日内以银行转账方式无息退还。</w:t>
            </w:r>
          </w:p>
          <w:p w14:paraId="375C00A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备注：</w:t>
            </w:r>
          </w:p>
          <w:p w14:paraId="5F931369">
            <w:pPr>
              <w:spacing w:line="360" w:lineRule="auto"/>
              <w:contextualSpacing/>
              <w:rPr>
                <w:rFonts w:ascii="宋体" w:hAnsi="宋体" w:cs="宋体"/>
                <w:b/>
                <w:color w:val="auto"/>
                <w:szCs w:val="21"/>
                <w:highlight w:val="none"/>
              </w:rPr>
            </w:pPr>
            <w:r>
              <w:rPr>
                <w:rFonts w:hint="eastAsia" w:ascii="宋体" w:hAnsi="宋体" w:cs="宋体"/>
                <w:b/>
                <w:color w:val="auto"/>
                <w:szCs w:val="21"/>
                <w:highlight w:val="none"/>
              </w:rPr>
              <w:t>1.</w:t>
            </w:r>
            <w:bookmarkStart w:id="79" w:name="_Hlk54170335"/>
            <w:r>
              <w:rPr>
                <w:rFonts w:hint="eastAsia" w:ascii="宋体" w:hAnsi="宋体" w:cs="宋体"/>
                <w:b/>
                <w:color w:val="auto"/>
                <w:szCs w:val="21"/>
                <w:highlight w:val="none"/>
              </w:rPr>
              <w:t>根据《广西壮族自治区财政厅关于持续优化政府采购营商环境推动高质量发展的通知》（桂财采〔2024〕55号）规定，采购人在采购文件中要求提交履约保证金的，履约保证金数额不得超过政府采购合同金额的5%；政府采购要加大对中小企业发展的扶持力度，对中小企业收取的履约保证金数额不得超过政府采购合同金额的2%。</w:t>
            </w:r>
            <w:bookmarkEnd w:id="79"/>
          </w:p>
          <w:p w14:paraId="285C9B2E">
            <w:pPr>
              <w:spacing w:line="360" w:lineRule="auto"/>
              <w:jc w:val="left"/>
              <w:rPr>
                <w:rFonts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03BA0D1B">
            <w:pPr>
              <w:spacing w:line="360" w:lineRule="auto"/>
              <w:jc w:val="left"/>
              <w:rPr>
                <w:rFonts w:ascii="宋体" w:hAnsi="宋体"/>
                <w:b/>
                <w:color w:val="auto"/>
                <w:szCs w:val="21"/>
                <w:highlight w:val="none"/>
              </w:rPr>
            </w:pPr>
            <w:r>
              <w:rPr>
                <w:rFonts w:hint="eastAsia" w:ascii="宋体" w:hAnsi="宋体"/>
                <w:b/>
                <w:color w:val="auto"/>
                <w:szCs w:val="21"/>
                <w:highlight w:val="none"/>
              </w:rPr>
              <w:t>3</w:t>
            </w:r>
            <w:r>
              <w:rPr>
                <w:rFonts w:ascii="宋体" w:hAnsi="宋体"/>
                <w:b/>
                <w:color w:val="auto"/>
                <w:szCs w:val="21"/>
                <w:highlight w:val="none"/>
              </w:rPr>
              <w:t>.采用银行、保险机构出具的保函的，必须为无条件保函，否则不予签订合同。</w:t>
            </w:r>
          </w:p>
          <w:p w14:paraId="13956CAC">
            <w:pPr>
              <w:spacing w:line="360" w:lineRule="auto"/>
              <w:jc w:val="left"/>
              <w:rPr>
                <w:rFonts w:ascii="宋体" w:hAnsi="宋体" w:cs="宋体"/>
                <w:color w:val="auto"/>
                <w:kern w:val="0"/>
                <w:szCs w:val="21"/>
                <w:highlight w:val="none"/>
              </w:rPr>
            </w:pPr>
            <w:r>
              <w:rPr>
                <w:rFonts w:hint="eastAsia" w:ascii="宋体" w:hAnsi="宋体"/>
                <w:b/>
                <w:color w:val="auto"/>
                <w:szCs w:val="21"/>
                <w:highlight w:val="none"/>
              </w:rPr>
              <w:t>4</w:t>
            </w:r>
            <w:r>
              <w:rPr>
                <w:rFonts w:ascii="宋体" w:hAnsi="宋体"/>
                <w:b/>
                <w:color w:val="auto"/>
                <w:szCs w:val="21"/>
                <w:highlight w:val="none"/>
              </w:rPr>
              <w:t>.</w:t>
            </w:r>
            <w:r>
              <w:rPr>
                <w:rFonts w:hint="eastAsia" w:ascii="宋体" w:hAnsi="宋体"/>
                <w:b/>
                <w:color w:val="auto"/>
                <w:szCs w:val="21"/>
                <w:highlight w:val="none"/>
              </w:rPr>
              <w:t>投标人为联合体的，由联合体其中一方按规定提交的履约保证金，视为有效履约保证金。</w:t>
            </w:r>
          </w:p>
        </w:tc>
      </w:tr>
      <w:tr w14:paraId="19CA2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76D2C622">
            <w:pPr>
              <w:spacing w:line="360" w:lineRule="auto"/>
              <w:jc w:val="center"/>
              <w:rPr>
                <w:rFonts w:ascii="宋体" w:hAnsi="宋体"/>
                <w:color w:val="auto"/>
                <w:szCs w:val="21"/>
                <w:highlight w:val="none"/>
              </w:rPr>
            </w:pPr>
            <w:bookmarkStart w:id="80" w:name="_40.1"/>
            <w:bookmarkEnd w:id="80"/>
            <w:r>
              <w:rPr>
                <w:rFonts w:hint="eastAsia" w:ascii="宋体" w:hAnsi="宋体"/>
                <w:color w:val="auto"/>
                <w:szCs w:val="21"/>
                <w:highlight w:val="none"/>
              </w:rPr>
              <w:t>36.1</w:t>
            </w:r>
          </w:p>
        </w:tc>
        <w:tc>
          <w:tcPr>
            <w:tcW w:w="8853" w:type="dxa"/>
            <w:tcBorders>
              <w:top w:val="single" w:color="auto" w:sz="4" w:space="0"/>
              <w:left w:val="single" w:color="auto" w:sz="4" w:space="0"/>
              <w:bottom w:val="single" w:color="auto" w:sz="4" w:space="0"/>
              <w:right w:val="single" w:color="auto" w:sz="4" w:space="0"/>
            </w:tcBorders>
            <w:vAlign w:val="center"/>
          </w:tcPr>
          <w:p w14:paraId="0F080D9A">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42FE7B2D">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37C849F6">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法定代表人（或负责人）负责签订合同的，须携带法定代表人（或负责人）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4C6F2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7BA02F83">
            <w:pPr>
              <w:spacing w:line="360" w:lineRule="auto"/>
              <w:jc w:val="cente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853" w:type="dxa"/>
            <w:tcBorders>
              <w:top w:val="single" w:color="auto" w:sz="4" w:space="0"/>
              <w:left w:val="single" w:color="auto" w:sz="4" w:space="0"/>
              <w:bottom w:val="single" w:color="auto" w:sz="4" w:space="0"/>
              <w:right w:val="single" w:color="auto" w:sz="4" w:space="0"/>
            </w:tcBorders>
            <w:vAlign w:val="center"/>
          </w:tcPr>
          <w:p w14:paraId="4B4BB70A">
            <w:pPr>
              <w:snapToGrid w:val="0"/>
              <w:spacing w:line="360" w:lineRule="auto"/>
              <w:rPr>
                <w:rFonts w:ascii="宋体" w:hAnsi="宋体"/>
                <w:color w:val="auto"/>
                <w:szCs w:val="21"/>
                <w:highlight w:val="none"/>
              </w:rPr>
            </w:pPr>
            <w:r>
              <w:rPr>
                <w:rFonts w:hint="eastAsia" w:ascii="宋体" w:hAnsi="宋体"/>
                <w:color w:val="auto"/>
                <w:szCs w:val="21"/>
                <w:highlight w:val="none"/>
              </w:rPr>
              <w:t>接收质疑函方式：以书面形式</w:t>
            </w:r>
          </w:p>
          <w:p w14:paraId="32B9DD9D">
            <w:pPr>
              <w:snapToGrid w:val="0"/>
              <w:spacing w:line="360" w:lineRule="auto"/>
              <w:rPr>
                <w:rFonts w:ascii="宋体" w:hAnsi="宋体"/>
                <w:color w:val="auto"/>
                <w:szCs w:val="21"/>
                <w:highlight w:val="none"/>
              </w:rPr>
            </w:pPr>
            <w:r>
              <w:rPr>
                <w:rFonts w:hint="eastAsia" w:ascii="宋体" w:hAnsi="宋体"/>
                <w:color w:val="auto"/>
                <w:szCs w:val="21"/>
                <w:highlight w:val="none"/>
              </w:rPr>
              <w:t>质疑联系部门及联系方式：广西正海招标有限公司，</w:t>
            </w:r>
            <w:r>
              <w:rPr>
                <w:rFonts w:ascii="宋体" w:hAnsi="宋体"/>
                <w:color w:val="auto"/>
                <w:szCs w:val="21"/>
                <w:highlight w:val="none"/>
              </w:rPr>
              <w:t>联系电话</w:t>
            </w:r>
            <w:r>
              <w:rPr>
                <w:rFonts w:hint="eastAsia" w:ascii="宋体" w:hAnsi="宋体"/>
                <w:color w:val="auto"/>
                <w:szCs w:val="21"/>
                <w:highlight w:val="none"/>
              </w:rPr>
              <w:t>：0771-2865989，</w:t>
            </w: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rPr>
              <w:t>广西正海招标有限公司（广西南宁市青秀区茅桥路2号习艺基地A栋1号电梯3楼）</w:t>
            </w:r>
          </w:p>
          <w:p w14:paraId="1F77A7DA">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现场提交质疑办理业务时间：每天8时00分到12时00分，15时00分到18时00分，业务时间以外、双休日和法定节假日不办理业务。</w:t>
            </w:r>
          </w:p>
        </w:tc>
      </w:tr>
      <w:tr w14:paraId="0C859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5FE622B3">
            <w:pPr>
              <w:spacing w:line="360" w:lineRule="auto"/>
              <w:jc w:val="center"/>
              <w:rPr>
                <w:rFonts w:ascii="宋体" w:hAnsi="宋体"/>
                <w:color w:val="auto"/>
                <w:szCs w:val="21"/>
                <w:highlight w:val="none"/>
              </w:rPr>
            </w:pPr>
            <w:bookmarkStart w:id="81" w:name="_42"/>
            <w:bookmarkEnd w:id="81"/>
            <w:bookmarkStart w:id="82" w:name="_41"/>
            <w:bookmarkEnd w:id="82"/>
            <w:bookmarkStart w:id="83" w:name="_Hlt17709148"/>
            <w:r>
              <w:rPr>
                <w:rFonts w:hint="eastAsia" w:ascii="宋体" w:hAnsi="宋体"/>
                <w:color w:val="auto"/>
                <w:szCs w:val="21"/>
                <w:highlight w:val="none"/>
              </w:rPr>
              <w:t>3</w:t>
            </w:r>
            <w:bookmarkEnd w:id="83"/>
            <w:r>
              <w:rPr>
                <w:rFonts w:ascii="宋体" w:hAnsi="宋体"/>
                <w:color w:val="auto"/>
                <w:szCs w:val="21"/>
                <w:highlight w:val="none"/>
              </w:rPr>
              <w:t>9.1</w:t>
            </w:r>
          </w:p>
        </w:tc>
        <w:tc>
          <w:tcPr>
            <w:tcW w:w="8853" w:type="dxa"/>
            <w:tcBorders>
              <w:top w:val="single" w:color="auto" w:sz="4" w:space="0"/>
              <w:left w:val="single" w:color="auto" w:sz="4" w:space="0"/>
              <w:bottom w:val="single" w:color="auto" w:sz="4" w:space="0"/>
              <w:right w:val="single" w:color="auto" w:sz="4" w:space="0"/>
            </w:tcBorders>
            <w:vAlign w:val="center"/>
          </w:tcPr>
          <w:p w14:paraId="1ACE1781">
            <w:pPr>
              <w:pStyle w:val="27"/>
              <w:snapToGrid w:val="0"/>
              <w:spacing w:line="360" w:lineRule="auto"/>
              <w:rPr>
                <w:rFonts w:hAnsi="宋体" w:cs="宋体"/>
                <w:color w:val="auto"/>
                <w:sz w:val="21"/>
                <w:highlight w:val="none"/>
              </w:rPr>
            </w:pPr>
            <w:r>
              <w:rPr>
                <w:rFonts w:hint="eastAsia" w:hAnsi="宋体" w:cs="宋体"/>
                <w:color w:val="auto"/>
                <w:sz w:val="21"/>
                <w:highlight w:val="none"/>
              </w:rPr>
              <w:t>1.采购代理费支付方式：</w:t>
            </w:r>
          </w:p>
          <w:p w14:paraId="6F68679B">
            <w:pPr>
              <w:pStyle w:val="27"/>
              <w:snapToGrid w:val="0"/>
              <w:spacing w:line="360" w:lineRule="auto"/>
              <w:rPr>
                <w:rFonts w:hAnsi="宋体" w:cs="宋体"/>
                <w:color w:val="auto"/>
                <w:sz w:val="21"/>
                <w:highlight w:val="none"/>
              </w:rPr>
            </w:pPr>
            <w:r>
              <w:rPr>
                <w:rFonts w:hint="eastAsia" w:hAnsi="宋体" w:cs="宋体"/>
                <w:color w:val="auto"/>
                <w:sz w:val="21"/>
                <w:highlight w:val="none"/>
              </w:rPr>
              <w:sym w:font="Wingdings 2" w:char="0052"/>
            </w:r>
            <w:r>
              <w:rPr>
                <w:rFonts w:hint="eastAsia" w:hAnsi="宋体" w:cs="宋体"/>
                <w:color w:val="auto"/>
                <w:sz w:val="21"/>
                <w:highlight w:val="none"/>
              </w:rPr>
              <w:t>本项目代理服务费由</w:t>
            </w:r>
            <w:r>
              <w:rPr>
                <w:rFonts w:hint="eastAsia" w:hAnsi="宋体" w:cs="宋体"/>
                <w:color w:val="auto"/>
                <w:sz w:val="21"/>
                <w:highlight w:val="none"/>
                <w:u w:val="single"/>
              </w:rPr>
              <w:t>中标人</w:t>
            </w:r>
            <w:r>
              <w:rPr>
                <w:rFonts w:hint="eastAsia" w:hAnsi="宋体" w:cs="宋体"/>
                <w:color w:val="auto"/>
                <w:sz w:val="21"/>
                <w:highlight w:val="none"/>
              </w:rPr>
              <w:t>在领取中标通知书前，一次性向采购代理机构支付。</w:t>
            </w:r>
          </w:p>
          <w:p w14:paraId="135BAAE9">
            <w:pPr>
              <w:pStyle w:val="27"/>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3EB85B07">
            <w:pPr>
              <w:pStyle w:val="27"/>
              <w:snapToGrid w:val="0"/>
              <w:spacing w:line="360" w:lineRule="auto"/>
              <w:rPr>
                <w:rFonts w:hAnsi="宋体" w:cs="宋体"/>
                <w:color w:val="auto"/>
                <w:sz w:val="21"/>
                <w:highlight w:val="none"/>
              </w:rPr>
            </w:pPr>
            <w:r>
              <w:rPr>
                <w:rFonts w:hint="eastAsia" w:hAnsi="宋体" w:cs="宋体"/>
                <w:color w:val="auto"/>
                <w:sz w:val="21"/>
                <w:highlight w:val="none"/>
              </w:rPr>
              <w:t>2.采购代理费收取标准：</w:t>
            </w:r>
          </w:p>
          <w:p w14:paraId="4188DFBA">
            <w:pPr>
              <w:pStyle w:val="27"/>
              <w:snapToGrid w:val="0"/>
              <w:spacing w:line="360" w:lineRule="auto"/>
              <w:rPr>
                <w:rFonts w:hAnsi="宋体" w:cs="宋体"/>
                <w:color w:val="auto"/>
                <w:sz w:val="21"/>
                <w:highlight w:val="none"/>
              </w:rPr>
            </w:pPr>
            <w:r>
              <w:rPr>
                <w:rFonts w:hint="eastAsia" w:hAnsi="宋体" w:cs="宋体"/>
                <w:color w:val="auto"/>
                <w:sz w:val="21"/>
                <w:highlight w:val="none"/>
              </w:rPr>
              <w:sym w:font="Wingdings 2" w:char="0052"/>
            </w:r>
            <w:r>
              <w:rPr>
                <w:rFonts w:hint="eastAsia" w:hAnsi="宋体" w:cs="宋体"/>
                <w:color w:val="auto"/>
                <w:sz w:val="21"/>
                <w:highlight w:val="none"/>
              </w:rPr>
              <w:t>以分标（</w:t>
            </w:r>
            <w:r>
              <w:rPr>
                <w:rFonts w:hint="eastAsia" w:hAnsi="宋体" w:cs="宋体"/>
                <w:color w:val="auto"/>
                <w:sz w:val="21"/>
                <w:highlight w:val="none"/>
              </w:rPr>
              <w:sym w:font="Wingdings 2" w:char="00A3"/>
            </w:r>
            <w:r>
              <w:rPr>
                <w:rFonts w:hint="eastAsia" w:hAnsi="宋体" w:cs="宋体"/>
                <w:color w:val="auto"/>
                <w:sz w:val="21"/>
                <w:highlight w:val="none"/>
              </w:rPr>
              <w:t xml:space="preserve">中标金额/☑采购预算/□暂定中标金额/□其他 </w:t>
            </w:r>
            <w:r>
              <w:rPr>
                <w:rFonts w:hAnsi="宋体" w:cs="宋体"/>
                <w:color w:val="auto"/>
                <w:sz w:val="21"/>
                <w:highlight w:val="none"/>
              </w:rPr>
              <w:t xml:space="preserve">  </w:t>
            </w:r>
            <w:r>
              <w:rPr>
                <w:rFonts w:hint="eastAsia" w:hAnsi="宋体" w:cs="宋体"/>
                <w:color w:val="auto"/>
                <w:sz w:val="21"/>
                <w:highlight w:val="none"/>
              </w:rPr>
              <w:t>）为计费额，按本须知正文第</w:t>
            </w:r>
            <w:r>
              <w:rPr>
                <w:rFonts w:hAnsi="宋体" w:cs="宋体"/>
                <w:color w:val="auto"/>
                <w:sz w:val="21"/>
                <w:highlight w:val="none"/>
              </w:rPr>
              <w:t>39</w:t>
            </w:r>
            <w:r>
              <w:rPr>
                <w:rFonts w:hint="eastAsia" w:hAnsi="宋体" w:cs="宋体"/>
                <w:color w:val="auto"/>
                <w:sz w:val="21"/>
                <w:highlight w:val="none"/>
              </w:rPr>
              <w:t>.</w:t>
            </w:r>
            <w:r>
              <w:rPr>
                <w:rFonts w:hAnsi="宋体" w:cs="宋体"/>
                <w:color w:val="auto"/>
                <w:sz w:val="21"/>
                <w:highlight w:val="none"/>
              </w:rPr>
              <w:t>2</w:t>
            </w:r>
            <w:r>
              <w:rPr>
                <w:rFonts w:hint="eastAsia" w:hAnsi="宋体" w:cs="宋体"/>
                <w:color w:val="auto"/>
                <w:sz w:val="21"/>
                <w:highlight w:val="none"/>
              </w:rPr>
              <w:t>条规定的收费计算标准（</w:t>
            </w:r>
            <w:r>
              <w:rPr>
                <w:rFonts w:hint="eastAsia" w:hAnsi="宋体" w:cs="宋体"/>
                <w:color w:val="auto"/>
                <w:sz w:val="21"/>
                <w:highlight w:val="none"/>
              </w:rPr>
              <w:sym w:font="Wingdings 2" w:char="0052"/>
            </w:r>
            <w:r>
              <w:rPr>
                <w:rFonts w:hint="eastAsia" w:hAnsi="宋体" w:cs="宋体"/>
                <w:color w:val="auto"/>
                <w:sz w:val="21"/>
                <w:highlight w:val="none"/>
              </w:rPr>
              <w:t>货物招标/</w:t>
            </w:r>
            <w:r>
              <w:rPr>
                <w:rFonts w:hint="eastAsia" w:hAnsi="宋体" w:cs="宋体"/>
                <w:color w:val="auto"/>
                <w:sz w:val="21"/>
                <w:highlight w:val="none"/>
                <w:lang w:eastAsia="zh-CN"/>
              </w:rPr>
              <w:t>□</w:t>
            </w:r>
            <w:r>
              <w:rPr>
                <w:rFonts w:hint="eastAsia" w:hAnsi="宋体" w:cs="宋体"/>
                <w:color w:val="auto"/>
                <w:sz w:val="21"/>
                <w:highlight w:val="none"/>
              </w:rPr>
              <w:t>服务招标/□工程招标）采用差额定率累进法计算出收费基准价格，采购代理收费以（</w:t>
            </w:r>
            <w:r>
              <w:rPr>
                <w:rFonts w:hint="eastAsia" w:hAnsi="宋体" w:cs="宋体"/>
                <w:color w:val="auto"/>
                <w:sz w:val="21"/>
                <w:highlight w:val="none"/>
              </w:rPr>
              <w:sym w:font="Wingdings 2" w:char="0052"/>
            </w:r>
            <w:r>
              <w:rPr>
                <w:rFonts w:hint="eastAsia" w:hAnsi="宋体" w:cs="宋体"/>
                <w:color w:val="auto"/>
                <w:sz w:val="21"/>
                <w:highlight w:val="none"/>
              </w:rPr>
              <w:t>收费基准价格/</w:t>
            </w:r>
            <w:r>
              <w:rPr>
                <w:rFonts w:hint="eastAsia" w:hAnsi="宋体" w:cs="宋体"/>
                <w:color w:val="auto"/>
                <w:sz w:val="21"/>
                <w:highlight w:val="none"/>
              </w:rPr>
              <w:sym w:font="Wingdings 2" w:char="00A3"/>
            </w:r>
            <w:r>
              <w:rPr>
                <w:rFonts w:hint="eastAsia" w:hAnsi="宋体" w:cs="宋体"/>
                <w:color w:val="auto"/>
                <w:sz w:val="21"/>
                <w:highlight w:val="none"/>
              </w:rPr>
              <w:t>收费基准价格下浮  %</w:t>
            </w:r>
            <w:r>
              <w:rPr>
                <w:rFonts w:hAnsi="宋体" w:cs="宋体"/>
                <w:color w:val="auto"/>
                <w:sz w:val="21"/>
                <w:highlight w:val="none"/>
              </w:rPr>
              <w:t>/</w:t>
            </w:r>
            <w:r>
              <w:rPr>
                <w:rFonts w:hint="eastAsia" w:hAnsi="宋体" w:cs="宋体"/>
                <w:color w:val="auto"/>
                <w:sz w:val="21"/>
                <w:highlight w:val="none"/>
              </w:rPr>
              <w:sym w:font="Wingdings 2" w:char="00A3"/>
            </w:r>
            <w:r>
              <w:rPr>
                <w:rFonts w:hint="eastAsia" w:hAnsi="宋体" w:cs="宋体"/>
                <w:color w:val="auto"/>
                <w:sz w:val="21"/>
                <w:highlight w:val="none"/>
              </w:rPr>
              <w:t xml:space="preserve">收费基准价格上浮 </w:t>
            </w:r>
            <w:r>
              <w:rPr>
                <w:rFonts w:hAnsi="宋体" w:cs="宋体"/>
                <w:color w:val="auto"/>
                <w:sz w:val="21"/>
                <w:highlight w:val="none"/>
              </w:rPr>
              <w:t xml:space="preserve">  </w:t>
            </w:r>
            <w:r>
              <w:rPr>
                <w:rFonts w:hint="eastAsia" w:hAnsi="宋体" w:cs="宋体"/>
                <w:color w:val="auto"/>
                <w:sz w:val="21"/>
                <w:highlight w:val="none"/>
              </w:rPr>
              <w:t>%）收取。</w:t>
            </w:r>
          </w:p>
          <w:p w14:paraId="3AFBC7A6">
            <w:pPr>
              <w:pStyle w:val="27"/>
              <w:snapToGrid w:val="0"/>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6827066A">
            <w:pPr>
              <w:pStyle w:val="27"/>
              <w:snapToGrid w:val="0"/>
              <w:spacing w:line="360" w:lineRule="auto"/>
              <w:rPr>
                <w:rFonts w:hAnsi="宋体" w:cs="宋体"/>
                <w:color w:val="auto"/>
                <w:sz w:val="21"/>
                <w:highlight w:val="none"/>
              </w:rPr>
            </w:pPr>
            <w:r>
              <w:rPr>
                <w:rFonts w:hint="eastAsia" w:hAnsi="宋体" w:cs="宋体"/>
                <w:color w:val="auto"/>
                <w:sz w:val="21"/>
                <w:highlight w:val="none"/>
              </w:rPr>
              <w:t>3.账户名称：广西正海招标有限公司</w:t>
            </w:r>
          </w:p>
          <w:p w14:paraId="3C2E0BEA">
            <w:pPr>
              <w:pStyle w:val="27"/>
              <w:snapToGrid w:val="0"/>
              <w:spacing w:line="360" w:lineRule="auto"/>
              <w:rPr>
                <w:rFonts w:hAnsi="宋体" w:cs="宋体"/>
                <w:color w:val="auto"/>
                <w:sz w:val="21"/>
                <w:highlight w:val="none"/>
              </w:rPr>
            </w:pPr>
            <w:r>
              <w:rPr>
                <w:rFonts w:hint="eastAsia" w:hAnsi="宋体" w:cs="宋体"/>
                <w:color w:val="auto"/>
                <w:sz w:val="21"/>
                <w:highlight w:val="none"/>
              </w:rPr>
              <w:t>开户银行：中国光大银行南宁长湖支行</w:t>
            </w:r>
          </w:p>
          <w:p w14:paraId="4D8BF011">
            <w:pPr>
              <w:pStyle w:val="27"/>
              <w:snapToGrid w:val="0"/>
              <w:spacing w:line="360" w:lineRule="auto"/>
              <w:rPr>
                <w:rFonts w:hAnsi="宋体" w:cs="宋体"/>
                <w:color w:val="auto"/>
                <w:sz w:val="21"/>
                <w:highlight w:val="none"/>
              </w:rPr>
            </w:pPr>
            <w:r>
              <w:rPr>
                <w:rFonts w:hint="eastAsia" w:hAnsi="宋体" w:cs="宋体"/>
                <w:color w:val="auto"/>
                <w:sz w:val="21"/>
                <w:highlight w:val="none"/>
              </w:rPr>
              <w:t>银行账号：79080188000035937</w:t>
            </w:r>
          </w:p>
        </w:tc>
      </w:tr>
      <w:tr w14:paraId="606A5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7B0FB22D">
            <w:pPr>
              <w:snapToGrid w:val="0"/>
              <w:spacing w:line="360" w:lineRule="auto"/>
              <w:jc w:val="center"/>
              <w:rPr>
                <w:rFonts w:ascii="宋体" w:hAnsi="宋体"/>
                <w:color w:val="auto"/>
                <w:szCs w:val="21"/>
                <w:highlight w:val="none"/>
              </w:rPr>
            </w:pPr>
            <w:r>
              <w:rPr>
                <w:rFonts w:ascii="宋体" w:hAnsi="宋体"/>
                <w:color w:val="auto"/>
                <w:szCs w:val="21"/>
                <w:highlight w:val="none"/>
              </w:rPr>
              <w:t>40.1</w:t>
            </w:r>
          </w:p>
        </w:tc>
        <w:tc>
          <w:tcPr>
            <w:tcW w:w="8853" w:type="dxa"/>
            <w:tcBorders>
              <w:top w:val="single" w:color="auto" w:sz="4" w:space="0"/>
              <w:left w:val="single" w:color="auto" w:sz="4" w:space="0"/>
              <w:bottom w:val="single" w:color="auto" w:sz="4" w:space="0"/>
              <w:right w:val="single" w:color="auto" w:sz="4" w:space="0"/>
            </w:tcBorders>
            <w:vAlign w:val="center"/>
          </w:tcPr>
          <w:p w14:paraId="243355AC">
            <w:pPr>
              <w:snapToGrid w:val="0"/>
              <w:spacing w:line="360" w:lineRule="auto"/>
              <w:rPr>
                <w:rFonts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54D9C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6B476001">
            <w:pPr>
              <w:snapToGrid w:val="0"/>
              <w:spacing w:line="360" w:lineRule="auto"/>
              <w:jc w:val="center"/>
              <w:rPr>
                <w:rFonts w:ascii="宋体" w:hAnsi="宋体"/>
                <w:color w:val="auto"/>
                <w:szCs w:val="21"/>
                <w:highlight w:val="none"/>
              </w:rPr>
            </w:pPr>
            <w:r>
              <w:rPr>
                <w:rFonts w:ascii="宋体" w:hAnsi="宋体"/>
                <w:color w:val="auto"/>
                <w:szCs w:val="21"/>
                <w:highlight w:val="none"/>
              </w:rPr>
              <w:t>40.2</w:t>
            </w:r>
          </w:p>
        </w:tc>
        <w:tc>
          <w:tcPr>
            <w:tcW w:w="8853" w:type="dxa"/>
            <w:tcBorders>
              <w:top w:val="single" w:color="auto" w:sz="4" w:space="0"/>
              <w:left w:val="single" w:color="auto" w:sz="4" w:space="0"/>
              <w:bottom w:val="single" w:color="auto" w:sz="4" w:space="0"/>
              <w:right w:val="single" w:color="auto" w:sz="4" w:space="0"/>
            </w:tcBorders>
            <w:vAlign w:val="center"/>
          </w:tcPr>
          <w:p w14:paraId="2C3AE526">
            <w:pPr>
              <w:pStyle w:val="27"/>
              <w:snapToGrid w:val="0"/>
              <w:spacing w:line="360" w:lineRule="auto"/>
              <w:rPr>
                <w:rFonts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6A75B41A">
            <w:pPr>
              <w:pStyle w:val="27"/>
              <w:snapToGrid w:val="0"/>
              <w:spacing w:line="360" w:lineRule="auto"/>
              <w:rPr>
                <w:rFonts w:hAnsi="宋体" w:cs="宋体"/>
                <w:bCs/>
                <w:color w:val="auto"/>
                <w:sz w:val="21"/>
                <w:highlight w:val="none"/>
              </w:rPr>
            </w:pPr>
            <w:r>
              <w:rPr>
                <w:rFonts w:hint="eastAsia" w:hAnsi="宋体" w:cs="宋体"/>
                <w:bCs/>
                <w:color w:val="auto"/>
                <w:sz w:val="21"/>
                <w:highlight w:val="none"/>
              </w:rPr>
              <w:t>2.本招标文件所称的“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408B265B">
            <w:pPr>
              <w:pStyle w:val="27"/>
              <w:snapToGrid w:val="0"/>
              <w:spacing w:line="360" w:lineRule="auto"/>
              <w:rPr>
                <w:rFonts w:hAnsi="宋体" w:cs="宋体"/>
                <w:bCs/>
                <w:color w:val="auto"/>
                <w:sz w:val="21"/>
                <w:highlight w:val="none"/>
              </w:rPr>
            </w:pPr>
            <w:r>
              <w:rPr>
                <w:rFonts w:hint="eastAsia" w:hAnsi="宋体" w:cs="宋体"/>
                <w:bCs/>
                <w:color w:val="auto"/>
                <w:sz w:val="21"/>
                <w:highlight w:val="none"/>
              </w:rPr>
              <w:t>3.投标人为其他组织或者自然人时，本招标文件规定的法定代表人（或负责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54B53E4">
            <w:pPr>
              <w:pStyle w:val="27"/>
              <w:snapToGrid w:val="0"/>
              <w:spacing w:line="360" w:lineRule="auto"/>
              <w:rPr>
                <w:rFonts w:hAnsi="宋体" w:cs="宋体"/>
                <w:bCs/>
                <w:color w:val="auto"/>
                <w:sz w:val="21"/>
                <w:highlight w:val="none"/>
              </w:rPr>
            </w:pPr>
            <w:r>
              <w:rPr>
                <w:rFonts w:hint="eastAsia" w:hAnsi="宋体" w:cs="宋体"/>
                <w:bCs/>
                <w:color w:val="auto"/>
                <w:sz w:val="21"/>
                <w:highlight w:val="none"/>
              </w:rPr>
              <w:t>4.本招标文件中描述投标人的“签字”是指投标人的法定代表人（或负责人）或者委托代理人亲自在文件规定签字处亲笔写上个人的名字的行为，私章、签字章、印鉴、影印等其他形式均不能代替亲笔签字。</w:t>
            </w:r>
          </w:p>
          <w:p w14:paraId="25DE1BB6">
            <w:pPr>
              <w:pStyle w:val="27"/>
              <w:snapToGrid w:val="0"/>
              <w:spacing w:line="360" w:lineRule="auto"/>
              <w:rPr>
                <w:rFonts w:hAnsi="宋体"/>
                <w:color w:val="auto"/>
                <w:sz w:val="21"/>
                <w:highlight w:val="none"/>
              </w:rPr>
            </w:pPr>
            <w:r>
              <w:rPr>
                <w:rFonts w:hint="eastAsia" w:hAnsi="宋体" w:cs="宋体"/>
                <w:bCs/>
                <w:color w:val="auto"/>
                <w:sz w:val="21"/>
                <w:highlight w:val="none"/>
              </w:rPr>
              <w:t>5.本招标文件所称的“以上”“以下”“以内”“届满”，包括本数；所称的“不满”“超过”“以外”，不包括本数。</w:t>
            </w:r>
          </w:p>
        </w:tc>
      </w:tr>
      <w:tr w14:paraId="3D549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4280FA6D">
            <w:pPr>
              <w:snapToGrid w:val="0"/>
              <w:spacing w:line="360" w:lineRule="auto"/>
              <w:jc w:val="center"/>
              <w:rPr>
                <w:rFonts w:ascii="宋体" w:hAnsi="宋体"/>
                <w:color w:val="auto"/>
                <w:szCs w:val="21"/>
                <w:highlight w:val="none"/>
              </w:rPr>
            </w:pPr>
          </w:p>
        </w:tc>
        <w:tc>
          <w:tcPr>
            <w:tcW w:w="8853" w:type="dxa"/>
            <w:tcBorders>
              <w:top w:val="single" w:color="auto" w:sz="4" w:space="0"/>
              <w:left w:val="single" w:color="auto" w:sz="4" w:space="0"/>
              <w:bottom w:val="single" w:color="auto" w:sz="4" w:space="0"/>
              <w:right w:val="single" w:color="auto" w:sz="4" w:space="0"/>
            </w:tcBorders>
            <w:vAlign w:val="center"/>
          </w:tcPr>
          <w:p w14:paraId="6913F2C0">
            <w:pPr>
              <w:pStyle w:val="27"/>
              <w:snapToGrid w:val="0"/>
              <w:spacing w:line="360" w:lineRule="auto"/>
              <w:rPr>
                <w:rFonts w:hAnsi="宋体" w:cs="宋体"/>
                <w:bCs/>
                <w:color w:val="auto"/>
                <w:sz w:val="21"/>
                <w:highlight w:val="none"/>
              </w:rPr>
            </w:pPr>
            <w:r>
              <w:rPr>
                <w:rFonts w:hint="eastAsia" w:hAnsi="宋体" w:cs="宋体"/>
                <w:bCs/>
                <w:color w:val="auto"/>
                <w:sz w:val="21"/>
                <w:highlight w:val="none"/>
              </w:rPr>
              <w:t>其它：签订合同后10个工作日内中标人需提供与上传广西政府采购云平台一致的投标文件纸质版给采购人。</w:t>
            </w:r>
          </w:p>
        </w:tc>
      </w:tr>
    </w:tbl>
    <w:p w14:paraId="70404B3D">
      <w:pPr>
        <w:snapToGrid w:val="0"/>
        <w:rPr>
          <w:rFonts w:ascii="宋体" w:hAnsi="宋体"/>
          <w:color w:val="auto"/>
          <w:sz w:val="24"/>
          <w:szCs w:val="20"/>
          <w:highlight w:val="none"/>
        </w:rPr>
      </w:pPr>
    </w:p>
    <w:p w14:paraId="6D935B0B">
      <w:pPr>
        <w:snapToGrid w:val="0"/>
        <w:rPr>
          <w:rFonts w:ascii="宋体" w:hAnsi="宋体"/>
          <w:color w:val="auto"/>
          <w:sz w:val="24"/>
          <w:szCs w:val="20"/>
          <w:highlight w:val="none"/>
        </w:rPr>
      </w:pPr>
    </w:p>
    <w:p w14:paraId="4918A6D0">
      <w:pPr>
        <w:pStyle w:val="7"/>
        <w:keepNext w:val="0"/>
        <w:keepLines w:val="0"/>
        <w:spacing w:line="360" w:lineRule="auto"/>
        <w:jc w:val="center"/>
        <w:rPr>
          <w:rFonts w:ascii="宋体" w:hAnsi="宋体"/>
          <w:color w:val="auto"/>
          <w:highlight w:val="none"/>
        </w:rPr>
      </w:pPr>
      <w:r>
        <w:rPr>
          <w:rFonts w:ascii="宋体" w:hAnsi="宋体"/>
          <w:color w:val="auto"/>
          <w:highlight w:val="none"/>
        </w:rPr>
        <w:br w:type="page"/>
      </w:r>
      <w:r>
        <w:rPr>
          <w:rFonts w:hint="eastAsia" w:ascii="宋体" w:hAnsi="宋体"/>
          <w:color w:val="auto"/>
          <w:highlight w:val="none"/>
        </w:rPr>
        <w:t>投标人须知正文</w:t>
      </w:r>
    </w:p>
    <w:p w14:paraId="51C4501B">
      <w:pPr>
        <w:pStyle w:val="7"/>
        <w:keepNext w:val="0"/>
        <w:keepLines w:val="0"/>
        <w:spacing w:line="360" w:lineRule="auto"/>
        <w:jc w:val="center"/>
        <w:rPr>
          <w:rFonts w:ascii="宋体" w:hAnsi="宋体"/>
          <w:color w:val="auto"/>
          <w:highlight w:val="none"/>
        </w:rPr>
      </w:pPr>
      <w:r>
        <w:rPr>
          <w:rFonts w:hint="eastAsia" w:ascii="宋体" w:hAnsi="宋体"/>
          <w:color w:val="auto"/>
          <w:highlight w:val="none"/>
        </w:rPr>
        <w:t>一、总  则</w:t>
      </w:r>
    </w:p>
    <w:p w14:paraId="7341EDC7">
      <w:pPr>
        <w:pStyle w:val="9"/>
        <w:keepNext w:val="0"/>
        <w:keepLines w:val="0"/>
        <w:spacing w:before="0" w:after="0" w:line="360" w:lineRule="auto"/>
        <w:ind w:left="420" w:leftChars="200"/>
        <w:rPr>
          <w:rFonts w:ascii="宋体" w:hAnsi="宋体"/>
          <w:color w:val="auto"/>
          <w:sz w:val="24"/>
          <w:highlight w:val="none"/>
        </w:rPr>
      </w:pPr>
      <w:bookmarkStart w:id="84" w:name="_Toc254970668"/>
      <w:bookmarkStart w:id="85" w:name="_Toc254970527"/>
      <w:r>
        <w:rPr>
          <w:rFonts w:hint="eastAsia" w:ascii="宋体" w:hAnsi="宋体"/>
          <w:color w:val="auto"/>
          <w:sz w:val="24"/>
          <w:highlight w:val="none"/>
        </w:rPr>
        <w:t>1.适用范围</w:t>
      </w:r>
      <w:bookmarkEnd w:id="84"/>
      <w:bookmarkEnd w:id="85"/>
    </w:p>
    <w:p w14:paraId="434BE08E">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0F28BC4">
      <w:pPr>
        <w:snapToGrid w:val="0"/>
        <w:spacing w:line="360" w:lineRule="auto"/>
        <w:ind w:firstLine="420" w:firstLineChars="200"/>
        <w:jc w:val="left"/>
        <w:rPr>
          <w:rFonts w:ascii="宋体" w:hAnsi="宋体" w:cs="宋体"/>
          <w:color w:val="auto"/>
          <w:spacing w:val="-6"/>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03E8B26D">
      <w:pPr>
        <w:pStyle w:val="9"/>
        <w:keepNext w:val="0"/>
        <w:keepLines w:val="0"/>
        <w:spacing w:before="0" w:after="0" w:line="360" w:lineRule="auto"/>
        <w:ind w:left="420" w:leftChars="200"/>
        <w:rPr>
          <w:rFonts w:ascii="宋体" w:hAnsi="宋体"/>
          <w:color w:val="auto"/>
          <w:sz w:val="24"/>
          <w:highlight w:val="none"/>
        </w:rPr>
      </w:pPr>
      <w:bookmarkStart w:id="86" w:name="_Toc254970669"/>
      <w:bookmarkStart w:id="87" w:name="_Toc254970528"/>
      <w:r>
        <w:rPr>
          <w:rFonts w:hint="eastAsia" w:ascii="宋体" w:hAnsi="宋体"/>
          <w:color w:val="auto"/>
          <w:sz w:val="24"/>
          <w:highlight w:val="none"/>
        </w:rPr>
        <w:t>2.定义</w:t>
      </w:r>
      <w:bookmarkEnd w:id="86"/>
      <w:bookmarkEnd w:id="87"/>
    </w:p>
    <w:p w14:paraId="1111B95F">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700126B5">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7736EC9B">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111FE415">
      <w:pPr>
        <w:pStyle w:val="10"/>
        <w:spacing w:line="360" w:lineRule="auto"/>
        <w:rPr>
          <w:rFonts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0F7DB127">
      <w:pPr>
        <w:pStyle w:val="9"/>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w:t>
      </w:r>
    </w:p>
    <w:p w14:paraId="6401EF7F">
      <w:pPr>
        <w:pStyle w:val="9"/>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是指商品出售以后所提供的各种服务，包含但不限于投标人须承担的备品备件、包装、运输、装卸、保险、平台接入、货到就位以及安装、调试、培训、保修以及其他各种服务。</w:t>
      </w:r>
    </w:p>
    <w:p w14:paraId="394DBC2B">
      <w:pPr>
        <w:pStyle w:val="9"/>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7638A013">
      <w:pPr>
        <w:pStyle w:val="9"/>
        <w:keepNext w:val="0"/>
        <w:keepLines w:val="0"/>
        <w:spacing w:before="0" w:after="0" w:line="360" w:lineRule="auto"/>
        <w:ind w:firstLine="422" w:firstLineChars="200"/>
        <w:rPr>
          <w:rFonts w:ascii="宋体" w:hAnsi="宋体"/>
          <w:bCs/>
          <w:color w:val="auto"/>
          <w:sz w:val="21"/>
          <w:szCs w:val="21"/>
          <w:highlight w:val="none"/>
        </w:rPr>
      </w:pPr>
      <w:r>
        <w:rPr>
          <w:rFonts w:hint="eastAsia" w:ascii="宋体" w:hAnsi="宋体"/>
          <w:bCs/>
          <w:color w:val="auto"/>
          <w:sz w:val="21"/>
          <w:szCs w:val="21"/>
          <w:highlight w:val="none"/>
        </w:rPr>
        <w:t>2.8“实质性要求”是指招标文件中已经指明不满足则投标无效的条款，或者不能负偏离的条款，或者采购需求中带“▲”的条款。</w:t>
      </w:r>
    </w:p>
    <w:p w14:paraId="7561ECAA">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48C12806">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3529482B">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88" w:name="_Toc254970670"/>
      <w:bookmarkStart w:id="89" w:name="_Toc254970529"/>
    </w:p>
    <w:p w14:paraId="0BC2793C">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3.</w:t>
      </w:r>
      <w:bookmarkEnd w:id="88"/>
      <w:bookmarkEnd w:id="89"/>
      <w:r>
        <w:rPr>
          <w:rFonts w:hint="eastAsia" w:ascii="宋体" w:hAnsi="宋体"/>
          <w:color w:val="auto"/>
          <w:sz w:val="24"/>
          <w:highlight w:val="none"/>
        </w:rPr>
        <w:t>投标人的资格要求</w:t>
      </w:r>
    </w:p>
    <w:p w14:paraId="3EB19D95">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投标人的资格要求详见“投标人须知前附表”。</w:t>
      </w:r>
    </w:p>
    <w:p w14:paraId="3EF72C1B">
      <w:pPr>
        <w:pStyle w:val="9"/>
        <w:keepNext w:val="0"/>
        <w:keepLines w:val="0"/>
        <w:spacing w:before="0" w:after="0" w:line="360" w:lineRule="auto"/>
        <w:ind w:left="420" w:leftChars="200"/>
        <w:rPr>
          <w:rFonts w:ascii="宋体" w:hAnsi="宋体"/>
          <w:color w:val="auto"/>
          <w:sz w:val="24"/>
          <w:highlight w:val="none"/>
        </w:rPr>
      </w:pPr>
      <w:bookmarkStart w:id="90" w:name="_Toc254970671"/>
      <w:bookmarkStart w:id="91" w:name="_Toc254970530"/>
      <w:r>
        <w:rPr>
          <w:rFonts w:hint="eastAsia" w:ascii="宋体" w:hAnsi="宋体"/>
          <w:color w:val="auto"/>
          <w:sz w:val="24"/>
          <w:highlight w:val="none"/>
        </w:rPr>
        <w:t>4.投标委托</w:t>
      </w:r>
      <w:bookmarkEnd w:id="90"/>
      <w:bookmarkEnd w:id="91"/>
    </w:p>
    <w:p w14:paraId="2B63CC85">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投标人代表参加投标活动过程中必须携带个人有效身份证件。如投标人代表不是法定代表人（或负责人），须持有授权委托书（按第六章要求格式填写）。</w:t>
      </w:r>
    </w:p>
    <w:p w14:paraId="2EA9D373">
      <w:pPr>
        <w:pStyle w:val="9"/>
        <w:keepNext w:val="0"/>
        <w:keepLines w:val="0"/>
        <w:spacing w:before="0" w:after="0" w:line="360" w:lineRule="auto"/>
        <w:ind w:left="420" w:leftChars="200"/>
        <w:rPr>
          <w:rFonts w:ascii="宋体" w:hAnsi="宋体"/>
          <w:color w:val="auto"/>
          <w:sz w:val="24"/>
          <w:highlight w:val="none"/>
        </w:rPr>
      </w:pPr>
      <w:bookmarkStart w:id="92" w:name="_5.投标费用"/>
      <w:bookmarkEnd w:id="92"/>
      <w:bookmarkStart w:id="93" w:name="_Toc254970672"/>
      <w:bookmarkStart w:id="94" w:name="_Toc254970531"/>
      <w:r>
        <w:rPr>
          <w:rFonts w:hint="eastAsia" w:ascii="宋体" w:hAnsi="宋体"/>
          <w:color w:val="auto"/>
          <w:sz w:val="24"/>
          <w:highlight w:val="none"/>
        </w:rPr>
        <w:t>5.投标费用</w:t>
      </w:r>
      <w:bookmarkEnd w:id="93"/>
      <w:bookmarkEnd w:id="94"/>
    </w:p>
    <w:p w14:paraId="4421A10B">
      <w:pPr>
        <w:snapToGrid w:val="0"/>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592BFAA9">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6.联合体投标</w:t>
      </w:r>
    </w:p>
    <w:p w14:paraId="073C132B">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26B81012">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7E4D45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6.3 </w:t>
      </w:r>
      <w:bookmarkStart w:id="95" w:name="_Hlk65857072"/>
      <w:r>
        <w:rPr>
          <w:rFonts w:hint="eastAsia" w:ascii="宋体" w:hAnsi="宋体" w:cs="宋体"/>
          <w:color w:val="auto"/>
          <w:szCs w:val="21"/>
          <w:highlight w:val="none"/>
        </w:rPr>
        <w:t>根据《政府采购促进中小企业发展管理办法》（财库〔2020〕46号）及《广西壮族自治区财政厅关于贯彻落实政府采购支持中小企业发展政策的通知》（桂财采〔2022〕31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宋体" w:hAnsi="宋体"/>
          <w:bCs/>
          <w:color w:val="auto"/>
          <w:szCs w:val="21"/>
          <w:highlight w:val="none"/>
        </w:rPr>
        <w:t>4%-6%</w:t>
      </w:r>
      <w:r>
        <w:rPr>
          <w:rFonts w:hint="eastAsia" w:ascii="宋体" w:hAnsi="宋体" w:cs="宋体"/>
          <w:color w:val="auto"/>
          <w:szCs w:val="21"/>
          <w:highlight w:val="none"/>
        </w:rPr>
        <w:t>的扣除，用扣除后的价格参加评审，具体详见《评标方法及评标标准》。</w:t>
      </w:r>
      <w:bookmarkEnd w:id="95"/>
    </w:p>
    <w:p w14:paraId="757F6DB4">
      <w:pPr>
        <w:pStyle w:val="9"/>
        <w:keepNext w:val="0"/>
        <w:keepLines w:val="0"/>
        <w:numPr>
          <w:ilvl w:val="4"/>
          <w:numId w:val="0"/>
        </w:numPr>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 xml:space="preserve">7.转包与分包             </w:t>
      </w:r>
    </w:p>
    <w:p w14:paraId="34A09AFC">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1066947C">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A5B11D8">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22C8592C">
      <w:pPr>
        <w:pStyle w:val="9"/>
        <w:keepNext w:val="0"/>
        <w:keepLines w:val="0"/>
        <w:numPr>
          <w:ilvl w:val="4"/>
          <w:numId w:val="0"/>
        </w:numPr>
        <w:spacing w:before="0" w:after="0" w:line="360" w:lineRule="auto"/>
        <w:ind w:left="420" w:leftChars="200"/>
        <w:rPr>
          <w:rFonts w:ascii="宋体" w:hAnsi="宋体"/>
          <w:color w:val="auto"/>
          <w:sz w:val="24"/>
          <w:highlight w:val="none"/>
        </w:rPr>
      </w:pPr>
      <w:bookmarkStart w:id="96" w:name="_Toc254970532"/>
      <w:bookmarkStart w:id="97" w:name="_Toc254970673"/>
      <w:r>
        <w:rPr>
          <w:rFonts w:hint="eastAsia" w:ascii="宋体" w:hAnsi="宋体"/>
          <w:color w:val="auto"/>
          <w:sz w:val="24"/>
          <w:highlight w:val="none"/>
        </w:rPr>
        <w:t>8.特别说明</w:t>
      </w:r>
      <w:bookmarkEnd w:id="96"/>
      <w:bookmarkEnd w:id="97"/>
    </w:p>
    <w:p w14:paraId="7B11AE52">
      <w:pPr>
        <w:pStyle w:val="9"/>
        <w:keepNext w:val="0"/>
        <w:keepLines w:val="0"/>
        <w:spacing w:before="0" w:after="0" w:line="360" w:lineRule="auto"/>
        <w:ind w:firstLine="315" w:firstLineChars="150"/>
        <w:rPr>
          <w:rFonts w:ascii="宋体" w:hAnsi="宋体"/>
          <w:b w:val="0"/>
          <w:color w:val="auto"/>
          <w:sz w:val="21"/>
          <w:szCs w:val="21"/>
          <w:highlight w:val="none"/>
        </w:rPr>
      </w:pPr>
      <w:bookmarkStart w:id="98" w:name="_8.1提供相同品牌产品且通过资格审查、符合性审查的不同投标人参加同一合"/>
      <w:bookmarkEnd w:id="98"/>
      <w:r>
        <w:rPr>
          <w:rFonts w:hint="eastAsia" w:ascii="宋体" w:hAnsi="宋体"/>
          <w:b w:val="0"/>
          <w:color w:val="auto"/>
          <w:sz w:val="21"/>
          <w:szCs w:val="21"/>
          <w:highlight w:val="none"/>
        </w:rPr>
        <w:fldChar w:fldCharType="begin"/>
      </w:r>
      <w:r>
        <w:rPr>
          <w:rFonts w:hint="eastAsia" w:ascii="宋体" w:hAnsi="宋体"/>
          <w:b w:val="0"/>
          <w:color w:val="auto"/>
          <w:sz w:val="21"/>
          <w:szCs w:val="21"/>
          <w:highlight w:val="none"/>
        </w:rPr>
        <w:instrText xml:space="preserve"> HYPERLINK \l "_8.1" </w:instrText>
      </w:r>
      <w:r>
        <w:rPr>
          <w:rFonts w:hint="eastAsia" w:ascii="宋体" w:hAnsi="宋体"/>
          <w:b w:val="0"/>
          <w:color w:val="auto"/>
          <w:sz w:val="21"/>
          <w:szCs w:val="21"/>
          <w:highlight w:val="none"/>
        </w:rPr>
        <w:fldChar w:fldCharType="separate"/>
      </w:r>
      <w:r>
        <w:rPr>
          <w:rFonts w:hint="eastAsia" w:ascii="宋体" w:hAnsi="宋体"/>
          <w:b w:val="0"/>
          <w:color w:val="auto"/>
          <w:sz w:val="21"/>
          <w:szCs w:val="21"/>
          <w:highlight w:val="none"/>
        </w:rPr>
        <w:t>8.1</w:t>
      </w:r>
      <w:r>
        <w:rPr>
          <w:rFonts w:hint="eastAsia" w:ascii="宋体" w:hAnsi="宋体"/>
          <w:b w:val="0"/>
          <w:color w:val="auto"/>
          <w:sz w:val="21"/>
          <w:szCs w:val="21"/>
          <w:highlight w:val="none"/>
        </w:rPr>
        <w:fldChar w:fldCharType="end"/>
      </w:r>
      <w:r>
        <w:rPr>
          <w:rFonts w:hint="eastAsia" w:ascii="宋体" w:hAnsi="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7059689C">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310F2D5F">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2E4C635D">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438CB60F">
      <w:pPr>
        <w:pStyle w:val="9"/>
        <w:keepNext w:val="0"/>
        <w:keepLines w:val="0"/>
        <w:spacing w:before="0" w:after="0" w:line="360" w:lineRule="auto"/>
        <w:ind w:left="420" w:leftChars="200"/>
        <w:rPr>
          <w:rFonts w:ascii="宋体" w:hAnsi="宋体"/>
          <w:color w:val="auto"/>
          <w:sz w:val="24"/>
          <w:highlight w:val="none"/>
        </w:rPr>
      </w:pPr>
      <w:r>
        <w:rPr>
          <w:rFonts w:ascii="宋体" w:hAnsi="宋体"/>
          <w:color w:val="auto"/>
          <w:sz w:val="24"/>
          <w:highlight w:val="none"/>
        </w:rPr>
        <w:t>9.</w:t>
      </w:r>
      <w:r>
        <w:rPr>
          <w:rFonts w:hint="eastAsia" w:ascii="宋体" w:hAnsi="宋体"/>
          <w:color w:val="auto"/>
          <w:sz w:val="24"/>
          <w:highlight w:val="none"/>
        </w:rPr>
        <w:t>回避与串通投标</w:t>
      </w:r>
    </w:p>
    <w:p w14:paraId="08313E09">
      <w:pPr>
        <w:pStyle w:val="9"/>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642597EA">
      <w:pPr>
        <w:pStyle w:val="27"/>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1141D223">
      <w:pPr>
        <w:pStyle w:val="27"/>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2527524C">
      <w:pPr>
        <w:pStyle w:val="27"/>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708CEF52">
      <w:pPr>
        <w:pStyle w:val="27"/>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w:t>
      </w:r>
      <w:r>
        <w:rPr>
          <w:rFonts w:hint="eastAsia" w:hAnsi="宋体"/>
          <w:color w:val="auto"/>
          <w:kern w:val="2"/>
          <w:sz w:val="21"/>
          <w:highlight w:val="none"/>
        </w:rPr>
        <w:t>法定代表人（或负责人）</w:t>
      </w:r>
      <w:r>
        <w:rPr>
          <w:rFonts w:hAnsi="宋体"/>
          <w:color w:val="auto"/>
          <w:kern w:val="2"/>
          <w:sz w:val="21"/>
          <w:highlight w:val="none"/>
        </w:rPr>
        <w:t>或者负责人有夫妻、直系血亲、三代以内旁系血亲或者近姻亲关系；</w:t>
      </w:r>
    </w:p>
    <w:p w14:paraId="69C60217">
      <w:pPr>
        <w:pStyle w:val="27"/>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6C4B1C5F">
      <w:pPr>
        <w:pStyle w:val="27"/>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188C578F">
      <w:pPr>
        <w:pStyle w:val="9"/>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5B07C3EB">
      <w:pPr>
        <w:pStyle w:val="27"/>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53F3E656">
      <w:pPr>
        <w:pStyle w:val="27"/>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4ED85486">
      <w:pPr>
        <w:pStyle w:val="27"/>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5C2F6601">
      <w:pPr>
        <w:pStyle w:val="27"/>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21691F96">
      <w:pPr>
        <w:pStyle w:val="27"/>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（5）不同投标人的投标文件相互混装；</w:t>
      </w:r>
    </w:p>
    <w:p w14:paraId="58ED948F">
      <w:pPr>
        <w:pStyle w:val="27"/>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2D690E56">
      <w:pPr>
        <w:pStyle w:val="9"/>
        <w:keepNext w:val="0"/>
        <w:keepLines w:val="0"/>
        <w:spacing w:before="0" w:after="0" w:line="360" w:lineRule="auto"/>
        <w:ind w:left="420" w:leftChars="200"/>
        <w:rPr>
          <w:rFonts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3257D1A9">
      <w:pPr>
        <w:pStyle w:val="27"/>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6E1300C1">
      <w:pPr>
        <w:pStyle w:val="27"/>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6A10ED70">
      <w:pPr>
        <w:pStyle w:val="27"/>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2671CF4F">
      <w:pPr>
        <w:pStyle w:val="27"/>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772AD992">
      <w:pPr>
        <w:pStyle w:val="27"/>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41E9A801">
      <w:pPr>
        <w:pStyle w:val="27"/>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3BDF12D8">
      <w:pPr>
        <w:pStyle w:val="27"/>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77E2B232">
      <w:pPr>
        <w:pStyle w:val="7"/>
        <w:keepNext w:val="0"/>
        <w:keepLines w:val="0"/>
        <w:jc w:val="center"/>
        <w:rPr>
          <w:rFonts w:ascii="宋体" w:hAnsi="宋体"/>
          <w:color w:val="auto"/>
          <w:highlight w:val="none"/>
        </w:rPr>
      </w:pPr>
      <w:bookmarkStart w:id="99" w:name="_Toc254970534"/>
      <w:bookmarkStart w:id="100" w:name="_Toc254970675"/>
      <w:r>
        <w:rPr>
          <w:rFonts w:hint="eastAsia" w:ascii="宋体" w:hAnsi="宋体"/>
          <w:color w:val="auto"/>
          <w:highlight w:val="none"/>
        </w:rPr>
        <w:t>二、招标文件</w:t>
      </w:r>
      <w:bookmarkEnd w:id="99"/>
      <w:bookmarkEnd w:id="100"/>
    </w:p>
    <w:p w14:paraId="4EDB1E2D">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10.招标文件的组成</w:t>
      </w:r>
    </w:p>
    <w:p w14:paraId="4721817C">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（1）招标公告；</w:t>
      </w:r>
    </w:p>
    <w:p w14:paraId="6B71436B">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 xml:space="preserve">（2）采购需求； </w:t>
      </w:r>
    </w:p>
    <w:p w14:paraId="733443BF">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（3）投标人须知；</w:t>
      </w:r>
    </w:p>
    <w:p w14:paraId="3717FB89">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（4）评标方法及评标标准；</w:t>
      </w:r>
    </w:p>
    <w:p w14:paraId="2E198811">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（5）拟签订的合同文本；</w:t>
      </w:r>
    </w:p>
    <w:p w14:paraId="2485D117">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（6）投标文件格式。</w:t>
      </w:r>
    </w:p>
    <w:p w14:paraId="3CB31BD3">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11.招标文件的澄清、修改 、现场考察和答疑会</w:t>
      </w:r>
    </w:p>
    <w:p w14:paraId="3E3F3788">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A4239FF">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9B79A17">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101"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101"/>
    <w:p w14:paraId="139F55E0">
      <w:pPr>
        <w:pStyle w:val="7"/>
        <w:keepNext w:val="0"/>
        <w:keepLines w:val="0"/>
        <w:jc w:val="center"/>
        <w:rPr>
          <w:rFonts w:ascii="宋体" w:hAnsi="宋体"/>
          <w:color w:val="auto"/>
          <w:highlight w:val="none"/>
        </w:rPr>
      </w:pPr>
      <w:bookmarkStart w:id="102" w:name="_Toc254970676"/>
      <w:bookmarkStart w:id="103" w:name="_Toc254970535"/>
      <w:r>
        <w:rPr>
          <w:rFonts w:hint="eastAsia" w:ascii="宋体" w:hAnsi="宋体"/>
          <w:color w:val="auto"/>
          <w:highlight w:val="none"/>
        </w:rPr>
        <w:t>三、投标文件的编制</w:t>
      </w:r>
      <w:bookmarkEnd w:id="102"/>
      <w:bookmarkEnd w:id="103"/>
    </w:p>
    <w:p w14:paraId="62AE2D0B">
      <w:pPr>
        <w:pStyle w:val="9"/>
        <w:keepNext w:val="0"/>
        <w:keepLines w:val="0"/>
        <w:spacing w:before="0" w:after="0" w:line="360" w:lineRule="auto"/>
        <w:ind w:left="420" w:leftChars="200"/>
        <w:rPr>
          <w:rFonts w:ascii="宋体" w:hAnsi="宋体"/>
          <w:color w:val="auto"/>
          <w:sz w:val="24"/>
          <w:highlight w:val="none"/>
        </w:rPr>
      </w:pPr>
      <w:bookmarkStart w:id="104" w:name="_Toc254970536"/>
      <w:bookmarkStart w:id="105" w:name="_Toc254970677"/>
      <w:r>
        <w:rPr>
          <w:rFonts w:hint="eastAsia" w:ascii="宋体" w:hAnsi="宋体"/>
          <w:color w:val="auto"/>
          <w:sz w:val="24"/>
          <w:highlight w:val="none"/>
        </w:rPr>
        <w:t>12.投标文件的编制原则</w:t>
      </w:r>
    </w:p>
    <w:p w14:paraId="4F02E174">
      <w:pPr>
        <w:snapToGrid w:val="0"/>
        <w:spacing w:line="360" w:lineRule="auto"/>
        <w:ind w:firstLine="420"/>
        <w:jc w:val="left"/>
        <w:rPr>
          <w:rFonts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3C8FEC8B">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13.投标文件的组成</w:t>
      </w:r>
      <w:bookmarkEnd w:id="104"/>
      <w:bookmarkEnd w:id="105"/>
    </w:p>
    <w:p w14:paraId="78725C52">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投标文件由报价文件、资格证明文件、商务文件、技术文件四部分组成。</w:t>
      </w:r>
    </w:p>
    <w:p w14:paraId="564CAF19">
      <w:pPr>
        <w:pStyle w:val="9"/>
        <w:keepNext w:val="0"/>
        <w:keepLines w:val="0"/>
        <w:spacing w:before="0" w:after="0" w:line="360" w:lineRule="auto"/>
        <w:ind w:left="420" w:leftChars="200"/>
        <w:rPr>
          <w:rFonts w:ascii="宋体" w:hAnsi="宋体"/>
          <w:b w:val="0"/>
          <w:color w:val="auto"/>
          <w:sz w:val="21"/>
          <w:szCs w:val="21"/>
          <w:highlight w:val="none"/>
        </w:rPr>
      </w:pPr>
      <w:bookmarkStart w:id="106" w:name="_13.1报价文件:_具体材料见“投标人须知前附表”。"/>
      <w:bookmarkEnd w:id="106"/>
      <w:r>
        <w:rPr>
          <w:rFonts w:hint="eastAsia" w:ascii="宋体" w:hAnsi="宋体"/>
          <w:b w:val="0"/>
          <w:color w:val="auto"/>
          <w:sz w:val="21"/>
          <w:szCs w:val="21"/>
          <w:highlight w:val="none"/>
        </w:rPr>
        <w:t>（1）报价文件：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56E62EEB">
      <w:pPr>
        <w:pStyle w:val="9"/>
        <w:keepNext w:val="0"/>
        <w:keepLines w:val="0"/>
        <w:spacing w:before="0" w:after="0" w:line="360" w:lineRule="auto"/>
        <w:ind w:left="420" w:leftChars="200"/>
        <w:rPr>
          <w:rFonts w:ascii="宋体" w:hAnsi="宋体"/>
          <w:b w:val="0"/>
          <w:color w:val="auto"/>
          <w:sz w:val="21"/>
          <w:szCs w:val="21"/>
          <w:highlight w:val="none"/>
        </w:rPr>
      </w:pPr>
      <w:bookmarkStart w:id="107" w:name="_13.2资格证明文件：具体材料见“投标人须知前附表”。"/>
      <w:bookmarkEnd w:id="107"/>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57A2C93B">
      <w:pPr>
        <w:pStyle w:val="9"/>
        <w:keepNext w:val="0"/>
        <w:keepLines w:val="0"/>
        <w:spacing w:before="0" w:after="0" w:line="360" w:lineRule="auto"/>
        <w:ind w:left="420" w:leftChars="200"/>
        <w:rPr>
          <w:rFonts w:ascii="宋体" w:hAnsi="宋体"/>
          <w:b w:val="0"/>
          <w:color w:val="auto"/>
          <w:sz w:val="21"/>
          <w:szCs w:val="21"/>
          <w:highlight w:val="none"/>
        </w:rPr>
      </w:pPr>
      <w:bookmarkStart w:id="108" w:name="_13.3商务文件:_具体材料见“投标人须知前附表”。"/>
      <w:bookmarkEnd w:id="108"/>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1B0ED0CD">
      <w:pPr>
        <w:pStyle w:val="9"/>
        <w:keepNext w:val="0"/>
        <w:keepLines w:val="0"/>
        <w:spacing w:before="0" w:after="0" w:line="360" w:lineRule="auto"/>
        <w:ind w:left="420" w:leftChars="200"/>
        <w:rPr>
          <w:rFonts w:ascii="宋体" w:hAnsi="宋体"/>
          <w:b w:val="0"/>
          <w:color w:val="auto"/>
          <w:sz w:val="21"/>
          <w:szCs w:val="21"/>
          <w:highlight w:val="none"/>
        </w:rPr>
      </w:pPr>
      <w:bookmarkStart w:id="109" w:name="_13.4技术文件：具体材料见“投标人须知前附表”。"/>
      <w:bookmarkEnd w:id="109"/>
      <w:r>
        <w:rPr>
          <w:rFonts w:hint="eastAsia" w:ascii="宋体" w:hAnsi="宋体"/>
          <w:b w:val="0"/>
          <w:color w:val="auto"/>
          <w:sz w:val="21"/>
          <w:szCs w:val="21"/>
          <w:highlight w:val="none"/>
        </w:rPr>
        <w:t>（</w:t>
      </w:r>
      <w:r>
        <w:rPr>
          <w:rFonts w:ascii="宋体" w:hAnsi="宋体"/>
          <w:b w:val="0"/>
          <w:color w:val="auto"/>
          <w:sz w:val="21"/>
          <w:szCs w:val="21"/>
          <w:highlight w:val="none"/>
        </w:rPr>
        <w:t>4</w:t>
      </w:r>
      <w:r>
        <w:rPr>
          <w:rFonts w:hint="eastAsia" w:ascii="宋体" w:hAnsi="宋体"/>
          <w:b w:val="0"/>
          <w:color w:val="auto"/>
          <w:sz w:val="21"/>
          <w:szCs w:val="21"/>
          <w:highlight w:val="none"/>
        </w:rPr>
        <w:t>）技术文件：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226CFF53">
      <w:pPr>
        <w:pStyle w:val="9"/>
        <w:keepNext w:val="0"/>
        <w:keepLines w:val="0"/>
        <w:spacing w:before="0" w:after="0" w:line="360" w:lineRule="auto"/>
        <w:ind w:left="420" w:leftChars="200"/>
        <w:rPr>
          <w:rFonts w:ascii="宋体" w:hAnsi="宋体"/>
          <w:color w:val="auto"/>
          <w:sz w:val="24"/>
          <w:highlight w:val="none"/>
        </w:rPr>
      </w:pPr>
      <w:bookmarkStart w:id="110" w:name="_13.5投标文件电子版：具体材料见“投标人须知前附表”。"/>
      <w:bookmarkEnd w:id="110"/>
      <w:bookmarkStart w:id="111" w:name="_Toc254970537"/>
      <w:bookmarkStart w:id="112" w:name="_Toc254970678"/>
      <w:r>
        <w:rPr>
          <w:rFonts w:hint="eastAsia" w:ascii="宋体" w:hAnsi="宋体"/>
          <w:color w:val="auto"/>
          <w:sz w:val="24"/>
          <w:highlight w:val="none"/>
        </w:rPr>
        <w:t>14.投标文件的语言及计量</w:t>
      </w:r>
      <w:bookmarkEnd w:id="111"/>
      <w:bookmarkEnd w:id="112"/>
    </w:p>
    <w:p w14:paraId="4A8BC521">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14.1语言文字</w:t>
      </w:r>
    </w:p>
    <w:p w14:paraId="6F1662BE">
      <w:pPr>
        <w:pStyle w:val="9"/>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8D71878">
      <w:pPr>
        <w:pStyle w:val="9"/>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7ED2A0C3">
      <w:pPr>
        <w:pStyle w:val="9"/>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olor w:val="auto"/>
          <w:sz w:val="21"/>
          <w:szCs w:val="21"/>
          <w:highlight w:val="none"/>
        </w:rPr>
        <w:t>否则视同未响应。</w:t>
      </w:r>
    </w:p>
    <w:p w14:paraId="716E4BA1">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15.投标的风险</w:t>
      </w:r>
    </w:p>
    <w:p w14:paraId="2F5843D2">
      <w:pPr>
        <w:pStyle w:val="27"/>
        <w:snapToGrid w:val="0"/>
        <w:spacing w:line="360" w:lineRule="auto"/>
        <w:ind w:firstLine="420" w:firstLineChars="200"/>
        <w:jc w:val="left"/>
        <w:rPr>
          <w:rFonts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682E8B28">
      <w:pPr>
        <w:pStyle w:val="9"/>
        <w:keepNext w:val="0"/>
        <w:keepLines w:val="0"/>
        <w:spacing w:before="0" w:after="0" w:line="360" w:lineRule="auto"/>
        <w:ind w:left="420" w:leftChars="200"/>
        <w:rPr>
          <w:rFonts w:ascii="宋体" w:hAnsi="宋体"/>
          <w:color w:val="auto"/>
          <w:sz w:val="24"/>
          <w:highlight w:val="none"/>
        </w:rPr>
      </w:pPr>
      <w:bookmarkStart w:id="113" w:name="_Toc254970538"/>
      <w:bookmarkStart w:id="114" w:name="_Toc254970679"/>
      <w:r>
        <w:rPr>
          <w:rFonts w:hint="eastAsia" w:ascii="宋体" w:hAnsi="宋体"/>
          <w:color w:val="auto"/>
          <w:sz w:val="24"/>
          <w:highlight w:val="none"/>
        </w:rPr>
        <w:t>16.投标报价</w:t>
      </w:r>
      <w:bookmarkEnd w:id="113"/>
      <w:bookmarkEnd w:id="114"/>
    </w:p>
    <w:p w14:paraId="5C9D5C64">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1BEE4085">
      <w:pPr>
        <w:pStyle w:val="9"/>
        <w:keepNext w:val="0"/>
        <w:keepLines w:val="0"/>
        <w:spacing w:before="0" w:after="0" w:line="360" w:lineRule="auto"/>
        <w:ind w:left="420" w:leftChars="200"/>
        <w:rPr>
          <w:rFonts w:ascii="宋体" w:hAnsi="宋体"/>
          <w:b w:val="0"/>
          <w:color w:val="auto"/>
          <w:sz w:val="21"/>
          <w:szCs w:val="21"/>
          <w:highlight w:val="none"/>
        </w:rPr>
      </w:pPr>
      <w:bookmarkStart w:id="115" w:name="_16.2投标报价具体定义见投标人须知前附表。"/>
      <w:bookmarkEnd w:id="115"/>
      <w:r>
        <w:rPr>
          <w:rFonts w:hint="eastAsia" w:ascii="宋体" w:hAnsi="宋体"/>
          <w:b w:val="0"/>
          <w:color w:val="auto"/>
          <w:sz w:val="21"/>
          <w:szCs w:val="21"/>
          <w:highlight w:val="none"/>
        </w:rPr>
        <w:t>16.2投标报价具体包括内容详见“投标人须知前附表”。</w:t>
      </w:r>
    </w:p>
    <w:p w14:paraId="1E2E0024">
      <w:pPr>
        <w:pStyle w:val="9"/>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16.3投标人必须就所投的全部内容分别作完整唯一总价报价，不得存在漏项报价；投标人必须就所投的单项内容作唯一报价。</w:t>
      </w:r>
    </w:p>
    <w:p w14:paraId="65C8260A">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17.投标有效期</w:t>
      </w:r>
    </w:p>
    <w:p w14:paraId="4A6839FB">
      <w:pPr>
        <w:pStyle w:val="9"/>
        <w:keepNext w:val="0"/>
        <w:keepLines w:val="0"/>
        <w:spacing w:before="0" w:after="0" w:line="360" w:lineRule="auto"/>
        <w:ind w:firstLine="420" w:firstLineChars="200"/>
        <w:rPr>
          <w:rFonts w:ascii="宋体" w:hAnsi="宋体"/>
          <w:b w:val="0"/>
          <w:color w:val="auto"/>
          <w:sz w:val="21"/>
          <w:szCs w:val="21"/>
          <w:highlight w:val="none"/>
        </w:rPr>
      </w:pPr>
      <w:bookmarkStart w:id="116" w:name="_17.1投标有效期应按“投标人须知中的前附表”规定的期限。"/>
      <w:bookmarkEnd w:id="116"/>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1B851EB0">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17.2</w:t>
      </w:r>
      <w:bookmarkStart w:id="117" w:name="_Toc254970540"/>
      <w:bookmarkStart w:id="118" w:name="_Toc254970681"/>
      <w:r>
        <w:rPr>
          <w:rFonts w:hint="eastAsia" w:ascii="宋体" w:hAnsi="宋体"/>
          <w:b w:val="0"/>
          <w:color w:val="auto"/>
          <w:sz w:val="21"/>
          <w:szCs w:val="21"/>
          <w:highlight w:val="none"/>
        </w:rPr>
        <w:t xml:space="preserve"> 投标有效期应按规定的期限作出承诺，具体详见“投标人须知前附表”。</w:t>
      </w:r>
    </w:p>
    <w:p w14:paraId="5CF70ADF">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17"/>
      <w:bookmarkEnd w:id="118"/>
    </w:p>
    <w:p w14:paraId="0C68EB0D">
      <w:pPr>
        <w:pStyle w:val="9"/>
        <w:keepNext w:val="0"/>
        <w:keepLines w:val="0"/>
        <w:spacing w:before="0" w:after="0" w:line="360" w:lineRule="auto"/>
        <w:ind w:left="420" w:leftChars="200"/>
        <w:rPr>
          <w:rFonts w:ascii="宋体" w:hAnsi="宋体"/>
          <w:color w:val="auto"/>
          <w:sz w:val="24"/>
          <w:highlight w:val="none"/>
        </w:rPr>
      </w:pPr>
      <w:bookmarkStart w:id="119" w:name="_18.投标保证金"/>
      <w:bookmarkEnd w:id="119"/>
      <w:bookmarkStart w:id="120" w:name="_Toc254970682"/>
      <w:bookmarkStart w:id="121" w:name="_Toc254970541"/>
      <w:r>
        <w:rPr>
          <w:rFonts w:hint="eastAsia" w:ascii="宋体" w:hAnsi="宋体"/>
          <w:color w:val="auto"/>
          <w:sz w:val="24"/>
          <w:highlight w:val="none"/>
        </w:rPr>
        <w:t>18.投标保证金</w:t>
      </w:r>
      <w:bookmarkEnd w:id="120"/>
      <w:bookmarkEnd w:id="121"/>
    </w:p>
    <w:p w14:paraId="300E03A0">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24ADE9EB">
      <w:pPr>
        <w:pStyle w:val="9"/>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3EF39937">
      <w:pPr>
        <w:pStyle w:val="9"/>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 xml:space="preserve">未中标人的投标保证金自中标通知书发出之日起5个工作日内退还；中标人的投标保证金自政府采购合同签订之日起5个工作日内退还。 </w:t>
      </w:r>
    </w:p>
    <w:p w14:paraId="22499957">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7C8C6795">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316EBC2F">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（1）投标人在投标有效期内撤销投标文件的；</w:t>
      </w:r>
    </w:p>
    <w:p w14:paraId="00363710">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（2）未按规定提交履约保证金的；</w:t>
      </w:r>
    </w:p>
    <w:p w14:paraId="3AEB0813">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65A1A1A2">
      <w:pPr>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（4）中标人无正当理由不与采购人签订合同的；</w:t>
      </w:r>
    </w:p>
    <w:p w14:paraId="04C2BF3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（5）投标人出现本章第9.2、9.3情形的；</w:t>
      </w:r>
    </w:p>
    <w:p w14:paraId="3E2D472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6A0FEEF8">
      <w:pPr>
        <w:pStyle w:val="9"/>
        <w:keepNext w:val="0"/>
        <w:keepLines w:val="0"/>
        <w:spacing w:before="0" w:after="0" w:line="360" w:lineRule="auto"/>
        <w:ind w:left="420" w:leftChars="200"/>
        <w:rPr>
          <w:rFonts w:ascii="宋体" w:hAnsi="宋体"/>
          <w:color w:val="auto"/>
          <w:sz w:val="24"/>
          <w:highlight w:val="none"/>
        </w:rPr>
      </w:pPr>
      <w:bookmarkStart w:id="122" w:name="_Toc254970542"/>
      <w:bookmarkStart w:id="123" w:name="_Toc254970683"/>
      <w:r>
        <w:rPr>
          <w:rFonts w:hint="eastAsia" w:ascii="宋体" w:hAnsi="宋体"/>
          <w:color w:val="auto"/>
          <w:sz w:val="24"/>
          <w:highlight w:val="none"/>
        </w:rPr>
        <w:t>19.投标文件的</w:t>
      </w:r>
      <w:bookmarkEnd w:id="122"/>
      <w:bookmarkEnd w:id="123"/>
      <w:r>
        <w:rPr>
          <w:rFonts w:hint="eastAsia" w:ascii="宋体" w:hAnsi="宋体"/>
          <w:color w:val="auto"/>
          <w:sz w:val="24"/>
          <w:highlight w:val="none"/>
        </w:rPr>
        <w:t>编制</w:t>
      </w:r>
    </w:p>
    <w:p w14:paraId="004FA2B3">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19.1投标人应先安装“广西政府采购客户端”（请自行前往“广西政府采购网”，依次进入“办事服务-下载专区”），并按照本项目招标文件规定的格式和顺序和广西政府采购云平台的要求编制并加密。投标文件内容不完整、编排混乱导致投标文件被误读、漏读或者查找不到相关内容的，由此引发的后果由投标人承担。</w:t>
      </w:r>
    </w:p>
    <w:p w14:paraId="0A215125">
      <w:pPr>
        <w:pStyle w:val="9"/>
        <w:keepNext w:val="0"/>
        <w:keepLines w:val="0"/>
        <w:spacing w:before="0" w:after="0" w:line="360" w:lineRule="auto"/>
        <w:ind w:firstLine="315" w:firstLineChars="150"/>
        <w:rPr>
          <w:rFonts w:ascii="宋体" w:hAnsi="宋体"/>
          <w:b w:val="0"/>
          <w:color w:val="auto"/>
          <w:sz w:val="21"/>
          <w:szCs w:val="21"/>
          <w:highlight w:val="none"/>
        </w:rPr>
      </w:pPr>
      <w:bookmarkStart w:id="124" w:name="_19.2投标文件应按报价文件、资格证明文件、商务文件、技术文件分别编制"/>
      <w:bookmarkEnd w:id="124"/>
      <w:r>
        <w:rPr>
          <w:rFonts w:hint="eastAsia" w:ascii="宋体" w:hAnsi="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3B32C10D">
      <w:pPr>
        <w:pStyle w:val="9"/>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2524D1F4">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109737B7">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4411231">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20.电子备份投标文件</w:t>
      </w:r>
    </w:p>
    <w:p w14:paraId="1F63A9CF">
      <w:pPr>
        <w:spacing w:line="360" w:lineRule="auto"/>
        <w:ind w:firstLine="420" w:firstLineChars="200"/>
        <w:rPr>
          <w:rFonts w:ascii="宋体" w:hAnsi="宋体"/>
          <w:color w:val="auto"/>
          <w:sz w:val="24"/>
          <w:highlight w:val="none"/>
        </w:rPr>
      </w:pPr>
      <w:r>
        <w:rPr>
          <w:rFonts w:hint="eastAsia" w:ascii="宋体" w:hAnsi="宋体"/>
          <w:color w:val="auto"/>
          <w:highlight w:val="none"/>
        </w:rPr>
        <w:t>电子备份投标文件是指通过“</w:t>
      </w:r>
      <w:r>
        <w:rPr>
          <w:rFonts w:hint="eastAsia" w:ascii="宋体" w:hAnsi="宋体"/>
          <w:color w:val="auto"/>
          <w:szCs w:val="21"/>
          <w:highlight w:val="none"/>
        </w:rPr>
        <w:t>广西政府采购客户端</w:t>
      </w:r>
      <w:r>
        <w:rPr>
          <w:rFonts w:hint="eastAsia" w:ascii="宋体" w:hAnsi="宋体"/>
          <w:color w:val="auto"/>
          <w:highlight w:val="none"/>
        </w:rPr>
        <w:t>”在线编制生成且后缀名为“</w:t>
      </w:r>
      <w:r>
        <w:rPr>
          <w:rFonts w:ascii="宋体" w:hAnsi="宋体"/>
          <w:color w:val="auto"/>
          <w:highlight w:val="none"/>
        </w:rPr>
        <w:t>bfbs</w:t>
      </w:r>
      <w:r>
        <w:rPr>
          <w:rFonts w:hint="eastAsia" w:ascii="宋体" w:hAnsi="宋体"/>
          <w:color w:val="auto"/>
          <w:highlight w:val="none"/>
        </w:rPr>
        <w:t>”的文件，提交要求</w:t>
      </w:r>
      <w:r>
        <w:rPr>
          <w:rFonts w:hint="eastAsia" w:ascii="宋体" w:hAnsi="宋体"/>
          <w:bCs/>
          <w:color w:val="auto"/>
          <w:szCs w:val="21"/>
          <w:highlight w:val="none"/>
        </w:rPr>
        <w:t>详见在“投标人须知前附表”。</w:t>
      </w:r>
    </w:p>
    <w:p w14:paraId="4D763307">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21.投标文件的提交</w:t>
      </w:r>
    </w:p>
    <w:p w14:paraId="4A9082A9">
      <w:pPr>
        <w:spacing w:line="360" w:lineRule="auto"/>
        <w:ind w:firstLine="420" w:firstLineChars="200"/>
        <w:rPr>
          <w:rFonts w:ascii="宋体" w:hAnsi="宋体"/>
          <w:b/>
          <w:color w:val="auto"/>
          <w:highlight w:val="none"/>
        </w:rPr>
      </w:pPr>
      <w:bookmarkStart w:id="125" w:name="_21.1投标人必须在“投标人须知中的前附表”规定的投标文件接收时间和投"/>
      <w:bookmarkEnd w:id="125"/>
      <w:r>
        <w:rPr>
          <w:rFonts w:hint="eastAsia" w:ascii="宋体" w:hAnsi="宋体"/>
          <w:bCs/>
          <w:color w:val="auto"/>
          <w:szCs w:val="21"/>
          <w:highlight w:val="none"/>
        </w:rPr>
        <w:t>21.1投标人必须在“投标人须知前附表”规定的</w:t>
      </w:r>
      <w:r>
        <w:rPr>
          <w:rFonts w:hint="eastAsia" w:ascii="宋体" w:hAnsi="宋体"/>
          <w:color w:val="auto"/>
          <w:szCs w:val="21"/>
          <w:highlight w:val="none"/>
        </w:rPr>
        <w:t>投标文件提交截止时间前将</w:t>
      </w:r>
      <w:r>
        <w:rPr>
          <w:rFonts w:hint="eastAsia" w:ascii="宋体" w:hAnsi="宋体"/>
          <w:bCs/>
          <w:color w:val="auto"/>
          <w:szCs w:val="21"/>
          <w:highlight w:val="none"/>
        </w:rPr>
        <w:t>电子投标文件提交至投标地点。电子投标文件应在制作完成后，</w:t>
      </w:r>
      <w:r>
        <w:rPr>
          <w:rFonts w:ascii="宋体" w:hAnsi="宋体"/>
          <w:bCs/>
          <w:color w:val="auto"/>
          <w:szCs w:val="21"/>
          <w:highlight w:val="none"/>
        </w:rPr>
        <w:t>在投标截止时间前</w:t>
      </w:r>
      <w:r>
        <w:rPr>
          <w:rFonts w:hint="eastAsia" w:ascii="宋体" w:hAnsi="宋体"/>
          <w:bCs/>
          <w:color w:val="auto"/>
          <w:szCs w:val="21"/>
          <w:highlight w:val="none"/>
        </w:rPr>
        <w:t xml:space="preserve">通过有效数字证书（CA认证锁）进行电子签章、加密，然后通过网络将加密的电子投标文件递交至广西政府采购云平台。 </w:t>
      </w:r>
      <w:r>
        <w:rPr>
          <w:rFonts w:hint="eastAsia" w:ascii="宋体" w:hAnsi="宋体"/>
          <w:b/>
          <w:color w:val="auto"/>
          <w:highlight w:val="none"/>
        </w:rPr>
        <w:t xml:space="preserve"> </w:t>
      </w:r>
    </w:p>
    <w:p w14:paraId="24F1758C">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未在规定时间内提交或者未按照招标文件要求加密的电子投标文件，广西政府采购云平台将拒收。</w:t>
      </w:r>
    </w:p>
    <w:p w14:paraId="5E3741C4">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22. 投标文件的补充、修改、撤回与退回</w:t>
      </w:r>
    </w:p>
    <w:p w14:paraId="08E2E81B">
      <w:pPr>
        <w:snapToGrid w:val="0"/>
        <w:spacing w:line="360" w:lineRule="auto"/>
        <w:ind w:firstLine="420"/>
        <w:jc w:val="left"/>
        <w:rPr>
          <w:rFonts w:ascii="宋体" w:hAnsi="宋体"/>
          <w:color w:val="auto"/>
          <w:szCs w:val="21"/>
          <w:highlight w:val="none"/>
        </w:rPr>
      </w:pPr>
      <w:bookmarkStart w:id="126" w:name="_Toc254970684"/>
      <w:bookmarkStart w:id="127" w:name="_Toc254970543"/>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bookmarkEnd w:id="126"/>
    <w:bookmarkEnd w:id="127"/>
    <w:p w14:paraId="03EEF681">
      <w:pPr>
        <w:pStyle w:val="97"/>
        <w:spacing w:before="0"/>
        <w:ind w:firstLine="420"/>
        <w:rPr>
          <w:rFonts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2广西政府采购云平台收到投标文件后向供应商发出确认回执通知。在投标截止时间前，除供应商补充、修改或者撤回投标文件外，任何单位和个人不得解密或提取投标文件。</w:t>
      </w:r>
    </w:p>
    <w:p w14:paraId="01736A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在投标截止时间后，采购人和采购代理机构对已提交的投标文件概不退回。</w:t>
      </w:r>
    </w:p>
    <w:p w14:paraId="43BC82AF">
      <w:pPr>
        <w:pStyle w:val="7"/>
        <w:keepNext w:val="0"/>
        <w:keepLines w:val="0"/>
        <w:jc w:val="center"/>
        <w:rPr>
          <w:rFonts w:ascii="宋体" w:hAnsi="宋体"/>
          <w:color w:val="auto"/>
          <w:highlight w:val="none"/>
        </w:rPr>
      </w:pPr>
      <w:bookmarkStart w:id="128" w:name="_Toc254970544"/>
      <w:bookmarkStart w:id="129" w:name="_Toc254970685"/>
      <w:r>
        <w:rPr>
          <w:rFonts w:hint="eastAsia" w:ascii="宋体" w:hAnsi="宋体"/>
          <w:color w:val="auto"/>
          <w:highlight w:val="none"/>
        </w:rPr>
        <w:t>四、开标</w:t>
      </w:r>
      <w:bookmarkEnd w:id="128"/>
      <w:bookmarkEnd w:id="129"/>
    </w:p>
    <w:p w14:paraId="31EE3A9C">
      <w:pPr>
        <w:pStyle w:val="9"/>
        <w:keepNext w:val="0"/>
        <w:keepLines w:val="0"/>
        <w:spacing w:before="0" w:after="0" w:line="360" w:lineRule="auto"/>
        <w:ind w:left="420" w:leftChars="200"/>
        <w:rPr>
          <w:rFonts w:ascii="宋体" w:hAnsi="宋体" w:cs="宋体"/>
          <w:color w:val="auto"/>
          <w:sz w:val="24"/>
          <w:highlight w:val="none"/>
        </w:rPr>
      </w:pPr>
      <w:bookmarkStart w:id="130" w:name="_23.开标时间和地点"/>
      <w:bookmarkEnd w:id="130"/>
      <w:r>
        <w:rPr>
          <w:rFonts w:hint="eastAsia" w:ascii="宋体" w:hAnsi="宋体" w:cs="宋体"/>
          <w:color w:val="auto"/>
          <w:sz w:val="24"/>
          <w:highlight w:val="none"/>
        </w:rPr>
        <w:t>23.开标时间和地点</w:t>
      </w:r>
    </w:p>
    <w:p w14:paraId="1B4B391B">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开标时间及地点详见“投标人须知前附表”</w:t>
      </w:r>
    </w:p>
    <w:p w14:paraId="2FDA90C2">
      <w:pPr>
        <w:pStyle w:val="9"/>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6EF0350C">
      <w:pPr>
        <w:pStyle w:val="10"/>
        <w:spacing w:line="360" w:lineRule="auto"/>
        <w:rPr>
          <w:rFonts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102FEDA5">
      <w:pPr>
        <w:pStyle w:val="10"/>
        <w:spacing w:line="360" w:lineRule="auto"/>
        <w:rPr>
          <w:rFonts w:ascii="宋体" w:hAnsi="宋体" w:cs="宋体"/>
          <w:color w:val="auto"/>
          <w:highlight w:val="none"/>
        </w:rPr>
      </w:pPr>
      <w:r>
        <w:rPr>
          <w:rFonts w:hint="eastAsia" w:ascii="宋体" w:hAnsi="宋体" w:cs="宋体"/>
          <w:color w:val="auto"/>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19BC9628">
      <w:pPr>
        <w:pStyle w:val="10"/>
        <w:spacing w:line="360" w:lineRule="auto"/>
        <w:rPr>
          <w:rFonts w:ascii="宋体" w:hAnsi="宋体" w:cs="宋体"/>
          <w:color w:val="auto"/>
          <w:highlight w:val="none"/>
        </w:rPr>
      </w:pPr>
      <w:r>
        <w:rPr>
          <w:rFonts w:hint="eastAsia" w:ascii="宋体" w:hAnsi="宋体" w:cs="宋体"/>
          <w:color w:val="auto"/>
          <w:highlight w:val="none"/>
        </w:rPr>
        <w:t>24.3开标程序</w:t>
      </w:r>
    </w:p>
    <w:p w14:paraId="72D92D62">
      <w:pPr>
        <w:pStyle w:val="10"/>
        <w:spacing w:line="360" w:lineRule="auto"/>
        <w:rPr>
          <w:rFonts w:ascii="宋体" w:hAnsi="宋体" w:cs="宋体"/>
          <w:color w:val="auto"/>
          <w:highlight w:val="none"/>
        </w:rPr>
      </w:pPr>
      <w:r>
        <w:rPr>
          <w:rFonts w:hint="eastAsia" w:ascii="宋体" w:hAnsi="宋体" w:cs="宋体"/>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r>
        <w:rPr>
          <w:rFonts w:hint="eastAsia" w:ascii="宋体" w:hAnsi="宋体" w:cs="宋体"/>
          <w:b/>
          <w:color w:val="auto"/>
          <w:highlight w:val="none"/>
        </w:rPr>
        <w:t>。</w:t>
      </w:r>
    </w:p>
    <w:p w14:paraId="10AEF2EE">
      <w:pPr>
        <w:pStyle w:val="10"/>
        <w:spacing w:line="360" w:lineRule="auto"/>
        <w:rPr>
          <w:rFonts w:ascii="宋体" w:hAnsi="宋体" w:cs="宋体"/>
          <w:color w:val="auto"/>
          <w:highlight w:val="none"/>
        </w:rPr>
      </w:pPr>
      <w:r>
        <w:rPr>
          <w:rFonts w:hint="eastAsia" w:ascii="宋体" w:hAnsi="宋体" w:cs="宋体"/>
          <w:color w:val="auto"/>
          <w:highlight w:val="none"/>
        </w:rPr>
        <w:t>（2）电子唱标。投标文件解密结束，宣布的内容均在广西政府采购云平台远程开标大厅展示，具体详见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22AA3E59">
      <w:pPr>
        <w:pStyle w:val="10"/>
        <w:spacing w:line="360" w:lineRule="auto"/>
        <w:rPr>
          <w:rFonts w:ascii="宋体" w:hAnsi="宋体" w:cs="宋体"/>
          <w:color w:val="auto"/>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7826A469">
      <w:pPr>
        <w:pStyle w:val="10"/>
        <w:spacing w:line="360" w:lineRule="auto"/>
        <w:rPr>
          <w:rFonts w:ascii="宋体" w:hAnsi="宋体" w:cs="宋体"/>
          <w:color w:val="auto"/>
          <w:highlight w:val="none"/>
        </w:rPr>
      </w:pPr>
      <w:r>
        <w:rPr>
          <w:rFonts w:hint="eastAsia" w:ascii="宋体" w:hAnsi="宋体" w:cs="宋体"/>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7D7E464E">
      <w:pPr>
        <w:pStyle w:val="10"/>
        <w:spacing w:line="360" w:lineRule="auto"/>
        <w:rPr>
          <w:rFonts w:ascii="宋体" w:hAnsi="宋体" w:cs="宋体"/>
          <w:color w:val="auto"/>
          <w:szCs w:val="21"/>
          <w:highlight w:val="none"/>
        </w:rPr>
      </w:pPr>
      <w:r>
        <w:rPr>
          <w:rFonts w:hint="eastAsia" w:ascii="宋体" w:hAnsi="宋体" w:cs="宋体"/>
          <w:color w:val="auto"/>
          <w:szCs w:val="21"/>
          <w:highlight w:val="none"/>
        </w:rPr>
        <w:t>（5）开标结束。</w:t>
      </w:r>
    </w:p>
    <w:p w14:paraId="705C0968">
      <w:pPr>
        <w:pStyle w:val="27"/>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特别说明：如遇广西政府采购云平台电子化开标或评审程序调整的，按调整后执行。</w:t>
      </w:r>
    </w:p>
    <w:p w14:paraId="15E1CA5A">
      <w:pPr>
        <w:pStyle w:val="7"/>
        <w:keepNext w:val="0"/>
        <w:keepLines w:val="0"/>
        <w:jc w:val="center"/>
        <w:rPr>
          <w:rFonts w:ascii="宋体" w:hAnsi="宋体"/>
          <w:color w:val="auto"/>
          <w:highlight w:val="none"/>
        </w:rPr>
      </w:pPr>
      <w:r>
        <w:rPr>
          <w:rFonts w:hint="eastAsia" w:ascii="宋体" w:hAnsi="宋体"/>
          <w:color w:val="auto"/>
          <w:highlight w:val="none"/>
        </w:rPr>
        <w:t>五、资格审查</w:t>
      </w:r>
    </w:p>
    <w:p w14:paraId="121CA402">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25.资格审查</w:t>
      </w:r>
    </w:p>
    <w:p w14:paraId="6FCC94E0">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16783F67">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1E2506CC">
      <w:pPr>
        <w:pStyle w:val="9"/>
        <w:keepNext w:val="0"/>
        <w:keepLines w:val="0"/>
        <w:numPr>
          <w:ilvl w:val="4"/>
          <w:numId w:val="0"/>
        </w:numPr>
        <w:spacing w:before="0" w:after="0" w:line="360" w:lineRule="auto"/>
        <w:ind w:firstLine="422" w:firstLineChars="200"/>
        <w:rPr>
          <w:rFonts w:ascii="宋体" w:hAnsi="宋体"/>
          <w:color w:val="auto"/>
          <w:sz w:val="21"/>
          <w:szCs w:val="21"/>
          <w:highlight w:val="none"/>
        </w:rPr>
      </w:pPr>
      <w:bookmarkStart w:id="131" w:name="_25.3_投标人有下列情形之一的，资格审查不通过而导致其投标无效："/>
      <w:bookmarkEnd w:id="131"/>
      <w:r>
        <w:rPr>
          <w:rFonts w:hint="eastAsia" w:ascii="宋体" w:hAnsi="宋体"/>
          <w:color w:val="auto"/>
          <w:sz w:val="21"/>
          <w:szCs w:val="21"/>
          <w:highlight w:val="none"/>
        </w:rPr>
        <w:t>25.3 投标人有下列情形之一的，资格审查不通过，作无效投标处理：</w:t>
      </w:r>
    </w:p>
    <w:p w14:paraId="0D827251">
      <w:pPr>
        <w:pStyle w:val="27"/>
        <w:snapToGrid w:val="0"/>
        <w:spacing w:line="360" w:lineRule="auto"/>
        <w:ind w:firstLine="422" w:firstLineChars="200"/>
        <w:rPr>
          <w:rFonts w:hAnsi="宋体"/>
          <w:b/>
          <w:color w:val="auto"/>
          <w:sz w:val="21"/>
          <w:highlight w:val="none"/>
        </w:rPr>
      </w:pPr>
      <w:r>
        <w:rPr>
          <w:rFonts w:hint="eastAsia" w:hAnsi="宋体"/>
          <w:b/>
          <w:color w:val="auto"/>
          <w:sz w:val="21"/>
          <w:highlight w:val="none"/>
        </w:rPr>
        <w:t>（1）不具备招标文件中规定的资格要求的；</w:t>
      </w:r>
    </w:p>
    <w:p w14:paraId="6068355C">
      <w:pPr>
        <w:pStyle w:val="27"/>
        <w:snapToGrid w:val="0"/>
        <w:spacing w:line="360" w:lineRule="auto"/>
        <w:ind w:firstLine="422" w:firstLineChars="200"/>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18D40382">
      <w:pPr>
        <w:pStyle w:val="27"/>
        <w:snapToGrid w:val="0"/>
        <w:spacing w:line="360" w:lineRule="auto"/>
        <w:ind w:firstLine="422" w:firstLineChars="200"/>
        <w:rPr>
          <w:rFonts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18975A16">
      <w:pPr>
        <w:pStyle w:val="27"/>
        <w:snapToGrid w:val="0"/>
        <w:spacing w:line="360" w:lineRule="auto"/>
        <w:ind w:firstLine="422" w:firstLineChars="200"/>
        <w:rPr>
          <w:rFonts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0167B8E4">
      <w:pPr>
        <w:pStyle w:val="27"/>
        <w:snapToGrid w:val="0"/>
        <w:spacing w:line="360" w:lineRule="auto"/>
        <w:ind w:firstLine="422" w:firstLineChars="200"/>
        <w:rPr>
          <w:rFonts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032CAD77">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64076F44">
      <w:pPr>
        <w:pStyle w:val="7"/>
        <w:keepNext w:val="0"/>
        <w:keepLines w:val="0"/>
        <w:jc w:val="center"/>
        <w:rPr>
          <w:rFonts w:ascii="宋体" w:hAnsi="宋体"/>
          <w:color w:val="auto"/>
          <w:highlight w:val="none"/>
        </w:rPr>
      </w:pPr>
      <w:r>
        <w:rPr>
          <w:rFonts w:hint="eastAsia" w:ascii="宋体" w:hAnsi="宋体"/>
          <w:color w:val="auto"/>
          <w:highlight w:val="none"/>
        </w:rPr>
        <w:t>六、评标</w:t>
      </w:r>
    </w:p>
    <w:p w14:paraId="0C448285">
      <w:pPr>
        <w:pStyle w:val="9"/>
        <w:keepNext w:val="0"/>
        <w:keepLines w:val="0"/>
        <w:spacing w:before="0" w:after="0" w:line="360" w:lineRule="auto"/>
        <w:ind w:left="420" w:leftChars="200"/>
        <w:rPr>
          <w:rFonts w:ascii="宋体" w:hAnsi="宋体"/>
          <w:color w:val="auto"/>
          <w:sz w:val="24"/>
          <w:highlight w:val="none"/>
        </w:rPr>
      </w:pPr>
      <w:bookmarkStart w:id="132" w:name="_26.组建评标委员会"/>
      <w:bookmarkEnd w:id="132"/>
      <w:r>
        <w:rPr>
          <w:rFonts w:hint="eastAsia" w:ascii="宋体" w:hAnsi="宋体"/>
          <w:color w:val="auto"/>
          <w:sz w:val="24"/>
          <w:highlight w:val="none"/>
        </w:rPr>
        <w:t>26.组建评标委员会</w:t>
      </w:r>
    </w:p>
    <w:p w14:paraId="3B4FE861">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0392B6B2">
      <w:pPr>
        <w:pStyle w:val="27"/>
        <w:snapToGrid w:val="0"/>
        <w:spacing w:line="360" w:lineRule="auto"/>
        <w:ind w:left="2" w:leftChars="1" w:firstLine="420" w:firstLineChars="200"/>
        <w:rPr>
          <w:rFonts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2E777BE5">
      <w:pPr>
        <w:pStyle w:val="27"/>
        <w:snapToGrid w:val="0"/>
        <w:spacing w:line="360" w:lineRule="auto"/>
        <w:ind w:left="2" w:leftChars="1" w:firstLine="420" w:firstLineChars="200"/>
        <w:rPr>
          <w:rFonts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采购代理机构必须基于广西政府采购云平台选取评审专家，如采购代理机构未按规定选取专家的，视为本次开评标无效，应当重新采购。</w:t>
      </w:r>
    </w:p>
    <w:p w14:paraId="38D8C0A1">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27.评标的依据</w:t>
      </w:r>
    </w:p>
    <w:p w14:paraId="6E62C26B">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5DC96C38">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28.评标原则</w:t>
      </w:r>
    </w:p>
    <w:p w14:paraId="1349892C">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72014E2">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28.2</w:t>
      </w:r>
      <w:bookmarkStart w:id="133" w:name="_28.3评标方法。本项目将按须知前附表规定的评标办法进行评标，具体评标"/>
      <w:bookmarkEnd w:id="133"/>
      <w:r>
        <w:rPr>
          <w:rFonts w:hint="eastAsia" w:hAnsi="宋体"/>
          <w:color w:val="auto"/>
          <w:sz w:val="21"/>
          <w:highlight w:val="none"/>
        </w:rPr>
        <w:t>评委表决。评标委员会成员对需要共同认定的事项存在争议的，应当按照少数服从多数的原则作出结论。</w:t>
      </w:r>
    </w:p>
    <w:p w14:paraId="74CDE8E8">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A6CFF13">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628239DE">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29.评标方法及中标候选人推荐</w:t>
      </w:r>
    </w:p>
    <w:p w14:paraId="38F2DBCE">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57E745BA">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highlight w:val="none"/>
        </w:rPr>
        <w:t>商务/技术要求</w:t>
      </w:r>
      <w:r>
        <w:rPr>
          <w:rFonts w:hint="eastAsia" w:hAnsi="宋体"/>
          <w:color w:val="auto"/>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5E6ACCE1">
      <w:pPr>
        <w:pStyle w:val="27"/>
        <w:snapToGrid w:val="0"/>
        <w:spacing w:line="360" w:lineRule="auto"/>
        <w:ind w:firstLine="420" w:firstLineChars="200"/>
        <w:rPr>
          <w:rFonts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4242CB8C">
      <w:pPr>
        <w:spacing w:line="360" w:lineRule="auto"/>
        <w:ind w:firstLine="420" w:firstLineChars="200"/>
        <w:rPr>
          <w:rFonts w:ascii="宋体" w:hAnsi="宋体"/>
          <w:color w:val="auto"/>
          <w:highlight w:val="none"/>
        </w:rPr>
      </w:pPr>
      <w:r>
        <w:rPr>
          <w:rFonts w:hint="eastAsia" w:ascii="宋体" w:hAnsi="宋体"/>
          <w:color w:val="auto"/>
          <w:highlight w:val="none"/>
        </w:rPr>
        <w:t>29.</w:t>
      </w:r>
      <w:r>
        <w:rPr>
          <w:rFonts w:ascii="宋体" w:hAnsi="宋体"/>
          <w:color w:val="auto"/>
          <w:highlight w:val="none"/>
        </w:rPr>
        <w:t>4</w:t>
      </w:r>
      <w:r>
        <w:rPr>
          <w:rFonts w:hint="eastAsia" w:ascii="宋体" w:hAnsi="宋体"/>
          <w:color w:val="auto"/>
          <w:highlight w:val="none"/>
        </w:rPr>
        <w:t xml:space="preserve"> 电子交易活动的中止。采购过程中出现以下情形，导致电子交易平台无法正常运行，或者无法保证电子交易的公平、公正和安全时，采购代理机构可以中止电子交易活动：</w:t>
      </w:r>
    </w:p>
    <w:p w14:paraId="1787A4B6">
      <w:pPr>
        <w:spacing w:line="360" w:lineRule="auto"/>
        <w:ind w:firstLine="420" w:firstLineChars="200"/>
        <w:rPr>
          <w:rFonts w:ascii="宋体" w:hAnsi="宋体"/>
          <w:color w:val="auto"/>
          <w:highlight w:val="none"/>
        </w:rPr>
      </w:pPr>
      <w:r>
        <w:rPr>
          <w:rFonts w:hint="eastAsia" w:ascii="宋体" w:hAnsi="宋体"/>
          <w:color w:val="auto"/>
          <w:highlight w:val="none"/>
        </w:rPr>
        <w:t xml:space="preserve">（1）电子交易平台发生故障而无法登录访问的； </w:t>
      </w:r>
    </w:p>
    <w:p w14:paraId="49C68E58">
      <w:pPr>
        <w:spacing w:line="360" w:lineRule="auto"/>
        <w:ind w:firstLine="420" w:firstLineChars="200"/>
        <w:rPr>
          <w:rFonts w:ascii="宋体" w:hAnsi="宋体"/>
          <w:color w:val="auto"/>
          <w:highlight w:val="none"/>
        </w:rPr>
      </w:pPr>
      <w:r>
        <w:rPr>
          <w:rFonts w:hint="eastAsia" w:ascii="宋体" w:hAnsi="宋体"/>
          <w:color w:val="auto"/>
          <w:highlight w:val="none"/>
        </w:rPr>
        <w:t>（2）电子交易平台应用或数据库出现错误，不能进行正常操作的；</w:t>
      </w:r>
    </w:p>
    <w:p w14:paraId="614F9098">
      <w:pPr>
        <w:spacing w:line="360" w:lineRule="auto"/>
        <w:ind w:firstLine="420" w:firstLineChars="200"/>
        <w:rPr>
          <w:rFonts w:ascii="宋体" w:hAnsi="宋体"/>
          <w:color w:val="auto"/>
          <w:highlight w:val="none"/>
        </w:rPr>
      </w:pPr>
      <w:r>
        <w:rPr>
          <w:rFonts w:hint="eastAsia" w:ascii="宋体" w:hAnsi="宋体"/>
          <w:color w:val="auto"/>
          <w:highlight w:val="none"/>
        </w:rPr>
        <w:t>（3）电子交易平台发现严重安全漏洞，有潜在泄密危险的；</w:t>
      </w:r>
    </w:p>
    <w:p w14:paraId="446B1420">
      <w:pPr>
        <w:spacing w:line="360" w:lineRule="auto"/>
        <w:ind w:firstLine="420" w:firstLineChars="200"/>
        <w:rPr>
          <w:rFonts w:ascii="宋体" w:hAnsi="宋体"/>
          <w:color w:val="auto"/>
          <w:highlight w:val="none"/>
        </w:rPr>
      </w:pPr>
      <w:r>
        <w:rPr>
          <w:rFonts w:hint="eastAsia" w:ascii="宋体" w:hAnsi="宋体"/>
          <w:color w:val="auto"/>
          <w:highlight w:val="none"/>
        </w:rPr>
        <w:t xml:space="preserve">（4）病毒发作导致不能进行正常操作的； </w:t>
      </w:r>
    </w:p>
    <w:p w14:paraId="5AEFE198">
      <w:pPr>
        <w:spacing w:line="360" w:lineRule="auto"/>
        <w:ind w:firstLine="420" w:firstLineChars="200"/>
        <w:rPr>
          <w:rFonts w:ascii="宋体" w:hAnsi="宋体"/>
          <w:color w:val="auto"/>
          <w:highlight w:val="none"/>
        </w:rPr>
      </w:pPr>
      <w:r>
        <w:rPr>
          <w:rFonts w:hint="eastAsia" w:ascii="宋体" w:hAnsi="宋体"/>
          <w:color w:val="auto"/>
          <w:highlight w:val="none"/>
        </w:rPr>
        <w:t>（5）其他无法保证电子交易的公平、公正和安全的情况。</w:t>
      </w:r>
    </w:p>
    <w:p w14:paraId="3FAE797B">
      <w:pPr>
        <w:spacing w:line="360" w:lineRule="auto"/>
        <w:ind w:firstLine="420" w:firstLineChars="200"/>
        <w:rPr>
          <w:rFonts w:ascii="宋体" w:hAnsi="宋体"/>
          <w:color w:val="auto"/>
          <w:highlight w:val="none"/>
        </w:rPr>
      </w:pPr>
      <w:r>
        <w:rPr>
          <w:rFonts w:hint="eastAsia" w:ascii="宋体" w:hAnsi="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237747CA">
      <w:pPr>
        <w:pStyle w:val="7"/>
        <w:keepNext w:val="0"/>
        <w:keepLines w:val="0"/>
        <w:jc w:val="center"/>
        <w:rPr>
          <w:rFonts w:ascii="宋体" w:hAnsi="宋体"/>
          <w:color w:val="auto"/>
          <w:highlight w:val="none"/>
        </w:rPr>
      </w:pPr>
      <w:bookmarkStart w:id="134" w:name="_Toc254970546"/>
      <w:bookmarkStart w:id="135" w:name="_Toc254970687"/>
      <w:r>
        <w:rPr>
          <w:rFonts w:hint="eastAsia" w:ascii="宋体" w:hAnsi="宋体"/>
          <w:color w:val="auto"/>
          <w:highlight w:val="none"/>
        </w:rPr>
        <w:t>七、</w:t>
      </w:r>
      <w:bookmarkEnd w:id="134"/>
      <w:bookmarkEnd w:id="135"/>
      <w:r>
        <w:rPr>
          <w:rFonts w:hint="eastAsia" w:ascii="宋体" w:hAnsi="宋体"/>
          <w:color w:val="auto"/>
          <w:highlight w:val="none"/>
        </w:rPr>
        <w:t>中标和合同</w:t>
      </w:r>
    </w:p>
    <w:p w14:paraId="3209DDA3">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30</w:t>
      </w:r>
      <w:r>
        <w:rPr>
          <w:rFonts w:ascii="宋体" w:hAnsi="宋体"/>
          <w:color w:val="auto"/>
          <w:sz w:val="24"/>
          <w:highlight w:val="none"/>
        </w:rPr>
        <w:t xml:space="preserve"> </w:t>
      </w:r>
      <w:r>
        <w:rPr>
          <w:rFonts w:hint="eastAsia" w:ascii="宋体" w:hAnsi="宋体"/>
          <w:color w:val="auto"/>
          <w:sz w:val="24"/>
          <w:highlight w:val="none"/>
        </w:rPr>
        <w:t>确定中标人</w:t>
      </w:r>
    </w:p>
    <w:p w14:paraId="3F88741B">
      <w:pPr>
        <w:pStyle w:val="9"/>
        <w:keepNext w:val="0"/>
        <w:keepLines w:val="0"/>
        <w:spacing w:before="0" w:after="0" w:line="360" w:lineRule="auto"/>
        <w:ind w:firstLine="420" w:firstLineChars="200"/>
        <w:rPr>
          <w:rFonts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70DB0AFE">
      <w:pPr>
        <w:snapToGrid w:val="0"/>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1E41B4A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30.3出现下列情形之一的，应予废标：</w:t>
      </w:r>
    </w:p>
    <w:p w14:paraId="59BC203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212DBF7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（2）出现影响采购公正的违法、违规行为的；</w:t>
      </w:r>
    </w:p>
    <w:p w14:paraId="73181DD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7F3E7FF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（4）因重大变故，采购任务取消的。</w:t>
      </w:r>
    </w:p>
    <w:p w14:paraId="1BC15C3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废标后，采购人应当将废标理由通知所有投标人。</w:t>
      </w:r>
    </w:p>
    <w:p w14:paraId="63FC5AB6">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31. 结果公告</w:t>
      </w:r>
    </w:p>
    <w:p w14:paraId="6330EE0D">
      <w:pPr>
        <w:pStyle w:val="9"/>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6729652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3A1B643D">
      <w:pPr>
        <w:pStyle w:val="9"/>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31.2中标人享受《政府采购促进中小企业发展管理办法》（财库〔2020〕46号）规定的中小企业扶持政策的，采购人、采购代理机构应当随中标结果公开中标人的《中小企业声明函》。</w:t>
      </w:r>
    </w:p>
    <w:p w14:paraId="47E1396C">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32.发出中标通知书</w:t>
      </w:r>
    </w:p>
    <w:p w14:paraId="2664C618">
      <w:pPr>
        <w:pStyle w:val="9"/>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031042BE">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33.无义务解释未中标原因</w:t>
      </w:r>
    </w:p>
    <w:p w14:paraId="21DD1318">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39324FAC">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34.合同授予标准</w:t>
      </w:r>
    </w:p>
    <w:p w14:paraId="5A273CB2">
      <w:pPr>
        <w:snapToGrid w:val="0"/>
        <w:spacing w:line="360" w:lineRule="auto"/>
        <w:ind w:firstLine="420" w:firstLineChars="200"/>
        <w:rPr>
          <w:rFonts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2E504FE2">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35.履约保证金</w:t>
      </w:r>
    </w:p>
    <w:p w14:paraId="5A15550F">
      <w:pPr>
        <w:pStyle w:val="9"/>
        <w:keepNext w:val="0"/>
        <w:keepLines w:val="0"/>
        <w:spacing w:before="0" w:after="0" w:line="360" w:lineRule="auto"/>
        <w:ind w:firstLine="315" w:firstLineChars="150"/>
        <w:rPr>
          <w:rFonts w:ascii="宋体" w:hAnsi="宋体"/>
          <w:b w:val="0"/>
          <w:color w:val="auto"/>
          <w:sz w:val="21"/>
          <w:szCs w:val="21"/>
          <w:highlight w:val="none"/>
        </w:rPr>
      </w:pPr>
      <w:bookmarkStart w:id="136" w:name="_39.1中标人须于签订合同前按本须知前附表规定的金额转账或电汇到指定账"/>
      <w:bookmarkEnd w:id="136"/>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履约保证金的金额、提交方式、退付的时间和条件详见 “投标人须知前附表”。中标人未按规定提交履约保证金的，视为拒绝与采购人签订合同。</w:t>
      </w:r>
    </w:p>
    <w:p w14:paraId="7F6D16FB">
      <w:pPr>
        <w:pStyle w:val="9"/>
        <w:keepNext w:val="0"/>
        <w:keepLines w:val="0"/>
        <w:spacing w:before="0" w:after="0" w:line="360" w:lineRule="auto"/>
        <w:ind w:firstLine="316" w:firstLineChars="150"/>
        <w:rPr>
          <w:rFonts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35.2在履约保证金退还日期前，若中标人的开户名称、开户银行、帐号有变动的，请以书面形式通知履约保证金收取单位，否则由此产生的后果由中标人自行承担。</w:t>
      </w:r>
    </w:p>
    <w:p w14:paraId="1717A907">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36.签订合同</w:t>
      </w:r>
    </w:p>
    <w:p w14:paraId="01BC1F2E">
      <w:pPr>
        <w:pStyle w:val="9"/>
        <w:keepNext w:val="0"/>
        <w:keepLines w:val="0"/>
        <w:spacing w:before="0" w:after="0" w:line="360" w:lineRule="auto"/>
        <w:ind w:firstLine="315" w:firstLineChars="150"/>
        <w:rPr>
          <w:rFonts w:ascii="宋体" w:hAnsi="宋体"/>
          <w:b w:val="0"/>
          <w:color w:val="auto"/>
          <w:sz w:val="21"/>
          <w:szCs w:val="21"/>
          <w:highlight w:val="none"/>
        </w:rPr>
      </w:pPr>
      <w:bookmarkStart w:id="137" w:name="_40.1投标人接到中标通知书后，按须知前附表规定向采购人出示相关资格证"/>
      <w:bookmarkEnd w:id="137"/>
      <w:r>
        <w:rPr>
          <w:rFonts w:hint="eastAsia" w:ascii="宋体" w:hAnsi="宋体"/>
          <w:b w:val="0"/>
          <w:color w:val="auto"/>
          <w:sz w:val="21"/>
          <w:szCs w:val="21"/>
          <w:highlight w:val="none"/>
        </w:rPr>
        <w:t xml:space="preserve"> </w:t>
      </w:r>
      <w:r>
        <w:rPr>
          <w:rFonts w:hint="eastAsia" w:ascii="宋体" w:hAnsi="宋体"/>
          <w:color w:val="auto"/>
          <w:sz w:val="21"/>
          <w:szCs w:val="21"/>
          <w:highlight w:val="none"/>
        </w:rPr>
        <w:t>36.1签订电子采购合同：中标人领取电子中标通知书后，</w:t>
      </w:r>
      <w:r>
        <w:rPr>
          <w:rFonts w:hint="eastAsia" w:ascii="宋体" w:hAnsi="宋体"/>
          <w:color w:val="auto"/>
          <w:kern w:val="0"/>
          <w:sz w:val="21"/>
          <w:szCs w:val="21"/>
          <w:highlight w:val="none"/>
        </w:rPr>
        <w:t>在</w:t>
      </w:r>
      <w:r>
        <w:rPr>
          <w:rFonts w:hint="eastAsia" w:ascii="宋体" w:hAnsi="宋体"/>
          <w:color w:val="auto"/>
          <w:kern w:val="0"/>
          <w:sz w:val="21"/>
          <w:szCs w:val="21"/>
          <w:highlight w:val="none"/>
          <w:lang w:val="zh-CN"/>
        </w:rPr>
        <w:t>规定的日期、时间、地点，由法定代表人（或负责人）或其授权代表与采购人代表签订电子采购合同。如中标人为联合体的，由联合体成员各方法定代表人（或负责人）或其授权代表与采购人代表签订合同。</w:t>
      </w:r>
    </w:p>
    <w:p w14:paraId="2904CC94">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38290B55">
      <w:pPr>
        <w:pStyle w:val="9"/>
        <w:keepNext w:val="0"/>
        <w:keepLines w:val="0"/>
        <w:numPr>
          <w:ilvl w:val="4"/>
          <w:numId w:val="0"/>
        </w:numPr>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19A483E3">
      <w:pPr>
        <w:pStyle w:val="9"/>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576464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168805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36.5采购人或中标人不得单方面向合同另一方提出任何招标文件没有约定的条件或不合理的要求，作为签订合同的条件；也不得协商另行订立背离招标文件和合同实质性内容的协议。</w:t>
      </w:r>
    </w:p>
    <w:p w14:paraId="611157E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7167581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24AB7C9E">
      <w:pPr>
        <w:pStyle w:val="9"/>
        <w:keepNext w:val="0"/>
        <w:keepLines w:val="0"/>
        <w:spacing w:before="0" w:after="0" w:line="360" w:lineRule="auto"/>
        <w:ind w:left="420" w:leftChars="200"/>
        <w:rPr>
          <w:rFonts w:ascii="宋体" w:hAnsi="宋体"/>
          <w:color w:val="auto"/>
          <w:sz w:val="24"/>
          <w:highlight w:val="none"/>
        </w:rPr>
      </w:pPr>
      <w:bookmarkStart w:id="138" w:name="_41.政府采购合同公告"/>
      <w:bookmarkEnd w:id="138"/>
      <w:r>
        <w:rPr>
          <w:rFonts w:hint="eastAsia" w:ascii="宋体" w:hAnsi="宋体"/>
          <w:color w:val="auto"/>
          <w:sz w:val="24"/>
          <w:highlight w:val="none"/>
        </w:rPr>
        <w:t>37.政府采购合同公告</w:t>
      </w:r>
    </w:p>
    <w:p w14:paraId="61D88274">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4A1179CD">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8.</w:t>
      </w:r>
      <w:r>
        <w:rPr>
          <w:rFonts w:hint="eastAsia" w:ascii="宋体" w:hAnsi="宋体"/>
          <w:color w:val="auto"/>
          <w:sz w:val="24"/>
          <w:highlight w:val="none"/>
        </w:rPr>
        <w:t xml:space="preserve"> 询问、质疑和投诉</w:t>
      </w:r>
    </w:p>
    <w:p w14:paraId="1B7A8943">
      <w:pPr>
        <w:pStyle w:val="10"/>
        <w:spacing w:line="360" w:lineRule="auto"/>
        <w:rPr>
          <w:rFonts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46F0965F">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16C59BD9">
      <w:pPr>
        <w:pStyle w:val="27"/>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w:t>
      </w:r>
      <w:r>
        <w:rPr>
          <w:rFonts w:hint="eastAsia" w:hAnsi="宋体"/>
          <w:color w:val="auto"/>
          <w:sz w:val="21"/>
          <w:highlight w:val="none"/>
        </w:rPr>
        <w:t>获取招标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35F8856F">
      <w:pPr>
        <w:pStyle w:val="27"/>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1A23D69B">
      <w:pPr>
        <w:pStyle w:val="27"/>
        <w:snapToGrid w:val="0"/>
        <w:spacing w:line="360" w:lineRule="auto"/>
        <w:ind w:firstLine="420" w:firstLineChars="200"/>
        <w:rPr>
          <w:rFonts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6BECC5A2">
      <w:pPr>
        <w:pStyle w:val="9"/>
        <w:keepNext w:val="0"/>
        <w:keepLines w:val="0"/>
        <w:spacing w:before="0" w:after="0" w:line="360" w:lineRule="auto"/>
        <w:ind w:firstLine="315" w:firstLineChars="150"/>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ascii="宋体" w:hAnsi="宋体"/>
          <w:b w:val="0"/>
          <w:bCs/>
          <w:color w:val="auto"/>
          <w:sz w:val="21"/>
          <w:highlight w:val="none"/>
        </w:rPr>
        <w:t>供应商提出质疑应当提交质疑函和必要的证明材料</w:t>
      </w:r>
      <w:r>
        <w:rPr>
          <w:rFonts w:hint="eastAsia" w:ascii="宋体" w:hAnsi="宋体"/>
          <w:b w:val="0"/>
          <w:bCs/>
          <w:color w:val="auto"/>
          <w:sz w:val="21"/>
          <w:highlight w:val="none"/>
        </w:rPr>
        <w:t>，</w:t>
      </w:r>
      <w:r>
        <w:rPr>
          <w:rFonts w:ascii="宋体" w:hAnsi="宋体"/>
          <w:b w:val="0"/>
          <w:bCs/>
          <w:color w:val="auto"/>
          <w:sz w:val="21"/>
          <w:highlight w:val="none"/>
        </w:rPr>
        <w:t>针对同一采购程序环节的质疑</w:t>
      </w:r>
      <w:r>
        <w:rPr>
          <w:rFonts w:hint="eastAsia" w:ascii="宋体" w:hAnsi="宋体"/>
          <w:b w:val="0"/>
          <w:bCs/>
          <w:color w:val="auto"/>
          <w:sz w:val="21"/>
          <w:highlight w:val="none"/>
        </w:rPr>
        <w:t>必须</w:t>
      </w:r>
      <w:r>
        <w:rPr>
          <w:rFonts w:ascii="宋体" w:hAnsi="宋体"/>
          <w:b w:val="0"/>
          <w:bCs/>
          <w:color w:val="auto"/>
          <w:sz w:val="21"/>
          <w:highlight w:val="none"/>
        </w:rPr>
        <w:t>在法定质疑期内一次性提出。质疑函应当包括下列内容</w:t>
      </w:r>
      <w:r>
        <w:rPr>
          <w:rFonts w:hint="eastAsia" w:ascii="宋体" w:hAnsi="宋体"/>
          <w:b w:val="0"/>
          <w:bCs/>
          <w:color w:val="auto"/>
          <w:sz w:val="21"/>
          <w:highlight w:val="none"/>
        </w:rPr>
        <w:t>（质疑函格式后附）</w:t>
      </w:r>
      <w:r>
        <w:rPr>
          <w:rFonts w:ascii="宋体" w:hAnsi="宋体"/>
          <w:b w:val="0"/>
          <w:bCs/>
          <w:color w:val="auto"/>
          <w:sz w:val="21"/>
          <w:highlight w:val="none"/>
        </w:rPr>
        <w:t>：</w:t>
      </w:r>
    </w:p>
    <w:p w14:paraId="7566C312">
      <w:pPr>
        <w:pStyle w:val="27"/>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0256870C">
      <w:pPr>
        <w:pStyle w:val="27"/>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4C87946D">
      <w:pPr>
        <w:pStyle w:val="27"/>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0855F4DE">
      <w:pPr>
        <w:pStyle w:val="27"/>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649F95E7">
      <w:pPr>
        <w:pStyle w:val="27"/>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5946B408">
      <w:pPr>
        <w:pStyle w:val="27"/>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08756D14">
      <w:pPr>
        <w:pStyle w:val="27"/>
        <w:snapToGrid w:val="0"/>
        <w:spacing w:line="360" w:lineRule="auto"/>
        <w:ind w:firstLine="420" w:firstLineChars="200"/>
        <w:rPr>
          <w:rFonts w:hAnsi="宋体"/>
          <w:bCs/>
          <w:color w:val="auto"/>
          <w:sz w:val="21"/>
          <w:highlight w:val="none"/>
        </w:rPr>
      </w:pPr>
      <w:r>
        <w:rPr>
          <w:rFonts w:hAnsi="宋体"/>
          <w:bCs/>
          <w:color w:val="auto"/>
          <w:sz w:val="21"/>
          <w:highlight w:val="none"/>
        </w:rPr>
        <w:t>供应商为自然人的，应当由本人签字；供应商为法人或者其他组织的，应当由</w:t>
      </w:r>
      <w:r>
        <w:rPr>
          <w:rFonts w:hint="eastAsia" w:hAnsi="宋体"/>
          <w:bCs/>
          <w:color w:val="auto"/>
          <w:sz w:val="21"/>
          <w:highlight w:val="none"/>
        </w:rPr>
        <w:t>法定代表人（或负责人）</w:t>
      </w:r>
      <w:r>
        <w:rPr>
          <w:rFonts w:hAnsi="宋体"/>
          <w:bCs/>
          <w:color w:val="auto"/>
          <w:sz w:val="21"/>
          <w:highlight w:val="none"/>
        </w:rPr>
        <w:t>、主要负责人，或者其委托代理人签字或者盖章，并加盖公章</w:t>
      </w:r>
      <w:r>
        <w:rPr>
          <w:rFonts w:hint="eastAsia" w:hAnsi="宋体"/>
          <w:bCs/>
          <w:color w:val="auto"/>
          <w:sz w:val="21"/>
          <w:highlight w:val="none"/>
        </w:rPr>
        <w:t>。</w:t>
      </w:r>
    </w:p>
    <w:p w14:paraId="1BE64766">
      <w:pPr>
        <w:pStyle w:val="9"/>
        <w:keepNext w:val="0"/>
        <w:keepLines w:val="0"/>
        <w:snapToGrid w:val="0"/>
        <w:spacing w:before="0" w:after="0" w:line="360" w:lineRule="auto"/>
        <w:ind w:firstLine="420" w:firstLineChars="200"/>
        <w:rPr>
          <w:rFonts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6C4DD132">
      <w:pPr>
        <w:pStyle w:val="27"/>
        <w:snapToGrid w:val="0"/>
        <w:spacing w:line="360" w:lineRule="auto"/>
        <w:rPr>
          <w:rFonts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005F4D66">
      <w:pPr>
        <w:pStyle w:val="27"/>
        <w:snapToGrid w:val="0"/>
        <w:spacing w:line="360" w:lineRule="auto"/>
        <w:rPr>
          <w:rFonts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6328FAA0">
      <w:pPr>
        <w:pStyle w:val="27"/>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3623AB49">
      <w:pPr>
        <w:pStyle w:val="27"/>
        <w:snapToGrid w:val="0"/>
        <w:spacing w:line="360" w:lineRule="auto"/>
        <w:ind w:firstLine="420" w:firstLineChars="200"/>
        <w:rPr>
          <w:rFonts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16EEB9C">
      <w:pPr>
        <w:pStyle w:val="7"/>
        <w:keepNext w:val="0"/>
        <w:keepLines w:val="0"/>
        <w:jc w:val="center"/>
        <w:rPr>
          <w:rFonts w:ascii="宋体" w:hAnsi="宋体"/>
          <w:color w:val="auto"/>
          <w:highlight w:val="none"/>
        </w:rPr>
      </w:pPr>
      <w:r>
        <w:rPr>
          <w:rFonts w:hint="eastAsia" w:ascii="宋体" w:hAnsi="宋体"/>
          <w:color w:val="auto"/>
          <w:highlight w:val="none"/>
        </w:rPr>
        <w:t>八、其他事项</w:t>
      </w:r>
    </w:p>
    <w:p w14:paraId="67517C36">
      <w:pPr>
        <w:pStyle w:val="9"/>
        <w:keepNext w:val="0"/>
        <w:keepLines w:val="0"/>
        <w:spacing w:before="0" w:after="0" w:line="360" w:lineRule="auto"/>
        <w:ind w:left="420" w:leftChars="200"/>
        <w:rPr>
          <w:rFonts w:ascii="宋体" w:hAnsi="宋体"/>
          <w:color w:val="auto"/>
          <w:sz w:val="24"/>
          <w:highlight w:val="none"/>
        </w:rPr>
      </w:pPr>
      <w:bookmarkStart w:id="139" w:name="_42.代理服务费"/>
      <w:bookmarkEnd w:id="139"/>
      <w:r>
        <w:rPr>
          <w:rFonts w:hint="eastAsia" w:ascii="宋体" w:hAnsi="宋体"/>
          <w:color w:val="auto"/>
          <w:sz w:val="24"/>
          <w:highlight w:val="none"/>
        </w:rPr>
        <w:t>3</w:t>
      </w:r>
      <w:r>
        <w:rPr>
          <w:rFonts w:ascii="宋体" w:hAnsi="宋体"/>
          <w:color w:val="auto"/>
          <w:sz w:val="24"/>
          <w:highlight w:val="none"/>
        </w:rPr>
        <w:t>9</w:t>
      </w:r>
      <w:r>
        <w:rPr>
          <w:rFonts w:hint="eastAsia" w:ascii="宋体" w:hAnsi="宋体"/>
          <w:color w:val="auto"/>
          <w:sz w:val="24"/>
          <w:highlight w:val="none"/>
        </w:rPr>
        <w:t>.代理服务费</w:t>
      </w:r>
    </w:p>
    <w:p w14:paraId="3C171AD4">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.1代理服务收取标准及缴费账户详见“投标人须知前附表”，投标人为联合体的，可以由联合体中的一方或者多方共同交纳代理服务费。</w:t>
      </w:r>
    </w:p>
    <w:p w14:paraId="5D6D107B">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.2代理服务收费标准：</w:t>
      </w:r>
    </w:p>
    <w:tbl>
      <w:tblPr>
        <w:tblStyle w:val="50"/>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1"/>
        <w:gridCol w:w="1753"/>
        <w:gridCol w:w="1783"/>
        <w:gridCol w:w="1753"/>
      </w:tblGrid>
      <w:tr w14:paraId="4790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131" w:type="dxa"/>
            <w:tcBorders>
              <w:tl2br w:val="single" w:color="auto" w:sz="4" w:space="0"/>
            </w:tcBorders>
          </w:tcPr>
          <w:p w14:paraId="3C1E13E1">
            <w:pPr>
              <w:spacing w:line="360" w:lineRule="auto"/>
              <w:rPr>
                <w:rFonts w:ascii="宋体" w:hAnsi="宋体"/>
                <w:color w:val="auto"/>
                <w:szCs w:val="21"/>
                <w:highlight w:val="none"/>
              </w:rPr>
            </w:pPr>
            <w:r>
              <w:rPr>
                <w:rFonts w:hint="eastAsia" w:ascii="宋体" w:hAnsi="宋体"/>
                <w:color w:val="auto"/>
                <w:szCs w:val="21"/>
                <w:highlight w:val="none"/>
              </w:rPr>
              <w:t xml:space="preserve">               费率</w:t>
            </w:r>
          </w:p>
          <w:p w14:paraId="68ED665E">
            <w:pPr>
              <w:spacing w:line="360" w:lineRule="auto"/>
              <w:rPr>
                <w:rFonts w:ascii="宋体" w:hAnsi="宋体"/>
                <w:color w:val="auto"/>
                <w:szCs w:val="21"/>
                <w:highlight w:val="none"/>
              </w:rPr>
            </w:pPr>
            <w:r>
              <w:rPr>
                <w:rFonts w:hint="eastAsia" w:ascii="宋体" w:hAnsi="宋体"/>
                <w:color w:val="auto"/>
                <w:szCs w:val="21"/>
                <w:highlight w:val="none"/>
              </w:rPr>
              <w:t>中标金额</w:t>
            </w:r>
          </w:p>
        </w:tc>
        <w:tc>
          <w:tcPr>
            <w:tcW w:w="1753" w:type="dxa"/>
            <w:vAlign w:val="center"/>
          </w:tcPr>
          <w:p w14:paraId="767D16DC">
            <w:pPr>
              <w:spacing w:line="360" w:lineRule="auto"/>
              <w:ind w:firstLine="105" w:firstLineChars="50"/>
              <w:jc w:val="center"/>
              <w:rPr>
                <w:rFonts w:ascii="宋体" w:hAnsi="宋体"/>
                <w:color w:val="auto"/>
                <w:szCs w:val="21"/>
                <w:highlight w:val="none"/>
              </w:rPr>
            </w:pPr>
            <w:r>
              <w:rPr>
                <w:rFonts w:hint="eastAsia" w:ascii="宋体" w:hAnsi="宋体"/>
                <w:color w:val="auto"/>
                <w:szCs w:val="21"/>
                <w:highlight w:val="none"/>
              </w:rPr>
              <w:t>货物招标</w:t>
            </w:r>
          </w:p>
        </w:tc>
        <w:tc>
          <w:tcPr>
            <w:tcW w:w="1783" w:type="dxa"/>
            <w:vAlign w:val="center"/>
          </w:tcPr>
          <w:p w14:paraId="37E2F9A6">
            <w:pPr>
              <w:spacing w:line="360" w:lineRule="auto"/>
              <w:jc w:val="center"/>
              <w:rPr>
                <w:rFonts w:ascii="宋体" w:hAnsi="宋体"/>
                <w:color w:val="auto"/>
                <w:szCs w:val="21"/>
                <w:highlight w:val="none"/>
              </w:rPr>
            </w:pPr>
            <w:r>
              <w:rPr>
                <w:rFonts w:hint="eastAsia" w:ascii="宋体" w:hAnsi="宋体"/>
                <w:color w:val="auto"/>
                <w:szCs w:val="21"/>
                <w:highlight w:val="none"/>
              </w:rPr>
              <w:t>服务招标</w:t>
            </w:r>
          </w:p>
        </w:tc>
        <w:tc>
          <w:tcPr>
            <w:tcW w:w="1753" w:type="dxa"/>
            <w:vAlign w:val="center"/>
          </w:tcPr>
          <w:p w14:paraId="1990155F">
            <w:pPr>
              <w:spacing w:line="360" w:lineRule="auto"/>
              <w:jc w:val="center"/>
              <w:rPr>
                <w:rFonts w:ascii="宋体" w:hAnsi="宋体"/>
                <w:color w:val="auto"/>
                <w:szCs w:val="21"/>
                <w:highlight w:val="none"/>
              </w:rPr>
            </w:pPr>
            <w:r>
              <w:rPr>
                <w:rFonts w:hint="eastAsia" w:ascii="宋体" w:hAnsi="宋体"/>
                <w:color w:val="auto"/>
                <w:szCs w:val="21"/>
                <w:highlight w:val="none"/>
              </w:rPr>
              <w:t>工程招标</w:t>
            </w:r>
          </w:p>
        </w:tc>
      </w:tr>
      <w:tr w14:paraId="678C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31" w:type="dxa"/>
          </w:tcPr>
          <w:p w14:paraId="11D4978A">
            <w:pP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1753" w:type="dxa"/>
          </w:tcPr>
          <w:p w14:paraId="23C64993">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1.5%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783" w:type="dxa"/>
          </w:tcPr>
          <w:p w14:paraId="090147F9">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1.5%</w:t>
            </w:r>
          </w:p>
        </w:tc>
        <w:tc>
          <w:tcPr>
            <w:tcW w:w="1753" w:type="dxa"/>
          </w:tcPr>
          <w:p w14:paraId="1132DE72">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1.0% </w:t>
            </w:r>
          </w:p>
        </w:tc>
      </w:tr>
      <w:tr w14:paraId="1DDD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31" w:type="dxa"/>
          </w:tcPr>
          <w:p w14:paraId="13C018E5">
            <w:pPr>
              <w:spacing w:line="360" w:lineRule="auto"/>
              <w:rPr>
                <w:rFonts w:ascii="宋体" w:hAnsi="宋体"/>
                <w:color w:val="auto"/>
                <w:szCs w:val="21"/>
                <w:highlight w:val="none"/>
              </w:rPr>
            </w:pPr>
            <w:r>
              <w:rPr>
                <w:rFonts w:hint="eastAsia" w:ascii="宋体" w:hAnsi="宋体"/>
                <w:color w:val="auto"/>
                <w:szCs w:val="21"/>
                <w:highlight w:val="none"/>
              </w:rPr>
              <w:t>100～500万元</w:t>
            </w:r>
          </w:p>
        </w:tc>
        <w:tc>
          <w:tcPr>
            <w:tcW w:w="1753" w:type="dxa"/>
          </w:tcPr>
          <w:p w14:paraId="4B87D83E">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1.1% </w:t>
            </w:r>
            <w:r>
              <w:rPr>
                <w:rFonts w:hint="eastAsia" w:ascii="宋体" w:hAnsi="宋体" w:cs="宋体"/>
                <w:color w:val="auto"/>
                <w:kern w:val="0"/>
                <w:szCs w:val="21"/>
                <w:highlight w:val="none"/>
              </w:rPr>
              <w:t xml:space="preserve">                </w:t>
            </w:r>
          </w:p>
        </w:tc>
        <w:tc>
          <w:tcPr>
            <w:tcW w:w="1783" w:type="dxa"/>
          </w:tcPr>
          <w:p w14:paraId="357F8E34">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0.8%</w:t>
            </w:r>
          </w:p>
        </w:tc>
        <w:tc>
          <w:tcPr>
            <w:tcW w:w="1753" w:type="dxa"/>
          </w:tcPr>
          <w:p w14:paraId="797F25E5">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0.7% </w:t>
            </w:r>
          </w:p>
        </w:tc>
      </w:tr>
      <w:tr w14:paraId="4796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31" w:type="dxa"/>
          </w:tcPr>
          <w:p w14:paraId="6123BB18">
            <w:pPr>
              <w:spacing w:line="360" w:lineRule="auto"/>
              <w:rPr>
                <w:rFonts w:ascii="宋体" w:hAnsi="宋体"/>
                <w:color w:val="auto"/>
                <w:szCs w:val="21"/>
                <w:highlight w:val="none"/>
              </w:rPr>
            </w:pPr>
            <w:r>
              <w:rPr>
                <w:rFonts w:hint="eastAsia" w:ascii="宋体" w:hAnsi="宋体"/>
                <w:color w:val="auto"/>
                <w:szCs w:val="21"/>
                <w:highlight w:val="none"/>
              </w:rPr>
              <w:t>500～1000万元</w:t>
            </w:r>
          </w:p>
        </w:tc>
        <w:tc>
          <w:tcPr>
            <w:tcW w:w="1753" w:type="dxa"/>
          </w:tcPr>
          <w:p w14:paraId="32CD60E2">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0.8% </w:t>
            </w:r>
            <w:r>
              <w:rPr>
                <w:rFonts w:hint="eastAsia" w:ascii="宋体" w:hAnsi="宋体" w:cs="宋体"/>
                <w:color w:val="auto"/>
                <w:kern w:val="0"/>
                <w:szCs w:val="21"/>
                <w:highlight w:val="none"/>
              </w:rPr>
              <w:t xml:space="preserve">               </w:t>
            </w:r>
          </w:p>
        </w:tc>
        <w:tc>
          <w:tcPr>
            <w:tcW w:w="1783" w:type="dxa"/>
          </w:tcPr>
          <w:p w14:paraId="0C0A9DCA">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0.45%</w:t>
            </w:r>
          </w:p>
        </w:tc>
        <w:tc>
          <w:tcPr>
            <w:tcW w:w="1753" w:type="dxa"/>
          </w:tcPr>
          <w:p w14:paraId="0E54002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0.55%</w:t>
            </w:r>
          </w:p>
        </w:tc>
      </w:tr>
      <w:tr w14:paraId="0BF8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31" w:type="dxa"/>
          </w:tcPr>
          <w:p w14:paraId="61F9EB1F">
            <w:pPr>
              <w:spacing w:line="360" w:lineRule="auto"/>
              <w:rPr>
                <w:rFonts w:ascii="宋体" w:hAnsi="宋体"/>
                <w:color w:val="auto"/>
                <w:szCs w:val="21"/>
                <w:highlight w:val="none"/>
              </w:rPr>
            </w:pPr>
            <w:r>
              <w:rPr>
                <w:rFonts w:hint="eastAsia" w:ascii="宋体" w:hAnsi="宋体"/>
                <w:color w:val="auto"/>
                <w:szCs w:val="21"/>
                <w:highlight w:val="none"/>
              </w:rPr>
              <w:t>1000～5000万元</w:t>
            </w:r>
          </w:p>
        </w:tc>
        <w:tc>
          <w:tcPr>
            <w:tcW w:w="1753" w:type="dxa"/>
          </w:tcPr>
          <w:p w14:paraId="4BBDF03C">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0.5% </w:t>
            </w:r>
            <w:r>
              <w:rPr>
                <w:rFonts w:hint="eastAsia" w:ascii="宋体" w:hAnsi="宋体" w:cs="宋体"/>
                <w:color w:val="auto"/>
                <w:kern w:val="0"/>
                <w:szCs w:val="21"/>
                <w:highlight w:val="none"/>
              </w:rPr>
              <w:t xml:space="preserve">               </w:t>
            </w:r>
          </w:p>
        </w:tc>
        <w:tc>
          <w:tcPr>
            <w:tcW w:w="1783" w:type="dxa"/>
          </w:tcPr>
          <w:p w14:paraId="50B5FDD2">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0.25%</w:t>
            </w:r>
          </w:p>
        </w:tc>
        <w:tc>
          <w:tcPr>
            <w:tcW w:w="1753" w:type="dxa"/>
          </w:tcPr>
          <w:p w14:paraId="70D73AD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0.35% </w:t>
            </w:r>
          </w:p>
        </w:tc>
      </w:tr>
      <w:tr w14:paraId="35F92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31" w:type="dxa"/>
          </w:tcPr>
          <w:p w14:paraId="5EFEAF5F">
            <w:pP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1753" w:type="dxa"/>
          </w:tcPr>
          <w:p w14:paraId="6B9AAA2C">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0.25%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783" w:type="dxa"/>
          </w:tcPr>
          <w:p w14:paraId="277F51F2">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0.1%</w:t>
            </w:r>
          </w:p>
        </w:tc>
        <w:tc>
          <w:tcPr>
            <w:tcW w:w="1753" w:type="dxa"/>
          </w:tcPr>
          <w:p w14:paraId="5A778369">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w:t>
            </w:r>
          </w:p>
        </w:tc>
      </w:tr>
      <w:tr w14:paraId="668F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31" w:type="dxa"/>
          </w:tcPr>
          <w:p w14:paraId="332B7220">
            <w:pPr>
              <w:spacing w:line="360" w:lineRule="auto"/>
              <w:rPr>
                <w:rFonts w:ascii="宋体" w:hAnsi="宋体"/>
                <w:color w:val="auto"/>
                <w:szCs w:val="21"/>
                <w:highlight w:val="none"/>
              </w:rPr>
            </w:pPr>
            <w:r>
              <w:rPr>
                <w:rFonts w:hint="eastAsia" w:ascii="宋体" w:hAnsi="宋体"/>
                <w:color w:val="auto"/>
                <w:szCs w:val="21"/>
                <w:highlight w:val="none"/>
              </w:rPr>
              <w:t>1～5亿元</w:t>
            </w:r>
          </w:p>
        </w:tc>
        <w:tc>
          <w:tcPr>
            <w:tcW w:w="1753" w:type="dxa"/>
          </w:tcPr>
          <w:p w14:paraId="24C60580">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0.05%</w:t>
            </w:r>
          </w:p>
        </w:tc>
        <w:tc>
          <w:tcPr>
            <w:tcW w:w="1783" w:type="dxa"/>
          </w:tcPr>
          <w:p w14:paraId="5BCDCB1A">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c>
          <w:tcPr>
            <w:tcW w:w="1753" w:type="dxa"/>
          </w:tcPr>
          <w:p w14:paraId="00F588DA">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r>
      <w:tr w14:paraId="4561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31" w:type="dxa"/>
          </w:tcPr>
          <w:p w14:paraId="370FEBC7">
            <w:pPr>
              <w:spacing w:line="360" w:lineRule="auto"/>
              <w:rPr>
                <w:rFonts w:ascii="宋体" w:hAnsi="宋体"/>
                <w:color w:val="auto"/>
                <w:szCs w:val="21"/>
                <w:highlight w:val="none"/>
              </w:rPr>
            </w:pPr>
            <w:r>
              <w:rPr>
                <w:rFonts w:hint="eastAsia" w:ascii="宋体" w:hAnsi="宋体"/>
                <w:color w:val="auto"/>
                <w:szCs w:val="21"/>
                <w:highlight w:val="none"/>
              </w:rPr>
              <w:t>5～10亿元</w:t>
            </w:r>
          </w:p>
        </w:tc>
        <w:tc>
          <w:tcPr>
            <w:tcW w:w="1753" w:type="dxa"/>
          </w:tcPr>
          <w:p w14:paraId="78D4F314">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c>
          <w:tcPr>
            <w:tcW w:w="1783" w:type="dxa"/>
          </w:tcPr>
          <w:p w14:paraId="1C7E328A">
            <w:pPr>
              <w:spacing w:line="360" w:lineRule="auto"/>
              <w:rPr>
                <w:rFonts w:ascii="宋体" w:hAnsi="宋体"/>
                <w:color w:val="auto"/>
                <w:szCs w:val="21"/>
                <w:highlight w:val="none"/>
              </w:rPr>
            </w:pPr>
            <w:r>
              <w:rPr>
                <w:rFonts w:hint="eastAsia" w:ascii="宋体" w:hAnsi="宋体"/>
                <w:color w:val="auto"/>
                <w:szCs w:val="21"/>
                <w:highlight w:val="none"/>
              </w:rPr>
              <w:t xml:space="preserve">  0.035%</w:t>
            </w:r>
          </w:p>
        </w:tc>
        <w:tc>
          <w:tcPr>
            <w:tcW w:w="1753" w:type="dxa"/>
          </w:tcPr>
          <w:p w14:paraId="30659DBE">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18D6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31" w:type="dxa"/>
          </w:tcPr>
          <w:p w14:paraId="41956FE6">
            <w:pPr>
              <w:spacing w:line="360" w:lineRule="auto"/>
              <w:rPr>
                <w:rFonts w:ascii="宋体" w:hAnsi="宋体"/>
                <w:color w:val="auto"/>
                <w:szCs w:val="21"/>
                <w:highlight w:val="none"/>
              </w:rPr>
            </w:pPr>
            <w:r>
              <w:rPr>
                <w:rFonts w:hint="eastAsia" w:ascii="宋体" w:hAnsi="宋体"/>
                <w:color w:val="auto"/>
                <w:szCs w:val="21"/>
                <w:highlight w:val="none"/>
              </w:rPr>
              <w:t>10～50亿元</w:t>
            </w:r>
          </w:p>
        </w:tc>
        <w:tc>
          <w:tcPr>
            <w:tcW w:w="1753" w:type="dxa"/>
          </w:tcPr>
          <w:p w14:paraId="1CF2A6B8">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c>
          <w:tcPr>
            <w:tcW w:w="1783" w:type="dxa"/>
          </w:tcPr>
          <w:p w14:paraId="23F2A45B">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753" w:type="dxa"/>
          </w:tcPr>
          <w:p w14:paraId="2E9803C9">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32B6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31" w:type="dxa"/>
          </w:tcPr>
          <w:p w14:paraId="672B3C97">
            <w:pPr>
              <w:spacing w:line="360" w:lineRule="auto"/>
              <w:rPr>
                <w:rFonts w:ascii="宋体" w:hAnsi="宋体"/>
                <w:color w:val="auto"/>
                <w:szCs w:val="21"/>
                <w:highlight w:val="none"/>
              </w:rPr>
            </w:pPr>
            <w:r>
              <w:rPr>
                <w:rFonts w:hint="eastAsia" w:ascii="宋体" w:hAnsi="宋体"/>
                <w:color w:val="auto"/>
                <w:szCs w:val="21"/>
                <w:highlight w:val="none"/>
              </w:rPr>
              <w:t>50～100亿元</w:t>
            </w:r>
          </w:p>
        </w:tc>
        <w:tc>
          <w:tcPr>
            <w:tcW w:w="1753" w:type="dxa"/>
          </w:tcPr>
          <w:p w14:paraId="00C06C9D">
            <w:pPr>
              <w:spacing w:line="360" w:lineRule="auto"/>
              <w:rPr>
                <w:rFonts w:ascii="宋体" w:hAnsi="宋体"/>
                <w:color w:val="auto"/>
                <w:szCs w:val="21"/>
                <w:highlight w:val="none"/>
              </w:rPr>
            </w:pPr>
            <w:r>
              <w:rPr>
                <w:rFonts w:hint="eastAsia" w:ascii="宋体" w:hAnsi="宋体"/>
                <w:color w:val="auto"/>
                <w:szCs w:val="21"/>
                <w:highlight w:val="none"/>
              </w:rPr>
              <w:t xml:space="preserve"> 0.006%</w:t>
            </w:r>
          </w:p>
        </w:tc>
        <w:tc>
          <w:tcPr>
            <w:tcW w:w="1783" w:type="dxa"/>
          </w:tcPr>
          <w:p w14:paraId="71136AE5">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753" w:type="dxa"/>
          </w:tcPr>
          <w:p w14:paraId="10F8C550">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4208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31" w:type="dxa"/>
          </w:tcPr>
          <w:p w14:paraId="14A6E0B0">
            <w:pPr>
              <w:spacing w:line="360" w:lineRule="auto"/>
              <w:rPr>
                <w:rFonts w:ascii="宋体" w:hAnsi="宋体"/>
                <w:color w:val="auto"/>
                <w:szCs w:val="21"/>
                <w:highlight w:val="none"/>
              </w:rPr>
            </w:pPr>
            <w:r>
              <w:rPr>
                <w:rFonts w:hint="eastAsia" w:ascii="宋体" w:hAnsi="宋体"/>
                <w:color w:val="auto"/>
                <w:szCs w:val="21"/>
                <w:highlight w:val="none"/>
              </w:rPr>
              <w:t>100亿以上</w:t>
            </w:r>
          </w:p>
        </w:tc>
        <w:tc>
          <w:tcPr>
            <w:tcW w:w="1753" w:type="dxa"/>
          </w:tcPr>
          <w:p w14:paraId="61067B81">
            <w:pPr>
              <w:spacing w:line="360" w:lineRule="auto"/>
              <w:rPr>
                <w:rFonts w:ascii="宋体" w:hAnsi="宋体"/>
                <w:color w:val="auto"/>
                <w:szCs w:val="21"/>
                <w:highlight w:val="none"/>
              </w:rPr>
            </w:pPr>
            <w:r>
              <w:rPr>
                <w:rFonts w:hint="eastAsia" w:ascii="宋体" w:hAnsi="宋体"/>
                <w:color w:val="auto"/>
                <w:szCs w:val="21"/>
                <w:highlight w:val="none"/>
              </w:rPr>
              <w:t xml:space="preserve"> 0.004%</w:t>
            </w:r>
          </w:p>
        </w:tc>
        <w:tc>
          <w:tcPr>
            <w:tcW w:w="1783" w:type="dxa"/>
          </w:tcPr>
          <w:p w14:paraId="50BCED36">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753" w:type="dxa"/>
          </w:tcPr>
          <w:p w14:paraId="7AE5194A">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4D230A17">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5446E0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3E0D7E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26B24EC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货物采购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2185BC42">
      <w:pPr>
        <w:spacing w:line="360" w:lineRule="auto"/>
        <w:ind w:firstLine="630" w:firstLineChars="300"/>
        <w:rPr>
          <w:rFonts w:ascii="宋体" w:hAnsi="宋体" w:cs="宋体"/>
          <w:color w:val="auto"/>
          <w:szCs w:val="21"/>
          <w:highlight w:val="none"/>
        </w:rPr>
      </w:pPr>
      <w:r>
        <w:rPr>
          <w:rFonts w:ascii="宋体" w:hAnsi="宋体" w:cs="宋体"/>
          <w:color w:val="auto"/>
          <w:szCs w:val="21"/>
          <w:highlight w:val="none"/>
        </w:rPr>
        <w:t>100万元×l.5 ％＝1.5万元</w:t>
      </w:r>
    </w:p>
    <w:p w14:paraId="2293E2C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（200</w:t>
      </w:r>
      <w:r>
        <w:rPr>
          <w:rFonts w:hint="eastAsia" w:ascii="宋体" w:hAnsi="宋体" w:cs="宋体"/>
          <w:color w:val="auto"/>
          <w:szCs w:val="21"/>
          <w:highlight w:val="none"/>
        </w:rPr>
        <w:t>-</w:t>
      </w:r>
      <w:r>
        <w:rPr>
          <w:rFonts w:ascii="宋体" w:hAnsi="宋体" w:cs="宋体"/>
          <w:color w:val="auto"/>
          <w:szCs w:val="21"/>
          <w:highlight w:val="none"/>
        </w:rPr>
        <w:t>100）万元×1.1％＝1.1万元</w:t>
      </w:r>
    </w:p>
    <w:p w14:paraId="1E6FCBF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合计收费＝1.5</w:t>
      </w:r>
      <w:r>
        <w:rPr>
          <w:rFonts w:hint="eastAsia" w:ascii="宋体" w:hAnsi="宋体" w:cs="宋体"/>
          <w:color w:val="auto"/>
          <w:szCs w:val="21"/>
          <w:highlight w:val="none"/>
        </w:rPr>
        <w:t>+</w:t>
      </w:r>
      <w:r>
        <w:rPr>
          <w:rFonts w:ascii="宋体" w:hAnsi="宋体" w:cs="宋体"/>
          <w:color w:val="auto"/>
          <w:szCs w:val="21"/>
          <w:highlight w:val="none"/>
        </w:rPr>
        <w:t>1.1＝ 2.6（万元）</w:t>
      </w:r>
    </w:p>
    <w:p w14:paraId="41F10DF0">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40. 需要补充的其他内容</w:t>
      </w:r>
    </w:p>
    <w:p w14:paraId="57B07B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40.1本招标文件解释规则详见“投标人须知前附表”。</w:t>
      </w:r>
    </w:p>
    <w:p w14:paraId="286D1A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40.2 其他事项详见“投标人须知前附表”。</w:t>
      </w:r>
    </w:p>
    <w:p w14:paraId="7C8E5D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40.3</w:t>
      </w:r>
      <w:bookmarkStart w:id="140" w:name="_Hlk65857140"/>
      <w:r>
        <w:rPr>
          <w:rFonts w:hint="eastAsia" w:ascii="宋体" w:hAnsi="宋体" w:cs="宋体"/>
          <w:color w:val="auto"/>
          <w:szCs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7C9BBD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（1）在货物采购项目中，货物由中小企业制造，即货物由中小企业生产且使用该中小企业商号或者注册商标，不对其中涉及的工程承建商和服务的承接商作出要求；</w:t>
      </w:r>
    </w:p>
    <w:p w14:paraId="7DB58D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（2）在工程采购项目中，工程由中小企业承建，即工程施工单位为中小企业，不对其中涉及的货物的制造商和服务的承接商作出要求；</w:t>
      </w:r>
    </w:p>
    <w:p w14:paraId="39069C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DA5F3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728DDA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依据本招标文件规定享受扶持政策获得政府采购合同的，小微企业不得将合同分包给大中型企业，中型企业不得将合同分包给大型企业。</w:t>
      </w:r>
      <w:bookmarkEnd w:id="140"/>
    </w:p>
    <w:p w14:paraId="46F5AD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40.4异常低价审查</w:t>
      </w:r>
    </w:p>
    <w:p w14:paraId="5A084A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（一）评审中出现下列情形之一的，评审委员会应当启动异常低价投标（响应）审查程序：</w:t>
      </w:r>
    </w:p>
    <w:p w14:paraId="0B24FD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1.投标（响应）报价低于全部通过符合性审查供应商投标（响应）报价平均值50%的，即投标（响应）报价&lt;全部通过符合性审查供应商投标（响应）报价平均值×50%；</w:t>
      </w:r>
    </w:p>
    <w:p w14:paraId="2522C0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2.投标（响应）报价低于通过符合性审查的次低报价供应商投标（响应）报价50%的，即投标（响应）报价&lt;通过符合性审查的次低报价供应商投标（响应）报价×50%；</w:t>
      </w:r>
    </w:p>
    <w:p w14:paraId="414D9A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3.投标（响应）报价低于采购项目最高限价45%的，即投标（响应）报价&lt;采购项目最高限价×45%；</w:t>
      </w:r>
    </w:p>
    <w:p w14:paraId="5933C8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4.评审委员会基于专业判断，认为供应商报价过低，有可能影响产品质量或者不能诚信履约的其他情形。</w:t>
      </w:r>
    </w:p>
    <w:p w14:paraId="32912E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相关法律法规对供应商报价有规定的，从其规定。</w:t>
      </w:r>
    </w:p>
    <w:p w14:paraId="06C3B4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CF1E0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64A34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7C906AB">
      <w:pPr>
        <w:spacing w:line="360" w:lineRule="auto"/>
        <w:ind w:firstLine="420" w:firstLineChars="200"/>
        <w:rPr>
          <w:rFonts w:ascii="宋体" w:hAnsi="宋体" w:cs="宋体"/>
          <w:color w:val="auto"/>
          <w:szCs w:val="21"/>
          <w:highlight w:val="none"/>
        </w:rPr>
        <w:sectPr>
          <w:pgSz w:w="11906" w:h="16838"/>
          <w:pgMar w:top="1134" w:right="1332" w:bottom="1134" w:left="1332" w:header="851" w:footer="992" w:gutter="0"/>
          <w:cols w:space="0" w:num="1"/>
          <w:titlePg/>
          <w:docGrid w:linePitch="312" w:charSpace="0"/>
        </w:sectPr>
      </w:pPr>
      <w:r>
        <w:rPr>
          <w:rFonts w:hint="eastAsia" w:ascii="宋体" w:hAnsi="宋体" w:cs="宋体"/>
          <w:color w:val="auto"/>
          <w:szCs w:val="21"/>
          <w:highlight w:val="none"/>
        </w:rPr>
        <w:t>异常低价投标（响应）审查的启动原因、审查意见和审查结果应当在评审报告中记录，并随供应商提供的相关书面说明及证明材料，以及评审委员会有关互联网浏览、查询历史一并归档。</w:t>
      </w:r>
    </w:p>
    <w:p w14:paraId="2611B141">
      <w:pPr>
        <w:snapToGrid w:val="0"/>
        <w:spacing w:line="440" w:lineRule="exact"/>
        <w:ind w:firstLine="602" w:firstLineChars="200"/>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附件3：</w:t>
      </w:r>
    </w:p>
    <w:p w14:paraId="0FC9CA02">
      <w:pPr>
        <w:widowControl/>
        <w:spacing w:line="480" w:lineRule="atLeast"/>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采购项目合同验收书（格式）</w:t>
      </w:r>
    </w:p>
    <w:p w14:paraId="4B575577">
      <w:pPr>
        <w:widowControl/>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根据采购项目（</w:t>
      </w:r>
      <w:r>
        <w:rPr>
          <w:rFonts w:hint="eastAsia" w:ascii="宋体" w:hAnsi="宋体" w:cs="宋体"/>
          <w:color w:val="auto"/>
          <w:kern w:val="0"/>
          <w:szCs w:val="21"/>
          <w:highlight w:val="none"/>
          <w:u w:val="single"/>
        </w:rPr>
        <w:t>采购合同编号：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）提供的货物（或工程、服务）进行了验收，验收情况如下：</w:t>
      </w:r>
    </w:p>
    <w:tbl>
      <w:tblPr>
        <w:tblStyle w:val="50"/>
        <w:tblW w:w="8642" w:type="dxa"/>
        <w:jc w:val="center"/>
        <w:tblLayout w:type="fixed"/>
        <w:tblCellMar>
          <w:top w:w="0" w:type="dxa"/>
          <w:left w:w="0" w:type="dxa"/>
          <w:bottom w:w="0" w:type="dxa"/>
          <w:right w:w="0" w:type="dxa"/>
        </w:tblCellMar>
      </w:tblPr>
      <w:tblGrid>
        <w:gridCol w:w="1578"/>
        <w:gridCol w:w="1681"/>
        <w:gridCol w:w="664"/>
        <w:gridCol w:w="2017"/>
        <w:gridCol w:w="186"/>
        <w:gridCol w:w="720"/>
        <w:gridCol w:w="1796"/>
      </w:tblGrid>
      <w:tr w14:paraId="43C98438">
        <w:tblPrEx>
          <w:tblCellMar>
            <w:top w:w="0" w:type="dxa"/>
            <w:left w:w="0" w:type="dxa"/>
            <w:bottom w:w="0" w:type="dxa"/>
            <w:right w:w="0" w:type="dxa"/>
          </w:tblCellMar>
        </w:tblPrEx>
        <w:trPr>
          <w:trHeight w:val="497" w:hRule="atLeast"/>
          <w:jc w:val="center"/>
        </w:trPr>
        <w:tc>
          <w:tcPr>
            <w:tcW w:w="3259" w:type="dxa"/>
            <w:gridSpan w:val="2"/>
            <w:tcBorders>
              <w:top w:val="single" w:color="auto" w:sz="8" w:space="0"/>
              <w:left w:val="single" w:color="auto" w:sz="8" w:space="0"/>
              <w:bottom w:val="single" w:color="auto" w:sz="8" w:space="0"/>
              <w:right w:val="single" w:color="auto" w:sz="8" w:space="0"/>
            </w:tcBorders>
            <w:vAlign w:val="center"/>
          </w:tcPr>
          <w:p w14:paraId="70768C8C">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383" w:type="dxa"/>
            <w:gridSpan w:val="5"/>
            <w:tcBorders>
              <w:top w:val="single" w:color="auto" w:sz="8" w:space="0"/>
              <w:left w:val="nil"/>
              <w:bottom w:val="single" w:color="auto" w:sz="8" w:space="0"/>
              <w:right w:val="single" w:color="auto" w:sz="8" w:space="0"/>
            </w:tcBorders>
            <w:vAlign w:val="center"/>
          </w:tcPr>
          <w:p w14:paraId="0EFABA4B">
            <w:pPr>
              <w:widowControl/>
              <w:snapToGrid w:val="0"/>
              <w:spacing w:before="100" w:beforeAutospacing="1" w:after="100" w:afterAutospacing="1" w:line="320" w:lineRule="atLeast"/>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78731F66">
        <w:tblPrEx>
          <w:tblCellMar>
            <w:top w:w="0" w:type="dxa"/>
            <w:left w:w="0" w:type="dxa"/>
            <w:bottom w:w="0" w:type="dxa"/>
            <w:right w:w="0" w:type="dxa"/>
          </w:tblCellMar>
        </w:tblPrEx>
        <w:trPr>
          <w:trHeight w:val="622" w:hRule="atLeast"/>
          <w:jc w:val="center"/>
        </w:trPr>
        <w:tc>
          <w:tcPr>
            <w:tcW w:w="1578" w:type="dxa"/>
            <w:tcBorders>
              <w:top w:val="nil"/>
              <w:left w:val="single" w:color="auto" w:sz="8" w:space="0"/>
              <w:bottom w:val="single" w:color="auto" w:sz="8" w:space="0"/>
              <w:right w:val="single" w:color="auto" w:sz="8" w:space="0"/>
            </w:tcBorders>
            <w:vAlign w:val="center"/>
          </w:tcPr>
          <w:p w14:paraId="24E2424B">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681" w:type="dxa"/>
            <w:tcBorders>
              <w:top w:val="nil"/>
              <w:left w:val="nil"/>
              <w:bottom w:val="single" w:color="auto" w:sz="8" w:space="0"/>
              <w:right w:val="single" w:color="auto" w:sz="8" w:space="0"/>
            </w:tcBorders>
            <w:vAlign w:val="center"/>
          </w:tcPr>
          <w:p w14:paraId="17160AF2">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2681" w:type="dxa"/>
            <w:gridSpan w:val="2"/>
            <w:tcBorders>
              <w:top w:val="nil"/>
              <w:left w:val="nil"/>
              <w:bottom w:val="single" w:color="auto" w:sz="8" w:space="0"/>
              <w:right w:val="single" w:color="auto" w:sz="8" w:space="0"/>
            </w:tcBorders>
            <w:vAlign w:val="center"/>
          </w:tcPr>
          <w:p w14:paraId="43AE9545">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906" w:type="dxa"/>
            <w:gridSpan w:val="2"/>
            <w:tcBorders>
              <w:top w:val="nil"/>
              <w:left w:val="nil"/>
              <w:bottom w:val="single" w:color="auto" w:sz="8" w:space="0"/>
              <w:right w:val="single" w:color="auto" w:sz="8" w:space="0"/>
            </w:tcBorders>
            <w:vAlign w:val="center"/>
          </w:tcPr>
          <w:p w14:paraId="1BA14A1E">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796" w:type="dxa"/>
            <w:tcBorders>
              <w:top w:val="nil"/>
              <w:left w:val="nil"/>
              <w:bottom w:val="single" w:color="auto" w:sz="8" w:space="0"/>
              <w:right w:val="single" w:color="auto" w:sz="8" w:space="0"/>
            </w:tcBorders>
            <w:vAlign w:val="center"/>
          </w:tcPr>
          <w:p w14:paraId="15A51068">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1AD1FC90">
        <w:tblPrEx>
          <w:tblCellMar>
            <w:top w:w="0" w:type="dxa"/>
            <w:left w:w="0" w:type="dxa"/>
            <w:bottom w:w="0" w:type="dxa"/>
            <w:right w:w="0" w:type="dxa"/>
          </w:tblCellMar>
        </w:tblPrEx>
        <w:trPr>
          <w:trHeight w:val="487" w:hRule="atLeast"/>
          <w:jc w:val="center"/>
        </w:trPr>
        <w:tc>
          <w:tcPr>
            <w:tcW w:w="1578" w:type="dxa"/>
            <w:tcBorders>
              <w:top w:val="nil"/>
              <w:left w:val="single" w:color="auto" w:sz="8" w:space="0"/>
              <w:bottom w:val="single" w:color="auto" w:sz="8" w:space="0"/>
              <w:right w:val="single" w:color="auto" w:sz="8" w:space="0"/>
            </w:tcBorders>
            <w:vAlign w:val="center"/>
          </w:tcPr>
          <w:p w14:paraId="7388800A">
            <w:pPr>
              <w:widowControl/>
              <w:snapToGrid w:val="0"/>
              <w:spacing w:before="100" w:beforeAutospacing="1" w:after="100" w:afterAutospacing="1" w:line="320" w:lineRule="atLeast"/>
              <w:ind w:firstLine="5"/>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81" w:type="dxa"/>
            <w:tcBorders>
              <w:top w:val="nil"/>
              <w:left w:val="nil"/>
              <w:bottom w:val="single" w:color="auto" w:sz="8" w:space="0"/>
              <w:right w:val="single" w:color="auto" w:sz="8" w:space="0"/>
            </w:tcBorders>
            <w:vAlign w:val="center"/>
          </w:tcPr>
          <w:p w14:paraId="56A506BA">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681" w:type="dxa"/>
            <w:gridSpan w:val="2"/>
            <w:tcBorders>
              <w:top w:val="nil"/>
              <w:left w:val="nil"/>
              <w:bottom w:val="single" w:color="auto" w:sz="8" w:space="0"/>
              <w:right w:val="single" w:color="auto" w:sz="8" w:space="0"/>
            </w:tcBorders>
            <w:vAlign w:val="center"/>
          </w:tcPr>
          <w:p w14:paraId="13FFFA98">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06" w:type="dxa"/>
            <w:gridSpan w:val="2"/>
            <w:tcBorders>
              <w:top w:val="nil"/>
              <w:left w:val="nil"/>
              <w:bottom w:val="single" w:color="auto" w:sz="8" w:space="0"/>
              <w:right w:val="single" w:color="auto" w:sz="8" w:space="0"/>
            </w:tcBorders>
            <w:vAlign w:val="center"/>
          </w:tcPr>
          <w:p w14:paraId="5E3D57B5">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96" w:type="dxa"/>
            <w:tcBorders>
              <w:top w:val="nil"/>
              <w:left w:val="nil"/>
              <w:bottom w:val="single" w:color="auto" w:sz="8" w:space="0"/>
              <w:right w:val="single" w:color="auto" w:sz="8" w:space="0"/>
            </w:tcBorders>
            <w:vAlign w:val="center"/>
          </w:tcPr>
          <w:p w14:paraId="725AA752">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08824A7">
        <w:tblPrEx>
          <w:tblCellMar>
            <w:top w:w="0" w:type="dxa"/>
            <w:left w:w="0" w:type="dxa"/>
            <w:bottom w:w="0" w:type="dxa"/>
            <w:right w:w="0" w:type="dxa"/>
          </w:tblCellMar>
        </w:tblPrEx>
        <w:trPr>
          <w:trHeight w:val="487" w:hRule="atLeast"/>
          <w:jc w:val="center"/>
        </w:trPr>
        <w:tc>
          <w:tcPr>
            <w:tcW w:w="1578" w:type="dxa"/>
            <w:tcBorders>
              <w:top w:val="nil"/>
              <w:left w:val="single" w:color="auto" w:sz="8" w:space="0"/>
              <w:bottom w:val="single" w:color="auto" w:sz="8" w:space="0"/>
              <w:right w:val="single" w:color="auto" w:sz="8" w:space="0"/>
            </w:tcBorders>
            <w:vAlign w:val="center"/>
          </w:tcPr>
          <w:p w14:paraId="04D2D8E3">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81" w:type="dxa"/>
            <w:tcBorders>
              <w:top w:val="nil"/>
              <w:left w:val="nil"/>
              <w:bottom w:val="single" w:color="auto" w:sz="8" w:space="0"/>
              <w:right w:val="single" w:color="auto" w:sz="8" w:space="0"/>
            </w:tcBorders>
            <w:vAlign w:val="center"/>
          </w:tcPr>
          <w:p w14:paraId="27D73543">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681" w:type="dxa"/>
            <w:gridSpan w:val="2"/>
            <w:tcBorders>
              <w:top w:val="nil"/>
              <w:left w:val="nil"/>
              <w:bottom w:val="single" w:color="auto" w:sz="8" w:space="0"/>
              <w:right w:val="single" w:color="auto" w:sz="8" w:space="0"/>
            </w:tcBorders>
            <w:vAlign w:val="center"/>
          </w:tcPr>
          <w:p w14:paraId="0623190B">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06" w:type="dxa"/>
            <w:gridSpan w:val="2"/>
            <w:tcBorders>
              <w:top w:val="nil"/>
              <w:left w:val="nil"/>
              <w:bottom w:val="single" w:color="auto" w:sz="8" w:space="0"/>
              <w:right w:val="single" w:color="auto" w:sz="8" w:space="0"/>
            </w:tcBorders>
            <w:vAlign w:val="center"/>
          </w:tcPr>
          <w:p w14:paraId="0B847C56">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96" w:type="dxa"/>
            <w:tcBorders>
              <w:top w:val="nil"/>
              <w:left w:val="nil"/>
              <w:bottom w:val="single" w:color="auto" w:sz="8" w:space="0"/>
              <w:right w:val="single" w:color="auto" w:sz="8" w:space="0"/>
            </w:tcBorders>
            <w:vAlign w:val="center"/>
          </w:tcPr>
          <w:p w14:paraId="74A2B1B3">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12D056D4">
        <w:tblPrEx>
          <w:tblCellMar>
            <w:top w:w="0" w:type="dxa"/>
            <w:left w:w="0" w:type="dxa"/>
            <w:bottom w:w="0" w:type="dxa"/>
            <w:right w:w="0" w:type="dxa"/>
          </w:tblCellMar>
        </w:tblPrEx>
        <w:trPr>
          <w:trHeight w:val="487" w:hRule="atLeast"/>
          <w:jc w:val="center"/>
        </w:trPr>
        <w:tc>
          <w:tcPr>
            <w:tcW w:w="1578" w:type="dxa"/>
            <w:tcBorders>
              <w:top w:val="nil"/>
              <w:left w:val="single" w:color="auto" w:sz="8" w:space="0"/>
              <w:bottom w:val="single" w:color="auto" w:sz="8" w:space="0"/>
              <w:right w:val="single" w:color="auto" w:sz="8" w:space="0"/>
            </w:tcBorders>
            <w:vAlign w:val="center"/>
          </w:tcPr>
          <w:p w14:paraId="21F2E1A1">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81" w:type="dxa"/>
            <w:tcBorders>
              <w:top w:val="nil"/>
              <w:left w:val="nil"/>
              <w:bottom w:val="single" w:color="auto" w:sz="8" w:space="0"/>
              <w:right w:val="single" w:color="auto" w:sz="8" w:space="0"/>
            </w:tcBorders>
            <w:vAlign w:val="center"/>
          </w:tcPr>
          <w:p w14:paraId="7DC6917C">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681" w:type="dxa"/>
            <w:gridSpan w:val="2"/>
            <w:tcBorders>
              <w:top w:val="nil"/>
              <w:left w:val="nil"/>
              <w:bottom w:val="single" w:color="auto" w:sz="8" w:space="0"/>
              <w:right w:val="single" w:color="auto" w:sz="8" w:space="0"/>
            </w:tcBorders>
            <w:vAlign w:val="center"/>
          </w:tcPr>
          <w:p w14:paraId="45C8447F">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06" w:type="dxa"/>
            <w:gridSpan w:val="2"/>
            <w:tcBorders>
              <w:top w:val="nil"/>
              <w:left w:val="nil"/>
              <w:bottom w:val="single" w:color="auto" w:sz="8" w:space="0"/>
              <w:right w:val="single" w:color="auto" w:sz="8" w:space="0"/>
            </w:tcBorders>
            <w:vAlign w:val="center"/>
          </w:tcPr>
          <w:p w14:paraId="2EF89F1E">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96" w:type="dxa"/>
            <w:tcBorders>
              <w:top w:val="nil"/>
              <w:left w:val="nil"/>
              <w:bottom w:val="single" w:color="auto" w:sz="8" w:space="0"/>
              <w:right w:val="single" w:color="auto" w:sz="8" w:space="0"/>
            </w:tcBorders>
            <w:vAlign w:val="center"/>
          </w:tcPr>
          <w:p w14:paraId="12FD19B8">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06BA6082">
        <w:tblPrEx>
          <w:tblCellMar>
            <w:top w:w="0" w:type="dxa"/>
            <w:left w:w="0" w:type="dxa"/>
            <w:bottom w:w="0" w:type="dxa"/>
            <w:right w:w="0" w:type="dxa"/>
          </w:tblCellMar>
        </w:tblPrEx>
        <w:trPr>
          <w:trHeight w:val="487" w:hRule="atLeast"/>
          <w:jc w:val="center"/>
        </w:trPr>
        <w:tc>
          <w:tcPr>
            <w:tcW w:w="5940" w:type="dxa"/>
            <w:gridSpan w:val="4"/>
            <w:tcBorders>
              <w:top w:val="nil"/>
              <w:left w:val="single" w:color="auto" w:sz="8" w:space="0"/>
              <w:bottom w:val="single" w:color="auto" w:sz="8" w:space="0"/>
              <w:right w:val="single" w:color="auto" w:sz="8" w:space="0"/>
            </w:tcBorders>
            <w:vAlign w:val="center"/>
          </w:tcPr>
          <w:p w14:paraId="5D9FB238">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906" w:type="dxa"/>
            <w:gridSpan w:val="2"/>
            <w:tcBorders>
              <w:top w:val="nil"/>
              <w:left w:val="nil"/>
              <w:bottom w:val="single" w:color="auto" w:sz="8" w:space="0"/>
              <w:right w:val="single" w:color="auto" w:sz="8" w:space="0"/>
            </w:tcBorders>
            <w:vAlign w:val="center"/>
          </w:tcPr>
          <w:p w14:paraId="5284F8D1">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96" w:type="dxa"/>
            <w:tcBorders>
              <w:top w:val="nil"/>
              <w:left w:val="nil"/>
              <w:bottom w:val="single" w:color="auto" w:sz="8" w:space="0"/>
              <w:right w:val="single" w:color="auto" w:sz="8" w:space="0"/>
            </w:tcBorders>
            <w:vAlign w:val="center"/>
          </w:tcPr>
          <w:p w14:paraId="524A4809">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3D1B89FD">
        <w:tblPrEx>
          <w:tblCellMar>
            <w:top w:w="0" w:type="dxa"/>
            <w:left w:w="0" w:type="dxa"/>
            <w:bottom w:w="0" w:type="dxa"/>
            <w:right w:w="0" w:type="dxa"/>
          </w:tblCellMar>
        </w:tblPrEx>
        <w:trPr>
          <w:trHeight w:val="641" w:hRule="atLeast"/>
          <w:jc w:val="center"/>
        </w:trPr>
        <w:tc>
          <w:tcPr>
            <w:tcW w:w="8642" w:type="dxa"/>
            <w:gridSpan w:val="7"/>
            <w:tcBorders>
              <w:top w:val="nil"/>
              <w:left w:val="single" w:color="auto" w:sz="8" w:space="0"/>
              <w:bottom w:val="single" w:color="auto" w:sz="8" w:space="0"/>
              <w:right w:val="single" w:color="auto" w:sz="8" w:space="0"/>
            </w:tcBorders>
            <w:vAlign w:val="center"/>
          </w:tcPr>
          <w:p w14:paraId="37150988">
            <w:pPr>
              <w:widowControl/>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0FBFED2B">
        <w:tblPrEx>
          <w:tblCellMar>
            <w:top w:w="0" w:type="dxa"/>
            <w:left w:w="0" w:type="dxa"/>
            <w:bottom w:w="0" w:type="dxa"/>
            <w:right w:w="0" w:type="dxa"/>
          </w:tblCellMar>
        </w:tblPrEx>
        <w:trPr>
          <w:trHeight w:val="641" w:hRule="atLeast"/>
          <w:jc w:val="center"/>
        </w:trPr>
        <w:tc>
          <w:tcPr>
            <w:tcW w:w="1578" w:type="dxa"/>
            <w:tcBorders>
              <w:top w:val="nil"/>
              <w:left w:val="single" w:color="auto" w:sz="8" w:space="0"/>
              <w:bottom w:val="single" w:color="auto" w:sz="8" w:space="0"/>
              <w:right w:val="single" w:color="auto" w:sz="8" w:space="0"/>
            </w:tcBorders>
            <w:vAlign w:val="center"/>
          </w:tcPr>
          <w:p w14:paraId="648971BF">
            <w:pPr>
              <w:widowControl/>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345" w:type="dxa"/>
            <w:gridSpan w:val="2"/>
            <w:tcBorders>
              <w:top w:val="nil"/>
              <w:left w:val="nil"/>
              <w:bottom w:val="single" w:color="auto" w:sz="8" w:space="0"/>
              <w:right w:val="single" w:color="auto" w:sz="8" w:space="0"/>
            </w:tcBorders>
            <w:vAlign w:val="center"/>
          </w:tcPr>
          <w:p w14:paraId="07DD8721">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203" w:type="dxa"/>
            <w:gridSpan w:val="2"/>
            <w:tcBorders>
              <w:top w:val="nil"/>
              <w:left w:val="nil"/>
              <w:bottom w:val="single" w:color="auto" w:sz="8" w:space="0"/>
              <w:right w:val="single" w:color="auto" w:sz="8" w:space="0"/>
            </w:tcBorders>
            <w:vAlign w:val="center"/>
          </w:tcPr>
          <w:p w14:paraId="5895AF30">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516" w:type="dxa"/>
            <w:gridSpan w:val="2"/>
            <w:tcBorders>
              <w:top w:val="nil"/>
              <w:left w:val="nil"/>
              <w:bottom w:val="single" w:color="auto" w:sz="8" w:space="0"/>
              <w:right w:val="single" w:color="auto" w:sz="8" w:space="0"/>
            </w:tcBorders>
            <w:vAlign w:val="center"/>
          </w:tcPr>
          <w:p w14:paraId="016EB91B">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140C6A8">
        <w:tblPrEx>
          <w:tblCellMar>
            <w:top w:w="0" w:type="dxa"/>
            <w:left w:w="0" w:type="dxa"/>
            <w:bottom w:w="0" w:type="dxa"/>
            <w:right w:w="0" w:type="dxa"/>
          </w:tblCellMar>
        </w:tblPrEx>
        <w:trPr>
          <w:trHeight w:val="394" w:hRule="atLeast"/>
          <w:jc w:val="center"/>
        </w:trPr>
        <w:tc>
          <w:tcPr>
            <w:tcW w:w="1578" w:type="dxa"/>
            <w:tcBorders>
              <w:top w:val="nil"/>
              <w:left w:val="single" w:color="auto" w:sz="8" w:space="0"/>
              <w:bottom w:val="single" w:color="auto" w:sz="8" w:space="0"/>
              <w:right w:val="single" w:color="auto" w:sz="8" w:space="0"/>
            </w:tcBorders>
            <w:vAlign w:val="center"/>
          </w:tcPr>
          <w:p w14:paraId="50FA527A">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345" w:type="dxa"/>
            <w:gridSpan w:val="2"/>
            <w:tcBorders>
              <w:top w:val="nil"/>
              <w:left w:val="nil"/>
              <w:bottom w:val="single" w:color="auto" w:sz="8" w:space="0"/>
              <w:right w:val="single" w:color="auto" w:sz="8" w:space="0"/>
            </w:tcBorders>
            <w:vAlign w:val="center"/>
          </w:tcPr>
          <w:p w14:paraId="2E3AFF15">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203" w:type="dxa"/>
            <w:gridSpan w:val="2"/>
            <w:tcBorders>
              <w:top w:val="nil"/>
              <w:left w:val="nil"/>
              <w:bottom w:val="single" w:color="auto" w:sz="8" w:space="0"/>
              <w:right w:val="single" w:color="auto" w:sz="8" w:space="0"/>
            </w:tcBorders>
            <w:vAlign w:val="center"/>
          </w:tcPr>
          <w:p w14:paraId="285881E0">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516" w:type="dxa"/>
            <w:gridSpan w:val="2"/>
            <w:tcBorders>
              <w:top w:val="nil"/>
              <w:left w:val="nil"/>
              <w:bottom w:val="single" w:color="auto" w:sz="8" w:space="0"/>
              <w:right w:val="single" w:color="auto" w:sz="8" w:space="0"/>
            </w:tcBorders>
            <w:vAlign w:val="center"/>
          </w:tcPr>
          <w:p w14:paraId="667B3F85">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E86CDCC">
        <w:tblPrEx>
          <w:tblCellMar>
            <w:top w:w="0" w:type="dxa"/>
            <w:left w:w="0" w:type="dxa"/>
            <w:bottom w:w="0" w:type="dxa"/>
            <w:right w:w="0" w:type="dxa"/>
          </w:tblCellMar>
        </w:tblPrEx>
        <w:trPr>
          <w:trHeight w:val="693" w:hRule="atLeast"/>
          <w:jc w:val="center"/>
        </w:trPr>
        <w:tc>
          <w:tcPr>
            <w:tcW w:w="15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11DFBD">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7064"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41C14527">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投标文件及验收方案等进行验收；并核对中标或者成交供应商在安装调试等方面是否违反合同约定或服务规范要求、提供的质量保证证明材料是否齐全、应有的配件及附件是否达到合同约定等。可附件)</w:t>
            </w:r>
          </w:p>
        </w:tc>
      </w:tr>
      <w:tr w14:paraId="20887678">
        <w:tblPrEx>
          <w:tblCellMar>
            <w:top w:w="0" w:type="dxa"/>
            <w:left w:w="0" w:type="dxa"/>
            <w:bottom w:w="0" w:type="dxa"/>
            <w:right w:w="0" w:type="dxa"/>
          </w:tblCellMar>
        </w:tblPrEx>
        <w:trPr>
          <w:trHeight w:val="1281" w:hRule="atLeast"/>
          <w:jc w:val="center"/>
        </w:trPr>
        <w:tc>
          <w:tcPr>
            <w:tcW w:w="157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491E2C8">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7064" w:type="dxa"/>
            <w:gridSpan w:val="6"/>
            <w:tcBorders>
              <w:top w:val="nil"/>
              <w:left w:val="nil"/>
              <w:bottom w:val="single" w:color="auto" w:sz="8" w:space="0"/>
              <w:right w:val="single" w:color="auto" w:sz="8" w:space="0"/>
            </w:tcBorders>
            <w:vAlign w:val="center"/>
          </w:tcPr>
          <w:p w14:paraId="6BB5B3B3">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验收结论性意见：</w:t>
            </w:r>
          </w:p>
          <w:p w14:paraId="34BBB7D7">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3485B92">
        <w:tblPrEx>
          <w:tblCellMar>
            <w:top w:w="0" w:type="dxa"/>
            <w:left w:w="0" w:type="dxa"/>
            <w:bottom w:w="0" w:type="dxa"/>
            <w:right w:w="0" w:type="dxa"/>
          </w:tblCellMar>
        </w:tblPrEx>
        <w:trPr>
          <w:trHeight w:val="607" w:hRule="atLeast"/>
          <w:jc w:val="center"/>
        </w:trPr>
        <w:tc>
          <w:tcPr>
            <w:tcW w:w="1578" w:type="dxa"/>
            <w:vMerge w:val="continue"/>
            <w:tcBorders>
              <w:top w:val="nil"/>
              <w:left w:val="single" w:color="auto" w:sz="8" w:space="0"/>
              <w:bottom w:val="single" w:color="auto" w:sz="8" w:space="0"/>
              <w:right w:val="single" w:color="auto" w:sz="8" w:space="0"/>
            </w:tcBorders>
            <w:vAlign w:val="center"/>
          </w:tcPr>
          <w:p w14:paraId="2E359863">
            <w:pPr>
              <w:widowControl/>
              <w:jc w:val="left"/>
              <w:rPr>
                <w:rFonts w:ascii="宋体" w:hAnsi="宋体" w:cs="宋体"/>
                <w:color w:val="auto"/>
                <w:kern w:val="0"/>
                <w:szCs w:val="21"/>
                <w:highlight w:val="none"/>
              </w:rPr>
            </w:pPr>
          </w:p>
        </w:tc>
        <w:tc>
          <w:tcPr>
            <w:tcW w:w="7064" w:type="dxa"/>
            <w:gridSpan w:val="6"/>
            <w:tcBorders>
              <w:top w:val="nil"/>
              <w:left w:val="nil"/>
              <w:bottom w:val="single" w:color="auto" w:sz="8" w:space="0"/>
              <w:right w:val="single" w:color="auto" w:sz="8" w:space="0"/>
            </w:tcBorders>
            <w:vAlign w:val="center"/>
          </w:tcPr>
          <w:p w14:paraId="5923C9AE">
            <w:pPr>
              <w:widowControl/>
              <w:spacing w:before="100" w:beforeAutospacing="1" w:after="100" w:afterAutospacing="1" w:line="320" w:lineRule="atLeast"/>
              <w:ind w:firstLine="96"/>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4CFD0F7F">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签字：</w:t>
            </w:r>
          </w:p>
        </w:tc>
      </w:tr>
      <w:tr w14:paraId="21163D8B">
        <w:tblPrEx>
          <w:tblCellMar>
            <w:top w:w="0" w:type="dxa"/>
            <w:left w:w="0" w:type="dxa"/>
            <w:bottom w:w="0" w:type="dxa"/>
            <w:right w:w="0" w:type="dxa"/>
          </w:tblCellMar>
        </w:tblPrEx>
        <w:trPr>
          <w:trHeight w:val="507" w:hRule="atLeast"/>
          <w:jc w:val="center"/>
        </w:trPr>
        <w:tc>
          <w:tcPr>
            <w:tcW w:w="864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9EDC11D">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44CD384B">
        <w:tblPrEx>
          <w:tblCellMar>
            <w:top w:w="0" w:type="dxa"/>
            <w:left w:w="0" w:type="dxa"/>
            <w:bottom w:w="0" w:type="dxa"/>
            <w:right w:w="0" w:type="dxa"/>
          </w:tblCellMar>
        </w:tblPrEx>
        <w:trPr>
          <w:trHeight w:val="736" w:hRule="atLeast"/>
          <w:jc w:val="center"/>
        </w:trPr>
        <w:tc>
          <w:tcPr>
            <w:tcW w:w="864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D43C653">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5C1C4D45">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6A744ED2">
        <w:tblPrEx>
          <w:tblCellMar>
            <w:top w:w="0" w:type="dxa"/>
            <w:left w:w="0" w:type="dxa"/>
            <w:bottom w:w="0" w:type="dxa"/>
            <w:right w:w="0" w:type="dxa"/>
          </w:tblCellMar>
        </w:tblPrEx>
        <w:trPr>
          <w:trHeight w:val="758" w:hRule="atLeast"/>
          <w:jc w:val="center"/>
        </w:trPr>
        <w:tc>
          <w:tcPr>
            <w:tcW w:w="3923" w:type="dxa"/>
            <w:gridSpan w:val="3"/>
            <w:tcBorders>
              <w:top w:val="nil"/>
              <w:left w:val="single" w:color="auto" w:sz="8" w:space="0"/>
              <w:bottom w:val="single" w:color="auto" w:sz="8" w:space="0"/>
              <w:right w:val="nil"/>
            </w:tcBorders>
            <w:tcMar>
              <w:top w:w="0" w:type="dxa"/>
              <w:left w:w="108" w:type="dxa"/>
              <w:bottom w:w="0" w:type="dxa"/>
              <w:right w:w="108" w:type="dxa"/>
            </w:tcMar>
            <w:vAlign w:val="center"/>
          </w:tcPr>
          <w:p w14:paraId="0FF56220">
            <w:pPr>
              <w:widowControl/>
              <w:spacing w:before="100" w:beforeAutospacing="1" w:after="100" w:afterAutospacing="1" w:line="320" w:lineRule="atLeast"/>
              <w:ind w:right="-223" w:rightChars="-106"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14:paraId="53C22709">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719" w:type="dxa"/>
            <w:gridSpan w:val="4"/>
            <w:tcBorders>
              <w:top w:val="nil"/>
              <w:left w:val="nil"/>
              <w:bottom w:val="single" w:color="auto" w:sz="8" w:space="0"/>
              <w:right w:val="single" w:color="auto" w:sz="8" w:space="0"/>
            </w:tcBorders>
            <w:vAlign w:val="center"/>
          </w:tcPr>
          <w:p w14:paraId="5A607410">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采购人或受托机构的意见（盖章）：</w:t>
            </w:r>
          </w:p>
          <w:p w14:paraId="415163F4">
            <w:pPr>
              <w:widowControl/>
              <w:spacing w:before="100" w:beforeAutospacing="1" w:after="100" w:afterAutospacing="1" w:line="320" w:lineRule="atLeast"/>
              <w:ind w:left="399" w:leftChars="19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0B00BD90">
      <w:pPr>
        <w:snapToGrid w:val="0"/>
        <w:rPr>
          <w:rFonts w:ascii="宋体" w:hAnsi="宋体" w:cs="宋体"/>
          <w:b/>
          <w:color w:val="auto"/>
          <w:szCs w:val="20"/>
          <w:highlight w:val="none"/>
        </w:rPr>
        <w:sectPr>
          <w:pgSz w:w="11906" w:h="16838"/>
          <w:pgMar w:top="1134" w:right="1332" w:bottom="1134" w:left="1332" w:header="851" w:footer="992" w:gutter="0"/>
          <w:cols w:space="0" w:num="1"/>
          <w:titlePg/>
          <w:docGrid w:linePitch="312" w:charSpace="0"/>
        </w:sectPr>
      </w:pPr>
    </w:p>
    <w:p w14:paraId="3674E6AD">
      <w:pPr>
        <w:pStyle w:val="5"/>
        <w:spacing w:before="100" w:after="100" w:line="360" w:lineRule="auto"/>
        <w:jc w:val="center"/>
        <w:rPr>
          <w:rFonts w:ascii="宋体" w:hAnsi="宋体"/>
          <w:color w:val="auto"/>
          <w:highlight w:val="none"/>
        </w:rPr>
      </w:pPr>
      <w:bookmarkStart w:id="141" w:name="_Toc74320803"/>
      <w:bookmarkStart w:id="142" w:name="_Toc330456896"/>
      <w:bookmarkStart w:id="143" w:name="_Toc254970689"/>
      <w:bookmarkStart w:id="144" w:name="_Toc254970548"/>
      <w:r>
        <w:rPr>
          <w:rFonts w:hint="eastAsia" w:ascii="宋体" w:hAnsi="宋体"/>
          <w:color w:val="auto"/>
          <w:highlight w:val="none"/>
        </w:rPr>
        <w:t>第四章  评标方法及评标标准</w:t>
      </w:r>
      <w:bookmarkEnd w:id="141"/>
      <w:bookmarkEnd w:id="142"/>
      <w:bookmarkEnd w:id="143"/>
      <w:bookmarkEnd w:id="144"/>
    </w:p>
    <w:p w14:paraId="3DC23884">
      <w:pPr>
        <w:pStyle w:val="7"/>
        <w:keepNext w:val="0"/>
        <w:keepLines w:val="0"/>
        <w:jc w:val="center"/>
        <w:rPr>
          <w:rFonts w:ascii="宋体" w:hAnsi="宋体"/>
          <w:color w:val="auto"/>
          <w:sz w:val="30"/>
          <w:szCs w:val="30"/>
          <w:highlight w:val="none"/>
        </w:rPr>
      </w:pPr>
      <w:r>
        <w:rPr>
          <w:rFonts w:hint="eastAsia" w:ascii="宋体" w:hAnsi="宋体"/>
          <w:color w:val="auto"/>
          <w:sz w:val="30"/>
          <w:szCs w:val="30"/>
          <w:highlight w:val="none"/>
        </w:rPr>
        <w:t>一、评标方法</w:t>
      </w:r>
    </w:p>
    <w:p w14:paraId="5EFEE63C">
      <w:pPr>
        <w:pStyle w:val="27"/>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73D3742B">
      <w:pPr>
        <w:pStyle w:val="27"/>
        <w:spacing w:line="360" w:lineRule="auto"/>
        <w:ind w:firstLine="420"/>
        <w:rPr>
          <w:rFonts w:hAnsi="宋体"/>
          <w:color w:val="auto"/>
          <w:sz w:val="21"/>
          <w:highlight w:val="none"/>
        </w:rPr>
      </w:pPr>
      <w:r>
        <w:rPr>
          <w:rFonts w:hint="eastAsia" w:hAnsi="宋体"/>
          <w:color w:val="auto"/>
          <w:sz w:val="21"/>
          <w:highlight w:val="none"/>
        </w:rPr>
        <w:t>最低评标价法，是指投标文件满足招标文件全部实质性要求，且投标报价最低的投标人为中标候选人的评标方法。</w:t>
      </w:r>
    </w:p>
    <w:p w14:paraId="121C96CD">
      <w:pPr>
        <w:pStyle w:val="7"/>
        <w:keepNext w:val="0"/>
        <w:keepLines w:val="0"/>
        <w:jc w:val="center"/>
        <w:rPr>
          <w:rFonts w:ascii="宋体" w:hAnsi="宋体"/>
          <w:color w:val="auto"/>
          <w:sz w:val="30"/>
          <w:szCs w:val="30"/>
          <w:highlight w:val="none"/>
        </w:rPr>
      </w:pPr>
      <w:r>
        <w:rPr>
          <w:rFonts w:hint="eastAsia" w:ascii="宋体" w:hAnsi="宋体"/>
          <w:color w:val="auto"/>
          <w:sz w:val="30"/>
          <w:szCs w:val="30"/>
          <w:highlight w:val="none"/>
        </w:rPr>
        <w:t>二、评标程序</w:t>
      </w:r>
    </w:p>
    <w:p w14:paraId="6DD1EFA4">
      <w:pPr>
        <w:pStyle w:val="9"/>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1.符合性审查</w:t>
      </w:r>
    </w:p>
    <w:p w14:paraId="29E3571F">
      <w:pPr>
        <w:pStyle w:val="27"/>
        <w:snapToGrid w:val="0"/>
        <w:spacing w:line="360" w:lineRule="auto"/>
        <w:ind w:left="1" w:firstLine="420"/>
        <w:rPr>
          <w:rFonts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11921383">
      <w:pPr>
        <w:pStyle w:val="9"/>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2C033480">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1201D6EA">
      <w:pPr>
        <w:pStyle w:val="9"/>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6B9E7C43">
      <w:pPr>
        <w:pStyle w:val="10"/>
        <w:numPr>
          <w:ilvl w:val="0"/>
          <w:numId w:val="4"/>
        </w:numPr>
        <w:spacing w:line="360" w:lineRule="auto"/>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未提供“投标人须知前附表”第13.1条规定中“必须提供”的文件资料的；</w:t>
      </w:r>
    </w:p>
    <w:p w14:paraId="3A120B74">
      <w:pPr>
        <w:pStyle w:val="10"/>
        <w:numPr>
          <w:ilvl w:val="0"/>
          <w:numId w:val="4"/>
        </w:numPr>
        <w:spacing w:line="360" w:lineRule="auto"/>
        <w:ind w:firstLine="422"/>
        <w:rPr>
          <w:rFonts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614E3762">
      <w:pPr>
        <w:pStyle w:val="10"/>
        <w:numPr>
          <w:ilvl w:val="0"/>
          <w:numId w:val="4"/>
        </w:numPr>
        <w:spacing w:line="360" w:lineRule="auto"/>
        <w:ind w:firstLine="422"/>
        <w:rPr>
          <w:rFonts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10AF8711">
      <w:pPr>
        <w:pStyle w:val="10"/>
        <w:numPr>
          <w:ilvl w:val="0"/>
          <w:numId w:val="4"/>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38DD5032">
      <w:pPr>
        <w:pStyle w:val="10"/>
        <w:numPr>
          <w:ilvl w:val="0"/>
          <w:numId w:val="4"/>
        </w:numPr>
        <w:spacing w:line="360" w:lineRule="auto"/>
        <w:ind w:firstLine="422"/>
        <w:rPr>
          <w:rFonts w:ascii="宋体" w:hAnsi="宋体"/>
          <w:b/>
          <w:color w:val="auto"/>
          <w:szCs w:val="21"/>
          <w:highlight w:val="none"/>
        </w:rPr>
      </w:pPr>
      <w:r>
        <w:rPr>
          <w:rFonts w:hint="eastAsia" w:ascii="宋体" w:hAnsi="宋体"/>
          <w:b/>
          <w:color w:val="auto"/>
          <w:szCs w:val="21"/>
          <w:highlight w:val="none"/>
        </w:rPr>
        <w:t>修正后的报价，投标人不确认的；</w:t>
      </w:r>
    </w:p>
    <w:p w14:paraId="1D5A70C6">
      <w:pPr>
        <w:pStyle w:val="10"/>
        <w:numPr>
          <w:ilvl w:val="0"/>
          <w:numId w:val="4"/>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31A510E8">
      <w:pPr>
        <w:pStyle w:val="10"/>
        <w:numPr>
          <w:ilvl w:val="0"/>
          <w:numId w:val="4"/>
        </w:numPr>
        <w:spacing w:line="360" w:lineRule="auto"/>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248657DE">
      <w:pPr>
        <w:pStyle w:val="9"/>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50E5B358">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投标文件未按招标文件要求签署、盖章的；</w:t>
      </w:r>
    </w:p>
    <w:p w14:paraId="171E0CB1">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76D98DFB">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1328D26B">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201D0CA5">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157ACB25">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22CFFC92">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20193460">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01FAF75C">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13F0258B">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7EDD03E9">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7FEBFE3F">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未响应招标文件实质性要求的；</w:t>
      </w:r>
    </w:p>
    <w:p w14:paraId="1B85B9CA">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法律、法规和招标文件规定的其他无效情形。</w:t>
      </w:r>
    </w:p>
    <w:p w14:paraId="74353A72">
      <w:pPr>
        <w:pStyle w:val="9"/>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39100CDE">
      <w:pPr>
        <w:pStyle w:val="22"/>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（1）技术要求评审允许负偏离的条款数超过“投标人须知前附表”规定项数的；</w:t>
      </w:r>
    </w:p>
    <w:p w14:paraId="37CA7864">
      <w:pPr>
        <w:pStyle w:val="22"/>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（2）投标文件未提供“投标人须知前附表”第13.</w:t>
      </w:r>
      <w:r>
        <w:rPr>
          <w:rFonts w:ascii="宋体" w:hAnsi="宋体" w:eastAsia="宋体"/>
          <w:b/>
          <w:color w:val="auto"/>
          <w:kern w:val="2"/>
          <w:sz w:val="21"/>
          <w:szCs w:val="21"/>
          <w:highlight w:val="none"/>
        </w:rPr>
        <w:t>1</w:t>
      </w:r>
      <w:r>
        <w:rPr>
          <w:rFonts w:hint="eastAsia" w:ascii="宋体" w:hAnsi="宋体" w:eastAsia="宋体"/>
          <w:b/>
          <w:color w:val="auto"/>
          <w:kern w:val="2"/>
          <w:sz w:val="21"/>
          <w:szCs w:val="21"/>
          <w:highlight w:val="none"/>
        </w:rPr>
        <w:t>条规定中“必须提供”的文件资料的；</w:t>
      </w:r>
    </w:p>
    <w:p w14:paraId="6D7962B3">
      <w:pPr>
        <w:pStyle w:val="22"/>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（3）虚假投标，或者出现其他情形而导致被评标委员会认定无效的；</w:t>
      </w:r>
    </w:p>
    <w:p w14:paraId="64CC6D14">
      <w:pPr>
        <w:pStyle w:val="22"/>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（4）</w:t>
      </w:r>
      <w:bookmarkStart w:id="145" w:name="_Hlk71706244"/>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bookmarkEnd w:id="145"/>
    </w:p>
    <w:p w14:paraId="11818271">
      <w:pPr>
        <w:pStyle w:val="22"/>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（5）未响应招标文件实质性要求的。</w:t>
      </w:r>
    </w:p>
    <w:p w14:paraId="3075EB4A">
      <w:pPr>
        <w:pStyle w:val="9"/>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36D03F3D">
      <w:pPr>
        <w:spacing w:line="360" w:lineRule="auto"/>
        <w:ind w:firstLine="420" w:firstLineChars="200"/>
        <w:rPr>
          <w:rFonts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w:t>
      </w:r>
      <w:r>
        <w:rPr>
          <w:rFonts w:hint="eastAsia" w:ascii="宋体" w:hAnsi="宋体"/>
          <w:color w:val="auto"/>
          <w:szCs w:val="21"/>
          <w:highlight w:val="none"/>
        </w:rPr>
        <w:t>广西政府采购云平台</w:t>
      </w:r>
      <w:r>
        <w:rPr>
          <w:rFonts w:hint="eastAsia" w:ascii="宋体" w:hAnsi="宋体" w:cs="Courier New"/>
          <w:color w:val="auto"/>
          <w:szCs w:val="21"/>
          <w:highlight w:val="none"/>
        </w:rPr>
        <w:t>发布电子询标函，要求投标人在规定时间内作出必要的澄清、说明或者补正。投标人在</w:t>
      </w:r>
      <w:r>
        <w:rPr>
          <w:rFonts w:hint="eastAsia" w:ascii="宋体" w:hAnsi="宋体"/>
          <w:color w:val="auto"/>
          <w:szCs w:val="21"/>
          <w:highlight w:val="none"/>
        </w:rPr>
        <w:t>广西政府采购云平台</w:t>
      </w:r>
      <w:r>
        <w:rPr>
          <w:rFonts w:hint="eastAsia" w:ascii="宋体" w:hAnsi="宋体" w:cs="Courier New"/>
          <w:color w:val="auto"/>
          <w:szCs w:val="21"/>
          <w:highlight w:val="none"/>
        </w:rPr>
        <w:t>接收到电子询标函后根据澄清函内容上传PDF格式回函，电子澄清答复函使用CA证书加盖单位公章后在线上传至评标委员会。投标人的澄清、说明或者补正不得超出投标文件的范围或者改变投标文件的实质性内容。</w:t>
      </w:r>
    </w:p>
    <w:p w14:paraId="6E16DA54">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询标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负责人）或者其授权的代表签字。</w:t>
      </w:r>
    </w:p>
    <w:p w14:paraId="7DC2BA2E">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326D65AE">
      <w:pPr>
        <w:pStyle w:val="9"/>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29E29E80">
      <w:pPr>
        <w:pStyle w:val="9"/>
        <w:keepNext w:val="0"/>
        <w:keepLines w:val="0"/>
        <w:spacing w:before="0" w:after="0" w:line="360" w:lineRule="auto"/>
        <w:ind w:left="420" w:leftChars="200"/>
        <w:rPr>
          <w:rFonts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75E7699E">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49CBB96D">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27955B26">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27D67E66">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6ABBCE5E">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41E8D8A5">
      <w:pPr>
        <w:pStyle w:val="9"/>
        <w:keepNext w:val="0"/>
        <w:keepLines w:val="0"/>
        <w:spacing w:before="0" w:after="0" w:line="360" w:lineRule="auto"/>
        <w:rPr>
          <w:rFonts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1CCC0C62">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5B03C84B">
      <w:pPr>
        <w:pStyle w:val="9"/>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3B27C40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5.1采用综合评分法的</w:t>
      </w:r>
    </w:p>
    <w:p w14:paraId="7F98382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0DAE1FE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6C0BD47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1CE38FE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6113AE3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4B102B8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4662E44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ADCA33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5.2采用</w:t>
      </w:r>
      <w:r>
        <w:rPr>
          <w:rFonts w:hint="eastAsia" w:ascii="宋体" w:hAnsi="宋体"/>
          <w:color w:val="auto"/>
          <w:highlight w:val="none"/>
        </w:rPr>
        <w:t>最低评标价法</w:t>
      </w:r>
      <w:r>
        <w:rPr>
          <w:rFonts w:hint="eastAsia" w:ascii="宋体" w:hAnsi="宋体"/>
          <w:color w:val="auto"/>
          <w:szCs w:val="21"/>
          <w:highlight w:val="none"/>
        </w:rPr>
        <w:t>的</w:t>
      </w:r>
    </w:p>
    <w:p w14:paraId="5D6ED8B0">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007BB201">
      <w:pPr>
        <w:snapToGrid w:val="0"/>
        <w:spacing w:line="360" w:lineRule="auto"/>
        <w:ind w:firstLine="399" w:firstLineChars="202"/>
        <w:jc w:val="left"/>
        <w:rPr>
          <w:rFonts w:ascii="宋体" w:hAnsi="宋体"/>
          <w:color w:val="auto"/>
          <w:spacing w:val="-6"/>
          <w:szCs w:val="21"/>
          <w:highlight w:val="none"/>
        </w:rPr>
      </w:pPr>
      <w:r>
        <w:rPr>
          <w:rFonts w:hint="eastAsia" w:ascii="宋体" w:hAnsi="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pacing w:val="-6"/>
          <w:szCs w:val="21"/>
          <w:highlight w:val="none"/>
        </w:rPr>
        <w:t>投标人不能证明其报价合理性的，评标委员会将其作为无效投标处理</w:t>
      </w:r>
      <w:r>
        <w:rPr>
          <w:rFonts w:hint="eastAsia" w:ascii="宋体" w:hAnsi="宋体"/>
          <w:color w:val="auto"/>
          <w:spacing w:val="-6"/>
          <w:szCs w:val="21"/>
          <w:highlight w:val="none"/>
        </w:rPr>
        <w:t>。</w:t>
      </w:r>
    </w:p>
    <w:p w14:paraId="24689094">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5A7F4ACB">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0652898">
      <w:pPr>
        <w:snapToGrid w:val="0"/>
        <w:spacing w:line="360" w:lineRule="auto"/>
        <w:ind w:firstLine="424" w:firstLineChars="202"/>
        <w:jc w:val="center"/>
        <w:rPr>
          <w:rFonts w:ascii="宋体" w:hAnsi="宋体"/>
          <w:color w:val="auto"/>
          <w:highlight w:val="none"/>
        </w:rPr>
      </w:pPr>
      <w:r>
        <w:rPr>
          <w:rFonts w:ascii="宋体" w:hAnsi="宋体"/>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23D34575">
      <w:pPr>
        <w:pStyle w:val="7"/>
        <w:keepNext w:val="0"/>
        <w:keepLines w:val="0"/>
        <w:spacing w:before="0" w:after="0" w:line="360" w:lineRule="auto"/>
        <w:jc w:val="center"/>
        <w:rPr>
          <w:rFonts w:ascii="宋体" w:hAnsi="宋体" w:cs="宋体"/>
          <w:color w:val="auto"/>
          <w:highlight w:val="none"/>
        </w:rPr>
      </w:pPr>
      <w:r>
        <w:rPr>
          <w:rFonts w:hint="eastAsia" w:ascii="宋体" w:hAnsi="宋体" w:cs="宋体"/>
          <w:color w:val="auto"/>
          <w:highlight w:val="none"/>
        </w:rPr>
        <w:t xml:space="preserve">  综合评分法（适用于标项一、二、三、四）</w:t>
      </w:r>
    </w:p>
    <w:tbl>
      <w:tblPr>
        <w:tblStyle w:val="5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5952"/>
        <w:gridCol w:w="1191"/>
      </w:tblGrid>
      <w:tr w14:paraId="0097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5" w:type="dxa"/>
            <w:vAlign w:val="center"/>
          </w:tcPr>
          <w:p w14:paraId="7B1C651A">
            <w:pPr>
              <w:widowControl/>
              <w:spacing w:line="36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276" w:type="dxa"/>
            <w:vAlign w:val="center"/>
          </w:tcPr>
          <w:p w14:paraId="0B5FA137">
            <w:pPr>
              <w:widowControl/>
              <w:spacing w:line="36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5952" w:type="dxa"/>
            <w:vAlign w:val="center"/>
          </w:tcPr>
          <w:p w14:paraId="6EB87DBD">
            <w:pPr>
              <w:widowControl/>
              <w:spacing w:line="36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c>
          <w:tcPr>
            <w:tcW w:w="1191" w:type="dxa"/>
            <w:vAlign w:val="center"/>
          </w:tcPr>
          <w:p w14:paraId="36BCB5CB">
            <w:pPr>
              <w:widowControl/>
              <w:spacing w:line="36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1C16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5" w:type="dxa"/>
            <w:vAlign w:val="center"/>
          </w:tcPr>
          <w:p w14:paraId="3D5774FE">
            <w:pPr>
              <w:widowControl/>
              <w:spacing w:line="36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1</w:t>
            </w:r>
          </w:p>
        </w:tc>
        <w:tc>
          <w:tcPr>
            <w:tcW w:w="1276" w:type="dxa"/>
            <w:vAlign w:val="center"/>
          </w:tcPr>
          <w:p w14:paraId="5F300246">
            <w:pPr>
              <w:widowControl/>
              <w:spacing w:line="36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价格分</w:t>
            </w:r>
          </w:p>
        </w:tc>
        <w:tc>
          <w:tcPr>
            <w:tcW w:w="5952" w:type="dxa"/>
          </w:tcPr>
          <w:p w14:paraId="4FD4201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（1）评审价为投标人的投标报价进行政策性扣除后的价格，评审价只是作为评审时使用。最终中标供应商的中标金额等于投标报价（如有修正，以确认修正后的投标报价为准）。</w:t>
            </w:r>
          </w:p>
          <w:p w14:paraId="17E07C2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（2）政府采购政策性扣除计算方法</w:t>
            </w:r>
          </w:p>
          <w:p w14:paraId="1A06F367">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服务全部由小微企业承接，对投标人的投标报价给予10%的扣除，扣除后的价格为评审价，即评审价=投标报价×（1-10%）。除上述情况外，评审价=投标报价。</w:t>
            </w:r>
          </w:p>
          <w:p w14:paraId="17B4821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02EFBE18">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25C5D5C">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（5）满足采购文件要求且评标报价最低</w:t>
            </w:r>
            <w:r>
              <w:rPr>
                <w:rFonts w:hint="eastAsia" w:ascii="宋体" w:hAnsi="宋体"/>
                <w:b/>
                <w:color w:val="auto"/>
                <w:szCs w:val="21"/>
                <w:highlight w:val="none"/>
                <w:u w:val="single"/>
              </w:rPr>
              <w:t>（如：折扣率80%、70%，70%为最</w:t>
            </w:r>
            <w:r>
              <w:rPr>
                <w:rFonts w:ascii="宋体" w:hAnsi="宋体"/>
                <w:b/>
                <w:color w:val="auto"/>
                <w:szCs w:val="21"/>
                <w:highlight w:val="none"/>
                <w:u w:val="single"/>
              </w:rPr>
              <w:t>低</w:t>
            </w:r>
            <w:r>
              <w:rPr>
                <w:rFonts w:hint="eastAsia" w:ascii="宋体" w:hAnsi="宋体"/>
                <w:b/>
                <w:color w:val="auto"/>
                <w:szCs w:val="21"/>
                <w:highlight w:val="none"/>
                <w:u w:val="single"/>
              </w:rPr>
              <w:t>）</w:t>
            </w:r>
            <w:r>
              <w:rPr>
                <w:rFonts w:hint="eastAsia" w:ascii="宋体" w:hAnsi="宋体"/>
                <w:color w:val="auto"/>
                <w:szCs w:val="21"/>
                <w:highlight w:val="none"/>
              </w:rPr>
              <w:t>的评标报价为评标基准价，其价格分为满分。</w:t>
            </w:r>
          </w:p>
          <w:p w14:paraId="6C766691">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（6）价格分计算公式：</w:t>
            </w:r>
          </w:p>
          <w:p w14:paraId="1549B8D9">
            <w:pPr>
              <w:pStyle w:val="27"/>
              <w:spacing w:line="360" w:lineRule="exact"/>
              <w:ind w:firstLine="420" w:firstLineChars="200"/>
              <w:rPr>
                <w:rFonts w:hAnsi="宋体" w:cs="Courier New"/>
                <w:bCs/>
                <w:color w:val="auto"/>
                <w:kern w:val="2"/>
                <w:sz w:val="21"/>
                <w:highlight w:val="none"/>
              </w:rPr>
            </w:pPr>
            <w:r>
              <w:rPr>
                <w:rFonts w:hint="eastAsia" w:hAnsi="宋体"/>
                <w:color w:val="auto"/>
                <w:sz w:val="21"/>
                <w:highlight w:val="none"/>
              </w:rPr>
              <w:t>报价得分=（评标基准价/投标报价）×30分</w:t>
            </w:r>
          </w:p>
        </w:tc>
        <w:tc>
          <w:tcPr>
            <w:tcW w:w="1191" w:type="dxa"/>
            <w:vAlign w:val="center"/>
          </w:tcPr>
          <w:p w14:paraId="48450D29">
            <w:pPr>
              <w:widowControl/>
              <w:spacing w:line="360" w:lineRule="exact"/>
              <w:jc w:val="center"/>
              <w:rPr>
                <w:rFonts w:ascii="宋体" w:hAnsi="宋体" w:cs="Tahoma"/>
                <w:color w:val="auto"/>
                <w:kern w:val="0"/>
                <w:szCs w:val="21"/>
                <w:highlight w:val="none"/>
              </w:rPr>
            </w:pPr>
            <w:r>
              <w:rPr>
                <w:rFonts w:hint="eastAsia" w:ascii="宋体" w:hAnsi="宋体"/>
                <w:bCs/>
                <w:color w:val="auto"/>
                <w:szCs w:val="21"/>
                <w:highlight w:val="none"/>
              </w:rPr>
              <w:t>满分3</w:t>
            </w:r>
            <w:r>
              <w:rPr>
                <w:rFonts w:ascii="宋体" w:hAnsi="宋体" w:cs="Tahoma"/>
                <w:color w:val="auto"/>
                <w:kern w:val="0"/>
                <w:szCs w:val="21"/>
                <w:highlight w:val="none"/>
              </w:rPr>
              <w:t>0</w:t>
            </w:r>
            <w:r>
              <w:rPr>
                <w:rFonts w:hint="eastAsia" w:ascii="宋体" w:hAnsi="宋体" w:cs="Tahoma"/>
                <w:color w:val="auto"/>
                <w:kern w:val="0"/>
                <w:szCs w:val="21"/>
                <w:highlight w:val="none"/>
              </w:rPr>
              <w:t>分</w:t>
            </w:r>
          </w:p>
        </w:tc>
      </w:tr>
      <w:tr w14:paraId="1375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5" w:type="dxa"/>
            <w:vAlign w:val="center"/>
          </w:tcPr>
          <w:p w14:paraId="2F7C4E7F">
            <w:pPr>
              <w:widowControl/>
              <w:spacing w:line="360" w:lineRule="exact"/>
              <w:jc w:val="center"/>
              <w:rPr>
                <w:rFonts w:ascii="宋体" w:hAnsi="宋体" w:cs="Tahoma"/>
                <w:b/>
                <w:color w:val="auto"/>
                <w:kern w:val="0"/>
                <w:szCs w:val="21"/>
                <w:highlight w:val="none"/>
              </w:rPr>
            </w:pPr>
            <w:r>
              <w:rPr>
                <w:rFonts w:hint="eastAsia" w:ascii="宋体" w:hAnsi="宋体"/>
                <w:b/>
                <w:bCs/>
                <w:color w:val="auto"/>
                <w:kern w:val="0"/>
                <w:szCs w:val="21"/>
                <w:highlight w:val="none"/>
              </w:rPr>
              <w:t>2</w:t>
            </w:r>
          </w:p>
        </w:tc>
        <w:tc>
          <w:tcPr>
            <w:tcW w:w="1276" w:type="dxa"/>
            <w:vAlign w:val="center"/>
          </w:tcPr>
          <w:p w14:paraId="4EDC1CA0">
            <w:pPr>
              <w:widowControl/>
              <w:spacing w:line="360" w:lineRule="exact"/>
              <w:jc w:val="center"/>
              <w:rPr>
                <w:rFonts w:ascii="宋体" w:hAnsi="宋体" w:cs="Tahoma"/>
                <w:b/>
                <w:color w:val="auto"/>
                <w:kern w:val="0"/>
                <w:szCs w:val="21"/>
                <w:highlight w:val="none"/>
              </w:rPr>
            </w:pPr>
            <w:r>
              <w:rPr>
                <w:rFonts w:hint="eastAsia" w:ascii="宋体" w:hAnsi="宋体"/>
                <w:b/>
                <w:bCs/>
                <w:color w:val="auto"/>
                <w:kern w:val="0"/>
                <w:szCs w:val="21"/>
                <w:highlight w:val="none"/>
              </w:rPr>
              <w:t>技术分</w:t>
            </w:r>
          </w:p>
        </w:tc>
        <w:tc>
          <w:tcPr>
            <w:tcW w:w="5952" w:type="dxa"/>
            <w:vAlign w:val="center"/>
          </w:tcPr>
          <w:p w14:paraId="6D4312B2">
            <w:pPr>
              <w:widowControl/>
              <w:spacing w:line="360" w:lineRule="exact"/>
              <w:jc w:val="center"/>
              <w:rPr>
                <w:rFonts w:ascii="宋体" w:hAnsi="宋体" w:cs="Tahoma"/>
                <w:b/>
                <w:color w:val="auto"/>
                <w:kern w:val="0"/>
                <w:szCs w:val="21"/>
                <w:highlight w:val="none"/>
              </w:rPr>
            </w:pPr>
            <w:r>
              <w:rPr>
                <w:rFonts w:hint="eastAsia" w:ascii="宋体" w:hAnsi="宋体" w:cs="Tahoma"/>
                <w:b/>
                <w:color w:val="auto"/>
                <w:kern w:val="0"/>
                <w:szCs w:val="21"/>
                <w:highlight w:val="none"/>
              </w:rPr>
              <w:t>评审因素</w:t>
            </w:r>
          </w:p>
        </w:tc>
        <w:tc>
          <w:tcPr>
            <w:tcW w:w="1191" w:type="dxa"/>
            <w:vAlign w:val="center"/>
          </w:tcPr>
          <w:p w14:paraId="41311812">
            <w:pPr>
              <w:widowControl/>
              <w:spacing w:line="360" w:lineRule="exact"/>
              <w:jc w:val="center"/>
              <w:rPr>
                <w:rFonts w:ascii="宋体" w:hAnsi="宋体" w:cs="Tahoma"/>
                <w:b/>
                <w:color w:val="auto"/>
                <w:kern w:val="0"/>
                <w:szCs w:val="21"/>
                <w:highlight w:val="none"/>
              </w:rPr>
            </w:pPr>
            <w:r>
              <w:rPr>
                <w:rFonts w:hint="eastAsia" w:ascii="宋体" w:hAnsi="宋体" w:cs="Tahoma"/>
                <w:b/>
                <w:color w:val="auto"/>
                <w:kern w:val="0"/>
                <w:szCs w:val="21"/>
                <w:highlight w:val="none"/>
              </w:rPr>
              <w:t>满分45分</w:t>
            </w:r>
          </w:p>
        </w:tc>
      </w:tr>
      <w:tr w14:paraId="5DBD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14:paraId="1590861E">
            <w:pPr>
              <w:adjustRightInd w:val="0"/>
              <w:spacing w:line="360" w:lineRule="exac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w:t>
            </w:r>
            <w:r>
              <w:rPr>
                <w:rFonts w:ascii="宋体" w:hAnsi="宋体"/>
                <w:bCs/>
                <w:color w:val="auto"/>
                <w:kern w:val="0"/>
                <w:szCs w:val="21"/>
                <w:highlight w:val="none"/>
              </w:rPr>
              <w:t>.1</w:t>
            </w:r>
          </w:p>
        </w:tc>
        <w:tc>
          <w:tcPr>
            <w:tcW w:w="1276" w:type="dxa"/>
            <w:vAlign w:val="center"/>
          </w:tcPr>
          <w:p w14:paraId="6475FA99">
            <w:pPr>
              <w:spacing w:line="360" w:lineRule="exact"/>
              <w:jc w:val="center"/>
              <w:rPr>
                <w:rFonts w:ascii="宋体" w:hAnsi="宋体"/>
                <w:bCs/>
                <w:color w:val="auto"/>
                <w:szCs w:val="21"/>
                <w:highlight w:val="none"/>
              </w:rPr>
            </w:pPr>
            <w:r>
              <w:rPr>
                <w:rFonts w:hint="eastAsia" w:ascii="宋体" w:hAnsi="宋体"/>
                <w:color w:val="auto"/>
                <w:szCs w:val="21"/>
                <w:highlight w:val="none"/>
              </w:rPr>
              <w:t>服务响应分</w:t>
            </w:r>
          </w:p>
        </w:tc>
        <w:tc>
          <w:tcPr>
            <w:tcW w:w="5952" w:type="dxa"/>
            <w:vAlign w:val="center"/>
          </w:tcPr>
          <w:p w14:paraId="1D1BA749">
            <w:pPr>
              <w:spacing w:line="360" w:lineRule="exact"/>
              <w:ind w:firstLine="420" w:firstLineChars="200"/>
              <w:rPr>
                <w:color w:val="auto"/>
                <w:highlight w:val="none"/>
              </w:rPr>
            </w:pPr>
            <w:r>
              <w:rPr>
                <w:rFonts w:hint="eastAsia"/>
                <w:color w:val="auto"/>
                <w:highlight w:val="none"/>
              </w:rPr>
              <w:t>投标文件对采购文件第二章《采购需求》表中“</w:t>
            </w:r>
            <w:r>
              <w:rPr>
                <w:rFonts w:hint="eastAsia"/>
                <w:color w:val="auto"/>
                <w:highlight w:val="none"/>
                <w:lang w:eastAsia="zh-CN"/>
              </w:rPr>
              <w:t>二、</w:t>
            </w:r>
            <w:r>
              <w:rPr>
                <w:rFonts w:hint="eastAsia"/>
                <w:color w:val="auto"/>
                <w:highlight w:val="none"/>
              </w:rPr>
              <w:t>具体工作要求 1.服务要求”的响应程度，每有一项正偏离的得1分，满分3分。</w:t>
            </w:r>
            <w:bookmarkStart w:id="157" w:name="_GoBack"/>
            <w:bookmarkEnd w:id="157"/>
          </w:p>
          <w:p w14:paraId="48ED5DFB">
            <w:pPr>
              <w:spacing w:line="360" w:lineRule="exact"/>
              <w:ind w:firstLine="420" w:firstLineChars="200"/>
              <w:rPr>
                <w:color w:val="auto"/>
                <w:highlight w:val="none"/>
              </w:rPr>
            </w:pPr>
            <w:r>
              <w:rPr>
                <w:rFonts w:hint="eastAsia"/>
                <w:color w:val="auto"/>
                <w:highlight w:val="none"/>
              </w:rPr>
              <w:t>投标文件对采购文件第二章《采购需求》表中“</w:t>
            </w:r>
            <w:r>
              <w:rPr>
                <w:rFonts w:hint="eastAsia"/>
                <w:color w:val="auto"/>
                <w:highlight w:val="none"/>
                <w:lang w:eastAsia="zh-CN"/>
              </w:rPr>
              <w:t>二、</w:t>
            </w:r>
            <w:r>
              <w:rPr>
                <w:rFonts w:hint="eastAsia"/>
                <w:color w:val="auto"/>
                <w:highlight w:val="none"/>
              </w:rPr>
              <w:t>具体工作要求2.技术要求”的响应程度，每有一项正偏离的得1分，满分3分。</w:t>
            </w:r>
          </w:p>
        </w:tc>
        <w:tc>
          <w:tcPr>
            <w:tcW w:w="1191" w:type="dxa"/>
            <w:vAlign w:val="center"/>
          </w:tcPr>
          <w:p w14:paraId="553B4471">
            <w:pPr>
              <w:spacing w:line="360" w:lineRule="exact"/>
              <w:jc w:val="center"/>
              <w:rPr>
                <w:rFonts w:ascii="宋体" w:hAnsi="宋体"/>
                <w:bCs/>
                <w:color w:val="auto"/>
                <w:szCs w:val="21"/>
                <w:highlight w:val="none"/>
              </w:rPr>
            </w:pPr>
            <w:r>
              <w:rPr>
                <w:rFonts w:hint="eastAsia" w:ascii="宋体" w:hAnsi="宋体" w:cs="Tahoma"/>
                <w:color w:val="auto"/>
                <w:kern w:val="0"/>
                <w:szCs w:val="21"/>
                <w:highlight w:val="none"/>
              </w:rPr>
              <w:t>6分</w:t>
            </w:r>
          </w:p>
        </w:tc>
      </w:tr>
      <w:tr w14:paraId="4CC7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14:paraId="4C52A722">
            <w:pPr>
              <w:adjustRightInd w:val="0"/>
              <w:spacing w:line="360" w:lineRule="exac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w:t>
            </w:r>
            <w:r>
              <w:rPr>
                <w:rFonts w:ascii="宋体" w:hAnsi="宋体"/>
                <w:bCs/>
                <w:color w:val="auto"/>
                <w:kern w:val="0"/>
                <w:szCs w:val="21"/>
                <w:highlight w:val="none"/>
              </w:rPr>
              <w:t>.2</w:t>
            </w:r>
          </w:p>
        </w:tc>
        <w:tc>
          <w:tcPr>
            <w:tcW w:w="1276" w:type="dxa"/>
            <w:vAlign w:val="center"/>
          </w:tcPr>
          <w:p w14:paraId="19E2A7AF">
            <w:pPr>
              <w:adjustRightInd w:val="0"/>
              <w:spacing w:line="360" w:lineRule="exact"/>
              <w:jc w:val="center"/>
              <w:textAlignment w:val="baseline"/>
              <w:rPr>
                <w:rFonts w:ascii="宋体" w:hAnsi="宋体" w:cs="宋体"/>
                <w:color w:val="auto"/>
                <w:szCs w:val="21"/>
                <w:highlight w:val="none"/>
              </w:rPr>
            </w:pPr>
            <w:r>
              <w:rPr>
                <w:rFonts w:hint="eastAsia" w:ascii="宋体" w:hAnsi="宋体"/>
                <w:color w:val="auto"/>
                <w:szCs w:val="21"/>
                <w:highlight w:val="none"/>
              </w:rPr>
              <w:t>服务能</w:t>
            </w:r>
            <w:r>
              <w:rPr>
                <w:rFonts w:ascii="宋体" w:hAnsi="宋体"/>
                <w:color w:val="auto"/>
                <w:szCs w:val="21"/>
                <w:highlight w:val="none"/>
              </w:rPr>
              <w:t>力</w:t>
            </w:r>
            <w:r>
              <w:rPr>
                <w:rFonts w:hint="eastAsia" w:ascii="宋体" w:hAnsi="宋体"/>
                <w:color w:val="auto"/>
                <w:szCs w:val="21"/>
                <w:highlight w:val="none"/>
              </w:rPr>
              <w:t>分</w:t>
            </w:r>
          </w:p>
        </w:tc>
        <w:tc>
          <w:tcPr>
            <w:tcW w:w="5952" w:type="dxa"/>
            <w:vAlign w:val="center"/>
          </w:tcPr>
          <w:p w14:paraId="0B8771F3">
            <w:pPr>
              <w:pStyle w:val="27"/>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（1）投标人具备线上图书采购能力。举办过线上图书采购会（投标文件中提供线上图书采购会的通知、方案、网页记录等相关内容截图证明），得</w:t>
            </w:r>
            <w:r>
              <w:rPr>
                <w:rFonts w:hAnsi="宋体" w:cs="宋体"/>
                <w:bCs/>
                <w:color w:val="auto"/>
                <w:sz w:val="21"/>
                <w:highlight w:val="none"/>
              </w:rPr>
              <w:t>2</w:t>
            </w:r>
            <w:r>
              <w:rPr>
                <w:rFonts w:hint="eastAsia" w:hAnsi="宋体" w:cs="宋体"/>
                <w:bCs/>
                <w:color w:val="auto"/>
                <w:sz w:val="21"/>
                <w:highlight w:val="none"/>
              </w:rPr>
              <w:t>分，未举办过线上图书采购会，得0分，满分</w:t>
            </w:r>
            <w:r>
              <w:rPr>
                <w:rFonts w:hint="eastAsia" w:hAnsi="宋体" w:cs="宋体"/>
                <w:bCs/>
                <w:color w:val="auto"/>
                <w:sz w:val="21"/>
                <w:highlight w:val="none"/>
                <w:lang w:val="en-US" w:eastAsia="zh-CN"/>
              </w:rPr>
              <w:t>2</w:t>
            </w:r>
            <w:r>
              <w:rPr>
                <w:rFonts w:hint="eastAsia" w:hAnsi="宋体" w:cs="宋体"/>
                <w:bCs/>
                <w:color w:val="auto"/>
                <w:sz w:val="21"/>
                <w:highlight w:val="none"/>
              </w:rPr>
              <w:t>分。线上图书采购会具备以下功能：①展示单品图书详情（封面、著者、价格、出版社、出版时间、内容简介）功能；②书目能做批量选购、按中图法分类等检索功能的。每满足一</w:t>
            </w:r>
            <w:r>
              <w:rPr>
                <w:rFonts w:hAnsi="宋体" w:cs="宋体"/>
                <w:bCs/>
                <w:color w:val="auto"/>
                <w:sz w:val="21"/>
                <w:highlight w:val="none"/>
              </w:rPr>
              <w:t>项</w:t>
            </w:r>
            <w:r>
              <w:rPr>
                <w:rFonts w:hint="eastAsia" w:hAnsi="宋体" w:cs="宋体"/>
                <w:bCs/>
                <w:color w:val="auto"/>
                <w:sz w:val="21"/>
                <w:highlight w:val="none"/>
              </w:rPr>
              <w:t>得</w:t>
            </w:r>
            <w:r>
              <w:rPr>
                <w:rFonts w:hAnsi="宋体" w:cs="宋体"/>
                <w:bCs/>
                <w:color w:val="auto"/>
                <w:sz w:val="21"/>
                <w:highlight w:val="none"/>
              </w:rPr>
              <w:t>1.5</w:t>
            </w:r>
            <w:r>
              <w:rPr>
                <w:rFonts w:hint="eastAsia" w:hAnsi="宋体" w:cs="宋体"/>
                <w:bCs/>
                <w:color w:val="auto"/>
                <w:sz w:val="21"/>
                <w:highlight w:val="none"/>
              </w:rPr>
              <w:t>分，不满足不得分，满分</w:t>
            </w:r>
            <w:r>
              <w:rPr>
                <w:rFonts w:hAnsi="宋体" w:cs="宋体"/>
                <w:bCs/>
                <w:color w:val="auto"/>
                <w:sz w:val="21"/>
                <w:highlight w:val="none"/>
              </w:rPr>
              <w:t>3</w:t>
            </w:r>
            <w:r>
              <w:rPr>
                <w:rFonts w:hint="eastAsia" w:hAnsi="宋体" w:cs="宋体"/>
                <w:bCs/>
                <w:color w:val="auto"/>
                <w:sz w:val="21"/>
                <w:highlight w:val="none"/>
              </w:rPr>
              <w:t>分。本</w:t>
            </w:r>
            <w:r>
              <w:rPr>
                <w:rFonts w:hAnsi="宋体" w:cs="宋体"/>
                <w:bCs/>
                <w:color w:val="auto"/>
                <w:sz w:val="21"/>
                <w:highlight w:val="none"/>
              </w:rPr>
              <w:t>项</w:t>
            </w:r>
            <w:r>
              <w:rPr>
                <w:rFonts w:hint="eastAsia" w:hAnsi="宋体" w:cs="宋体"/>
                <w:bCs/>
                <w:color w:val="auto"/>
                <w:sz w:val="21"/>
                <w:highlight w:val="none"/>
              </w:rPr>
              <w:t>满分</w:t>
            </w:r>
            <w:r>
              <w:rPr>
                <w:rFonts w:hAnsi="宋体" w:cs="宋体"/>
                <w:bCs/>
                <w:color w:val="auto"/>
                <w:sz w:val="21"/>
                <w:highlight w:val="none"/>
              </w:rPr>
              <w:t>5</w:t>
            </w:r>
            <w:r>
              <w:rPr>
                <w:rFonts w:hint="eastAsia" w:hAnsi="宋体" w:cs="宋体"/>
                <w:bCs/>
                <w:color w:val="auto"/>
                <w:sz w:val="21"/>
                <w:highlight w:val="none"/>
              </w:rPr>
              <w:t xml:space="preserve">分。（投标文件中提供相关有效证明材料复印件） </w:t>
            </w:r>
          </w:p>
          <w:p w14:paraId="3AAB84F4">
            <w:pPr>
              <w:pStyle w:val="27"/>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（2）投标人具备线下图书采购能力，2023年以来至投标文件递交截止日期前举办过线下图书采购会。提供相关证明包含：文字说明、现场图片等。每次采购会得</w:t>
            </w:r>
            <w:r>
              <w:rPr>
                <w:rFonts w:hAnsi="宋体" w:cs="宋体"/>
                <w:bCs/>
                <w:color w:val="auto"/>
                <w:sz w:val="21"/>
                <w:highlight w:val="none"/>
              </w:rPr>
              <w:t>2</w:t>
            </w:r>
            <w:r>
              <w:rPr>
                <w:rFonts w:hint="eastAsia" w:hAnsi="宋体" w:cs="宋体"/>
                <w:bCs/>
                <w:color w:val="auto"/>
                <w:sz w:val="21"/>
                <w:highlight w:val="none"/>
              </w:rPr>
              <w:t>分，满分</w:t>
            </w:r>
            <w:r>
              <w:rPr>
                <w:rFonts w:hAnsi="宋体" w:cs="宋体"/>
                <w:bCs/>
                <w:color w:val="auto"/>
                <w:sz w:val="21"/>
                <w:highlight w:val="none"/>
              </w:rPr>
              <w:t>6</w:t>
            </w:r>
            <w:r>
              <w:rPr>
                <w:rFonts w:hint="eastAsia" w:hAnsi="宋体" w:cs="宋体"/>
                <w:bCs/>
                <w:color w:val="auto"/>
                <w:sz w:val="21"/>
                <w:highlight w:val="none"/>
              </w:rPr>
              <w:t>分。</w:t>
            </w:r>
          </w:p>
          <w:p w14:paraId="7CAEF2B4">
            <w:pPr>
              <w:pStyle w:val="27"/>
              <w:adjustRightInd w:val="0"/>
              <w:spacing w:line="400" w:lineRule="exact"/>
              <w:ind w:firstLine="420" w:firstLineChars="200"/>
              <w:textAlignment w:val="baseline"/>
              <w:rPr>
                <w:rFonts w:hAnsi="宋体"/>
                <w:color w:val="auto"/>
                <w:highlight w:val="none"/>
              </w:rPr>
            </w:pPr>
            <w:r>
              <w:rPr>
                <w:rFonts w:hint="eastAsia" w:hAnsi="宋体" w:cs="宋体"/>
                <w:color w:val="auto"/>
                <w:sz w:val="21"/>
                <w:highlight w:val="none"/>
              </w:rPr>
              <w:t>（3）投标人具备对采购人急需采购图书能在10天内完成供货的图书采购能力，得1分；具备对采购人学科专业时效性较强且易过时的图书能在20天内完成供货的图书采购能力，得1分；具备对错发漏发及有质量问题的图书无条件退换且能在30天内完成供货的图书采购能力，得1分。在投标文件中提供相应承诺函，格式自拟，不提供不得分，本项满分3分。</w:t>
            </w:r>
          </w:p>
        </w:tc>
        <w:tc>
          <w:tcPr>
            <w:tcW w:w="1191" w:type="dxa"/>
            <w:vAlign w:val="center"/>
          </w:tcPr>
          <w:p w14:paraId="16C2DDE9">
            <w:pPr>
              <w:spacing w:line="360" w:lineRule="exact"/>
              <w:jc w:val="center"/>
              <w:rPr>
                <w:rFonts w:ascii="宋体" w:hAnsi="宋体"/>
                <w:bCs/>
                <w:color w:val="auto"/>
                <w:szCs w:val="21"/>
                <w:highlight w:val="none"/>
              </w:rPr>
            </w:pPr>
            <w:r>
              <w:rPr>
                <w:rFonts w:ascii="宋体" w:hAnsi="宋体" w:cs="Tahoma"/>
                <w:color w:val="auto"/>
                <w:kern w:val="0"/>
                <w:szCs w:val="21"/>
                <w:highlight w:val="none"/>
              </w:rPr>
              <w:t>14</w:t>
            </w:r>
            <w:r>
              <w:rPr>
                <w:rFonts w:hint="eastAsia" w:ascii="宋体" w:hAnsi="宋体" w:cs="Tahoma"/>
                <w:color w:val="auto"/>
                <w:kern w:val="0"/>
                <w:szCs w:val="21"/>
                <w:highlight w:val="none"/>
              </w:rPr>
              <w:t>分</w:t>
            </w:r>
          </w:p>
        </w:tc>
      </w:tr>
      <w:tr w14:paraId="6BB2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14:paraId="2AFA8D72">
            <w:pPr>
              <w:adjustRightInd w:val="0"/>
              <w:spacing w:line="360" w:lineRule="exac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w:t>
            </w:r>
            <w:r>
              <w:rPr>
                <w:rFonts w:ascii="宋体" w:hAnsi="宋体"/>
                <w:bCs/>
                <w:color w:val="auto"/>
                <w:kern w:val="0"/>
                <w:szCs w:val="21"/>
                <w:highlight w:val="none"/>
              </w:rPr>
              <w:t>.3</w:t>
            </w:r>
          </w:p>
        </w:tc>
        <w:tc>
          <w:tcPr>
            <w:tcW w:w="1276" w:type="dxa"/>
            <w:vAlign w:val="center"/>
          </w:tcPr>
          <w:p w14:paraId="691116F1">
            <w:pPr>
              <w:adjustRightInd w:val="0"/>
              <w:spacing w:line="360" w:lineRule="exact"/>
              <w:jc w:val="center"/>
              <w:textAlignment w:val="baseline"/>
              <w:rPr>
                <w:rFonts w:ascii="宋体" w:hAnsi="宋体" w:cs="宋体"/>
                <w:color w:val="auto"/>
                <w:szCs w:val="21"/>
                <w:highlight w:val="none"/>
              </w:rPr>
            </w:pPr>
            <w:r>
              <w:rPr>
                <w:rFonts w:hint="eastAsia" w:ascii="宋体" w:hAnsi="宋体"/>
                <w:color w:val="auto"/>
                <w:szCs w:val="21"/>
                <w:highlight w:val="none"/>
              </w:rPr>
              <w:t>服务实施方案分</w:t>
            </w:r>
          </w:p>
        </w:tc>
        <w:tc>
          <w:tcPr>
            <w:tcW w:w="5952" w:type="dxa"/>
            <w:vAlign w:val="center"/>
          </w:tcPr>
          <w:p w14:paraId="476C2553">
            <w:pPr>
              <w:spacing w:line="400" w:lineRule="exact"/>
              <w:ind w:firstLine="420"/>
              <w:rPr>
                <w:rFonts w:ascii="宋体" w:hAnsi="宋体"/>
                <w:b/>
                <w:color w:val="auto"/>
                <w:szCs w:val="21"/>
                <w:highlight w:val="none"/>
              </w:rPr>
            </w:pPr>
            <w:r>
              <w:rPr>
                <w:rFonts w:hint="eastAsia" w:ascii="宋体" w:hAnsi="宋体"/>
                <w:b/>
                <w:color w:val="auto"/>
                <w:szCs w:val="21"/>
                <w:highlight w:val="none"/>
              </w:rPr>
              <w:t xml:space="preserve">（1）投标人结合采购人“师范大学”的办学特点、专业方向、重点图书需求，特别是师范专业认证图书需求，为采购人图书采购（采购覆盖面、到书率）制定服务保障方案（满分8分）： </w:t>
            </w:r>
          </w:p>
          <w:p w14:paraId="1AE0C87B">
            <w:pPr>
              <w:spacing w:line="400" w:lineRule="exact"/>
              <w:ind w:firstLine="420"/>
              <w:rPr>
                <w:rFonts w:ascii="宋体" w:hAnsi="宋体"/>
                <w:bCs/>
                <w:color w:val="auto"/>
                <w:szCs w:val="21"/>
                <w:highlight w:val="none"/>
              </w:rPr>
            </w:pPr>
            <w:r>
              <w:rPr>
                <w:rFonts w:hint="eastAsia" w:ascii="宋体" w:hAnsi="宋体"/>
                <w:bCs/>
                <w:color w:val="auto"/>
                <w:szCs w:val="21"/>
                <w:highlight w:val="none"/>
              </w:rPr>
              <w:t>一档（0分）：未提供相应的方案；</w:t>
            </w:r>
          </w:p>
          <w:p w14:paraId="3C77DCAB">
            <w:pPr>
              <w:spacing w:line="400" w:lineRule="exact"/>
              <w:ind w:firstLine="420"/>
              <w:rPr>
                <w:rFonts w:ascii="宋体" w:hAnsi="宋体"/>
                <w:bCs/>
                <w:color w:val="auto"/>
                <w:szCs w:val="21"/>
                <w:highlight w:val="none"/>
              </w:rPr>
            </w:pPr>
            <w:r>
              <w:rPr>
                <w:rFonts w:hint="eastAsia" w:ascii="宋体" w:hAnsi="宋体"/>
                <w:bCs/>
                <w:color w:val="auto"/>
                <w:szCs w:val="21"/>
                <w:highlight w:val="none"/>
              </w:rPr>
              <w:t>二档（2分）：投标人制定相应的方案，方案仅仅是对项目需求的重复性叙述，无实施步骤，服务方案不具有可操作性；</w:t>
            </w:r>
          </w:p>
          <w:p w14:paraId="5D59589F">
            <w:pPr>
              <w:spacing w:line="400" w:lineRule="exact"/>
              <w:ind w:firstLine="420"/>
              <w:rPr>
                <w:rFonts w:ascii="宋体" w:hAnsi="宋体"/>
                <w:bCs/>
                <w:color w:val="auto"/>
                <w:szCs w:val="21"/>
                <w:highlight w:val="none"/>
              </w:rPr>
            </w:pPr>
            <w:r>
              <w:rPr>
                <w:rFonts w:hint="eastAsia" w:ascii="宋体" w:hAnsi="宋体"/>
                <w:bCs/>
                <w:color w:val="auto"/>
                <w:szCs w:val="21"/>
                <w:highlight w:val="none"/>
              </w:rPr>
              <w:t>三档（5分）：投标人制定相应的方案，为采购人制定图书采购计划，如组织采购会、到书计划表等，以及为确保到书率的具体措施，制定的服务方案内容详细具体，有操作性；</w:t>
            </w:r>
          </w:p>
          <w:p w14:paraId="47A9B70F">
            <w:pPr>
              <w:spacing w:line="400" w:lineRule="exact"/>
              <w:ind w:firstLine="420"/>
              <w:rPr>
                <w:rFonts w:ascii="宋体" w:hAnsi="宋体"/>
                <w:bCs/>
                <w:color w:val="auto"/>
                <w:szCs w:val="21"/>
                <w:highlight w:val="none"/>
              </w:rPr>
            </w:pPr>
            <w:r>
              <w:rPr>
                <w:rFonts w:hint="eastAsia" w:ascii="宋体" w:hAnsi="宋体"/>
                <w:bCs/>
                <w:color w:val="auto"/>
                <w:szCs w:val="21"/>
                <w:highlight w:val="none"/>
              </w:rPr>
              <w:t>四档（8分）：在满足三档的基础上，根据对采购人办学特点及认证需求，对采购人实际需求进行分析，并结合同类型高校图书供应的先进经验，为采购人图书采购提供全方面保障方案。制定的服务方案与采购需求相对应，并结合了采购人的实际需求情况提出具有针对性及可执行性的内容。</w:t>
            </w:r>
          </w:p>
          <w:p w14:paraId="54E0987C">
            <w:pPr>
              <w:spacing w:line="400" w:lineRule="exact"/>
              <w:ind w:firstLine="420"/>
              <w:rPr>
                <w:rFonts w:ascii="宋体" w:hAnsi="宋体"/>
                <w:b/>
                <w:color w:val="auto"/>
                <w:szCs w:val="21"/>
                <w:highlight w:val="none"/>
              </w:rPr>
            </w:pPr>
            <w:r>
              <w:rPr>
                <w:rFonts w:hint="eastAsia" w:ascii="宋体" w:hAnsi="宋体"/>
                <w:b/>
                <w:color w:val="auto"/>
                <w:szCs w:val="21"/>
                <w:highlight w:val="none"/>
              </w:rPr>
              <w:t xml:space="preserve">（2）投标人针对图书编目数据、图书加工、图书质保期、问题图书处置以及图书运送等制定服务方案（满分8分）： </w:t>
            </w:r>
          </w:p>
          <w:p w14:paraId="4746A550">
            <w:pPr>
              <w:spacing w:line="400" w:lineRule="exact"/>
              <w:ind w:firstLine="420"/>
              <w:rPr>
                <w:rFonts w:ascii="宋体" w:hAnsi="宋体"/>
                <w:bCs/>
                <w:color w:val="auto"/>
                <w:szCs w:val="21"/>
                <w:highlight w:val="none"/>
              </w:rPr>
            </w:pPr>
            <w:r>
              <w:rPr>
                <w:rFonts w:hint="eastAsia" w:ascii="宋体" w:hAnsi="宋体"/>
                <w:bCs/>
                <w:color w:val="auto"/>
                <w:szCs w:val="21"/>
                <w:highlight w:val="none"/>
              </w:rPr>
              <w:t>一档（0分）：未提供服务方案的；</w:t>
            </w:r>
          </w:p>
          <w:p w14:paraId="7C40C6D9">
            <w:pPr>
              <w:spacing w:line="400" w:lineRule="exact"/>
              <w:ind w:firstLine="420"/>
              <w:rPr>
                <w:rFonts w:ascii="宋体" w:hAnsi="宋体"/>
                <w:bCs/>
                <w:color w:val="auto"/>
                <w:szCs w:val="21"/>
                <w:highlight w:val="none"/>
              </w:rPr>
            </w:pPr>
            <w:r>
              <w:rPr>
                <w:rFonts w:hint="eastAsia" w:ascii="宋体" w:hAnsi="宋体"/>
                <w:bCs/>
                <w:color w:val="auto"/>
                <w:szCs w:val="21"/>
                <w:highlight w:val="none"/>
              </w:rPr>
              <w:t>二档（2分）：服务方案未涵盖以上5个方面的要求，服务措施可行性、合理性与采购需求相关；</w:t>
            </w:r>
          </w:p>
          <w:p w14:paraId="5C197C66">
            <w:pPr>
              <w:spacing w:line="400" w:lineRule="exact"/>
              <w:ind w:firstLine="420"/>
              <w:rPr>
                <w:rFonts w:ascii="宋体" w:hAnsi="宋体"/>
                <w:bCs/>
                <w:color w:val="auto"/>
                <w:szCs w:val="21"/>
                <w:highlight w:val="none"/>
              </w:rPr>
            </w:pPr>
            <w:r>
              <w:rPr>
                <w:rFonts w:hint="eastAsia" w:ascii="宋体" w:hAnsi="宋体"/>
                <w:bCs/>
                <w:color w:val="auto"/>
                <w:szCs w:val="21"/>
                <w:highlight w:val="none"/>
              </w:rPr>
              <w:t>三档（5分）：服务方案能够涵盖以上5个方面的要求，但部分方面的服务方案流程</w:t>
            </w:r>
            <w:r>
              <w:rPr>
                <w:rFonts w:hint="eastAsia" w:ascii="宋体" w:hAnsi="宋体"/>
                <w:bCs/>
                <w:color w:val="auto"/>
                <w:szCs w:val="21"/>
                <w:highlight w:val="none"/>
                <w:lang w:eastAsia="zh-CN"/>
              </w:rPr>
              <w:t>与项目要求相符</w:t>
            </w:r>
            <w:r>
              <w:rPr>
                <w:rFonts w:hint="eastAsia" w:ascii="宋体" w:hAnsi="宋体"/>
                <w:bCs/>
                <w:color w:val="auto"/>
                <w:szCs w:val="21"/>
                <w:highlight w:val="none"/>
              </w:rPr>
              <w:t>，内容描述</w:t>
            </w:r>
            <w:r>
              <w:rPr>
                <w:rFonts w:hint="eastAsia" w:ascii="宋体" w:hAnsi="宋体"/>
                <w:bCs/>
                <w:color w:val="auto"/>
                <w:szCs w:val="21"/>
                <w:highlight w:val="none"/>
                <w:lang w:eastAsia="zh-CN"/>
              </w:rPr>
              <w:t>有所</w:t>
            </w:r>
            <w:r>
              <w:rPr>
                <w:rFonts w:hint="eastAsia" w:ascii="宋体" w:hAnsi="宋体"/>
                <w:bCs/>
                <w:color w:val="auto"/>
                <w:szCs w:val="21"/>
                <w:highlight w:val="none"/>
              </w:rPr>
              <w:t>划分，服务措施基本满足采购人的需求；</w:t>
            </w:r>
          </w:p>
          <w:p w14:paraId="58C641C6">
            <w:pPr>
              <w:spacing w:line="400" w:lineRule="exact"/>
              <w:ind w:firstLine="420"/>
              <w:rPr>
                <w:rFonts w:ascii="宋体" w:hAnsi="宋体"/>
                <w:bCs/>
                <w:color w:val="auto"/>
                <w:szCs w:val="21"/>
                <w:highlight w:val="none"/>
              </w:rPr>
            </w:pPr>
            <w:r>
              <w:rPr>
                <w:rFonts w:hint="eastAsia" w:ascii="宋体" w:hAnsi="宋体"/>
                <w:bCs/>
                <w:color w:val="auto"/>
                <w:szCs w:val="21"/>
                <w:highlight w:val="none"/>
              </w:rPr>
              <w:t>四档（8分）：在满足上三档的基础上，服务方案能够结合采购人多校区实际情况进一步提供服务方案，整体服务方案切合采购需求，5个方面的服务方案流程步骤清晰，切合项目的实际情况，并有应急处置方案，满足采购人的需求。</w:t>
            </w:r>
          </w:p>
          <w:p w14:paraId="48D63846">
            <w:pPr>
              <w:spacing w:line="400" w:lineRule="exact"/>
              <w:ind w:firstLine="420"/>
              <w:rPr>
                <w:rFonts w:ascii="宋体" w:hAnsi="宋体"/>
                <w:b/>
                <w:color w:val="auto"/>
                <w:szCs w:val="21"/>
                <w:highlight w:val="none"/>
              </w:rPr>
            </w:pPr>
            <w:r>
              <w:rPr>
                <w:rFonts w:hint="eastAsia" w:ascii="宋体" w:hAnsi="宋体"/>
                <w:b/>
                <w:color w:val="auto"/>
                <w:szCs w:val="21"/>
                <w:highlight w:val="none"/>
              </w:rPr>
              <w:t>（3）针对采购人的增值服务措施（满分</w:t>
            </w:r>
            <w:r>
              <w:rPr>
                <w:rFonts w:ascii="宋体" w:hAnsi="宋体"/>
                <w:b/>
                <w:color w:val="auto"/>
                <w:szCs w:val="21"/>
                <w:highlight w:val="none"/>
              </w:rPr>
              <w:t>9</w:t>
            </w:r>
            <w:r>
              <w:rPr>
                <w:rFonts w:hint="eastAsia" w:ascii="宋体" w:hAnsi="宋体"/>
                <w:b/>
                <w:color w:val="auto"/>
                <w:szCs w:val="21"/>
                <w:highlight w:val="none"/>
              </w:rPr>
              <w:t xml:space="preserve">分）： </w:t>
            </w:r>
          </w:p>
          <w:p w14:paraId="5D39AC1F">
            <w:pPr>
              <w:spacing w:line="400" w:lineRule="exact"/>
              <w:ind w:firstLine="420"/>
              <w:rPr>
                <w:rFonts w:ascii="宋体" w:hAnsi="宋体"/>
                <w:bCs/>
                <w:color w:val="auto"/>
                <w:szCs w:val="21"/>
                <w:highlight w:val="none"/>
              </w:rPr>
            </w:pPr>
            <w:r>
              <w:rPr>
                <w:rFonts w:hint="eastAsia" w:ascii="宋体" w:hAnsi="宋体"/>
                <w:bCs/>
                <w:color w:val="auto"/>
                <w:szCs w:val="21"/>
                <w:highlight w:val="none"/>
              </w:rPr>
              <w:t>在完全满足采购人项目需求的基础上，投标人为采购人提供优于项目需求，且与图书采访、配送、编目、加工、售后等馆藏建设相关的其他增值服务，每项得</w:t>
            </w:r>
            <w:r>
              <w:rPr>
                <w:rFonts w:ascii="宋体" w:hAnsi="宋体"/>
                <w:bCs/>
                <w:color w:val="auto"/>
                <w:szCs w:val="21"/>
                <w:highlight w:val="none"/>
              </w:rPr>
              <w:t>1.5</w:t>
            </w:r>
            <w:r>
              <w:rPr>
                <w:rFonts w:hint="eastAsia" w:ascii="宋体" w:hAnsi="宋体"/>
                <w:bCs/>
                <w:color w:val="auto"/>
                <w:szCs w:val="21"/>
                <w:highlight w:val="none"/>
              </w:rPr>
              <w:t>分，满分</w:t>
            </w:r>
            <w:r>
              <w:rPr>
                <w:rFonts w:ascii="宋体" w:hAnsi="宋体"/>
                <w:bCs/>
                <w:color w:val="auto"/>
                <w:szCs w:val="21"/>
                <w:highlight w:val="none"/>
              </w:rPr>
              <w:t>9</w:t>
            </w:r>
            <w:r>
              <w:rPr>
                <w:rFonts w:hint="eastAsia" w:ascii="宋体" w:hAnsi="宋体"/>
                <w:bCs/>
                <w:color w:val="auto"/>
                <w:szCs w:val="21"/>
                <w:highlight w:val="none"/>
              </w:rPr>
              <w:t>分。增值服务须经评标委员会认可，符合采购人工作要求和行业规则，投标文件中附投标人法定代表人签字认可的承诺函。</w:t>
            </w:r>
          </w:p>
        </w:tc>
        <w:tc>
          <w:tcPr>
            <w:tcW w:w="1191" w:type="dxa"/>
            <w:vAlign w:val="center"/>
          </w:tcPr>
          <w:p w14:paraId="088D012C">
            <w:pPr>
              <w:spacing w:line="360" w:lineRule="exact"/>
              <w:jc w:val="center"/>
              <w:rPr>
                <w:rFonts w:ascii="宋体" w:hAnsi="宋体" w:cs="Tahoma"/>
                <w:color w:val="auto"/>
                <w:kern w:val="0"/>
                <w:szCs w:val="21"/>
                <w:highlight w:val="none"/>
              </w:rPr>
            </w:pPr>
          </w:p>
          <w:p w14:paraId="2472BBA5">
            <w:pPr>
              <w:spacing w:line="360" w:lineRule="exact"/>
              <w:jc w:val="center"/>
              <w:rPr>
                <w:rFonts w:ascii="宋体" w:hAnsi="宋体" w:cs="Tahoma"/>
                <w:color w:val="auto"/>
                <w:kern w:val="0"/>
                <w:szCs w:val="21"/>
                <w:highlight w:val="none"/>
              </w:rPr>
            </w:pPr>
          </w:p>
          <w:p w14:paraId="6095676E">
            <w:pPr>
              <w:spacing w:line="360" w:lineRule="exact"/>
              <w:jc w:val="center"/>
              <w:rPr>
                <w:rFonts w:ascii="宋体" w:hAnsi="宋体" w:cs="Tahoma"/>
                <w:color w:val="auto"/>
                <w:kern w:val="0"/>
                <w:szCs w:val="21"/>
                <w:highlight w:val="none"/>
              </w:rPr>
            </w:pPr>
          </w:p>
          <w:p w14:paraId="5EADD388">
            <w:pPr>
              <w:spacing w:line="360" w:lineRule="exact"/>
              <w:jc w:val="center"/>
              <w:rPr>
                <w:rFonts w:ascii="宋体" w:hAnsi="宋体" w:cs="Tahoma"/>
                <w:color w:val="auto"/>
                <w:kern w:val="0"/>
                <w:szCs w:val="21"/>
                <w:highlight w:val="none"/>
              </w:rPr>
            </w:pPr>
          </w:p>
          <w:p w14:paraId="4D98E9D0">
            <w:pPr>
              <w:spacing w:line="360" w:lineRule="exact"/>
              <w:jc w:val="center"/>
              <w:rPr>
                <w:rFonts w:ascii="宋体" w:hAnsi="宋体" w:cs="Tahoma"/>
                <w:color w:val="auto"/>
                <w:kern w:val="0"/>
                <w:szCs w:val="21"/>
                <w:highlight w:val="none"/>
              </w:rPr>
            </w:pPr>
          </w:p>
          <w:p w14:paraId="7E4EAF7E">
            <w:pPr>
              <w:spacing w:line="360" w:lineRule="exact"/>
              <w:jc w:val="center"/>
              <w:rPr>
                <w:rFonts w:ascii="宋体" w:hAnsi="宋体" w:cs="Tahoma"/>
                <w:color w:val="auto"/>
                <w:kern w:val="0"/>
                <w:szCs w:val="21"/>
                <w:highlight w:val="none"/>
              </w:rPr>
            </w:pPr>
          </w:p>
          <w:p w14:paraId="2BAF7A4C">
            <w:pPr>
              <w:spacing w:line="360" w:lineRule="exact"/>
              <w:jc w:val="center"/>
              <w:rPr>
                <w:rFonts w:ascii="宋体" w:hAnsi="宋体" w:cs="Tahoma"/>
                <w:color w:val="auto"/>
                <w:kern w:val="0"/>
                <w:szCs w:val="21"/>
                <w:highlight w:val="none"/>
              </w:rPr>
            </w:pPr>
          </w:p>
          <w:p w14:paraId="05F38377">
            <w:pPr>
              <w:spacing w:line="360" w:lineRule="exact"/>
              <w:jc w:val="center"/>
              <w:rPr>
                <w:rFonts w:ascii="宋体" w:hAnsi="宋体" w:cs="Tahoma"/>
                <w:color w:val="auto"/>
                <w:kern w:val="0"/>
                <w:szCs w:val="21"/>
                <w:highlight w:val="none"/>
              </w:rPr>
            </w:pPr>
          </w:p>
          <w:p w14:paraId="6A071524">
            <w:pPr>
              <w:spacing w:line="360" w:lineRule="exact"/>
              <w:jc w:val="center"/>
              <w:rPr>
                <w:rFonts w:ascii="宋体" w:hAnsi="宋体" w:cs="Tahoma"/>
                <w:color w:val="auto"/>
                <w:kern w:val="0"/>
                <w:szCs w:val="21"/>
                <w:highlight w:val="none"/>
              </w:rPr>
            </w:pPr>
          </w:p>
          <w:p w14:paraId="2CC2E6AA">
            <w:pPr>
              <w:spacing w:line="360" w:lineRule="exact"/>
              <w:jc w:val="center"/>
              <w:rPr>
                <w:rFonts w:ascii="宋体" w:hAnsi="宋体" w:cs="Tahoma"/>
                <w:color w:val="auto"/>
                <w:kern w:val="0"/>
                <w:szCs w:val="21"/>
                <w:highlight w:val="none"/>
              </w:rPr>
            </w:pPr>
          </w:p>
          <w:p w14:paraId="4C17C067">
            <w:pPr>
              <w:spacing w:line="360" w:lineRule="exact"/>
              <w:jc w:val="center"/>
              <w:rPr>
                <w:rFonts w:ascii="宋体" w:hAnsi="宋体" w:cs="Tahoma"/>
                <w:color w:val="auto"/>
                <w:kern w:val="0"/>
                <w:szCs w:val="21"/>
                <w:highlight w:val="none"/>
              </w:rPr>
            </w:pPr>
          </w:p>
          <w:p w14:paraId="463D158C">
            <w:pPr>
              <w:spacing w:line="360" w:lineRule="exact"/>
              <w:jc w:val="center"/>
              <w:rPr>
                <w:rFonts w:ascii="宋体" w:hAnsi="宋体" w:cs="Tahoma"/>
                <w:color w:val="auto"/>
                <w:kern w:val="0"/>
                <w:szCs w:val="21"/>
                <w:highlight w:val="none"/>
              </w:rPr>
            </w:pPr>
          </w:p>
          <w:p w14:paraId="30706571">
            <w:pPr>
              <w:spacing w:line="360" w:lineRule="exact"/>
              <w:jc w:val="center"/>
              <w:rPr>
                <w:rFonts w:ascii="宋体" w:hAnsi="宋体" w:cs="Tahoma"/>
                <w:color w:val="auto"/>
                <w:kern w:val="0"/>
                <w:szCs w:val="21"/>
                <w:highlight w:val="none"/>
              </w:rPr>
            </w:pPr>
          </w:p>
          <w:p w14:paraId="62F061C3">
            <w:pPr>
              <w:spacing w:line="360" w:lineRule="exact"/>
              <w:jc w:val="center"/>
              <w:rPr>
                <w:rFonts w:ascii="宋体" w:hAnsi="宋体" w:cs="Tahoma"/>
                <w:color w:val="auto"/>
                <w:kern w:val="0"/>
                <w:szCs w:val="21"/>
                <w:highlight w:val="none"/>
              </w:rPr>
            </w:pPr>
          </w:p>
          <w:p w14:paraId="3AE35B25">
            <w:pPr>
              <w:spacing w:line="360" w:lineRule="exact"/>
              <w:jc w:val="center"/>
              <w:rPr>
                <w:rFonts w:ascii="宋体" w:hAnsi="宋体" w:cs="Tahoma"/>
                <w:color w:val="auto"/>
                <w:kern w:val="0"/>
                <w:szCs w:val="21"/>
                <w:highlight w:val="none"/>
              </w:rPr>
            </w:pPr>
          </w:p>
          <w:p w14:paraId="3F2C6419">
            <w:pPr>
              <w:spacing w:line="360" w:lineRule="exact"/>
              <w:jc w:val="center"/>
              <w:rPr>
                <w:rFonts w:ascii="宋体" w:hAnsi="宋体" w:cs="Tahoma"/>
                <w:color w:val="auto"/>
                <w:kern w:val="0"/>
                <w:szCs w:val="21"/>
                <w:highlight w:val="none"/>
              </w:rPr>
            </w:pPr>
          </w:p>
          <w:p w14:paraId="2508DBC4">
            <w:pPr>
              <w:spacing w:line="360" w:lineRule="exact"/>
              <w:jc w:val="center"/>
              <w:rPr>
                <w:rFonts w:ascii="宋体" w:hAnsi="宋体" w:cs="Tahoma"/>
                <w:color w:val="auto"/>
                <w:kern w:val="0"/>
                <w:szCs w:val="21"/>
                <w:highlight w:val="none"/>
              </w:rPr>
            </w:pPr>
          </w:p>
          <w:p w14:paraId="5FE3A905">
            <w:pPr>
              <w:spacing w:line="360" w:lineRule="exact"/>
              <w:jc w:val="center"/>
              <w:rPr>
                <w:rFonts w:ascii="宋体" w:hAnsi="宋体" w:cs="Tahoma"/>
                <w:color w:val="auto"/>
                <w:kern w:val="0"/>
                <w:szCs w:val="21"/>
                <w:highlight w:val="none"/>
              </w:rPr>
            </w:pPr>
          </w:p>
          <w:p w14:paraId="3BD81536">
            <w:pPr>
              <w:spacing w:line="360" w:lineRule="exact"/>
              <w:jc w:val="center"/>
              <w:rPr>
                <w:rFonts w:ascii="宋体" w:hAnsi="宋体"/>
                <w:bCs/>
                <w:color w:val="auto"/>
                <w:szCs w:val="21"/>
                <w:highlight w:val="none"/>
              </w:rPr>
            </w:pPr>
            <w:r>
              <w:rPr>
                <w:rFonts w:ascii="宋体" w:hAnsi="宋体" w:cs="Tahoma"/>
                <w:color w:val="auto"/>
                <w:kern w:val="0"/>
                <w:szCs w:val="21"/>
                <w:highlight w:val="none"/>
              </w:rPr>
              <w:t>25</w:t>
            </w:r>
            <w:r>
              <w:rPr>
                <w:rFonts w:hint="eastAsia" w:ascii="宋体" w:hAnsi="宋体" w:cs="Tahoma"/>
                <w:color w:val="auto"/>
                <w:kern w:val="0"/>
                <w:szCs w:val="21"/>
                <w:highlight w:val="none"/>
              </w:rPr>
              <w:t>分</w:t>
            </w:r>
          </w:p>
        </w:tc>
      </w:tr>
      <w:tr w14:paraId="6E19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5" w:type="dxa"/>
            <w:vAlign w:val="center"/>
          </w:tcPr>
          <w:p w14:paraId="399007DF">
            <w:pPr>
              <w:widowControl/>
              <w:spacing w:line="360" w:lineRule="exact"/>
              <w:jc w:val="center"/>
              <w:rPr>
                <w:rFonts w:ascii="宋体" w:hAnsi="宋体" w:cs="Tahoma"/>
                <w:b/>
                <w:color w:val="auto"/>
                <w:kern w:val="0"/>
                <w:szCs w:val="21"/>
                <w:highlight w:val="none"/>
              </w:rPr>
            </w:pPr>
            <w:r>
              <w:rPr>
                <w:rFonts w:ascii="宋体" w:hAnsi="宋体"/>
                <w:b/>
                <w:bCs/>
                <w:color w:val="auto"/>
                <w:kern w:val="0"/>
                <w:szCs w:val="21"/>
                <w:highlight w:val="none"/>
              </w:rPr>
              <w:t>3</w:t>
            </w:r>
          </w:p>
        </w:tc>
        <w:tc>
          <w:tcPr>
            <w:tcW w:w="1276" w:type="dxa"/>
            <w:vAlign w:val="center"/>
          </w:tcPr>
          <w:p w14:paraId="658AC210">
            <w:pPr>
              <w:widowControl/>
              <w:spacing w:line="360" w:lineRule="exact"/>
              <w:jc w:val="center"/>
              <w:rPr>
                <w:rFonts w:ascii="宋体" w:hAnsi="宋体" w:cs="Tahoma"/>
                <w:b/>
                <w:color w:val="auto"/>
                <w:kern w:val="0"/>
                <w:szCs w:val="21"/>
                <w:highlight w:val="none"/>
              </w:rPr>
            </w:pPr>
            <w:r>
              <w:rPr>
                <w:rFonts w:hint="eastAsia" w:ascii="宋体" w:hAnsi="宋体"/>
                <w:b/>
                <w:bCs/>
                <w:color w:val="auto"/>
                <w:kern w:val="0"/>
                <w:szCs w:val="21"/>
                <w:highlight w:val="none"/>
              </w:rPr>
              <w:t>商务分</w:t>
            </w:r>
          </w:p>
        </w:tc>
        <w:tc>
          <w:tcPr>
            <w:tcW w:w="5952" w:type="dxa"/>
            <w:vAlign w:val="center"/>
          </w:tcPr>
          <w:p w14:paraId="1743C7AA">
            <w:pPr>
              <w:widowControl/>
              <w:spacing w:line="360" w:lineRule="exact"/>
              <w:jc w:val="center"/>
              <w:rPr>
                <w:rFonts w:ascii="宋体" w:hAnsi="宋体" w:cs="Tahoma"/>
                <w:b/>
                <w:color w:val="auto"/>
                <w:kern w:val="0"/>
                <w:szCs w:val="21"/>
                <w:highlight w:val="none"/>
              </w:rPr>
            </w:pPr>
            <w:r>
              <w:rPr>
                <w:rFonts w:hint="eastAsia" w:ascii="宋体" w:hAnsi="宋体" w:cs="Tahoma"/>
                <w:b/>
                <w:color w:val="auto"/>
                <w:kern w:val="0"/>
                <w:szCs w:val="21"/>
                <w:highlight w:val="none"/>
              </w:rPr>
              <w:t>评审因素</w:t>
            </w:r>
          </w:p>
        </w:tc>
        <w:tc>
          <w:tcPr>
            <w:tcW w:w="1191" w:type="dxa"/>
            <w:vAlign w:val="center"/>
          </w:tcPr>
          <w:p w14:paraId="1E4F9529">
            <w:pPr>
              <w:widowControl/>
              <w:spacing w:line="360" w:lineRule="exact"/>
              <w:jc w:val="center"/>
              <w:rPr>
                <w:rFonts w:ascii="宋体" w:hAnsi="宋体" w:cs="Tahoma"/>
                <w:b/>
                <w:color w:val="auto"/>
                <w:kern w:val="0"/>
                <w:szCs w:val="21"/>
                <w:highlight w:val="none"/>
              </w:rPr>
            </w:pPr>
            <w:r>
              <w:rPr>
                <w:rFonts w:hint="eastAsia" w:ascii="宋体" w:hAnsi="宋体" w:cs="Tahoma"/>
                <w:b/>
                <w:color w:val="auto"/>
                <w:kern w:val="0"/>
                <w:szCs w:val="21"/>
                <w:highlight w:val="none"/>
              </w:rPr>
              <w:t>满分25分</w:t>
            </w:r>
          </w:p>
        </w:tc>
      </w:tr>
      <w:tr w14:paraId="32C9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5" w:type="dxa"/>
            <w:vAlign w:val="center"/>
          </w:tcPr>
          <w:p w14:paraId="74EDE9C7">
            <w:pPr>
              <w:widowControl/>
              <w:spacing w:line="36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3</w:t>
            </w:r>
            <w:r>
              <w:rPr>
                <w:rFonts w:ascii="宋体" w:hAnsi="宋体" w:cs="Tahoma"/>
                <w:color w:val="auto"/>
                <w:kern w:val="0"/>
                <w:szCs w:val="21"/>
                <w:highlight w:val="none"/>
              </w:rPr>
              <w:t>.1</w:t>
            </w:r>
          </w:p>
        </w:tc>
        <w:tc>
          <w:tcPr>
            <w:tcW w:w="1276" w:type="dxa"/>
            <w:vAlign w:val="center"/>
          </w:tcPr>
          <w:p w14:paraId="662E631D">
            <w:pPr>
              <w:spacing w:line="360" w:lineRule="exact"/>
              <w:jc w:val="center"/>
              <w:rPr>
                <w:rFonts w:ascii="宋体" w:hAnsi="宋体"/>
                <w:color w:val="auto"/>
                <w:szCs w:val="21"/>
                <w:highlight w:val="none"/>
              </w:rPr>
            </w:pPr>
            <w:r>
              <w:rPr>
                <w:rFonts w:hint="eastAsia" w:ascii="宋体" w:hAnsi="宋体"/>
                <w:color w:val="auto"/>
                <w:szCs w:val="21"/>
                <w:highlight w:val="none"/>
              </w:rPr>
              <w:t>服务</w:t>
            </w:r>
            <w:r>
              <w:rPr>
                <w:rFonts w:ascii="宋体" w:hAnsi="宋体"/>
                <w:color w:val="auto"/>
                <w:szCs w:val="21"/>
                <w:highlight w:val="none"/>
              </w:rPr>
              <w:t>人员投入</w:t>
            </w:r>
          </w:p>
        </w:tc>
        <w:tc>
          <w:tcPr>
            <w:tcW w:w="5952" w:type="dxa"/>
          </w:tcPr>
          <w:p w14:paraId="1C9D3810">
            <w:pPr>
              <w:spacing w:line="360" w:lineRule="exact"/>
              <w:ind w:firstLine="420"/>
              <w:rPr>
                <w:rFonts w:ascii="宋体" w:hAnsi="宋体"/>
                <w:color w:val="auto"/>
                <w:szCs w:val="21"/>
                <w:highlight w:val="none"/>
              </w:rPr>
            </w:pPr>
            <w:r>
              <w:rPr>
                <w:rFonts w:hint="eastAsia" w:ascii="宋体" w:hAnsi="宋体"/>
                <w:color w:val="auto"/>
                <w:szCs w:val="21"/>
                <w:highlight w:val="none"/>
              </w:rPr>
              <w:t>（1）投标人承诺若中标，拟派固定人员在采购人指定地点常驻工作，服务于本项目图书采购。提供有效的人员信息表、证明材料及承诺函的，每人得1分，满分2分。</w:t>
            </w:r>
          </w:p>
          <w:p w14:paraId="567C8033">
            <w:pPr>
              <w:spacing w:line="360" w:lineRule="exact"/>
              <w:ind w:firstLine="420"/>
              <w:rPr>
                <w:rFonts w:ascii="宋体" w:hAnsi="宋体"/>
                <w:color w:val="auto"/>
                <w:szCs w:val="21"/>
                <w:highlight w:val="none"/>
              </w:rPr>
            </w:pPr>
            <w:r>
              <w:rPr>
                <w:rFonts w:hint="eastAsia" w:ascii="宋体" w:hAnsi="宋体"/>
                <w:color w:val="auto"/>
                <w:szCs w:val="21"/>
                <w:highlight w:val="none"/>
              </w:rPr>
              <w:t>（2）投标人承诺拟投入到本项目的人员中，具有国家图书馆颁发</w:t>
            </w:r>
            <w:r>
              <w:rPr>
                <w:rFonts w:ascii="宋体" w:hAnsi="宋体"/>
                <w:color w:val="auto"/>
                <w:szCs w:val="21"/>
                <w:highlight w:val="none"/>
              </w:rPr>
              <w:t>的全国图书馆</w:t>
            </w:r>
            <w:r>
              <w:rPr>
                <w:rFonts w:hint="eastAsia" w:ascii="宋体" w:hAnsi="宋体"/>
                <w:color w:val="auto"/>
                <w:szCs w:val="21"/>
                <w:highlight w:val="none"/>
              </w:rPr>
              <w:t>联合编目中心上传资格证书的，每人得0.5分，满分2.5分。</w:t>
            </w:r>
          </w:p>
          <w:p w14:paraId="014EFBD3">
            <w:pPr>
              <w:spacing w:line="360" w:lineRule="exact"/>
              <w:ind w:firstLine="420"/>
              <w:rPr>
                <w:rFonts w:ascii="宋体" w:hAnsi="宋体"/>
                <w:color w:val="auto"/>
                <w:szCs w:val="21"/>
                <w:highlight w:val="none"/>
              </w:rPr>
            </w:pPr>
            <w:r>
              <w:rPr>
                <w:rFonts w:hint="eastAsia" w:ascii="宋体" w:hAnsi="宋体"/>
                <w:color w:val="auto"/>
                <w:szCs w:val="21"/>
                <w:highlight w:val="none"/>
              </w:rPr>
              <w:t>（3）投标人承诺拟投入到本项目的人员中，具有CALIS中文三级（或以上）编目员资格证书的，每人得0.5分，满分2.5分。</w:t>
            </w:r>
          </w:p>
          <w:p w14:paraId="4E1F7238">
            <w:pPr>
              <w:spacing w:line="360" w:lineRule="exact"/>
              <w:ind w:firstLine="420"/>
              <w:rPr>
                <w:rFonts w:ascii="宋体" w:hAnsi="宋体"/>
                <w:b/>
                <w:color w:val="auto"/>
                <w:szCs w:val="21"/>
                <w:highlight w:val="none"/>
              </w:rPr>
            </w:pPr>
            <w:r>
              <w:rPr>
                <w:rFonts w:hint="eastAsia" w:ascii="宋体" w:hAnsi="宋体"/>
                <w:b/>
                <w:color w:val="auto"/>
                <w:szCs w:val="21"/>
                <w:highlight w:val="none"/>
              </w:rPr>
              <w:t>以上（2）（3）项须提供拟派人员相关资格证书和证书查询结果扫描复印件，（1）--（3）项须提供投标文件递交截止时间前半年内任意一个月为其缴纳的社保证明或劳动合同或投标人为其发放工资的银行流水证明或投标人代缴其个人所得税证明复印件，所有复印件加盖投标人公章，不提供或提供材料不全不得分。</w:t>
            </w:r>
          </w:p>
        </w:tc>
        <w:tc>
          <w:tcPr>
            <w:tcW w:w="1191" w:type="dxa"/>
            <w:vAlign w:val="center"/>
          </w:tcPr>
          <w:p w14:paraId="276D9A66">
            <w:pPr>
              <w:spacing w:line="360" w:lineRule="exact"/>
              <w:jc w:val="center"/>
              <w:rPr>
                <w:rFonts w:ascii="宋体" w:hAnsi="宋体"/>
                <w:bCs/>
                <w:color w:val="auto"/>
                <w:szCs w:val="21"/>
                <w:highlight w:val="none"/>
              </w:rPr>
            </w:pPr>
            <w:r>
              <w:rPr>
                <w:rFonts w:hint="eastAsia" w:ascii="宋体" w:hAnsi="宋体"/>
                <w:bCs/>
                <w:color w:val="auto"/>
                <w:szCs w:val="21"/>
                <w:highlight w:val="none"/>
              </w:rPr>
              <w:t>7分</w:t>
            </w:r>
          </w:p>
        </w:tc>
      </w:tr>
      <w:tr w14:paraId="546A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675" w:type="dxa"/>
            <w:vAlign w:val="center"/>
          </w:tcPr>
          <w:p w14:paraId="6544FD1B">
            <w:pPr>
              <w:widowControl/>
              <w:spacing w:line="36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3.2</w:t>
            </w:r>
          </w:p>
        </w:tc>
        <w:tc>
          <w:tcPr>
            <w:tcW w:w="1276" w:type="dxa"/>
            <w:vAlign w:val="center"/>
          </w:tcPr>
          <w:p w14:paraId="22AEE07C">
            <w:pPr>
              <w:spacing w:line="360" w:lineRule="exact"/>
              <w:jc w:val="center"/>
              <w:rPr>
                <w:rFonts w:ascii="宋体" w:hAnsi="宋体"/>
                <w:color w:val="auto"/>
                <w:szCs w:val="21"/>
                <w:highlight w:val="none"/>
              </w:rPr>
            </w:pPr>
            <w:r>
              <w:rPr>
                <w:rFonts w:hint="eastAsia" w:ascii="宋体" w:hAnsi="宋体"/>
                <w:color w:val="auto"/>
                <w:szCs w:val="21"/>
                <w:highlight w:val="none"/>
              </w:rPr>
              <w:t>信誉业绩</w:t>
            </w:r>
          </w:p>
        </w:tc>
        <w:tc>
          <w:tcPr>
            <w:tcW w:w="5952" w:type="dxa"/>
          </w:tcPr>
          <w:p w14:paraId="29E6A933">
            <w:pPr>
              <w:spacing w:line="360" w:lineRule="exact"/>
              <w:ind w:firstLine="420"/>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具备中国高等教育文献保障系统（CALIS）联合目录中心数据下载资格，且协议在有效期内，得2分，满分2分。须提供有效期内的下载服务协议书复印件及对应服务费用结算发票复印件。不提供或提供材料不全不得分。</w:t>
            </w:r>
          </w:p>
          <w:p w14:paraId="10F5CD31">
            <w:pPr>
              <w:pStyle w:val="27"/>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2）投标人自2023年以来至投标文件递交截止日期前与图书馆合作中文纸质图书供货及图书加工项目的证明材料（以中标/成交通知书或合同扫描件为准，同一合作单位的项目不重复计分），每提供1个证明材料得0.5分，满分3分。</w:t>
            </w:r>
          </w:p>
          <w:p w14:paraId="40CD851A">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（3）投标人2023年以来</w:t>
            </w:r>
            <w:r>
              <w:rPr>
                <w:rFonts w:hint="eastAsia" w:hAnsi="宋体" w:cs="宋体"/>
                <w:bCs/>
                <w:color w:val="auto"/>
                <w:highlight w:val="none"/>
              </w:rPr>
              <w:t>至投标文件递交截止日期前</w:t>
            </w:r>
            <w:r>
              <w:rPr>
                <w:rFonts w:hint="eastAsia" w:ascii="宋体" w:hAnsi="宋体" w:cs="宋体"/>
                <w:color w:val="auto"/>
                <w:szCs w:val="21"/>
                <w:highlight w:val="none"/>
              </w:rPr>
              <w:t>中文纸质图书供货及图书加工项目采购人的满意度证明材料，评价为“满意”或“优秀”或“评分≥95（百分制）”等类似最高评价等级且到书率≥92%。每项盖有</w:t>
            </w:r>
            <w:r>
              <w:rPr>
                <w:rFonts w:hint="eastAsia"/>
                <w:color w:val="auto"/>
                <w:highlight w:val="none"/>
              </w:rPr>
              <w:t>被服务单位或图书馆</w:t>
            </w:r>
            <w:r>
              <w:rPr>
                <w:rFonts w:hint="eastAsia" w:ascii="宋体" w:hAnsi="宋体" w:cs="宋体"/>
                <w:color w:val="auto"/>
                <w:szCs w:val="21"/>
                <w:highlight w:val="none"/>
              </w:rPr>
              <w:t>公章的有效材料得0.5分，满分5分（同一单位出具的有效材料不重复计分）。</w:t>
            </w:r>
          </w:p>
          <w:p w14:paraId="2778080B">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（4）投标人按第二章采购需求附表一中所列出80家核心出版社，任意提供与核心出版社2023年以来的结算发票彩色原色扫描件（满分8分）：</w:t>
            </w:r>
          </w:p>
          <w:p w14:paraId="42D9606B">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按分标进行评审：提供60家以上的得8分，提供41-59家得6分，提供21-40家得4分，提供1-20家得2分。不提供或不按要求提供得0分。满分8分（同一家出版社证明材料不重复计分）。</w:t>
            </w:r>
          </w:p>
          <w:p w14:paraId="2854BB38">
            <w:pPr>
              <w:spacing w:line="360" w:lineRule="exact"/>
              <w:ind w:firstLine="420"/>
              <w:rPr>
                <w:rFonts w:ascii="宋体" w:hAnsi="宋体" w:cs="宋体"/>
                <w:color w:val="auto"/>
                <w:szCs w:val="21"/>
                <w:highlight w:val="none"/>
              </w:rPr>
            </w:pPr>
            <w:r>
              <w:rPr>
                <w:rFonts w:hint="eastAsia" w:ascii="宋体" w:hAnsi="宋体" w:cs="宋体"/>
                <w:b/>
                <w:bCs/>
                <w:color w:val="auto"/>
                <w:szCs w:val="21"/>
                <w:highlight w:val="none"/>
              </w:rPr>
              <w:t>要求：为方便评审，扫描材料以“序号. 附表一：核心出版社目录中给定的出版社序号”的格式进行排序。排序示例如下：1.附表一出版社对应序号，2.附表一出版社对应序号，3.附表一出版社对应序号，……，60.附表一出版社对应序号，61.附表一出版社对应序号……</w:t>
            </w:r>
            <w:r>
              <w:rPr>
                <w:rFonts w:hint="eastAsia" w:ascii="宋体" w:hAnsi="宋体" w:cs="宋体"/>
                <w:color w:val="auto"/>
                <w:szCs w:val="21"/>
                <w:highlight w:val="none"/>
              </w:rPr>
              <w:t>。</w:t>
            </w:r>
          </w:p>
        </w:tc>
        <w:tc>
          <w:tcPr>
            <w:tcW w:w="1191" w:type="dxa"/>
            <w:vAlign w:val="center"/>
          </w:tcPr>
          <w:p w14:paraId="559F1EB8">
            <w:pPr>
              <w:spacing w:line="360" w:lineRule="exact"/>
              <w:jc w:val="center"/>
              <w:rPr>
                <w:rFonts w:ascii="宋体" w:hAnsi="宋体"/>
                <w:bCs/>
                <w:color w:val="auto"/>
                <w:szCs w:val="21"/>
                <w:highlight w:val="none"/>
              </w:rPr>
            </w:pPr>
            <w:r>
              <w:rPr>
                <w:rFonts w:hint="eastAsia" w:ascii="宋体" w:hAnsi="宋体"/>
                <w:bCs/>
                <w:color w:val="auto"/>
                <w:szCs w:val="21"/>
                <w:highlight w:val="none"/>
              </w:rPr>
              <w:t>18分</w:t>
            </w:r>
          </w:p>
        </w:tc>
      </w:tr>
      <w:tr w14:paraId="3893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03" w:type="dxa"/>
            <w:gridSpan w:val="3"/>
          </w:tcPr>
          <w:p w14:paraId="1225E4E2">
            <w:pPr>
              <w:pStyle w:val="27"/>
              <w:spacing w:line="360" w:lineRule="exact"/>
              <w:ind w:firstLine="422" w:firstLineChars="200"/>
              <w:rPr>
                <w:rFonts w:hAnsi="宋体" w:cs="Courier New"/>
                <w:b/>
                <w:bCs/>
                <w:color w:val="auto"/>
                <w:kern w:val="2"/>
                <w:sz w:val="21"/>
                <w:highlight w:val="none"/>
              </w:rPr>
            </w:pPr>
            <w:r>
              <w:rPr>
                <w:rFonts w:hint="eastAsia" w:hAnsi="宋体" w:cs="Courier New"/>
                <w:b/>
                <w:bCs/>
                <w:color w:val="auto"/>
                <w:kern w:val="2"/>
                <w:sz w:val="21"/>
                <w:highlight w:val="none"/>
              </w:rPr>
              <w:t>总得分＝1＋2</w:t>
            </w:r>
            <w:r>
              <w:rPr>
                <w:rFonts w:hAnsi="宋体" w:cs="Courier New"/>
                <w:b/>
                <w:bCs/>
                <w:color w:val="auto"/>
                <w:kern w:val="2"/>
                <w:sz w:val="21"/>
                <w:highlight w:val="none"/>
              </w:rPr>
              <w:t>+3</w:t>
            </w:r>
          </w:p>
        </w:tc>
        <w:tc>
          <w:tcPr>
            <w:tcW w:w="1191" w:type="dxa"/>
            <w:vAlign w:val="center"/>
          </w:tcPr>
          <w:p w14:paraId="52CA5E62">
            <w:pPr>
              <w:widowControl/>
              <w:spacing w:line="360" w:lineRule="exact"/>
              <w:jc w:val="center"/>
              <w:rPr>
                <w:rFonts w:ascii="宋体" w:hAnsi="宋体" w:cs="Tahoma"/>
                <w:b/>
                <w:color w:val="auto"/>
                <w:kern w:val="0"/>
                <w:szCs w:val="21"/>
                <w:highlight w:val="none"/>
              </w:rPr>
            </w:pPr>
          </w:p>
        </w:tc>
      </w:tr>
    </w:tbl>
    <w:p w14:paraId="16C0DC93">
      <w:pPr>
        <w:rPr>
          <w:rFonts w:ascii="宋体" w:hAnsi="宋体" w:cs="宋体"/>
          <w:color w:val="auto"/>
          <w:highlight w:val="none"/>
        </w:rPr>
      </w:pPr>
    </w:p>
    <w:p w14:paraId="7FDAC406">
      <w:pPr>
        <w:pStyle w:val="27"/>
        <w:spacing w:line="360" w:lineRule="auto"/>
        <w:ind w:firstLine="420"/>
        <w:rPr>
          <w:rFonts w:hAnsi="宋体"/>
          <w:bCs/>
          <w:color w:val="auto"/>
          <w:sz w:val="21"/>
          <w:highlight w:val="none"/>
        </w:rPr>
      </w:pPr>
      <w:r>
        <w:rPr>
          <w:rFonts w:hint="eastAsia" w:hAnsi="宋体"/>
          <w:bCs/>
          <w:color w:val="auto"/>
          <w:sz w:val="21"/>
          <w:highlight w:val="none"/>
        </w:rPr>
        <w:t>注：计分方法按四舍五入取至百分位</w:t>
      </w:r>
    </w:p>
    <w:p w14:paraId="069F051B">
      <w:pPr>
        <w:rPr>
          <w:rFonts w:ascii="宋体" w:hAnsi="宋体"/>
          <w:color w:val="auto"/>
          <w:highlight w:val="none"/>
        </w:rPr>
      </w:pPr>
    </w:p>
    <w:p w14:paraId="1D939814">
      <w:pPr>
        <w:pStyle w:val="7"/>
        <w:keepNext w:val="0"/>
        <w:keepLines w:val="0"/>
        <w:jc w:val="center"/>
        <w:rPr>
          <w:rFonts w:ascii="宋体" w:hAnsi="宋体"/>
          <w:color w:val="auto"/>
          <w:sz w:val="30"/>
          <w:szCs w:val="30"/>
          <w:highlight w:val="none"/>
        </w:rPr>
      </w:pPr>
    </w:p>
    <w:p w14:paraId="4DA20F7B">
      <w:pPr>
        <w:rPr>
          <w:rFonts w:ascii="宋体" w:hAnsi="宋体"/>
          <w:color w:val="auto"/>
          <w:sz w:val="30"/>
          <w:szCs w:val="30"/>
          <w:highlight w:val="none"/>
        </w:rPr>
      </w:pPr>
    </w:p>
    <w:p w14:paraId="56133C4B">
      <w:pPr>
        <w:pStyle w:val="2"/>
        <w:rPr>
          <w:rFonts w:ascii="宋体" w:hAnsi="宋体"/>
          <w:color w:val="auto"/>
          <w:sz w:val="30"/>
          <w:szCs w:val="30"/>
          <w:highlight w:val="none"/>
        </w:rPr>
      </w:pPr>
    </w:p>
    <w:p w14:paraId="68D0D1A5">
      <w:pPr>
        <w:pStyle w:val="3"/>
        <w:rPr>
          <w:rFonts w:ascii="宋体" w:hAnsi="宋体"/>
          <w:color w:val="auto"/>
          <w:sz w:val="30"/>
          <w:szCs w:val="30"/>
          <w:highlight w:val="none"/>
        </w:rPr>
      </w:pPr>
    </w:p>
    <w:p w14:paraId="08BAA3C4">
      <w:pPr>
        <w:pStyle w:val="4"/>
        <w:rPr>
          <w:color w:val="auto"/>
          <w:highlight w:val="none"/>
        </w:rPr>
      </w:pPr>
    </w:p>
    <w:p w14:paraId="423E04BE">
      <w:pPr>
        <w:pStyle w:val="7"/>
        <w:keepNext w:val="0"/>
        <w:keepLines w:val="0"/>
        <w:jc w:val="center"/>
        <w:rPr>
          <w:rFonts w:ascii="宋体" w:hAnsi="宋体"/>
          <w:color w:val="auto"/>
          <w:sz w:val="30"/>
          <w:szCs w:val="30"/>
          <w:highlight w:val="none"/>
        </w:rPr>
      </w:pPr>
      <w:r>
        <w:rPr>
          <w:rFonts w:hint="eastAsia" w:ascii="宋体" w:hAnsi="宋体"/>
          <w:color w:val="auto"/>
          <w:sz w:val="30"/>
          <w:szCs w:val="30"/>
          <w:highlight w:val="none"/>
        </w:rPr>
        <w:t>四、中标候选人推荐</w:t>
      </w:r>
    </w:p>
    <w:p w14:paraId="6048BFD1">
      <w:pPr>
        <w:pStyle w:val="27"/>
        <w:spacing w:line="360" w:lineRule="auto"/>
        <w:contextualSpacing/>
        <w:rPr>
          <w:rFonts w:hAnsi="宋体"/>
          <w:b/>
          <w:bCs/>
          <w:color w:val="auto"/>
          <w:sz w:val="24"/>
          <w:szCs w:val="24"/>
          <w:highlight w:val="none"/>
        </w:rPr>
      </w:pPr>
      <w:r>
        <w:rPr>
          <w:rFonts w:hint="eastAsia" w:hAnsi="宋体"/>
          <w:b/>
          <w:bCs/>
          <w:color w:val="auto"/>
          <w:sz w:val="24"/>
          <w:szCs w:val="24"/>
          <w:highlight w:val="none"/>
        </w:rPr>
        <w:t>综合评分法</w:t>
      </w:r>
    </w:p>
    <w:p w14:paraId="61F3AA1D">
      <w:pPr>
        <w:pStyle w:val="27"/>
        <w:spacing w:line="360" w:lineRule="auto"/>
        <w:ind w:firstLine="420" w:firstLineChars="20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5BD1F7AB">
      <w:pPr>
        <w:pStyle w:val="27"/>
        <w:spacing w:line="360" w:lineRule="auto"/>
        <w:ind w:firstLine="420" w:firstLineChars="200"/>
        <w:contextualSpacing/>
        <w:rPr>
          <w:rFonts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若评审因素量化指标评审得分相同，则由评标委员会投票表决，少数服从多数。</w:t>
      </w:r>
    </w:p>
    <w:p w14:paraId="211752DC">
      <w:pPr>
        <w:pStyle w:val="27"/>
        <w:spacing w:line="360" w:lineRule="auto"/>
        <w:ind w:firstLine="420" w:firstLineChars="200"/>
        <w:contextualSpacing/>
        <w:rPr>
          <w:rFonts w:hAnsi="宋体"/>
          <w:color w:val="auto"/>
          <w:sz w:val="21"/>
          <w:highlight w:val="none"/>
        </w:rPr>
      </w:pPr>
      <w:r>
        <w:rPr>
          <w:rFonts w:hint="eastAsia" w:hAnsi="宋体"/>
          <w:color w:val="auto"/>
          <w:sz w:val="21"/>
          <w:highlight w:val="none"/>
        </w:rPr>
        <w:t>3.投标人可选择一个或多个分标参与投标，但只能成为一个分标的中标人。由评标委员会根据各分标各投标人综合得分进行排名，并按标项一 →标项二→标项三→标项四的顺序确定标项一至标项四各标项中标候选人。按规定的顺序成为第一中标候选人的投标人不再推荐为其余分标的中标候选人。</w:t>
      </w:r>
    </w:p>
    <w:p w14:paraId="16D27F71">
      <w:pPr>
        <w:pStyle w:val="27"/>
        <w:spacing w:line="360" w:lineRule="auto"/>
        <w:ind w:firstLine="420" w:firstLineChars="200"/>
        <w:contextualSpacing/>
        <w:rPr>
          <w:rFonts w:hAnsi="宋体"/>
          <w:color w:val="auto"/>
          <w:sz w:val="21"/>
          <w:highlight w:val="none"/>
        </w:rPr>
      </w:pPr>
    </w:p>
    <w:p w14:paraId="246FCA66">
      <w:pPr>
        <w:spacing w:before="120" w:beforeLines="50" w:after="120" w:afterLines="50" w:line="400" w:lineRule="exact"/>
        <w:rPr>
          <w:rFonts w:ascii="宋体" w:hAnsi="宋体"/>
          <w:b/>
          <w:color w:val="auto"/>
          <w:sz w:val="24"/>
          <w:highlight w:val="none"/>
        </w:rPr>
      </w:pPr>
    </w:p>
    <w:p w14:paraId="6FB4754E">
      <w:pPr>
        <w:spacing w:before="120" w:beforeLines="50" w:after="120" w:afterLines="50" w:line="400" w:lineRule="exact"/>
        <w:rPr>
          <w:rFonts w:ascii="宋体" w:hAnsi="宋体"/>
          <w:b/>
          <w:color w:val="auto"/>
          <w:sz w:val="24"/>
          <w:highlight w:val="none"/>
        </w:rPr>
      </w:pPr>
    </w:p>
    <w:p w14:paraId="790531C3">
      <w:pPr>
        <w:spacing w:before="120" w:beforeLines="50" w:after="120" w:afterLines="50" w:line="400" w:lineRule="exact"/>
        <w:rPr>
          <w:rFonts w:ascii="宋体" w:hAnsi="宋体"/>
          <w:b/>
          <w:color w:val="auto"/>
          <w:sz w:val="24"/>
          <w:highlight w:val="none"/>
        </w:rPr>
      </w:pPr>
    </w:p>
    <w:p w14:paraId="5752EC91">
      <w:pPr>
        <w:spacing w:before="120" w:beforeLines="50" w:after="120" w:afterLines="50" w:line="400" w:lineRule="exact"/>
        <w:rPr>
          <w:rFonts w:ascii="宋体" w:hAnsi="宋体"/>
          <w:b/>
          <w:color w:val="auto"/>
          <w:sz w:val="24"/>
          <w:highlight w:val="none"/>
        </w:rPr>
      </w:pPr>
    </w:p>
    <w:p w14:paraId="234A51B7">
      <w:pPr>
        <w:spacing w:before="120" w:beforeLines="50" w:after="120" w:afterLines="50" w:line="400" w:lineRule="exact"/>
        <w:rPr>
          <w:rFonts w:ascii="宋体" w:hAnsi="宋体"/>
          <w:b/>
          <w:color w:val="auto"/>
          <w:sz w:val="24"/>
          <w:highlight w:val="none"/>
        </w:rPr>
      </w:pPr>
    </w:p>
    <w:p w14:paraId="752DA78E">
      <w:pPr>
        <w:spacing w:before="120" w:beforeLines="50" w:after="120" w:afterLines="50" w:line="400" w:lineRule="exact"/>
        <w:rPr>
          <w:rFonts w:ascii="宋体" w:hAnsi="宋体"/>
          <w:b/>
          <w:color w:val="auto"/>
          <w:sz w:val="24"/>
          <w:highlight w:val="none"/>
        </w:rPr>
      </w:pPr>
    </w:p>
    <w:p w14:paraId="7381D6C3">
      <w:pPr>
        <w:spacing w:before="120" w:beforeLines="50" w:after="120" w:afterLines="50" w:line="400" w:lineRule="exact"/>
        <w:rPr>
          <w:rFonts w:ascii="宋体" w:hAnsi="宋体"/>
          <w:b/>
          <w:color w:val="auto"/>
          <w:sz w:val="24"/>
          <w:highlight w:val="none"/>
        </w:rPr>
      </w:pPr>
    </w:p>
    <w:p w14:paraId="5718F17F">
      <w:pPr>
        <w:pStyle w:val="6"/>
        <w:keepNext w:val="0"/>
        <w:keepLines w:val="0"/>
        <w:jc w:val="center"/>
        <w:rPr>
          <w:rFonts w:ascii="宋体" w:hAnsi="宋体" w:eastAsia="宋体"/>
          <w:color w:val="auto"/>
          <w:highlight w:val="none"/>
        </w:rPr>
      </w:pPr>
      <w:r>
        <w:rPr>
          <w:rFonts w:ascii="宋体" w:hAnsi="宋体" w:eastAsia="宋体"/>
          <w:color w:val="auto"/>
          <w:highlight w:val="none"/>
        </w:rPr>
        <w:br w:type="page"/>
      </w:r>
    </w:p>
    <w:p w14:paraId="72F57C4F">
      <w:pPr>
        <w:rPr>
          <w:rFonts w:ascii="宋体" w:hAnsi="宋体"/>
          <w:color w:val="auto"/>
          <w:highlight w:val="none"/>
        </w:rPr>
      </w:pPr>
    </w:p>
    <w:p w14:paraId="4EAEE779">
      <w:pPr>
        <w:rPr>
          <w:rFonts w:ascii="宋体" w:hAnsi="宋体"/>
          <w:color w:val="auto"/>
          <w:highlight w:val="none"/>
        </w:rPr>
      </w:pPr>
    </w:p>
    <w:p w14:paraId="26F2E1B4">
      <w:pPr>
        <w:rPr>
          <w:rFonts w:ascii="宋体" w:hAnsi="宋体"/>
          <w:color w:val="auto"/>
          <w:highlight w:val="none"/>
        </w:rPr>
      </w:pPr>
    </w:p>
    <w:p w14:paraId="4EC97A93">
      <w:pPr>
        <w:rPr>
          <w:rFonts w:ascii="宋体" w:hAnsi="宋体"/>
          <w:color w:val="auto"/>
          <w:highlight w:val="none"/>
        </w:rPr>
      </w:pPr>
    </w:p>
    <w:p w14:paraId="22703E7C">
      <w:pPr>
        <w:rPr>
          <w:rFonts w:ascii="宋体" w:hAnsi="宋体"/>
          <w:color w:val="auto"/>
          <w:highlight w:val="none"/>
        </w:rPr>
      </w:pPr>
    </w:p>
    <w:p w14:paraId="4719CFCC">
      <w:pPr>
        <w:pStyle w:val="6"/>
        <w:keepNext w:val="0"/>
        <w:keepLines w:val="0"/>
        <w:jc w:val="center"/>
        <w:rPr>
          <w:rFonts w:ascii="宋体" w:hAnsi="宋体" w:eastAsia="宋体"/>
          <w:color w:val="auto"/>
          <w:highlight w:val="none"/>
        </w:rPr>
      </w:pPr>
    </w:p>
    <w:p w14:paraId="44459A27">
      <w:pPr>
        <w:pStyle w:val="6"/>
        <w:keepNext w:val="0"/>
        <w:keepLines w:val="0"/>
        <w:jc w:val="center"/>
        <w:rPr>
          <w:rFonts w:ascii="宋体" w:hAnsi="宋体" w:eastAsia="宋体"/>
          <w:color w:val="auto"/>
          <w:highlight w:val="none"/>
        </w:rPr>
      </w:pPr>
    </w:p>
    <w:p w14:paraId="3D37AA3A">
      <w:pPr>
        <w:pStyle w:val="6"/>
        <w:keepNext w:val="0"/>
        <w:keepLines w:val="0"/>
        <w:jc w:val="center"/>
        <w:rPr>
          <w:rFonts w:ascii="宋体" w:hAnsi="宋体" w:eastAsia="宋体"/>
          <w:color w:val="auto"/>
          <w:highlight w:val="none"/>
        </w:rPr>
      </w:pPr>
    </w:p>
    <w:p w14:paraId="1B8A47AB">
      <w:pPr>
        <w:pStyle w:val="6"/>
        <w:keepNext w:val="0"/>
        <w:keepLines w:val="0"/>
        <w:jc w:val="center"/>
        <w:rPr>
          <w:rFonts w:ascii="宋体" w:hAnsi="宋体" w:eastAsia="宋体"/>
          <w:color w:val="auto"/>
          <w:highlight w:val="none"/>
        </w:rPr>
      </w:pPr>
    </w:p>
    <w:p w14:paraId="22EC215F">
      <w:pPr>
        <w:pStyle w:val="5"/>
        <w:jc w:val="center"/>
        <w:rPr>
          <w:rFonts w:ascii="宋体" w:hAnsi="宋体"/>
          <w:color w:val="auto"/>
          <w:highlight w:val="none"/>
        </w:rPr>
      </w:pPr>
      <w:bookmarkStart w:id="146" w:name="_Toc74320804"/>
      <w:r>
        <w:rPr>
          <w:rFonts w:hint="eastAsia" w:ascii="宋体" w:hAnsi="宋体"/>
          <w:color w:val="auto"/>
          <w:highlight w:val="none"/>
        </w:rPr>
        <w:t>第五章  拟签订的合同文本</w:t>
      </w:r>
      <w:bookmarkEnd w:id="146"/>
    </w:p>
    <w:p w14:paraId="57C90078">
      <w:pPr>
        <w:snapToGrid w:val="0"/>
        <w:jc w:val="center"/>
        <w:rPr>
          <w:rFonts w:ascii="宋体" w:hAnsi="宋体"/>
          <w:bCs/>
          <w:color w:val="auto"/>
          <w:sz w:val="32"/>
          <w:szCs w:val="32"/>
          <w:highlight w:val="none"/>
        </w:rPr>
      </w:pPr>
    </w:p>
    <w:p w14:paraId="5523D5F5">
      <w:pPr>
        <w:snapToGrid w:val="0"/>
        <w:jc w:val="center"/>
        <w:rPr>
          <w:rFonts w:ascii="宋体" w:hAnsi="宋体"/>
          <w:bCs/>
          <w:color w:val="auto"/>
          <w:sz w:val="32"/>
          <w:szCs w:val="32"/>
          <w:highlight w:val="none"/>
        </w:rPr>
      </w:pPr>
    </w:p>
    <w:p w14:paraId="5AD3F417">
      <w:pPr>
        <w:snapToGrid w:val="0"/>
        <w:jc w:val="center"/>
        <w:rPr>
          <w:rFonts w:ascii="宋体" w:hAnsi="宋体"/>
          <w:bCs/>
          <w:color w:val="auto"/>
          <w:sz w:val="32"/>
          <w:szCs w:val="32"/>
          <w:highlight w:val="none"/>
        </w:rPr>
      </w:pPr>
    </w:p>
    <w:p w14:paraId="1047F944">
      <w:pPr>
        <w:snapToGrid w:val="0"/>
        <w:jc w:val="center"/>
        <w:rPr>
          <w:rFonts w:ascii="宋体" w:hAnsi="宋体"/>
          <w:bCs/>
          <w:color w:val="auto"/>
          <w:sz w:val="32"/>
          <w:szCs w:val="32"/>
          <w:highlight w:val="none"/>
        </w:rPr>
      </w:pPr>
    </w:p>
    <w:p w14:paraId="34325030">
      <w:pPr>
        <w:snapToGrid w:val="0"/>
        <w:jc w:val="center"/>
        <w:rPr>
          <w:rFonts w:ascii="宋体" w:hAnsi="宋体"/>
          <w:bCs/>
          <w:color w:val="auto"/>
          <w:sz w:val="32"/>
          <w:szCs w:val="32"/>
          <w:highlight w:val="none"/>
        </w:rPr>
      </w:pPr>
    </w:p>
    <w:p w14:paraId="093B1AE8">
      <w:pPr>
        <w:snapToGrid w:val="0"/>
        <w:jc w:val="center"/>
        <w:rPr>
          <w:rFonts w:ascii="宋体" w:hAnsi="宋体"/>
          <w:bCs/>
          <w:color w:val="auto"/>
          <w:sz w:val="32"/>
          <w:szCs w:val="32"/>
          <w:highlight w:val="none"/>
        </w:rPr>
      </w:pPr>
    </w:p>
    <w:p w14:paraId="3B83E51D">
      <w:pPr>
        <w:snapToGrid w:val="0"/>
        <w:jc w:val="center"/>
        <w:rPr>
          <w:rFonts w:ascii="宋体" w:hAnsi="宋体"/>
          <w:bCs/>
          <w:color w:val="auto"/>
          <w:sz w:val="32"/>
          <w:szCs w:val="32"/>
          <w:highlight w:val="none"/>
        </w:rPr>
      </w:pPr>
    </w:p>
    <w:p w14:paraId="4DF9512B">
      <w:pPr>
        <w:snapToGrid w:val="0"/>
        <w:jc w:val="center"/>
        <w:rPr>
          <w:rFonts w:ascii="宋体" w:hAnsi="宋体"/>
          <w:bCs/>
          <w:color w:val="auto"/>
          <w:sz w:val="32"/>
          <w:szCs w:val="32"/>
          <w:highlight w:val="none"/>
        </w:rPr>
      </w:pPr>
    </w:p>
    <w:p w14:paraId="70ABAAF8">
      <w:pPr>
        <w:snapToGrid w:val="0"/>
        <w:jc w:val="center"/>
        <w:rPr>
          <w:rFonts w:ascii="宋体" w:hAnsi="宋体"/>
          <w:bCs/>
          <w:color w:val="auto"/>
          <w:sz w:val="32"/>
          <w:szCs w:val="32"/>
          <w:highlight w:val="none"/>
        </w:rPr>
      </w:pPr>
    </w:p>
    <w:p w14:paraId="04CAEFD2">
      <w:pPr>
        <w:snapToGrid w:val="0"/>
        <w:jc w:val="center"/>
        <w:rPr>
          <w:rFonts w:ascii="宋体" w:hAnsi="宋体"/>
          <w:bCs/>
          <w:color w:val="auto"/>
          <w:sz w:val="32"/>
          <w:szCs w:val="32"/>
          <w:highlight w:val="none"/>
        </w:rPr>
      </w:pPr>
    </w:p>
    <w:p w14:paraId="785F0B5A">
      <w:pPr>
        <w:snapToGrid w:val="0"/>
        <w:jc w:val="center"/>
        <w:rPr>
          <w:rFonts w:ascii="宋体" w:hAnsi="宋体"/>
          <w:bCs/>
          <w:color w:val="auto"/>
          <w:sz w:val="32"/>
          <w:szCs w:val="32"/>
          <w:highlight w:val="none"/>
        </w:rPr>
      </w:pPr>
    </w:p>
    <w:p w14:paraId="71436125">
      <w:pPr>
        <w:snapToGrid w:val="0"/>
        <w:jc w:val="center"/>
        <w:rPr>
          <w:rFonts w:ascii="宋体" w:hAnsi="宋体"/>
          <w:bCs/>
          <w:color w:val="auto"/>
          <w:sz w:val="32"/>
          <w:szCs w:val="32"/>
          <w:highlight w:val="none"/>
        </w:rPr>
      </w:pPr>
    </w:p>
    <w:p w14:paraId="40F2C68C">
      <w:pPr>
        <w:spacing w:line="520" w:lineRule="exact"/>
        <w:jc w:val="center"/>
        <w:rPr>
          <w:rFonts w:ascii="宋体" w:hAnsi="宋体" w:cs="Courier New"/>
          <w:b/>
          <w:color w:val="auto"/>
          <w:sz w:val="32"/>
          <w:szCs w:val="32"/>
          <w:highlight w:val="none"/>
        </w:rPr>
      </w:pPr>
      <w:r>
        <w:rPr>
          <w:rFonts w:ascii="宋体" w:hAnsi="宋体"/>
          <w:bCs/>
          <w:color w:val="auto"/>
          <w:sz w:val="32"/>
          <w:szCs w:val="32"/>
          <w:highlight w:val="none"/>
        </w:rPr>
        <w:br w:type="page"/>
      </w:r>
      <w:bookmarkStart w:id="147" w:name="_Hlk55381736"/>
      <w:r>
        <w:rPr>
          <w:rFonts w:hint="eastAsia" w:eastAsia="华文中宋"/>
          <w:b/>
          <w:color w:val="auto"/>
          <w:sz w:val="44"/>
          <w:szCs w:val="44"/>
          <w:highlight w:val="none"/>
        </w:rPr>
        <w:t xml:space="preserve">政 府 采 购 合 同 </w:t>
      </w:r>
      <w:r>
        <w:rPr>
          <w:rFonts w:eastAsia="华文中宋"/>
          <w:b/>
          <w:color w:val="auto"/>
          <w:sz w:val="44"/>
          <w:szCs w:val="44"/>
          <w:highlight w:val="none"/>
        </w:rPr>
        <w:t>书</w:t>
      </w:r>
    </w:p>
    <w:p w14:paraId="3CB7B74F">
      <w:pPr>
        <w:spacing w:line="360" w:lineRule="exact"/>
        <w:rPr>
          <w:rFonts w:ascii="宋体" w:hAnsi="宋体" w:cs="Courier New"/>
          <w:b/>
          <w:color w:val="auto"/>
          <w:szCs w:val="21"/>
          <w:highlight w:val="none"/>
        </w:rPr>
      </w:pPr>
    </w:p>
    <w:p w14:paraId="6F00325B">
      <w:pPr>
        <w:spacing w:line="360" w:lineRule="exact"/>
        <w:ind w:right="800"/>
        <w:rPr>
          <w:rFonts w:ascii="宋体" w:hAnsi="宋体" w:cs="宋体"/>
          <w:color w:val="auto"/>
          <w:szCs w:val="21"/>
          <w:highlight w:val="none"/>
        </w:rPr>
      </w:pPr>
    </w:p>
    <w:p w14:paraId="7598B308">
      <w:pPr>
        <w:spacing w:line="360" w:lineRule="exact"/>
        <w:ind w:right="800"/>
        <w:rPr>
          <w:rFonts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7E194259">
      <w:pPr>
        <w:spacing w:line="360" w:lineRule="exact"/>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ascii="宋体" w:hAnsi="宋体" w:cs="宋体"/>
          <w:color w:val="auto"/>
          <w:szCs w:val="21"/>
          <w:highlight w:val="none"/>
          <w:u w:val="single"/>
        </w:rPr>
        <w:t xml:space="preserve">                </w:t>
      </w:r>
    </w:p>
    <w:p w14:paraId="2A1347B2">
      <w:pPr>
        <w:spacing w:line="360" w:lineRule="exact"/>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40B238C7">
      <w:pPr>
        <w:spacing w:line="360" w:lineRule="exact"/>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1038FE37">
      <w:pPr>
        <w:spacing w:line="360" w:lineRule="exact"/>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757D483D">
      <w:pPr>
        <w:spacing w:line="360" w:lineRule="exact"/>
        <w:ind w:firstLine="420" w:firstLineChars="200"/>
        <w:rPr>
          <w:rFonts w:ascii="宋体" w:hAnsi="宋体" w:cs="宋体"/>
          <w:color w:val="auto"/>
          <w:szCs w:val="21"/>
          <w:highlight w:val="none"/>
        </w:rPr>
      </w:pPr>
    </w:p>
    <w:p w14:paraId="62493834">
      <w:pPr>
        <w:spacing w:before="4"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根据《中华人民共和国政府采购法》、《中华人民共和国民法典》等法律、法规规定，按照招标文件（即采购文件）规定条款和乙方投</w:t>
      </w:r>
      <w:r>
        <w:rPr>
          <w:rFonts w:ascii="宋体" w:hAnsi="宋体"/>
          <w:color w:val="auto"/>
          <w:kern w:val="0"/>
          <w:szCs w:val="21"/>
          <w:highlight w:val="none"/>
        </w:rPr>
        <w:t>标文件</w:t>
      </w:r>
      <w:r>
        <w:rPr>
          <w:rFonts w:hint="eastAsia" w:ascii="宋体" w:hAnsi="宋体"/>
          <w:color w:val="auto"/>
          <w:kern w:val="0"/>
          <w:szCs w:val="21"/>
          <w:highlight w:val="none"/>
        </w:rPr>
        <w:t>承诺，甲乙双方签订本合同。</w:t>
      </w:r>
    </w:p>
    <w:p w14:paraId="2DFE2066">
      <w:pPr>
        <w:snapToGrid w:val="0"/>
        <w:spacing w:line="400" w:lineRule="atLeast"/>
        <w:ind w:firstLine="422" w:firstLineChars="200"/>
        <w:rPr>
          <w:rFonts w:ascii="宋体" w:hAnsi="宋体"/>
          <w:b/>
          <w:color w:val="auto"/>
          <w:szCs w:val="21"/>
          <w:highlight w:val="none"/>
        </w:rPr>
      </w:pPr>
      <w:r>
        <w:rPr>
          <w:rFonts w:hint="eastAsia" w:ascii="宋体" w:hAnsi="宋体"/>
          <w:b/>
          <w:color w:val="auto"/>
          <w:highlight w:val="none"/>
        </w:rPr>
        <w:t>第一条 合同标的</w:t>
      </w:r>
    </w:p>
    <w:p w14:paraId="092DA60D">
      <w:pPr>
        <w:tabs>
          <w:tab w:val="left" w:pos="8280"/>
        </w:tabs>
        <w:snapToGrid w:val="0"/>
        <w:spacing w:line="400" w:lineRule="atLeast"/>
        <w:ind w:right="26" w:firstLine="420" w:firstLineChars="200"/>
        <w:rPr>
          <w:rFonts w:ascii="宋体" w:hAnsi="宋体"/>
          <w:color w:val="auto"/>
          <w:highlight w:val="none"/>
        </w:rPr>
      </w:pPr>
      <w:r>
        <w:rPr>
          <w:rFonts w:hint="eastAsia" w:ascii="宋体" w:hAnsi="宋体"/>
          <w:color w:val="auto"/>
          <w:highlight w:val="none"/>
        </w:rPr>
        <w:t>1.服务项目</w:t>
      </w:r>
    </w:p>
    <w:p w14:paraId="3747EEA8">
      <w:pPr>
        <w:tabs>
          <w:tab w:val="left" w:pos="8280"/>
        </w:tabs>
        <w:snapToGrid w:val="0"/>
        <w:spacing w:line="400" w:lineRule="atLeast"/>
        <w:ind w:right="26" w:firstLine="420" w:firstLineChars="200"/>
        <w:rPr>
          <w:rFonts w:ascii="宋体" w:hAnsi="宋体"/>
          <w:color w:val="auto"/>
          <w:highlight w:val="none"/>
        </w:rPr>
      </w:pPr>
      <w:r>
        <w:rPr>
          <w:rFonts w:hint="eastAsia" w:ascii="宋体" w:hAnsi="宋体"/>
          <w:color w:val="auto"/>
          <w:highlight w:val="none"/>
        </w:rPr>
        <w:t>乙方接受甲方委托，承担《</w:t>
      </w:r>
      <w:r>
        <w:rPr>
          <w:rFonts w:hint="eastAsia" w:ascii="宋体" w:hAnsi="宋体"/>
          <w:color w:val="auto"/>
          <w:highlight w:val="none"/>
          <w:u w:val="single"/>
        </w:rPr>
        <w:t xml:space="preserve">                 </w:t>
      </w:r>
      <w:r>
        <w:rPr>
          <w:rFonts w:hint="eastAsia" w:ascii="宋体" w:hAnsi="宋体"/>
          <w:color w:val="auto"/>
          <w:highlight w:val="none"/>
        </w:rPr>
        <w:t>》项目服务实施工作，并为甲方提供技术服务，以满足甲方对本合同项目服务需求及要求。</w:t>
      </w:r>
      <w:r>
        <w:rPr>
          <w:rFonts w:hint="eastAsia" w:ascii="宋体" w:hAnsi="宋体"/>
          <w:b/>
          <w:color w:val="auto"/>
          <w:highlight w:val="none"/>
          <w:u w:val="single"/>
        </w:rPr>
        <w:t>合同金额（大写）人民币            （¥       ）</w:t>
      </w:r>
      <w:r>
        <w:rPr>
          <w:rFonts w:hint="eastAsia" w:ascii="宋体" w:hAnsi="宋体"/>
          <w:b/>
          <w:color w:val="auto"/>
          <w:highlight w:val="none"/>
        </w:rPr>
        <w:t>。</w:t>
      </w:r>
    </w:p>
    <w:p w14:paraId="5D9B63C5">
      <w:pPr>
        <w:tabs>
          <w:tab w:val="left" w:pos="8280"/>
        </w:tabs>
        <w:snapToGrid w:val="0"/>
        <w:spacing w:line="400" w:lineRule="atLeast"/>
        <w:ind w:right="26"/>
        <w:rPr>
          <w:rFonts w:ascii="宋体" w:hAnsi="宋体"/>
          <w:color w:val="auto"/>
          <w:highlight w:val="none"/>
        </w:rPr>
      </w:pPr>
      <w:r>
        <w:rPr>
          <w:rFonts w:hint="eastAsia" w:ascii="宋体" w:hAnsi="宋体"/>
          <w:color w:val="auto"/>
          <w:highlight w:val="none"/>
        </w:rPr>
        <w:t xml:space="preserve">   标项一</w:t>
      </w:r>
    </w:p>
    <w:tbl>
      <w:tblPr>
        <w:tblStyle w:val="50"/>
        <w:tblW w:w="87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947"/>
        <w:gridCol w:w="2551"/>
        <w:gridCol w:w="2286"/>
      </w:tblGrid>
      <w:tr w14:paraId="76C2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36" w:type="dxa"/>
            <w:tcBorders>
              <w:top w:val="single" w:color="auto" w:sz="4" w:space="0"/>
              <w:left w:val="single" w:color="auto" w:sz="4" w:space="0"/>
              <w:bottom w:val="single" w:color="auto" w:sz="4" w:space="0"/>
              <w:right w:val="single" w:color="auto" w:sz="4" w:space="0"/>
            </w:tcBorders>
            <w:vAlign w:val="center"/>
          </w:tcPr>
          <w:p w14:paraId="2D4F5402">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序号</w:t>
            </w:r>
          </w:p>
        </w:tc>
        <w:tc>
          <w:tcPr>
            <w:tcW w:w="2947" w:type="dxa"/>
            <w:tcBorders>
              <w:top w:val="single" w:color="auto" w:sz="4" w:space="0"/>
              <w:left w:val="single" w:color="auto" w:sz="4" w:space="0"/>
              <w:bottom w:val="single" w:color="auto" w:sz="4" w:space="0"/>
              <w:right w:val="single" w:color="auto" w:sz="4" w:space="0"/>
            </w:tcBorders>
            <w:vAlign w:val="center"/>
          </w:tcPr>
          <w:p w14:paraId="5756A997">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标的名称</w:t>
            </w:r>
          </w:p>
        </w:tc>
        <w:tc>
          <w:tcPr>
            <w:tcW w:w="2551" w:type="dxa"/>
            <w:tcBorders>
              <w:top w:val="single" w:color="auto" w:sz="4" w:space="0"/>
              <w:left w:val="single" w:color="auto" w:sz="4" w:space="0"/>
              <w:bottom w:val="single" w:color="auto" w:sz="4" w:space="0"/>
              <w:right w:val="single" w:color="auto" w:sz="4" w:space="0"/>
            </w:tcBorders>
            <w:vAlign w:val="center"/>
          </w:tcPr>
          <w:p w14:paraId="32B4F008">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采购预算（万元）</w:t>
            </w:r>
          </w:p>
        </w:tc>
        <w:tc>
          <w:tcPr>
            <w:tcW w:w="2286" w:type="dxa"/>
            <w:tcBorders>
              <w:top w:val="single" w:color="auto" w:sz="4" w:space="0"/>
              <w:left w:val="single" w:color="auto" w:sz="4" w:space="0"/>
              <w:bottom w:val="single" w:color="auto" w:sz="4" w:space="0"/>
              <w:right w:val="single" w:color="auto" w:sz="4" w:space="0"/>
            </w:tcBorders>
            <w:vAlign w:val="center"/>
          </w:tcPr>
          <w:p w14:paraId="62692524">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中标折扣率</w:t>
            </w:r>
          </w:p>
        </w:tc>
      </w:tr>
      <w:tr w14:paraId="20C6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292AF648">
            <w:pPr>
              <w:pStyle w:val="27"/>
              <w:spacing w:line="360" w:lineRule="exact"/>
              <w:jc w:val="center"/>
              <w:rPr>
                <w:rFonts w:hAnsi="宋体" w:cs="Courier New"/>
                <w:color w:val="auto"/>
                <w:kern w:val="2"/>
                <w:sz w:val="21"/>
                <w:highlight w:val="none"/>
              </w:rPr>
            </w:pPr>
            <w:r>
              <w:rPr>
                <w:rFonts w:hint="eastAsia" w:hAnsi="宋体" w:cs="Courier New"/>
                <w:color w:val="auto"/>
                <w:kern w:val="2"/>
                <w:sz w:val="21"/>
                <w:highlight w:val="none"/>
              </w:rPr>
              <w:t>1</w:t>
            </w:r>
          </w:p>
        </w:tc>
        <w:tc>
          <w:tcPr>
            <w:tcW w:w="2947" w:type="dxa"/>
            <w:tcBorders>
              <w:top w:val="single" w:color="auto" w:sz="4" w:space="0"/>
              <w:left w:val="single" w:color="auto" w:sz="4" w:space="0"/>
              <w:bottom w:val="single" w:color="auto" w:sz="4" w:space="0"/>
              <w:right w:val="single" w:color="auto" w:sz="4" w:space="0"/>
            </w:tcBorders>
            <w:vAlign w:val="center"/>
          </w:tcPr>
          <w:p w14:paraId="7036F39B">
            <w:pPr>
              <w:pStyle w:val="27"/>
              <w:jc w:val="center"/>
              <w:rPr>
                <w:rFonts w:hAnsi="宋体" w:cs="Courier New"/>
                <w:color w:val="auto"/>
                <w:kern w:val="2"/>
                <w:sz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072C7E25">
            <w:pPr>
              <w:pStyle w:val="27"/>
              <w:jc w:val="center"/>
              <w:rPr>
                <w:rFonts w:hAnsi="宋体" w:cs="Courier New"/>
                <w:color w:val="auto"/>
                <w:kern w:val="2"/>
                <w:sz w:val="21"/>
                <w:highlight w:val="none"/>
              </w:rPr>
            </w:pPr>
          </w:p>
        </w:tc>
        <w:tc>
          <w:tcPr>
            <w:tcW w:w="2286" w:type="dxa"/>
            <w:tcBorders>
              <w:top w:val="single" w:color="auto" w:sz="4" w:space="0"/>
              <w:left w:val="single" w:color="auto" w:sz="4" w:space="0"/>
              <w:bottom w:val="single" w:color="auto" w:sz="4" w:space="0"/>
              <w:right w:val="single" w:color="auto" w:sz="4" w:space="0"/>
            </w:tcBorders>
            <w:vAlign w:val="center"/>
          </w:tcPr>
          <w:p w14:paraId="50EFF63B">
            <w:pPr>
              <w:pStyle w:val="27"/>
              <w:spacing w:line="360" w:lineRule="exact"/>
              <w:jc w:val="center"/>
              <w:rPr>
                <w:rFonts w:hAnsi="宋体" w:cs="Courier New"/>
                <w:color w:val="auto"/>
                <w:kern w:val="2"/>
                <w:sz w:val="21"/>
                <w:highlight w:val="none"/>
              </w:rPr>
            </w:pPr>
          </w:p>
        </w:tc>
      </w:tr>
    </w:tbl>
    <w:p w14:paraId="6A55D5D0">
      <w:pPr>
        <w:tabs>
          <w:tab w:val="left" w:pos="8280"/>
        </w:tabs>
        <w:snapToGrid w:val="0"/>
        <w:spacing w:line="400" w:lineRule="atLeast"/>
        <w:ind w:right="26" w:firstLine="420" w:firstLineChars="200"/>
        <w:rPr>
          <w:rFonts w:ascii="宋体" w:hAnsi="宋体"/>
          <w:color w:val="auto"/>
          <w:szCs w:val="21"/>
          <w:highlight w:val="none"/>
        </w:rPr>
      </w:pPr>
      <w:r>
        <w:rPr>
          <w:rFonts w:hint="eastAsia" w:ascii="宋体" w:hAnsi="宋体"/>
          <w:color w:val="auto"/>
          <w:szCs w:val="21"/>
          <w:highlight w:val="none"/>
        </w:rPr>
        <w:t>标项二</w:t>
      </w:r>
    </w:p>
    <w:tbl>
      <w:tblPr>
        <w:tblStyle w:val="50"/>
        <w:tblW w:w="87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947"/>
        <w:gridCol w:w="2551"/>
        <w:gridCol w:w="2286"/>
      </w:tblGrid>
      <w:tr w14:paraId="1DEB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36" w:type="dxa"/>
            <w:tcBorders>
              <w:top w:val="single" w:color="auto" w:sz="4" w:space="0"/>
              <w:left w:val="single" w:color="auto" w:sz="4" w:space="0"/>
              <w:bottom w:val="single" w:color="auto" w:sz="4" w:space="0"/>
              <w:right w:val="single" w:color="auto" w:sz="4" w:space="0"/>
            </w:tcBorders>
            <w:vAlign w:val="center"/>
          </w:tcPr>
          <w:p w14:paraId="79F88472">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序号</w:t>
            </w:r>
          </w:p>
        </w:tc>
        <w:tc>
          <w:tcPr>
            <w:tcW w:w="2947" w:type="dxa"/>
            <w:tcBorders>
              <w:top w:val="single" w:color="auto" w:sz="4" w:space="0"/>
              <w:left w:val="single" w:color="auto" w:sz="4" w:space="0"/>
              <w:bottom w:val="single" w:color="auto" w:sz="4" w:space="0"/>
              <w:right w:val="single" w:color="auto" w:sz="4" w:space="0"/>
            </w:tcBorders>
            <w:vAlign w:val="center"/>
          </w:tcPr>
          <w:p w14:paraId="4DFDFB3B">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标的名称</w:t>
            </w:r>
          </w:p>
        </w:tc>
        <w:tc>
          <w:tcPr>
            <w:tcW w:w="2551" w:type="dxa"/>
            <w:tcBorders>
              <w:top w:val="single" w:color="auto" w:sz="4" w:space="0"/>
              <w:left w:val="single" w:color="auto" w:sz="4" w:space="0"/>
              <w:bottom w:val="single" w:color="auto" w:sz="4" w:space="0"/>
              <w:right w:val="single" w:color="auto" w:sz="4" w:space="0"/>
            </w:tcBorders>
            <w:vAlign w:val="center"/>
          </w:tcPr>
          <w:p w14:paraId="239BDCFA">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采购预算（万元）</w:t>
            </w:r>
          </w:p>
        </w:tc>
        <w:tc>
          <w:tcPr>
            <w:tcW w:w="2286" w:type="dxa"/>
            <w:tcBorders>
              <w:top w:val="single" w:color="auto" w:sz="4" w:space="0"/>
              <w:left w:val="single" w:color="auto" w:sz="4" w:space="0"/>
              <w:bottom w:val="single" w:color="auto" w:sz="4" w:space="0"/>
              <w:right w:val="single" w:color="auto" w:sz="4" w:space="0"/>
            </w:tcBorders>
            <w:vAlign w:val="center"/>
          </w:tcPr>
          <w:p w14:paraId="2D7934CB">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中标折扣率</w:t>
            </w:r>
          </w:p>
        </w:tc>
      </w:tr>
      <w:tr w14:paraId="523D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6003840B">
            <w:pPr>
              <w:pStyle w:val="27"/>
              <w:spacing w:line="360" w:lineRule="exact"/>
              <w:jc w:val="center"/>
              <w:rPr>
                <w:rFonts w:hAnsi="宋体" w:cs="Courier New"/>
                <w:color w:val="auto"/>
                <w:kern w:val="2"/>
                <w:sz w:val="21"/>
                <w:highlight w:val="none"/>
              </w:rPr>
            </w:pPr>
            <w:r>
              <w:rPr>
                <w:rFonts w:hint="eastAsia" w:hAnsi="宋体" w:cs="Courier New"/>
                <w:color w:val="auto"/>
                <w:kern w:val="2"/>
                <w:sz w:val="21"/>
                <w:highlight w:val="none"/>
              </w:rPr>
              <w:t>1</w:t>
            </w:r>
          </w:p>
        </w:tc>
        <w:tc>
          <w:tcPr>
            <w:tcW w:w="2947" w:type="dxa"/>
            <w:tcBorders>
              <w:top w:val="single" w:color="auto" w:sz="4" w:space="0"/>
              <w:left w:val="single" w:color="auto" w:sz="4" w:space="0"/>
              <w:bottom w:val="single" w:color="auto" w:sz="4" w:space="0"/>
              <w:right w:val="single" w:color="auto" w:sz="4" w:space="0"/>
            </w:tcBorders>
            <w:vAlign w:val="center"/>
          </w:tcPr>
          <w:p w14:paraId="01ED8D9D">
            <w:pPr>
              <w:pStyle w:val="27"/>
              <w:jc w:val="center"/>
              <w:rPr>
                <w:rFonts w:hAnsi="宋体" w:cs="Courier New"/>
                <w:color w:val="auto"/>
                <w:kern w:val="2"/>
                <w:sz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115E7DEE">
            <w:pPr>
              <w:pStyle w:val="27"/>
              <w:jc w:val="center"/>
              <w:rPr>
                <w:rFonts w:hAnsi="宋体"/>
                <w:color w:val="auto"/>
                <w:szCs w:val="20"/>
                <w:highlight w:val="none"/>
              </w:rPr>
            </w:pPr>
          </w:p>
        </w:tc>
        <w:tc>
          <w:tcPr>
            <w:tcW w:w="2286" w:type="dxa"/>
            <w:tcBorders>
              <w:top w:val="single" w:color="auto" w:sz="4" w:space="0"/>
              <w:left w:val="single" w:color="auto" w:sz="4" w:space="0"/>
              <w:bottom w:val="single" w:color="auto" w:sz="4" w:space="0"/>
              <w:right w:val="single" w:color="auto" w:sz="4" w:space="0"/>
            </w:tcBorders>
            <w:vAlign w:val="center"/>
          </w:tcPr>
          <w:p w14:paraId="7111C849">
            <w:pPr>
              <w:pStyle w:val="27"/>
              <w:spacing w:line="360" w:lineRule="exact"/>
              <w:jc w:val="center"/>
              <w:rPr>
                <w:rFonts w:hAnsi="宋体" w:cs="Courier New"/>
                <w:color w:val="auto"/>
                <w:kern w:val="2"/>
                <w:sz w:val="21"/>
                <w:highlight w:val="none"/>
              </w:rPr>
            </w:pPr>
          </w:p>
        </w:tc>
      </w:tr>
    </w:tbl>
    <w:p w14:paraId="1E1ED9B8">
      <w:pPr>
        <w:tabs>
          <w:tab w:val="left" w:pos="8280"/>
        </w:tabs>
        <w:snapToGrid w:val="0"/>
        <w:spacing w:line="400" w:lineRule="atLeast"/>
        <w:ind w:right="26"/>
        <w:rPr>
          <w:rFonts w:ascii="宋体" w:hAnsi="宋体"/>
          <w:color w:val="auto"/>
          <w:szCs w:val="21"/>
          <w:highlight w:val="none"/>
        </w:rPr>
      </w:pPr>
      <w:r>
        <w:rPr>
          <w:rFonts w:hint="eastAsia" w:ascii="宋体" w:hAnsi="宋体"/>
          <w:color w:val="auto"/>
          <w:szCs w:val="21"/>
          <w:highlight w:val="none"/>
        </w:rPr>
        <w:t xml:space="preserve">    标项三</w:t>
      </w:r>
    </w:p>
    <w:tbl>
      <w:tblPr>
        <w:tblStyle w:val="50"/>
        <w:tblW w:w="87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947"/>
        <w:gridCol w:w="2551"/>
        <w:gridCol w:w="2286"/>
      </w:tblGrid>
      <w:tr w14:paraId="2E2C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36" w:type="dxa"/>
            <w:tcBorders>
              <w:top w:val="single" w:color="auto" w:sz="4" w:space="0"/>
              <w:left w:val="single" w:color="auto" w:sz="4" w:space="0"/>
              <w:bottom w:val="single" w:color="auto" w:sz="4" w:space="0"/>
              <w:right w:val="single" w:color="auto" w:sz="4" w:space="0"/>
            </w:tcBorders>
            <w:vAlign w:val="center"/>
          </w:tcPr>
          <w:p w14:paraId="20931E3E">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序号</w:t>
            </w:r>
          </w:p>
        </w:tc>
        <w:tc>
          <w:tcPr>
            <w:tcW w:w="2947" w:type="dxa"/>
            <w:tcBorders>
              <w:top w:val="single" w:color="auto" w:sz="4" w:space="0"/>
              <w:left w:val="single" w:color="auto" w:sz="4" w:space="0"/>
              <w:bottom w:val="single" w:color="auto" w:sz="4" w:space="0"/>
              <w:right w:val="single" w:color="auto" w:sz="4" w:space="0"/>
            </w:tcBorders>
            <w:vAlign w:val="center"/>
          </w:tcPr>
          <w:p w14:paraId="46FC056B">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标的名称</w:t>
            </w:r>
          </w:p>
        </w:tc>
        <w:tc>
          <w:tcPr>
            <w:tcW w:w="2551" w:type="dxa"/>
            <w:tcBorders>
              <w:top w:val="single" w:color="auto" w:sz="4" w:space="0"/>
              <w:left w:val="single" w:color="auto" w:sz="4" w:space="0"/>
              <w:bottom w:val="single" w:color="auto" w:sz="4" w:space="0"/>
              <w:right w:val="single" w:color="auto" w:sz="4" w:space="0"/>
            </w:tcBorders>
            <w:vAlign w:val="center"/>
          </w:tcPr>
          <w:p w14:paraId="4D68ABFE">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采购预算（万元）</w:t>
            </w:r>
          </w:p>
        </w:tc>
        <w:tc>
          <w:tcPr>
            <w:tcW w:w="2286" w:type="dxa"/>
            <w:tcBorders>
              <w:top w:val="single" w:color="auto" w:sz="4" w:space="0"/>
              <w:left w:val="single" w:color="auto" w:sz="4" w:space="0"/>
              <w:bottom w:val="single" w:color="auto" w:sz="4" w:space="0"/>
              <w:right w:val="single" w:color="auto" w:sz="4" w:space="0"/>
            </w:tcBorders>
            <w:vAlign w:val="center"/>
          </w:tcPr>
          <w:p w14:paraId="439B0C1C">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中标折扣率</w:t>
            </w:r>
          </w:p>
        </w:tc>
      </w:tr>
      <w:tr w14:paraId="50AD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78ECA944">
            <w:pPr>
              <w:pStyle w:val="27"/>
              <w:spacing w:line="360" w:lineRule="exact"/>
              <w:jc w:val="center"/>
              <w:rPr>
                <w:rFonts w:hAnsi="宋体" w:cs="Courier New"/>
                <w:color w:val="auto"/>
                <w:kern w:val="2"/>
                <w:sz w:val="21"/>
                <w:highlight w:val="none"/>
              </w:rPr>
            </w:pPr>
            <w:r>
              <w:rPr>
                <w:rFonts w:hint="eastAsia" w:hAnsi="宋体" w:cs="Courier New"/>
                <w:color w:val="auto"/>
                <w:kern w:val="2"/>
                <w:sz w:val="21"/>
                <w:highlight w:val="none"/>
              </w:rPr>
              <w:t>1</w:t>
            </w:r>
          </w:p>
        </w:tc>
        <w:tc>
          <w:tcPr>
            <w:tcW w:w="2947" w:type="dxa"/>
            <w:tcBorders>
              <w:top w:val="single" w:color="auto" w:sz="4" w:space="0"/>
              <w:left w:val="single" w:color="auto" w:sz="4" w:space="0"/>
              <w:bottom w:val="single" w:color="auto" w:sz="4" w:space="0"/>
              <w:right w:val="single" w:color="auto" w:sz="4" w:space="0"/>
            </w:tcBorders>
            <w:vAlign w:val="center"/>
          </w:tcPr>
          <w:p w14:paraId="2A269947">
            <w:pPr>
              <w:pStyle w:val="27"/>
              <w:jc w:val="center"/>
              <w:rPr>
                <w:rFonts w:hAnsi="宋体" w:cs="Courier New"/>
                <w:color w:val="auto"/>
                <w:kern w:val="2"/>
                <w:sz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25D31123">
            <w:pPr>
              <w:pStyle w:val="27"/>
              <w:jc w:val="center"/>
              <w:rPr>
                <w:rFonts w:hAnsi="宋体"/>
                <w:color w:val="auto"/>
                <w:szCs w:val="20"/>
                <w:highlight w:val="none"/>
              </w:rPr>
            </w:pPr>
          </w:p>
        </w:tc>
        <w:tc>
          <w:tcPr>
            <w:tcW w:w="2286" w:type="dxa"/>
            <w:tcBorders>
              <w:top w:val="single" w:color="auto" w:sz="4" w:space="0"/>
              <w:left w:val="single" w:color="auto" w:sz="4" w:space="0"/>
              <w:bottom w:val="single" w:color="auto" w:sz="4" w:space="0"/>
              <w:right w:val="single" w:color="auto" w:sz="4" w:space="0"/>
            </w:tcBorders>
            <w:vAlign w:val="center"/>
          </w:tcPr>
          <w:p w14:paraId="2D45251D">
            <w:pPr>
              <w:pStyle w:val="27"/>
              <w:spacing w:line="360" w:lineRule="exact"/>
              <w:jc w:val="center"/>
              <w:rPr>
                <w:rFonts w:hAnsi="宋体" w:cs="Courier New"/>
                <w:color w:val="auto"/>
                <w:kern w:val="2"/>
                <w:sz w:val="21"/>
                <w:highlight w:val="none"/>
              </w:rPr>
            </w:pPr>
          </w:p>
        </w:tc>
      </w:tr>
    </w:tbl>
    <w:p w14:paraId="2B6AE4B6">
      <w:pPr>
        <w:tabs>
          <w:tab w:val="left" w:pos="8280"/>
        </w:tabs>
        <w:snapToGrid w:val="0"/>
        <w:spacing w:line="400" w:lineRule="atLeast"/>
        <w:ind w:right="26" w:firstLine="420" w:firstLineChars="200"/>
        <w:rPr>
          <w:rFonts w:ascii="宋体" w:hAnsi="宋体"/>
          <w:color w:val="auto"/>
          <w:szCs w:val="21"/>
          <w:highlight w:val="none"/>
        </w:rPr>
      </w:pPr>
      <w:r>
        <w:rPr>
          <w:rFonts w:hint="eastAsia" w:ascii="宋体" w:hAnsi="宋体"/>
          <w:color w:val="auto"/>
          <w:szCs w:val="21"/>
          <w:highlight w:val="none"/>
        </w:rPr>
        <w:t xml:space="preserve"> 标项四</w:t>
      </w:r>
    </w:p>
    <w:tbl>
      <w:tblPr>
        <w:tblStyle w:val="50"/>
        <w:tblW w:w="87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947"/>
        <w:gridCol w:w="2551"/>
        <w:gridCol w:w="2286"/>
      </w:tblGrid>
      <w:tr w14:paraId="0092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36" w:type="dxa"/>
            <w:tcBorders>
              <w:top w:val="single" w:color="auto" w:sz="4" w:space="0"/>
              <w:left w:val="single" w:color="auto" w:sz="4" w:space="0"/>
              <w:bottom w:val="single" w:color="auto" w:sz="4" w:space="0"/>
              <w:right w:val="single" w:color="auto" w:sz="4" w:space="0"/>
            </w:tcBorders>
            <w:vAlign w:val="center"/>
          </w:tcPr>
          <w:p w14:paraId="3ED4DF93">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序号</w:t>
            </w:r>
          </w:p>
        </w:tc>
        <w:tc>
          <w:tcPr>
            <w:tcW w:w="2947" w:type="dxa"/>
            <w:tcBorders>
              <w:top w:val="single" w:color="auto" w:sz="4" w:space="0"/>
              <w:left w:val="single" w:color="auto" w:sz="4" w:space="0"/>
              <w:bottom w:val="single" w:color="auto" w:sz="4" w:space="0"/>
              <w:right w:val="single" w:color="auto" w:sz="4" w:space="0"/>
            </w:tcBorders>
            <w:vAlign w:val="center"/>
          </w:tcPr>
          <w:p w14:paraId="0791F2DB">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标的名称</w:t>
            </w:r>
          </w:p>
        </w:tc>
        <w:tc>
          <w:tcPr>
            <w:tcW w:w="2551" w:type="dxa"/>
            <w:tcBorders>
              <w:top w:val="single" w:color="auto" w:sz="4" w:space="0"/>
              <w:left w:val="single" w:color="auto" w:sz="4" w:space="0"/>
              <w:bottom w:val="single" w:color="auto" w:sz="4" w:space="0"/>
              <w:right w:val="single" w:color="auto" w:sz="4" w:space="0"/>
            </w:tcBorders>
            <w:vAlign w:val="center"/>
          </w:tcPr>
          <w:p w14:paraId="051E76FB">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采购预算（万元）</w:t>
            </w:r>
          </w:p>
        </w:tc>
        <w:tc>
          <w:tcPr>
            <w:tcW w:w="2286" w:type="dxa"/>
            <w:tcBorders>
              <w:top w:val="single" w:color="auto" w:sz="4" w:space="0"/>
              <w:left w:val="single" w:color="auto" w:sz="4" w:space="0"/>
              <w:bottom w:val="single" w:color="auto" w:sz="4" w:space="0"/>
              <w:right w:val="single" w:color="auto" w:sz="4" w:space="0"/>
            </w:tcBorders>
            <w:vAlign w:val="center"/>
          </w:tcPr>
          <w:p w14:paraId="7CC7303B">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中标折扣率</w:t>
            </w:r>
          </w:p>
        </w:tc>
      </w:tr>
      <w:tr w14:paraId="52A5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0488A459">
            <w:pPr>
              <w:pStyle w:val="27"/>
              <w:spacing w:line="360" w:lineRule="exact"/>
              <w:jc w:val="center"/>
              <w:rPr>
                <w:rFonts w:hAnsi="宋体" w:cs="Courier New"/>
                <w:color w:val="auto"/>
                <w:kern w:val="2"/>
                <w:sz w:val="21"/>
                <w:highlight w:val="none"/>
              </w:rPr>
            </w:pPr>
            <w:r>
              <w:rPr>
                <w:rFonts w:hint="eastAsia" w:hAnsi="宋体" w:cs="Courier New"/>
                <w:color w:val="auto"/>
                <w:kern w:val="2"/>
                <w:sz w:val="21"/>
                <w:highlight w:val="none"/>
              </w:rPr>
              <w:t>1</w:t>
            </w:r>
          </w:p>
        </w:tc>
        <w:tc>
          <w:tcPr>
            <w:tcW w:w="2947" w:type="dxa"/>
            <w:tcBorders>
              <w:top w:val="single" w:color="auto" w:sz="4" w:space="0"/>
              <w:left w:val="single" w:color="auto" w:sz="4" w:space="0"/>
              <w:bottom w:val="single" w:color="auto" w:sz="4" w:space="0"/>
              <w:right w:val="single" w:color="auto" w:sz="4" w:space="0"/>
            </w:tcBorders>
            <w:vAlign w:val="center"/>
          </w:tcPr>
          <w:p w14:paraId="0915A109">
            <w:pPr>
              <w:pStyle w:val="27"/>
              <w:jc w:val="center"/>
              <w:rPr>
                <w:rFonts w:hAnsi="宋体" w:cs="Courier New"/>
                <w:color w:val="auto"/>
                <w:kern w:val="2"/>
                <w:sz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1DCF85CF">
            <w:pPr>
              <w:pStyle w:val="27"/>
              <w:jc w:val="center"/>
              <w:rPr>
                <w:rFonts w:hAnsi="宋体"/>
                <w:color w:val="auto"/>
                <w:szCs w:val="20"/>
                <w:highlight w:val="none"/>
              </w:rPr>
            </w:pPr>
          </w:p>
        </w:tc>
        <w:tc>
          <w:tcPr>
            <w:tcW w:w="2286" w:type="dxa"/>
            <w:tcBorders>
              <w:top w:val="single" w:color="auto" w:sz="4" w:space="0"/>
              <w:left w:val="single" w:color="auto" w:sz="4" w:space="0"/>
              <w:bottom w:val="single" w:color="auto" w:sz="4" w:space="0"/>
              <w:right w:val="single" w:color="auto" w:sz="4" w:space="0"/>
            </w:tcBorders>
            <w:vAlign w:val="center"/>
          </w:tcPr>
          <w:p w14:paraId="3D4D1EDD">
            <w:pPr>
              <w:pStyle w:val="27"/>
              <w:spacing w:line="360" w:lineRule="exact"/>
              <w:jc w:val="center"/>
              <w:rPr>
                <w:rFonts w:hAnsi="宋体" w:cs="Courier New"/>
                <w:color w:val="auto"/>
                <w:kern w:val="2"/>
                <w:sz w:val="21"/>
                <w:highlight w:val="none"/>
              </w:rPr>
            </w:pPr>
          </w:p>
        </w:tc>
      </w:tr>
    </w:tbl>
    <w:p w14:paraId="3CCF0B42">
      <w:pPr>
        <w:tabs>
          <w:tab w:val="left" w:pos="8280"/>
        </w:tabs>
        <w:snapToGrid w:val="0"/>
        <w:spacing w:line="400" w:lineRule="atLeast"/>
        <w:ind w:right="26" w:firstLine="420" w:firstLineChars="200"/>
        <w:rPr>
          <w:rFonts w:ascii="宋体" w:hAnsi="宋体"/>
          <w:color w:val="auto"/>
          <w:szCs w:val="21"/>
          <w:highlight w:val="none"/>
        </w:rPr>
      </w:pPr>
      <w:r>
        <w:rPr>
          <w:rFonts w:hint="eastAsia" w:ascii="宋体" w:hAnsi="宋体"/>
          <w:color w:val="auto"/>
          <w:highlight w:val="none"/>
        </w:rPr>
        <w:t>2.项目服务所应实现的目标及技术要求以采购文件和乙方投标文件承诺约定为准。</w:t>
      </w:r>
    </w:p>
    <w:p w14:paraId="6DEFC3C8">
      <w:pPr>
        <w:tabs>
          <w:tab w:val="left" w:pos="8280"/>
        </w:tabs>
        <w:snapToGrid w:val="0"/>
        <w:spacing w:line="400" w:lineRule="atLeast"/>
        <w:ind w:right="26" w:firstLine="420" w:firstLineChars="200"/>
        <w:rPr>
          <w:rFonts w:ascii="宋体" w:hAnsi="宋体"/>
          <w:color w:val="auto"/>
          <w:highlight w:val="none"/>
        </w:rPr>
      </w:pPr>
      <w:r>
        <w:rPr>
          <w:rFonts w:hint="eastAsia" w:ascii="宋体" w:hAnsi="宋体"/>
          <w:color w:val="auto"/>
          <w:highlight w:val="none"/>
        </w:rPr>
        <w:t>3.合同合计金额包括乙方为完成本服务项目全部采购需求所应提供的服务，包括但不限于：图书成本及利润、运抵指定交货地点的各种费用（含装卸费）、图书加工服务费及耗材（芯片、条形码、书标、标签、保护膜等材料）、保险费、售后服务、产品质保、税金及其他所有成本费用的总和，以及有形或无形及可预计或不可预计的费用均由乙方负责。</w:t>
      </w:r>
    </w:p>
    <w:p w14:paraId="2236C393">
      <w:pPr>
        <w:snapToGrid w:val="0"/>
        <w:spacing w:line="400" w:lineRule="atLeast"/>
        <w:ind w:firstLine="422" w:firstLineChars="200"/>
        <w:rPr>
          <w:rFonts w:ascii="宋体" w:hAnsi="宋体"/>
          <w:color w:val="auto"/>
          <w:highlight w:val="none"/>
        </w:rPr>
      </w:pPr>
      <w:r>
        <w:rPr>
          <w:rFonts w:hint="eastAsia" w:ascii="宋体" w:hAnsi="宋体"/>
          <w:b/>
          <w:color w:val="auto"/>
          <w:highlight w:val="none"/>
        </w:rPr>
        <w:t>第二条 质量保证</w:t>
      </w:r>
    </w:p>
    <w:p w14:paraId="29F991E1">
      <w:pPr>
        <w:spacing w:line="400" w:lineRule="atLeast"/>
        <w:ind w:firstLine="420" w:firstLineChars="200"/>
        <w:rPr>
          <w:rFonts w:ascii="宋体" w:hAnsi="宋体"/>
          <w:color w:val="auto"/>
          <w:highlight w:val="none"/>
        </w:rPr>
      </w:pPr>
      <w:r>
        <w:rPr>
          <w:rFonts w:hint="eastAsia" w:ascii="宋体" w:hAnsi="宋体"/>
          <w:color w:val="auto"/>
          <w:highlight w:val="none"/>
        </w:rPr>
        <w:t>1.乙方提供服务应符合采购文件规定，并应与投标文件承诺一致。</w:t>
      </w:r>
    </w:p>
    <w:p w14:paraId="665E3668">
      <w:pPr>
        <w:spacing w:line="400" w:lineRule="atLeast"/>
        <w:ind w:firstLine="420" w:firstLineChars="200"/>
        <w:rPr>
          <w:rFonts w:ascii="宋体" w:hAnsi="宋体"/>
          <w:color w:val="auto"/>
          <w:highlight w:val="none"/>
        </w:rPr>
      </w:pPr>
      <w:r>
        <w:rPr>
          <w:rFonts w:hint="eastAsia" w:ascii="宋体" w:hAnsi="宋体"/>
          <w:color w:val="auto"/>
          <w:highlight w:val="none"/>
        </w:rPr>
        <w:t>2.乙方确保提供甲方的订购书目是正版图书。盗版图书一经发现，除假一赔十外，并按政府采购合同条款相关规定处罚，直至双方解除合同。</w:t>
      </w:r>
    </w:p>
    <w:p w14:paraId="475A3389">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3.乙方应保证货物到达甲方所在地及指定地点完好无损，如有缺漏、损坏，由乙方负责调换、补齐或赔偿。凡不符合甲方采购内容、范围及装帧要求的图书；非甲方发出的订单的图书；存在印刷图文不清、装订、污损、缺附件、光盘破损等质量问题的图书；任何国家法规明令禁止出版发行的图书；意识形态问题图书等。无论图书是否加工、验收，甲方有权无条件退货，由此造成的全部损失由乙方承担。</w:t>
      </w:r>
    </w:p>
    <w:p w14:paraId="6A77DCFE">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4.质保期内，图书在使用过程中发现有非人为因素所引起的缺页、破损等质量问题图书，乙方无条件退换。</w:t>
      </w:r>
    </w:p>
    <w:p w14:paraId="1365EE64">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5.提供与甲方现有规格、型号一致的RFID电子标签（宁波远望谷公司RFID电子标签，型号：XC-TF8102-B）。如使用其它品牌兼容电子标签，必须承诺能与甲方现有规格、型号的电子标签统一兼容，必须兼容采购人RFID系统，须经甲方、乙方、宁</w:t>
      </w:r>
      <w:r>
        <w:rPr>
          <w:rFonts w:ascii="宋体" w:hAnsi="宋体"/>
          <w:color w:val="auto"/>
          <w:highlight w:val="none"/>
        </w:rPr>
        <w:t>波</w:t>
      </w:r>
      <w:r>
        <w:rPr>
          <w:rFonts w:hint="eastAsia" w:ascii="宋体" w:hAnsi="宋体"/>
          <w:color w:val="auto"/>
          <w:highlight w:val="none"/>
        </w:rPr>
        <w:t>远望谷公司共同确认，保证甲方正常顺畅使用。</w:t>
      </w:r>
    </w:p>
    <w:p w14:paraId="48773E4E">
      <w:pPr>
        <w:snapToGrid w:val="0"/>
        <w:spacing w:line="400" w:lineRule="atLeast"/>
        <w:ind w:firstLine="422" w:firstLineChars="200"/>
        <w:rPr>
          <w:rFonts w:ascii="宋体" w:hAnsi="宋体"/>
          <w:color w:val="auto"/>
          <w:highlight w:val="none"/>
        </w:rPr>
      </w:pPr>
      <w:r>
        <w:rPr>
          <w:rFonts w:hint="eastAsia" w:ascii="宋体" w:hAnsi="宋体"/>
          <w:b/>
          <w:color w:val="auto"/>
          <w:highlight w:val="none"/>
        </w:rPr>
        <w:t>第三条 权利保证</w:t>
      </w:r>
    </w:p>
    <w:p w14:paraId="219E1738">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1.甲方根据工作需要，可为乙方提供相关资料等。</w:t>
      </w:r>
    </w:p>
    <w:p w14:paraId="48ED93DD">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2.甲方有权定期了解乙方工作进展情况，并对乙方工作进行监督，提出合理建议。</w:t>
      </w:r>
    </w:p>
    <w:p w14:paraId="5D4E5AED">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3.乙方应按规定时间节点内完成项目工作。</w:t>
      </w:r>
    </w:p>
    <w:p w14:paraId="2203278B">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4.乙方应委派具有相应能力、经验的员工为甲方提供服务，合同履行过程中，未经甲方同意，乙方不得随意更换项目人员。</w:t>
      </w:r>
    </w:p>
    <w:p w14:paraId="6E10B31F">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5.合同履行过程中，乙方应根据甲方要求，定期向甲方汇报工作进展，并接受甲方监督。</w:t>
      </w:r>
    </w:p>
    <w:p w14:paraId="11B48BE0">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6.乙方有权根据本合同约定及工作需要，要求甲方提供与项目建设有关的信息与资料。</w:t>
      </w:r>
    </w:p>
    <w:p w14:paraId="5666BB28">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7.乙方有权要求甲方配合其工作，并要求甲方提供必要的协助。</w:t>
      </w:r>
    </w:p>
    <w:p w14:paraId="3E26E2DF">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8.乙方应保证所提供服务在使用时不会侵犯任何第三方的专利权、著作权、商标权、工业设计权或其他权利。</w:t>
      </w:r>
    </w:p>
    <w:p w14:paraId="74DA49B8">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9.乙方应按采购文件规定的时间向甲方提供项目实施工作有关技术资料。</w:t>
      </w:r>
    </w:p>
    <w:p w14:paraId="754B0756">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10.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A6552DF">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11.乙方保证所提供或交付的技术服务所有权完全属于乙方且无任何抵押、质押、查封等产权瑕疵。</w:t>
      </w:r>
    </w:p>
    <w:p w14:paraId="7C290CC0">
      <w:pPr>
        <w:snapToGrid w:val="0"/>
        <w:spacing w:line="400" w:lineRule="atLeast"/>
        <w:ind w:firstLine="422" w:firstLineChars="200"/>
        <w:rPr>
          <w:rFonts w:ascii="宋体" w:hAnsi="宋体"/>
          <w:color w:val="auto"/>
          <w:highlight w:val="none"/>
        </w:rPr>
      </w:pPr>
      <w:r>
        <w:rPr>
          <w:rFonts w:hint="eastAsia" w:ascii="宋体" w:hAnsi="宋体"/>
          <w:b/>
          <w:color w:val="auto"/>
          <w:highlight w:val="none"/>
        </w:rPr>
        <w:t>第四条 服务期、供货和验收</w:t>
      </w:r>
    </w:p>
    <w:p w14:paraId="4DDB167D">
      <w:pPr>
        <w:snapToGrid w:val="0"/>
        <w:spacing w:line="400" w:lineRule="atLeast"/>
        <w:ind w:firstLine="420" w:firstLineChars="200"/>
        <w:rPr>
          <w:rFonts w:ascii="宋体" w:hAnsi="宋体"/>
          <w:color w:val="auto"/>
          <w:highlight w:val="none"/>
          <w:u w:val="single"/>
        </w:rPr>
      </w:pPr>
      <w:r>
        <w:rPr>
          <w:rFonts w:hint="eastAsia" w:ascii="宋体" w:hAnsi="宋体"/>
          <w:color w:val="auto"/>
          <w:highlight w:val="none"/>
        </w:rPr>
        <w:t>1.服务期：</w:t>
      </w:r>
      <w:r>
        <w:rPr>
          <w:rFonts w:hint="eastAsia" w:ascii="宋体" w:hAnsi="宋体"/>
          <w:color w:val="auto"/>
          <w:highlight w:val="none"/>
          <w:u w:val="single"/>
        </w:rPr>
        <w:t xml:space="preserve"> 自签订合同之日起至2027年12 月31日止。</w:t>
      </w:r>
    </w:p>
    <w:p w14:paraId="68FA933F">
      <w:pPr>
        <w:snapToGrid w:val="0"/>
        <w:spacing w:line="400" w:lineRule="atLeast"/>
        <w:ind w:firstLine="420" w:firstLineChars="200"/>
        <w:rPr>
          <w:rFonts w:ascii="宋体" w:hAnsi="宋体"/>
          <w:b/>
          <w:color w:val="auto"/>
          <w:highlight w:val="none"/>
        </w:rPr>
      </w:pPr>
      <w:r>
        <w:rPr>
          <w:rFonts w:hint="eastAsia" w:ascii="宋体" w:hAnsi="宋体"/>
          <w:color w:val="auto"/>
          <w:highlight w:val="none"/>
        </w:rPr>
        <w:t>2.供货时间：按甲方时间要求分批供货，在项目服务时间内最多可分四批供货。</w:t>
      </w:r>
    </w:p>
    <w:p w14:paraId="6FEFCFEB">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3.供货地点；广西南宁市甲方指定地点。</w:t>
      </w:r>
    </w:p>
    <w:p w14:paraId="5E086A1F">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4.乙方应按照国家有关法律法规以及采购文件规定的服务内容、技术要求、质量标准和本合同所附的《服务方案》为甲方提供技术服务。乙方提供不符合采购文件和本合同规定的技术服务，甲方有权拒绝接受。</w:t>
      </w:r>
    </w:p>
    <w:p w14:paraId="03DC1BEE">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5.乙方向甲方提供无瑕疵的技术服务，并对项目质量负责。</w:t>
      </w:r>
    </w:p>
    <w:p w14:paraId="2E2825D2">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6.乙方应对提交的技术资料作出全面检查和整理，并列出清单，作为甲方验收和使用的技术条件依据，清单应交给甲方。</w:t>
      </w:r>
    </w:p>
    <w:p w14:paraId="553FB125">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7.乙方应按要求提交技术服务材料：</w:t>
      </w:r>
      <w:r>
        <w:rPr>
          <w:rFonts w:hint="eastAsia" w:ascii="宋体" w:hAnsi="宋体"/>
          <w:color w:val="auto"/>
          <w:highlight w:val="none"/>
          <w:u w:val="single"/>
        </w:rPr>
        <w:t>见合同附件《服务方案》</w:t>
      </w:r>
      <w:r>
        <w:rPr>
          <w:rFonts w:hint="eastAsia" w:ascii="宋体" w:hAnsi="宋体"/>
          <w:color w:val="auto"/>
          <w:highlight w:val="none"/>
        </w:rPr>
        <w:t>，如有缺失应及时补齐，否则视为逾期交付。</w:t>
      </w:r>
    </w:p>
    <w:p w14:paraId="077BB9B4">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8.验收合格后由甲乙双方签署验收单并加盖采购单位公章，甲乙双方各执一份。</w:t>
      </w:r>
    </w:p>
    <w:p w14:paraId="308FD907">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9.甲方对验收有异议的，在验收后五个工作日内以书面形式向乙方提出，乙方应自收到甲方书面异议后</w:t>
      </w:r>
      <w:r>
        <w:rPr>
          <w:rFonts w:hint="eastAsia" w:ascii="宋体" w:hAnsi="宋体"/>
          <w:color w:val="auto"/>
          <w:highlight w:val="none"/>
          <w:u w:val="single"/>
        </w:rPr>
        <w:t xml:space="preserve"> 5个工作 </w:t>
      </w:r>
      <w:r>
        <w:rPr>
          <w:rFonts w:hint="eastAsia" w:ascii="宋体" w:hAnsi="宋体"/>
          <w:color w:val="auto"/>
          <w:highlight w:val="none"/>
        </w:rPr>
        <w:t>日内及时予以解决。</w:t>
      </w:r>
    </w:p>
    <w:p w14:paraId="1985A295">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10.验收</w:t>
      </w:r>
    </w:p>
    <w:p w14:paraId="36BAFB15">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（1）甲方在中华人民共和国境内使用乙方提供的服务（含所供图书）时免受第三方提出的侵犯其专利权或其它知识产权的起诉。如果第三方提出侵权指控，乙方应承担由此而引起的一切法律责任和费用。</w:t>
      </w:r>
    </w:p>
    <w:p w14:paraId="3E3F1D03">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（2）甲方将同时按照采购文件以及乙方投标文件承诺的条款进行逐项验收，如项目验收不合格，由乙方返工直至合格，有关返工、再行验收，以及给甲方造成的损失等费用由乙方承担。</w:t>
      </w:r>
    </w:p>
    <w:p w14:paraId="1648C167">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（3）乙方提供的图书，必须是合法合规的正版图书，如有违反，甲方可无条件退货并解除合同，一切责任及损失由乙方自行承担，甲方保留追究其虚假承诺的权利。</w:t>
      </w:r>
    </w:p>
    <w:p w14:paraId="00304093">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（4）验收过程中所产生的一切费用均由乙方承担，已包含在报价中（即合同金额）。</w:t>
      </w:r>
    </w:p>
    <w:p w14:paraId="5629E4B3">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203781B2">
      <w:pPr>
        <w:snapToGrid w:val="0"/>
        <w:spacing w:line="400" w:lineRule="atLeast"/>
        <w:ind w:firstLine="422" w:firstLineChars="200"/>
        <w:rPr>
          <w:rFonts w:ascii="宋体" w:hAnsi="宋体"/>
          <w:b/>
          <w:color w:val="auto"/>
          <w:highlight w:val="none"/>
        </w:rPr>
      </w:pPr>
      <w:r>
        <w:rPr>
          <w:rFonts w:hint="eastAsia" w:ascii="宋体" w:hAnsi="宋体"/>
          <w:b/>
          <w:color w:val="auto"/>
          <w:highlight w:val="none"/>
        </w:rPr>
        <w:t>第五条 付款方式</w:t>
      </w:r>
    </w:p>
    <w:p w14:paraId="0C77434A">
      <w:pPr>
        <w:snapToGrid w:val="0"/>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1.乙方批次到货后，甲方按照合同进行验收，签署该批次验收书。</w:t>
      </w:r>
    </w:p>
    <w:p w14:paraId="565D1525">
      <w:pPr>
        <w:snapToGrid w:val="0"/>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2.乙方对该批书办理差、错图书的退书手续后，按实际验收合格图书的实洋价合计值（实洋价合计值＝图书码洋价合计值×中标折扣率）结算应付货款，并在该批次验收书上注明退书货款及应付货款。</w:t>
      </w:r>
    </w:p>
    <w:p w14:paraId="4C010D2C">
      <w:pPr>
        <w:snapToGrid w:val="0"/>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3.双方核对货款金额无误后，乙方开具</w:t>
      </w:r>
      <w:r>
        <w:rPr>
          <w:color w:val="auto"/>
          <w:highlight w:val="none"/>
        </w:rPr>
        <w:t>当批供货图书</w:t>
      </w:r>
      <w:r>
        <w:rPr>
          <w:rFonts w:hint="eastAsia"/>
          <w:color w:val="auto"/>
          <w:highlight w:val="none"/>
        </w:rPr>
        <w:t>等</w:t>
      </w:r>
      <w:r>
        <w:rPr>
          <w:color w:val="auto"/>
          <w:highlight w:val="none"/>
        </w:rPr>
        <w:t>额发票</w:t>
      </w:r>
      <w:r>
        <w:rPr>
          <w:rFonts w:hint="eastAsia" w:ascii="宋体" w:hAnsi="宋体"/>
          <w:color w:val="auto"/>
          <w:szCs w:val="21"/>
          <w:highlight w:val="none"/>
        </w:rPr>
        <w:t xml:space="preserve">和验收书，向甲方提出付款申请，甲方在 </w:t>
      </w:r>
      <w:r>
        <w:rPr>
          <w:rFonts w:ascii="宋体" w:hAnsi="宋体"/>
          <w:color w:val="auto"/>
          <w:szCs w:val="21"/>
          <w:highlight w:val="none"/>
        </w:rPr>
        <w:t>10</w:t>
      </w:r>
      <w:r>
        <w:rPr>
          <w:rFonts w:hint="eastAsia" w:ascii="宋体" w:hAnsi="宋体"/>
          <w:color w:val="auto"/>
          <w:szCs w:val="21"/>
          <w:highlight w:val="none"/>
        </w:rPr>
        <w:t>个工作日内办理好转账业务。</w:t>
      </w:r>
    </w:p>
    <w:p w14:paraId="5F633DEE">
      <w:pPr>
        <w:snapToGrid w:val="0"/>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4.票据要求：乙方必须按照甲方要求提供真实、有效、合法的正式发票。一旦发现乙方提供虚假发票，除须向甲方补开合法发票外，甲方有权终止合同，乙方不得提出异议，因终止合同而产生的一切损失均由乙方承担。</w:t>
      </w:r>
    </w:p>
    <w:p w14:paraId="7D4BB158">
      <w:pPr>
        <w:snapToGrid w:val="0"/>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5.本项目无预付款。</w:t>
      </w:r>
    </w:p>
    <w:p w14:paraId="5BDF6DA9">
      <w:pPr>
        <w:snapToGrid w:val="0"/>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6.本合同使用货币币制如未作特别说明均为人民币。</w:t>
      </w:r>
    </w:p>
    <w:p w14:paraId="257ECD6E">
      <w:pPr>
        <w:snapToGrid w:val="0"/>
        <w:spacing w:line="400" w:lineRule="atLeast"/>
        <w:ind w:firstLine="422" w:firstLineChars="200"/>
        <w:rPr>
          <w:rFonts w:ascii="宋体" w:hAnsi="宋体"/>
          <w:b/>
          <w:color w:val="auto"/>
          <w:highlight w:val="none"/>
        </w:rPr>
      </w:pPr>
      <w:r>
        <w:rPr>
          <w:rFonts w:hint="eastAsia" w:ascii="宋体" w:hAnsi="宋体"/>
          <w:b/>
          <w:color w:val="auto"/>
          <w:highlight w:val="none"/>
        </w:rPr>
        <w:t>第六条 履约保证金</w:t>
      </w:r>
    </w:p>
    <w:p w14:paraId="0C9BB10F">
      <w:pPr>
        <w:snapToGrid w:val="0"/>
        <w:spacing w:line="400" w:lineRule="atLeast"/>
        <w:ind w:left="-61" w:leftChars="-29" w:firstLine="514" w:firstLineChars="245"/>
        <w:rPr>
          <w:rFonts w:ascii="宋体" w:hAnsi="宋体"/>
          <w:color w:val="auto"/>
          <w:highlight w:val="none"/>
        </w:rPr>
      </w:pPr>
      <w:r>
        <w:rPr>
          <w:rFonts w:hint="eastAsia" w:ascii="宋体" w:hAnsi="宋体"/>
          <w:color w:val="auto"/>
          <w:highlight w:val="none"/>
          <w:u w:val="single"/>
        </w:rPr>
        <w:t>本项目不收取履约保证金。</w:t>
      </w:r>
    </w:p>
    <w:p w14:paraId="4BE4337D">
      <w:pPr>
        <w:snapToGrid w:val="0"/>
        <w:spacing w:line="400" w:lineRule="atLeast"/>
        <w:ind w:left="-61" w:firstLine="514"/>
        <w:rPr>
          <w:rFonts w:ascii="宋体" w:hAnsi="宋体"/>
          <w:b/>
          <w:color w:val="auto"/>
          <w:highlight w:val="none"/>
        </w:rPr>
      </w:pPr>
      <w:r>
        <w:rPr>
          <w:rFonts w:hint="eastAsia" w:ascii="宋体" w:hAnsi="宋体"/>
          <w:b/>
          <w:color w:val="auto"/>
          <w:highlight w:val="none"/>
        </w:rPr>
        <w:t>第七条  税费</w:t>
      </w:r>
    </w:p>
    <w:p w14:paraId="0C980E3E">
      <w:pPr>
        <w:snapToGrid w:val="0"/>
        <w:spacing w:line="400" w:lineRule="atLeast"/>
        <w:ind w:left="-61" w:firstLine="514"/>
        <w:rPr>
          <w:rFonts w:ascii="宋体" w:hAnsi="宋体"/>
          <w:color w:val="auto"/>
          <w:highlight w:val="none"/>
        </w:rPr>
      </w:pPr>
      <w:r>
        <w:rPr>
          <w:rFonts w:hint="eastAsia" w:ascii="宋体" w:hAnsi="宋体"/>
          <w:color w:val="auto"/>
          <w:highlight w:val="none"/>
        </w:rPr>
        <w:t>本合同执行中相关的一切税费均由乙方负担。</w:t>
      </w:r>
    </w:p>
    <w:p w14:paraId="40670D1B">
      <w:pPr>
        <w:snapToGrid w:val="0"/>
        <w:spacing w:line="400" w:lineRule="atLeast"/>
        <w:ind w:firstLine="422" w:firstLineChars="200"/>
        <w:rPr>
          <w:rFonts w:ascii="宋体" w:hAnsi="宋体"/>
          <w:b/>
          <w:color w:val="auto"/>
          <w:highlight w:val="none"/>
        </w:rPr>
      </w:pPr>
      <w:r>
        <w:rPr>
          <w:rFonts w:hint="eastAsia" w:ascii="宋体" w:hAnsi="宋体"/>
          <w:b/>
          <w:color w:val="auto"/>
          <w:highlight w:val="none"/>
        </w:rPr>
        <w:t>第八条 违约责任</w:t>
      </w:r>
    </w:p>
    <w:p w14:paraId="4C6EA192">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1.若因乙方原因而未能履行合同或未达到合同约定的要求，甲方有权书面敦促乙方履行合同，乙方应在收到甲方书面通知之日起七日内给予书面答复并进行整改；如乙方在上述时间未答复，或无故拖延履行合同超过30日，或经2次整改后仍未达到甲方要求，甲方有权书面通知乙方解除服务合同，且无需支付合同解除后的合同后续费用。同时，乙方必须退还甲方已付出的所有服务费用，并赔偿由此给甲方造成的全部损失。</w:t>
      </w:r>
    </w:p>
    <w:p w14:paraId="4B3932EF">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2.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14:paraId="6C63CCF1">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3.乙方或乙方人员违反保密义务时，甲方有权书面通知乙方解除咨询合同，且无需支付合同解除后的合同后续费用。同时，乙方必须退还甲方已付出的所有咨询费用，并赔偿由此给甲方造成的全部损失。</w:t>
      </w:r>
    </w:p>
    <w:p w14:paraId="4BBA3CC0">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4.甲方无故延期接收服务交付成果、乙方逾期交付的，每天向对方偿付违约交付成果或服务费用金额的3‰违约金，但违约金累计不得超过违约交付成果或服务费用金额的5%，超过30天对方有权解除合同，违约方承担因此给对方造成经济损失；甲方延期付交付成果或服务费用金额的，每天向乙方偿付延期交付成果或服务费用金额的3‰作为滞纳金，但滞纳金累计不得超过延期交付成果或服务费用金额的5%。</w:t>
      </w:r>
    </w:p>
    <w:p w14:paraId="42B96DB0">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5.乙方未按本合同和投标文件中规定的服务承诺提供售后服务的，乙方应按本合同合计金额5%向甲方支付违约金。</w:t>
      </w:r>
    </w:p>
    <w:p w14:paraId="5EB1CDE8">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6.除另有约定的，其它违约行为按成交金额5%收取违约金并赔偿经济损失。</w:t>
      </w:r>
    </w:p>
    <w:p w14:paraId="6635165E">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 xml:space="preserve">7.乙方未按期限完成项目工作或者项目工作的完成不符合约定的，乙方应根据采购文件约定，向甲方支付违约金并赔偿甲方因此造成的经济损失（包括但不限于诉讼费、保全费、律师费等）。                                       </w:t>
      </w:r>
    </w:p>
    <w:p w14:paraId="1DA8133B">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8.乙方应当保证有权销售本合同的所有产品或技术服务，不会因此侵犯到第三人的所有权、知识产权等一切权利也未对产品或技术服务设置任何负担，属于第三人拥有知识产权的已经取得第三人合法授权，甲方有权不受限制的使用。若因违反本款约定引起的第三方权利纠纷的由乙方负责解决，包括甲方使用该产品或技术服务所需的授权费以及解决争议发生的一切费用（包括但不限于律师费、诉讼费、鉴定费等）均由乙方承担。如果不能取得使用许可需要另行购买产品或技术服务的，所需费用由乙方承担，并赔偿甲方因此受到的损失。</w:t>
      </w:r>
    </w:p>
    <w:p w14:paraId="53F6744E">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9.本合同签订及履行过程中，未经甲方书面同意，乙方不得将本合同的权利义务以任何方式转让给第三人，否则甲方有权选择单方解除本合同并要求乙方支付合同总金额30%的违约金。</w:t>
      </w:r>
    </w:p>
    <w:p w14:paraId="30D8C52E">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10.本合同签订后，乙方要求提前解除合同的，应向甲方支付本合同总价款30%的违约金，退还甲方已支付的全部费用并赔偿由此给甲方造成的全部损失。</w:t>
      </w:r>
    </w:p>
    <w:p w14:paraId="07113E52">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11.乙方应当支付给甲方的违约金、赔偿金，甲方有权从未支付的合同款中扣除，违约金不足以赔偿给甲方造成损失的，甲方仍有权向乙方进行追偿。</w:t>
      </w:r>
    </w:p>
    <w:p w14:paraId="3B9083A4">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12.按本合同约定甲方选择解除合同的，自甲方解除合同的书面通知送达乙方之日起合同解除，乙方应赔偿由此给甲方造成的全部损失。甲方不支付乙方任何费用，乙方对解除合同有异议的异议期为7日。乙方应当在合同解除后5日内退还甲方支付的所有费用（如有），自费运回所交付的产品，付清违约金、赔偿金。</w:t>
      </w:r>
    </w:p>
    <w:p w14:paraId="3216F8BB">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13.乙方违反本合同约定或法律规定的，应当赔偿给甲方造成的全部损失，包括但不限于直接损失、预期利益损失、甲方向第三人支付的违约金、赔偿金及甲方为索赔或应对第三方索赔而支出的诉讼费、律师费、公证费、保全费、担保费、鉴定费、评估费等全部费用。</w:t>
      </w:r>
    </w:p>
    <w:p w14:paraId="3650E2B8">
      <w:pPr>
        <w:snapToGrid w:val="0"/>
        <w:spacing w:line="360" w:lineRule="atLeast"/>
        <w:ind w:firstLine="413" w:firstLineChars="196"/>
        <w:rPr>
          <w:rFonts w:ascii="宋体" w:hAnsi="宋体"/>
          <w:b/>
          <w:color w:val="auto"/>
          <w:kern w:val="0"/>
          <w:highlight w:val="none"/>
        </w:rPr>
      </w:pPr>
      <w:r>
        <w:rPr>
          <w:rFonts w:hint="eastAsia" w:ascii="宋体" w:hAnsi="宋体"/>
          <w:b/>
          <w:color w:val="auto"/>
          <w:kern w:val="0"/>
          <w:highlight w:val="none"/>
        </w:rPr>
        <w:t>第九条  不可抗力事件处理</w:t>
      </w:r>
    </w:p>
    <w:p w14:paraId="58167CF1">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1.在合同有效期内，任何一方因不可抗力事件导致不能履行合同，则合同履行期可延长，其延长期与不可抗力影响期相同。</w:t>
      </w:r>
    </w:p>
    <w:p w14:paraId="71C40A0E">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2.由于不可抗力事件不能全部或部分履行合同义务时，任一方可中止履行其在本合同项下的义务（在不可抗力事件发生前已发生的应履行但未履行义务除外）。</w:t>
      </w:r>
    </w:p>
    <w:p w14:paraId="08C2B97E">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3.不可抗力事件发生后，应立即通知对方，并寄送有关权威机构出具的证明。声称受到不可抗力的一方应在任何时候采取合理的行动，以避免或尽量减少不可抗力事件的影响。因主观原因延误，未及时采取必要措施而导致损失扩大的，不能免除责任。</w:t>
      </w:r>
    </w:p>
    <w:p w14:paraId="3152DABC">
      <w:pPr>
        <w:snapToGrid w:val="0"/>
        <w:spacing w:line="360" w:lineRule="atLeast"/>
        <w:ind w:firstLine="420" w:firstLineChars="200"/>
        <w:rPr>
          <w:rFonts w:ascii="宋体" w:hAnsi="宋体"/>
          <w:color w:val="auto"/>
          <w:highlight w:val="none"/>
        </w:rPr>
      </w:pPr>
      <w:r>
        <w:rPr>
          <w:rFonts w:hint="eastAsia" w:ascii="宋体" w:hAnsi="宋体"/>
          <w:color w:val="auto"/>
          <w:highlight w:val="none"/>
        </w:rPr>
        <w:t>4.不可抗力事件延续一百二十天以上，双方应通过友好协商，确定是否继续履行合同。</w:t>
      </w:r>
    </w:p>
    <w:p w14:paraId="529E2E78">
      <w:pPr>
        <w:snapToGrid w:val="0"/>
        <w:spacing w:line="360" w:lineRule="atLeast"/>
        <w:ind w:firstLine="422" w:firstLineChars="200"/>
        <w:rPr>
          <w:rFonts w:ascii="宋体" w:hAnsi="宋体"/>
          <w:color w:val="auto"/>
          <w:highlight w:val="none"/>
        </w:rPr>
      </w:pPr>
      <w:r>
        <w:rPr>
          <w:rFonts w:hint="eastAsia" w:ascii="宋体" w:hAnsi="宋体"/>
          <w:b/>
          <w:color w:val="auto"/>
          <w:highlight w:val="none"/>
        </w:rPr>
        <w:t>第十条  合同争议解决</w:t>
      </w:r>
    </w:p>
    <w:p w14:paraId="19699913">
      <w:pPr>
        <w:snapToGrid w:val="0"/>
        <w:spacing w:line="360" w:lineRule="atLeast"/>
        <w:ind w:firstLine="420" w:firstLineChars="200"/>
        <w:rPr>
          <w:rFonts w:ascii="宋体" w:hAnsi="宋体"/>
          <w:color w:val="auto"/>
          <w:highlight w:val="none"/>
        </w:rPr>
      </w:pPr>
      <w:r>
        <w:rPr>
          <w:rFonts w:hint="eastAsia" w:ascii="宋体" w:hAnsi="宋体"/>
          <w:color w:val="auto"/>
          <w:highlight w:val="none"/>
        </w:rPr>
        <w:t>因履行本合同引起的或与本合同有关的争议，甲乙双方应首先通过友好协商解决，如果协商不能解决，应向甲方所在地人民法院提起诉讼。包括但不限于案件受理费、调查取证、鉴定费、差旅费、律师费等由败诉方承担。</w:t>
      </w:r>
    </w:p>
    <w:p w14:paraId="03221B76">
      <w:pPr>
        <w:snapToGrid w:val="0"/>
        <w:spacing w:line="360" w:lineRule="atLeast"/>
        <w:ind w:firstLine="422" w:firstLineChars="200"/>
        <w:rPr>
          <w:rFonts w:ascii="宋体" w:hAnsi="宋体"/>
          <w:b/>
          <w:color w:val="auto"/>
          <w:highlight w:val="none"/>
        </w:rPr>
      </w:pPr>
      <w:r>
        <w:rPr>
          <w:rFonts w:hint="eastAsia" w:ascii="宋体" w:hAnsi="宋体"/>
          <w:b/>
          <w:color w:val="auto"/>
          <w:kern w:val="0"/>
          <w:highlight w:val="none"/>
        </w:rPr>
        <w:t xml:space="preserve">第十一条  </w:t>
      </w:r>
      <w:r>
        <w:rPr>
          <w:rFonts w:hint="eastAsia" w:ascii="宋体" w:hAnsi="宋体"/>
          <w:b/>
          <w:color w:val="auto"/>
          <w:highlight w:val="none"/>
        </w:rPr>
        <w:t>合同的变更、终止与转让</w:t>
      </w:r>
    </w:p>
    <w:p w14:paraId="4E844220">
      <w:pPr>
        <w:snapToGrid w:val="0"/>
        <w:spacing w:line="360" w:lineRule="atLeast"/>
        <w:ind w:left="-61" w:firstLine="514"/>
        <w:rPr>
          <w:rFonts w:ascii="宋体" w:hAnsi="宋体"/>
          <w:color w:val="auto"/>
          <w:highlight w:val="none"/>
        </w:rPr>
      </w:pPr>
      <w:r>
        <w:rPr>
          <w:rFonts w:hint="eastAsia" w:ascii="宋体" w:hAnsi="宋体"/>
          <w:color w:val="auto"/>
          <w:highlight w:val="none"/>
        </w:rPr>
        <w:t>1.本合同一经签订，甲乙双方不得擅自变更、中止或终止。</w:t>
      </w:r>
    </w:p>
    <w:p w14:paraId="42E9B1AD">
      <w:pPr>
        <w:snapToGrid w:val="0"/>
        <w:spacing w:line="360" w:lineRule="atLeast"/>
        <w:ind w:left="-61" w:firstLine="514"/>
        <w:rPr>
          <w:rFonts w:ascii="宋体" w:hAnsi="宋体"/>
          <w:color w:val="auto"/>
          <w:highlight w:val="none"/>
        </w:rPr>
      </w:pPr>
      <w:r>
        <w:rPr>
          <w:rFonts w:hint="eastAsia" w:ascii="宋体" w:hAnsi="宋体"/>
          <w:color w:val="auto"/>
          <w:highlight w:val="none"/>
        </w:rPr>
        <w:t>2.乙方不得擅自转让其应履行的合同义务。</w:t>
      </w:r>
    </w:p>
    <w:p w14:paraId="1A52017B">
      <w:pPr>
        <w:snapToGrid w:val="0"/>
        <w:spacing w:line="360" w:lineRule="atLeast"/>
        <w:ind w:firstLine="422" w:firstLineChars="200"/>
        <w:rPr>
          <w:rFonts w:ascii="宋体" w:hAnsi="宋体"/>
          <w:b/>
          <w:bCs/>
          <w:color w:val="auto"/>
          <w:kern w:val="0"/>
          <w:highlight w:val="none"/>
        </w:rPr>
      </w:pPr>
      <w:r>
        <w:rPr>
          <w:rFonts w:hint="eastAsia" w:ascii="宋体" w:hAnsi="宋体"/>
          <w:b/>
          <w:color w:val="auto"/>
          <w:highlight w:val="none"/>
        </w:rPr>
        <w:t xml:space="preserve">第十二条 </w:t>
      </w:r>
      <w:r>
        <w:rPr>
          <w:rFonts w:hint="eastAsia" w:ascii="宋体" w:hAnsi="宋体"/>
          <w:b/>
          <w:bCs/>
          <w:color w:val="auto"/>
          <w:kern w:val="0"/>
          <w:highlight w:val="none"/>
        </w:rPr>
        <w:t>合同组成及解释</w:t>
      </w:r>
    </w:p>
    <w:p w14:paraId="570F9809">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1.本项目的采购文件（含采购答疑）、符合采购要求的投标文件、甲方确认采购要求、本合同履行过程中双方签章确认的协议或其他文件均为本合同的组成部分，若合同组成文件之间发生矛盾的，以下排列顺序为合同组成文件之间的优先解释顺序：</w:t>
      </w:r>
    </w:p>
    <w:p w14:paraId="0C486EA2">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（1）合同履行过程中双方签章确认的协议或其他文件；</w:t>
      </w:r>
    </w:p>
    <w:p w14:paraId="51C8FCC4">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（2）甲方确认的采购要求；</w:t>
      </w:r>
    </w:p>
    <w:p w14:paraId="2695C2B9">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（3）合同附件；</w:t>
      </w:r>
    </w:p>
    <w:p w14:paraId="5A5BECAD">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（4）中标或成交通知书；</w:t>
      </w:r>
    </w:p>
    <w:p w14:paraId="13938EE7">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（5）采购文件(含答疑)；</w:t>
      </w:r>
    </w:p>
    <w:p w14:paraId="1EDDF688">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（6）符合采购要求的投标文件；</w:t>
      </w:r>
    </w:p>
    <w:p w14:paraId="4447853D">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（7）标准、规范及有关技术文件；</w:t>
      </w:r>
    </w:p>
    <w:p w14:paraId="06CF5A18">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（8）其他合同文件。</w:t>
      </w:r>
    </w:p>
    <w:p w14:paraId="5BBFF188">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2.前述文件应认为是互为补充和解释的，但如有互相矛盾之处，以前述文件所列顺序作为其优先解释的顺序，但如果某一文件对甲方权利维护更有利或对设计工作有更高、更严格要求的以该文件内容为准。</w:t>
      </w:r>
    </w:p>
    <w:p w14:paraId="6DA1CBB1">
      <w:pPr>
        <w:snapToGrid w:val="0"/>
        <w:spacing w:line="360" w:lineRule="atLeast"/>
        <w:ind w:firstLine="420" w:firstLineChars="200"/>
        <w:rPr>
          <w:rFonts w:ascii="宋体" w:hAnsi="宋体"/>
          <w:b/>
          <w:color w:val="auto"/>
          <w:kern w:val="0"/>
          <w:highlight w:val="none"/>
        </w:rPr>
      </w:pPr>
      <w:r>
        <w:rPr>
          <w:rFonts w:hint="eastAsia" w:ascii="宋体" w:hAnsi="宋体"/>
          <w:color w:val="auto"/>
          <w:kern w:val="0"/>
          <w:highlight w:val="none"/>
        </w:rPr>
        <w:t>3.前述各项文件包括双方就该合同组成文件所作出的补充和修改，属于同一项文件的，应以最新签署的为准。</w:t>
      </w:r>
    </w:p>
    <w:p w14:paraId="7310249B">
      <w:pPr>
        <w:snapToGrid w:val="0"/>
        <w:spacing w:line="360" w:lineRule="atLeast"/>
        <w:ind w:firstLine="422" w:firstLineChars="200"/>
        <w:rPr>
          <w:rFonts w:ascii="宋体" w:hAnsi="宋体"/>
          <w:bCs/>
          <w:color w:val="auto"/>
          <w:highlight w:val="none"/>
        </w:rPr>
      </w:pPr>
      <w:r>
        <w:rPr>
          <w:rFonts w:hint="eastAsia" w:ascii="宋体" w:hAnsi="宋体"/>
          <w:b/>
          <w:color w:val="auto"/>
          <w:highlight w:val="none"/>
        </w:rPr>
        <w:t>第十三条 通知与送达</w:t>
      </w:r>
    </w:p>
    <w:p w14:paraId="4D59504F">
      <w:pPr>
        <w:snapToGrid w:val="0"/>
        <w:spacing w:line="360" w:lineRule="atLeast"/>
        <w:ind w:firstLine="420" w:firstLineChars="200"/>
        <w:rPr>
          <w:rFonts w:ascii="宋体" w:hAnsi="宋体"/>
          <w:bCs/>
          <w:color w:val="auto"/>
          <w:highlight w:val="none"/>
        </w:rPr>
      </w:pPr>
      <w:r>
        <w:rPr>
          <w:rFonts w:hint="eastAsia" w:ascii="宋体" w:hAnsi="宋体"/>
          <w:bCs/>
          <w:color w:val="auto"/>
          <w:highlight w:val="none"/>
        </w:rPr>
        <w:t>1.本协议项下对合同一方对另外一方的任何通知或请求，应当发送至接收方在合同中约定的地址、联系人和通信终端。一方当事人变更名称、地址、联系人或通信终端等信息的，应当在变更后3日内及时书面通知对方当事人，对方当事人实际收到变更通知前的送达仍为有效送达，电子送达与书面送达具有同等法律效力。</w:t>
      </w:r>
    </w:p>
    <w:p w14:paraId="766AC63B">
      <w:pPr>
        <w:snapToGrid w:val="0"/>
        <w:spacing w:line="360" w:lineRule="atLeast"/>
        <w:ind w:firstLine="420" w:firstLineChars="200"/>
        <w:rPr>
          <w:rFonts w:ascii="宋体" w:hAnsi="宋体"/>
          <w:bCs/>
          <w:color w:val="auto"/>
          <w:highlight w:val="none"/>
        </w:rPr>
      </w:pPr>
      <w:r>
        <w:rPr>
          <w:rFonts w:hint="eastAsia" w:ascii="宋体" w:hAnsi="宋体"/>
          <w:bCs/>
          <w:color w:val="auto"/>
          <w:highlight w:val="none"/>
        </w:rPr>
        <w:t>2.任何一方当事人向对/他方所发出的通知或请求送达时间：书面文件送达，则在收件人签收之日视为收到。</w:t>
      </w:r>
    </w:p>
    <w:p w14:paraId="7943B5F9">
      <w:pPr>
        <w:snapToGrid w:val="0"/>
        <w:spacing w:line="360" w:lineRule="atLeast"/>
        <w:ind w:firstLine="420" w:firstLineChars="200"/>
        <w:rPr>
          <w:rFonts w:ascii="宋体" w:hAnsi="宋体"/>
          <w:bCs/>
          <w:color w:val="auto"/>
          <w:highlight w:val="none"/>
        </w:rPr>
      </w:pPr>
      <w:r>
        <w:rPr>
          <w:rFonts w:hint="eastAsia" w:ascii="宋体" w:hAnsi="宋体"/>
          <w:bCs/>
          <w:color w:val="auto"/>
          <w:highlight w:val="none"/>
        </w:rPr>
        <w:t>3.本合同约定的地址、联系人及电子通信终端等信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14:paraId="35A90B11">
      <w:pPr>
        <w:snapToGrid w:val="0"/>
        <w:spacing w:line="360" w:lineRule="atLeast"/>
        <w:ind w:firstLine="420" w:firstLineChars="200"/>
        <w:rPr>
          <w:rFonts w:ascii="宋体" w:hAnsi="宋体"/>
          <w:b/>
          <w:color w:val="auto"/>
          <w:highlight w:val="none"/>
        </w:rPr>
      </w:pPr>
      <w:r>
        <w:rPr>
          <w:rFonts w:hint="eastAsia" w:ascii="宋体" w:hAnsi="宋体"/>
          <w:bCs/>
          <w:color w:val="auto"/>
          <w:highlight w:val="none"/>
        </w:rPr>
        <w:t>4.合同送达条款与争议解决条款均为独立条款，不受合同整体或其他条款的效力的影响。因载明的地址有误或变更地址5日内未及时告知对方的，导致相关通知文书及诉讼文书未能实际被接收的、邮寄送达的，以文件退回之日为送达之日；直接送达的，以送达人当场在送达回证上记明情况之日为送达之日。</w:t>
      </w:r>
    </w:p>
    <w:p w14:paraId="311A5D86">
      <w:pPr>
        <w:snapToGrid w:val="0"/>
        <w:spacing w:line="360" w:lineRule="atLeast"/>
        <w:ind w:firstLine="413" w:firstLineChars="196"/>
        <w:rPr>
          <w:rFonts w:ascii="宋体" w:hAnsi="宋体"/>
          <w:b/>
          <w:color w:val="auto"/>
          <w:kern w:val="0"/>
          <w:highlight w:val="none"/>
        </w:rPr>
      </w:pPr>
      <w:r>
        <w:rPr>
          <w:rFonts w:hint="eastAsia" w:ascii="宋体" w:hAnsi="宋体"/>
          <w:b/>
          <w:color w:val="auto"/>
          <w:highlight w:val="none"/>
        </w:rPr>
        <w:t xml:space="preserve">第十四条 </w:t>
      </w:r>
      <w:r>
        <w:rPr>
          <w:rFonts w:hint="eastAsia" w:ascii="宋体" w:hAnsi="宋体"/>
          <w:b/>
          <w:color w:val="auto"/>
          <w:kern w:val="0"/>
          <w:highlight w:val="none"/>
        </w:rPr>
        <w:t>合同生效及其他</w:t>
      </w:r>
    </w:p>
    <w:p w14:paraId="5B82A90E">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1.合同经双方法定代表人或被授权代表签字并加盖单位公章后生效。</w:t>
      </w:r>
    </w:p>
    <w:p w14:paraId="3E9C73F3">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2.合同执行中涉及采购资金和采购内容修改或补充的，在法律允许的范围内，须签书面补充协议。</w:t>
      </w:r>
    </w:p>
    <w:p w14:paraId="13190068">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3.本合同未尽事宜，且双方未能事后协商达到一致的，以法律法规、交易惯例等进行推定和补足。</w:t>
      </w:r>
    </w:p>
    <w:p w14:paraId="41314210">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4.本同壹式陆份，具有同等法律效力，甲方执肆份，乙方执壹份，采购代理机构壹份。</w:t>
      </w:r>
    </w:p>
    <w:tbl>
      <w:tblPr>
        <w:tblStyle w:val="50"/>
        <w:tblW w:w="87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4360"/>
      </w:tblGrid>
      <w:tr w14:paraId="5DCA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360" w:type="dxa"/>
            <w:tcBorders>
              <w:top w:val="single" w:color="auto" w:sz="4" w:space="0"/>
              <w:left w:val="single" w:color="auto" w:sz="4" w:space="0"/>
              <w:bottom w:val="single" w:color="auto" w:sz="4" w:space="0"/>
              <w:right w:val="single" w:color="auto" w:sz="4" w:space="0"/>
            </w:tcBorders>
            <w:vAlign w:val="center"/>
          </w:tcPr>
          <w:p w14:paraId="19C04711">
            <w:pPr>
              <w:snapToGrid w:val="0"/>
              <w:spacing w:line="400" w:lineRule="atLeast"/>
              <w:rPr>
                <w:rFonts w:ascii="宋体" w:hAnsi="宋体"/>
                <w:color w:val="auto"/>
                <w:highlight w:val="none"/>
              </w:rPr>
            </w:pPr>
            <w:r>
              <w:rPr>
                <w:rFonts w:hint="eastAsia" w:ascii="宋体" w:hAnsi="宋体"/>
                <w:color w:val="auto"/>
                <w:highlight w:val="none"/>
              </w:rPr>
              <w:t xml:space="preserve">甲方（公章）： </w:t>
            </w:r>
          </w:p>
          <w:p w14:paraId="00731632">
            <w:pPr>
              <w:snapToGrid w:val="0"/>
              <w:spacing w:line="400" w:lineRule="atLeast"/>
              <w:rPr>
                <w:rFonts w:ascii="宋体" w:hAnsi="宋体"/>
                <w:color w:val="auto"/>
                <w:highlight w:val="none"/>
              </w:rPr>
            </w:pPr>
          </w:p>
          <w:p w14:paraId="5A27266C">
            <w:pPr>
              <w:snapToGrid w:val="0"/>
              <w:spacing w:line="400" w:lineRule="atLeast"/>
              <w:ind w:firstLine="945" w:firstLineChars="450"/>
              <w:jc w:val="right"/>
              <w:rPr>
                <w:rFonts w:ascii="宋体" w:hAnsi="宋体"/>
                <w:color w:val="auto"/>
                <w:highlight w:val="none"/>
              </w:rPr>
            </w:pPr>
            <w:r>
              <w:rPr>
                <w:rFonts w:hint="eastAsia" w:ascii="宋体" w:hAnsi="宋体"/>
                <w:color w:val="auto"/>
                <w:highlight w:val="none"/>
              </w:rPr>
              <w:t>年   月   日</w:t>
            </w:r>
          </w:p>
        </w:tc>
        <w:tc>
          <w:tcPr>
            <w:tcW w:w="4360" w:type="dxa"/>
            <w:tcBorders>
              <w:top w:val="single" w:color="auto" w:sz="4" w:space="0"/>
              <w:left w:val="nil"/>
              <w:bottom w:val="single" w:color="auto" w:sz="4" w:space="0"/>
              <w:right w:val="single" w:color="auto" w:sz="4" w:space="0"/>
            </w:tcBorders>
            <w:vAlign w:val="center"/>
          </w:tcPr>
          <w:p w14:paraId="2AF9E829">
            <w:pPr>
              <w:snapToGrid w:val="0"/>
              <w:spacing w:line="400" w:lineRule="atLeast"/>
              <w:rPr>
                <w:rFonts w:ascii="宋体" w:hAnsi="宋体"/>
                <w:color w:val="auto"/>
                <w:highlight w:val="none"/>
              </w:rPr>
            </w:pPr>
            <w:r>
              <w:rPr>
                <w:rFonts w:hint="eastAsia" w:ascii="宋体" w:hAnsi="宋体"/>
                <w:color w:val="auto"/>
                <w:highlight w:val="none"/>
              </w:rPr>
              <w:t>乙方（公章）：</w:t>
            </w:r>
          </w:p>
          <w:p w14:paraId="504C338D">
            <w:pPr>
              <w:snapToGrid w:val="0"/>
              <w:spacing w:line="400" w:lineRule="atLeast"/>
              <w:rPr>
                <w:rFonts w:ascii="宋体" w:hAnsi="宋体"/>
                <w:color w:val="auto"/>
                <w:highlight w:val="none"/>
              </w:rPr>
            </w:pPr>
          </w:p>
          <w:p w14:paraId="16628D14">
            <w:pPr>
              <w:snapToGrid w:val="0"/>
              <w:spacing w:line="400" w:lineRule="atLeast"/>
              <w:jc w:val="right"/>
              <w:rPr>
                <w:rFonts w:ascii="宋体" w:hAnsi="宋体"/>
                <w:color w:val="auto"/>
                <w:highlight w:val="none"/>
              </w:rPr>
            </w:pPr>
            <w:r>
              <w:rPr>
                <w:rFonts w:hint="eastAsia" w:ascii="宋体" w:hAnsi="宋体"/>
                <w:color w:val="auto"/>
                <w:highlight w:val="none"/>
              </w:rPr>
              <w:t xml:space="preserve"> 年   月   日</w:t>
            </w:r>
          </w:p>
        </w:tc>
      </w:tr>
      <w:tr w14:paraId="2170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4F91495D">
            <w:pPr>
              <w:snapToGrid w:val="0"/>
              <w:spacing w:line="400" w:lineRule="atLeast"/>
              <w:rPr>
                <w:rFonts w:ascii="宋体" w:hAnsi="宋体"/>
                <w:color w:val="auto"/>
                <w:highlight w:val="none"/>
              </w:rPr>
            </w:pPr>
            <w:r>
              <w:rPr>
                <w:rFonts w:hint="eastAsia" w:ascii="宋体" w:hAnsi="宋体"/>
                <w:color w:val="auto"/>
                <w:highlight w:val="none"/>
              </w:rPr>
              <w:t xml:space="preserve">单位地址： </w:t>
            </w:r>
          </w:p>
        </w:tc>
        <w:tc>
          <w:tcPr>
            <w:tcW w:w="4360" w:type="dxa"/>
            <w:tcBorders>
              <w:top w:val="single" w:color="auto" w:sz="4" w:space="0"/>
              <w:left w:val="nil"/>
              <w:bottom w:val="single" w:color="auto" w:sz="4" w:space="0"/>
              <w:right w:val="single" w:color="auto" w:sz="4" w:space="0"/>
            </w:tcBorders>
            <w:vAlign w:val="center"/>
          </w:tcPr>
          <w:p w14:paraId="13B853B9">
            <w:pPr>
              <w:snapToGrid w:val="0"/>
              <w:spacing w:line="400" w:lineRule="atLeast"/>
              <w:rPr>
                <w:rFonts w:ascii="宋体" w:hAnsi="宋体"/>
                <w:color w:val="auto"/>
                <w:highlight w:val="none"/>
              </w:rPr>
            </w:pPr>
            <w:r>
              <w:rPr>
                <w:rFonts w:hint="eastAsia" w:ascii="宋体" w:hAnsi="宋体"/>
                <w:color w:val="auto"/>
                <w:highlight w:val="none"/>
              </w:rPr>
              <w:t>单位地址：</w:t>
            </w:r>
          </w:p>
        </w:tc>
      </w:tr>
      <w:tr w14:paraId="4828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77AA8910">
            <w:pPr>
              <w:snapToGrid w:val="0"/>
              <w:spacing w:line="400" w:lineRule="atLeast"/>
              <w:rPr>
                <w:rFonts w:ascii="宋体" w:hAnsi="宋体"/>
                <w:color w:val="auto"/>
                <w:highlight w:val="none"/>
              </w:rPr>
            </w:pPr>
            <w:r>
              <w:rPr>
                <w:rFonts w:hint="eastAsia" w:ascii="宋体" w:hAnsi="宋体"/>
                <w:color w:val="auto"/>
                <w:highlight w:val="none"/>
              </w:rPr>
              <w:t>法定代表人：</w:t>
            </w:r>
          </w:p>
        </w:tc>
        <w:tc>
          <w:tcPr>
            <w:tcW w:w="4360" w:type="dxa"/>
            <w:tcBorders>
              <w:top w:val="single" w:color="auto" w:sz="4" w:space="0"/>
              <w:left w:val="nil"/>
              <w:bottom w:val="single" w:color="auto" w:sz="4" w:space="0"/>
              <w:right w:val="single" w:color="auto" w:sz="4" w:space="0"/>
            </w:tcBorders>
            <w:vAlign w:val="center"/>
          </w:tcPr>
          <w:p w14:paraId="64591283">
            <w:pPr>
              <w:snapToGrid w:val="0"/>
              <w:spacing w:line="400" w:lineRule="atLeast"/>
              <w:rPr>
                <w:rFonts w:ascii="宋体" w:hAnsi="宋体"/>
                <w:color w:val="auto"/>
                <w:highlight w:val="none"/>
              </w:rPr>
            </w:pPr>
            <w:r>
              <w:rPr>
                <w:rFonts w:hint="eastAsia" w:ascii="宋体" w:hAnsi="宋体"/>
                <w:color w:val="auto"/>
                <w:highlight w:val="none"/>
              </w:rPr>
              <w:t>法定代表人：</w:t>
            </w:r>
          </w:p>
        </w:tc>
      </w:tr>
      <w:tr w14:paraId="387B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44A404C5">
            <w:pPr>
              <w:snapToGrid w:val="0"/>
              <w:spacing w:line="400" w:lineRule="atLeast"/>
              <w:rPr>
                <w:rFonts w:ascii="宋体" w:hAnsi="宋体"/>
                <w:color w:val="auto"/>
                <w:highlight w:val="none"/>
              </w:rPr>
            </w:pPr>
            <w:r>
              <w:rPr>
                <w:rFonts w:hint="eastAsia" w:ascii="宋体" w:hAnsi="宋体"/>
                <w:color w:val="auto"/>
                <w:highlight w:val="none"/>
              </w:rPr>
              <w:t>委托代理人：</w:t>
            </w:r>
          </w:p>
        </w:tc>
        <w:tc>
          <w:tcPr>
            <w:tcW w:w="4360" w:type="dxa"/>
            <w:tcBorders>
              <w:top w:val="single" w:color="auto" w:sz="4" w:space="0"/>
              <w:left w:val="nil"/>
              <w:bottom w:val="single" w:color="auto" w:sz="4" w:space="0"/>
              <w:right w:val="single" w:color="auto" w:sz="4" w:space="0"/>
            </w:tcBorders>
            <w:vAlign w:val="center"/>
          </w:tcPr>
          <w:p w14:paraId="6357C05F">
            <w:pPr>
              <w:snapToGrid w:val="0"/>
              <w:spacing w:line="400" w:lineRule="atLeast"/>
              <w:rPr>
                <w:rFonts w:ascii="宋体" w:hAnsi="宋体"/>
                <w:color w:val="auto"/>
                <w:highlight w:val="none"/>
              </w:rPr>
            </w:pPr>
            <w:r>
              <w:rPr>
                <w:rFonts w:hint="eastAsia" w:ascii="宋体" w:hAnsi="宋体"/>
                <w:color w:val="auto"/>
                <w:highlight w:val="none"/>
              </w:rPr>
              <w:t>委托代理人</w:t>
            </w:r>
          </w:p>
        </w:tc>
      </w:tr>
      <w:tr w14:paraId="5E81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0598414E">
            <w:pPr>
              <w:snapToGrid w:val="0"/>
              <w:spacing w:line="400" w:lineRule="atLeast"/>
              <w:rPr>
                <w:rFonts w:ascii="宋体" w:hAnsi="宋体"/>
                <w:color w:val="auto"/>
                <w:highlight w:val="none"/>
              </w:rPr>
            </w:pPr>
            <w:r>
              <w:rPr>
                <w:rFonts w:hint="eastAsia" w:ascii="宋体" w:hAnsi="宋体"/>
                <w:color w:val="auto"/>
                <w:highlight w:val="none"/>
              </w:rPr>
              <w:t>电话：</w:t>
            </w:r>
          </w:p>
        </w:tc>
        <w:tc>
          <w:tcPr>
            <w:tcW w:w="4360" w:type="dxa"/>
            <w:tcBorders>
              <w:top w:val="single" w:color="auto" w:sz="4" w:space="0"/>
              <w:left w:val="nil"/>
              <w:bottom w:val="single" w:color="auto" w:sz="4" w:space="0"/>
              <w:right w:val="single" w:color="auto" w:sz="4" w:space="0"/>
            </w:tcBorders>
            <w:vAlign w:val="center"/>
          </w:tcPr>
          <w:p w14:paraId="3D0E0921">
            <w:pPr>
              <w:snapToGrid w:val="0"/>
              <w:spacing w:line="400" w:lineRule="atLeast"/>
              <w:rPr>
                <w:rFonts w:ascii="宋体" w:hAnsi="宋体"/>
                <w:color w:val="auto"/>
                <w:highlight w:val="none"/>
              </w:rPr>
            </w:pPr>
            <w:r>
              <w:rPr>
                <w:rFonts w:hint="eastAsia" w:ascii="宋体" w:hAnsi="宋体"/>
                <w:color w:val="auto"/>
                <w:highlight w:val="none"/>
              </w:rPr>
              <w:t>电话：</w:t>
            </w:r>
          </w:p>
        </w:tc>
      </w:tr>
      <w:tr w14:paraId="7CD4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1824AA0D">
            <w:pPr>
              <w:snapToGrid w:val="0"/>
              <w:spacing w:line="400" w:lineRule="atLeast"/>
              <w:rPr>
                <w:rFonts w:ascii="宋体" w:hAnsi="宋体"/>
                <w:color w:val="auto"/>
                <w:highlight w:val="none"/>
              </w:rPr>
            </w:pPr>
            <w:r>
              <w:rPr>
                <w:rFonts w:hint="eastAsia" w:ascii="宋体" w:hAnsi="宋体"/>
                <w:color w:val="auto"/>
                <w:highlight w:val="none"/>
              </w:rPr>
              <w:t>电子邮箱：</w:t>
            </w:r>
          </w:p>
        </w:tc>
        <w:tc>
          <w:tcPr>
            <w:tcW w:w="4360" w:type="dxa"/>
            <w:tcBorders>
              <w:top w:val="single" w:color="auto" w:sz="4" w:space="0"/>
              <w:left w:val="nil"/>
              <w:bottom w:val="single" w:color="auto" w:sz="4" w:space="0"/>
              <w:right w:val="single" w:color="auto" w:sz="4" w:space="0"/>
            </w:tcBorders>
            <w:vAlign w:val="center"/>
          </w:tcPr>
          <w:p w14:paraId="519C862B">
            <w:pPr>
              <w:snapToGrid w:val="0"/>
              <w:spacing w:line="400" w:lineRule="atLeast"/>
              <w:rPr>
                <w:rFonts w:ascii="宋体" w:hAnsi="宋体"/>
                <w:color w:val="auto"/>
                <w:highlight w:val="none"/>
              </w:rPr>
            </w:pPr>
            <w:r>
              <w:rPr>
                <w:rFonts w:hint="eastAsia" w:ascii="宋体" w:hAnsi="宋体"/>
                <w:color w:val="auto"/>
                <w:highlight w:val="none"/>
              </w:rPr>
              <w:t>电子邮箱：</w:t>
            </w:r>
          </w:p>
        </w:tc>
      </w:tr>
      <w:tr w14:paraId="7225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6DA2782E">
            <w:pPr>
              <w:snapToGrid w:val="0"/>
              <w:spacing w:line="400" w:lineRule="atLeast"/>
              <w:rPr>
                <w:rFonts w:ascii="宋体" w:hAnsi="宋体"/>
                <w:color w:val="auto"/>
                <w:highlight w:val="none"/>
              </w:rPr>
            </w:pPr>
            <w:r>
              <w:rPr>
                <w:rFonts w:hint="eastAsia" w:ascii="宋体" w:hAnsi="宋体"/>
                <w:color w:val="auto"/>
                <w:highlight w:val="none"/>
              </w:rPr>
              <w:t xml:space="preserve">开户银行： </w:t>
            </w:r>
          </w:p>
        </w:tc>
        <w:tc>
          <w:tcPr>
            <w:tcW w:w="4360" w:type="dxa"/>
            <w:tcBorders>
              <w:top w:val="single" w:color="auto" w:sz="4" w:space="0"/>
              <w:left w:val="nil"/>
              <w:bottom w:val="single" w:color="auto" w:sz="4" w:space="0"/>
              <w:right w:val="single" w:color="auto" w:sz="4" w:space="0"/>
            </w:tcBorders>
            <w:vAlign w:val="center"/>
          </w:tcPr>
          <w:p w14:paraId="0CE96DC8">
            <w:pPr>
              <w:snapToGrid w:val="0"/>
              <w:spacing w:line="400" w:lineRule="atLeast"/>
              <w:rPr>
                <w:rFonts w:ascii="宋体" w:hAnsi="宋体"/>
                <w:color w:val="auto"/>
                <w:highlight w:val="none"/>
              </w:rPr>
            </w:pPr>
            <w:r>
              <w:rPr>
                <w:rFonts w:hint="eastAsia" w:ascii="宋体" w:hAnsi="宋体"/>
                <w:color w:val="auto"/>
                <w:highlight w:val="none"/>
              </w:rPr>
              <w:t>开户银行：</w:t>
            </w:r>
          </w:p>
        </w:tc>
      </w:tr>
      <w:tr w14:paraId="66D7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1B69B48F">
            <w:pPr>
              <w:snapToGrid w:val="0"/>
              <w:spacing w:line="400" w:lineRule="atLeast"/>
              <w:rPr>
                <w:rFonts w:ascii="宋体" w:hAnsi="宋体"/>
                <w:color w:val="auto"/>
                <w:highlight w:val="none"/>
              </w:rPr>
            </w:pPr>
            <w:r>
              <w:rPr>
                <w:rFonts w:hint="eastAsia" w:ascii="宋体" w:hAnsi="宋体"/>
                <w:color w:val="auto"/>
                <w:highlight w:val="none"/>
              </w:rPr>
              <w:t>账号：</w:t>
            </w:r>
          </w:p>
        </w:tc>
        <w:tc>
          <w:tcPr>
            <w:tcW w:w="4360" w:type="dxa"/>
            <w:tcBorders>
              <w:top w:val="single" w:color="auto" w:sz="4" w:space="0"/>
              <w:left w:val="nil"/>
              <w:bottom w:val="single" w:color="auto" w:sz="4" w:space="0"/>
              <w:right w:val="single" w:color="auto" w:sz="4" w:space="0"/>
            </w:tcBorders>
            <w:vAlign w:val="center"/>
          </w:tcPr>
          <w:p w14:paraId="41409D1A">
            <w:pPr>
              <w:snapToGrid w:val="0"/>
              <w:spacing w:line="400" w:lineRule="atLeast"/>
              <w:rPr>
                <w:rFonts w:ascii="宋体" w:hAnsi="宋体"/>
                <w:color w:val="auto"/>
                <w:highlight w:val="none"/>
              </w:rPr>
            </w:pPr>
            <w:r>
              <w:rPr>
                <w:rFonts w:hint="eastAsia" w:ascii="宋体" w:hAnsi="宋体"/>
                <w:color w:val="auto"/>
                <w:highlight w:val="none"/>
              </w:rPr>
              <w:t>账号：</w:t>
            </w:r>
          </w:p>
        </w:tc>
      </w:tr>
      <w:tr w14:paraId="2659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003C7DE9">
            <w:pPr>
              <w:snapToGrid w:val="0"/>
              <w:spacing w:line="400" w:lineRule="atLeast"/>
              <w:rPr>
                <w:rFonts w:ascii="宋体" w:hAnsi="宋体"/>
                <w:color w:val="auto"/>
                <w:highlight w:val="none"/>
              </w:rPr>
            </w:pPr>
            <w:r>
              <w:rPr>
                <w:rFonts w:hint="eastAsia" w:ascii="宋体" w:hAnsi="宋体"/>
                <w:color w:val="auto"/>
                <w:highlight w:val="none"/>
              </w:rPr>
              <w:t>纳税人识别号或统一社会信用代码：</w:t>
            </w:r>
          </w:p>
        </w:tc>
        <w:tc>
          <w:tcPr>
            <w:tcW w:w="4360" w:type="dxa"/>
            <w:tcBorders>
              <w:top w:val="single" w:color="auto" w:sz="4" w:space="0"/>
              <w:left w:val="nil"/>
              <w:bottom w:val="single" w:color="auto" w:sz="4" w:space="0"/>
              <w:right w:val="single" w:color="auto" w:sz="4" w:space="0"/>
            </w:tcBorders>
            <w:vAlign w:val="center"/>
          </w:tcPr>
          <w:p w14:paraId="2BB6FECE">
            <w:pPr>
              <w:snapToGrid w:val="0"/>
              <w:spacing w:line="400" w:lineRule="atLeast"/>
              <w:rPr>
                <w:rFonts w:ascii="宋体" w:hAnsi="宋体"/>
                <w:color w:val="auto"/>
                <w:highlight w:val="none"/>
              </w:rPr>
            </w:pPr>
            <w:r>
              <w:rPr>
                <w:rFonts w:hint="eastAsia" w:ascii="宋体" w:hAnsi="宋体"/>
                <w:color w:val="auto"/>
                <w:highlight w:val="none"/>
              </w:rPr>
              <w:t>纳税人识别号或统一社会信用代码：</w:t>
            </w:r>
          </w:p>
        </w:tc>
      </w:tr>
      <w:tr w14:paraId="2510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63642BBC">
            <w:pPr>
              <w:snapToGrid w:val="0"/>
              <w:spacing w:line="400" w:lineRule="atLeast"/>
              <w:rPr>
                <w:rFonts w:ascii="宋体" w:hAnsi="宋体"/>
                <w:color w:val="auto"/>
                <w:highlight w:val="none"/>
              </w:rPr>
            </w:pPr>
            <w:r>
              <w:rPr>
                <w:rFonts w:hint="eastAsia" w:ascii="宋体" w:hAnsi="宋体"/>
                <w:color w:val="auto"/>
                <w:highlight w:val="none"/>
              </w:rPr>
              <w:t>邮政编码：</w:t>
            </w:r>
          </w:p>
        </w:tc>
        <w:tc>
          <w:tcPr>
            <w:tcW w:w="4360" w:type="dxa"/>
            <w:tcBorders>
              <w:top w:val="single" w:color="auto" w:sz="4" w:space="0"/>
              <w:left w:val="nil"/>
              <w:bottom w:val="single" w:color="auto" w:sz="4" w:space="0"/>
              <w:right w:val="single" w:color="auto" w:sz="4" w:space="0"/>
            </w:tcBorders>
            <w:vAlign w:val="center"/>
          </w:tcPr>
          <w:p w14:paraId="14EEB7DF">
            <w:pPr>
              <w:snapToGrid w:val="0"/>
              <w:spacing w:line="400" w:lineRule="atLeast"/>
              <w:rPr>
                <w:rFonts w:ascii="宋体" w:hAnsi="宋体"/>
                <w:color w:val="auto"/>
                <w:highlight w:val="none"/>
              </w:rPr>
            </w:pPr>
            <w:r>
              <w:rPr>
                <w:rFonts w:hint="eastAsia" w:ascii="宋体" w:hAnsi="宋体"/>
                <w:color w:val="auto"/>
                <w:highlight w:val="none"/>
              </w:rPr>
              <w:t>邮政编码：</w:t>
            </w:r>
          </w:p>
        </w:tc>
      </w:tr>
    </w:tbl>
    <w:p w14:paraId="09FF7506">
      <w:pPr>
        <w:spacing w:before="4" w:line="360" w:lineRule="exact"/>
        <w:ind w:firstLine="420" w:firstLineChars="200"/>
        <w:rPr>
          <w:rFonts w:ascii="宋体" w:hAnsi="宋体"/>
          <w:color w:val="auto"/>
          <w:kern w:val="0"/>
          <w:szCs w:val="21"/>
          <w:highlight w:val="none"/>
        </w:rPr>
      </w:pPr>
    </w:p>
    <w:p w14:paraId="28391FFA">
      <w:pPr>
        <w:snapToGrid w:val="0"/>
        <w:spacing w:line="360" w:lineRule="auto"/>
        <w:jc w:val="center"/>
        <w:rPr>
          <w:rFonts w:ascii="宋体" w:hAnsi="宋体"/>
          <w:bCs/>
          <w:color w:val="auto"/>
          <w:sz w:val="32"/>
          <w:szCs w:val="32"/>
          <w:highlight w:val="none"/>
        </w:rPr>
      </w:pPr>
      <w:r>
        <w:rPr>
          <w:rFonts w:ascii="宋体" w:hAnsi="宋体"/>
          <w:color w:val="auto"/>
          <w:kern w:val="0"/>
          <w:szCs w:val="21"/>
          <w:highlight w:val="none"/>
        </w:rPr>
        <w:br w:type="page"/>
      </w:r>
    </w:p>
    <w:bookmarkEnd w:id="147"/>
    <w:p w14:paraId="328C8786">
      <w:pPr>
        <w:snapToGrid w:val="0"/>
        <w:jc w:val="center"/>
        <w:rPr>
          <w:rFonts w:ascii="宋体" w:hAnsi="宋体"/>
          <w:bCs/>
          <w:color w:val="auto"/>
          <w:sz w:val="32"/>
          <w:szCs w:val="32"/>
          <w:highlight w:val="none"/>
        </w:rPr>
      </w:pPr>
    </w:p>
    <w:p w14:paraId="5437E104">
      <w:pPr>
        <w:pStyle w:val="3"/>
        <w:rPr>
          <w:rFonts w:ascii="宋体" w:hAnsi="宋体"/>
          <w:bCs/>
          <w:color w:val="auto"/>
          <w:sz w:val="32"/>
          <w:szCs w:val="32"/>
          <w:highlight w:val="none"/>
        </w:rPr>
      </w:pPr>
    </w:p>
    <w:p w14:paraId="7EC03F46">
      <w:pPr>
        <w:rPr>
          <w:rFonts w:ascii="宋体" w:hAnsi="宋体"/>
          <w:color w:val="auto"/>
          <w:highlight w:val="none"/>
        </w:rPr>
      </w:pPr>
    </w:p>
    <w:p w14:paraId="3048650E">
      <w:pPr>
        <w:snapToGrid w:val="0"/>
        <w:jc w:val="center"/>
        <w:rPr>
          <w:rFonts w:ascii="宋体" w:hAnsi="宋体"/>
          <w:bCs/>
          <w:color w:val="auto"/>
          <w:sz w:val="32"/>
          <w:szCs w:val="32"/>
          <w:highlight w:val="none"/>
        </w:rPr>
      </w:pPr>
    </w:p>
    <w:p w14:paraId="6459910B">
      <w:pPr>
        <w:snapToGrid w:val="0"/>
        <w:jc w:val="center"/>
        <w:rPr>
          <w:rFonts w:ascii="宋体" w:hAnsi="宋体"/>
          <w:bCs/>
          <w:color w:val="auto"/>
          <w:sz w:val="32"/>
          <w:szCs w:val="32"/>
          <w:highlight w:val="none"/>
        </w:rPr>
      </w:pPr>
    </w:p>
    <w:p w14:paraId="5B1E2D5C">
      <w:pPr>
        <w:snapToGrid w:val="0"/>
        <w:jc w:val="center"/>
        <w:rPr>
          <w:rFonts w:ascii="宋体" w:hAnsi="宋体"/>
          <w:bCs/>
          <w:color w:val="auto"/>
          <w:sz w:val="32"/>
          <w:szCs w:val="32"/>
          <w:highlight w:val="none"/>
        </w:rPr>
      </w:pPr>
    </w:p>
    <w:p w14:paraId="2FBEFE83">
      <w:pPr>
        <w:snapToGrid w:val="0"/>
        <w:jc w:val="center"/>
        <w:rPr>
          <w:rFonts w:ascii="宋体" w:hAnsi="宋体"/>
          <w:bCs/>
          <w:color w:val="auto"/>
          <w:sz w:val="32"/>
          <w:szCs w:val="32"/>
          <w:highlight w:val="none"/>
        </w:rPr>
      </w:pPr>
    </w:p>
    <w:p w14:paraId="4D36A422">
      <w:pPr>
        <w:snapToGrid w:val="0"/>
        <w:jc w:val="center"/>
        <w:rPr>
          <w:rFonts w:ascii="宋体" w:hAnsi="宋体"/>
          <w:bCs/>
          <w:color w:val="auto"/>
          <w:sz w:val="32"/>
          <w:szCs w:val="32"/>
          <w:highlight w:val="none"/>
        </w:rPr>
      </w:pPr>
    </w:p>
    <w:p w14:paraId="44437D33">
      <w:pPr>
        <w:snapToGrid w:val="0"/>
        <w:jc w:val="center"/>
        <w:rPr>
          <w:rFonts w:ascii="宋体" w:hAnsi="宋体"/>
          <w:bCs/>
          <w:color w:val="auto"/>
          <w:sz w:val="32"/>
          <w:szCs w:val="32"/>
          <w:highlight w:val="none"/>
        </w:rPr>
      </w:pPr>
    </w:p>
    <w:p w14:paraId="6C26E6FD">
      <w:pPr>
        <w:pStyle w:val="5"/>
        <w:jc w:val="center"/>
        <w:rPr>
          <w:rFonts w:ascii="宋体" w:hAnsi="宋体"/>
          <w:color w:val="auto"/>
          <w:highlight w:val="none"/>
        </w:rPr>
      </w:pPr>
      <w:bookmarkStart w:id="148" w:name="_Toc74320805"/>
    </w:p>
    <w:p w14:paraId="2B787378">
      <w:pPr>
        <w:pStyle w:val="5"/>
        <w:jc w:val="center"/>
        <w:rPr>
          <w:rFonts w:ascii="宋体" w:hAnsi="宋体"/>
          <w:color w:val="auto"/>
          <w:highlight w:val="none"/>
        </w:rPr>
      </w:pPr>
      <w:r>
        <w:rPr>
          <w:rFonts w:hint="eastAsia" w:ascii="宋体" w:hAnsi="宋体"/>
          <w:color w:val="auto"/>
          <w:highlight w:val="none"/>
        </w:rPr>
        <w:t>第六章　投标文件格式</w:t>
      </w:r>
      <w:bookmarkEnd w:id="148"/>
    </w:p>
    <w:p w14:paraId="46F28A4D">
      <w:pPr>
        <w:snapToGrid w:val="0"/>
        <w:spacing w:before="50" w:after="50"/>
        <w:outlineLvl w:val="1"/>
        <w:rPr>
          <w:rFonts w:ascii="宋体" w:hAnsi="宋体"/>
          <w:color w:val="auto"/>
          <w:sz w:val="32"/>
          <w:szCs w:val="20"/>
          <w:highlight w:val="none"/>
        </w:rPr>
      </w:pPr>
    </w:p>
    <w:p w14:paraId="61B07F4B">
      <w:pPr>
        <w:snapToGrid w:val="0"/>
        <w:spacing w:before="50" w:after="50"/>
        <w:outlineLvl w:val="1"/>
        <w:rPr>
          <w:rFonts w:ascii="宋体" w:hAnsi="宋体"/>
          <w:color w:val="auto"/>
          <w:sz w:val="32"/>
          <w:szCs w:val="20"/>
          <w:highlight w:val="none"/>
        </w:rPr>
      </w:pPr>
    </w:p>
    <w:p w14:paraId="4B10397C">
      <w:pPr>
        <w:snapToGrid w:val="0"/>
        <w:spacing w:before="50" w:after="50"/>
        <w:outlineLvl w:val="1"/>
        <w:rPr>
          <w:rFonts w:ascii="宋体" w:hAnsi="宋体"/>
          <w:color w:val="auto"/>
          <w:sz w:val="32"/>
          <w:szCs w:val="20"/>
          <w:highlight w:val="none"/>
        </w:rPr>
      </w:pPr>
    </w:p>
    <w:p w14:paraId="487A30B3">
      <w:pPr>
        <w:snapToGrid w:val="0"/>
        <w:spacing w:before="50" w:after="50"/>
        <w:outlineLvl w:val="1"/>
        <w:rPr>
          <w:rFonts w:ascii="宋体" w:hAnsi="宋体"/>
          <w:color w:val="auto"/>
          <w:sz w:val="32"/>
          <w:szCs w:val="20"/>
          <w:highlight w:val="none"/>
        </w:rPr>
      </w:pPr>
    </w:p>
    <w:p w14:paraId="12AB1706">
      <w:pPr>
        <w:pStyle w:val="45"/>
        <w:ind w:firstLine="643"/>
        <w:rPr>
          <w:rFonts w:hAnsi="宋体"/>
          <w:color w:val="auto"/>
          <w:sz w:val="32"/>
          <w:highlight w:val="none"/>
        </w:rPr>
      </w:pPr>
    </w:p>
    <w:p w14:paraId="489F0C68">
      <w:pPr>
        <w:rPr>
          <w:rFonts w:ascii="宋体" w:hAnsi="宋体"/>
          <w:color w:val="auto"/>
          <w:sz w:val="32"/>
          <w:szCs w:val="20"/>
          <w:highlight w:val="none"/>
        </w:rPr>
      </w:pPr>
    </w:p>
    <w:p w14:paraId="18ABD9B6">
      <w:pPr>
        <w:pStyle w:val="45"/>
        <w:ind w:firstLine="422"/>
        <w:rPr>
          <w:rFonts w:hAnsi="宋体"/>
          <w:color w:val="auto"/>
          <w:highlight w:val="none"/>
        </w:rPr>
      </w:pPr>
    </w:p>
    <w:p w14:paraId="13CBCC20">
      <w:pPr>
        <w:snapToGrid w:val="0"/>
        <w:spacing w:before="50" w:after="50"/>
        <w:outlineLvl w:val="1"/>
        <w:rPr>
          <w:rFonts w:ascii="宋体" w:hAnsi="宋体"/>
          <w:color w:val="auto"/>
          <w:sz w:val="32"/>
          <w:szCs w:val="20"/>
          <w:highlight w:val="none"/>
        </w:rPr>
      </w:pPr>
    </w:p>
    <w:p w14:paraId="0C629329">
      <w:pPr>
        <w:snapToGrid w:val="0"/>
        <w:spacing w:before="50" w:after="50"/>
        <w:outlineLvl w:val="1"/>
        <w:rPr>
          <w:rFonts w:ascii="宋体" w:hAnsi="宋体"/>
          <w:color w:val="auto"/>
          <w:sz w:val="32"/>
          <w:szCs w:val="20"/>
          <w:highlight w:val="none"/>
        </w:rPr>
      </w:pPr>
    </w:p>
    <w:p w14:paraId="3CB453D4">
      <w:pPr>
        <w:snapToGrid w:val="0"/>
        <w:spacing w:before="50" w:after="50"/>
        <w:outlineLvl w:val="1"/>
        <w:rPr>
          <w:rFonts w:ascii="宋体" w:hAnsi="宋体"/>
          <w:color w:val="auto"/>
          <w:sz w:val="32"/>
          <w:szCs w:val="20"/>
          <w:highlight w:val="none"/>
        </w:rPr>
      </w:pPr>
    </w:p>
    <w:p w14:paraId="6D00ADE0">
      <w:pPr>
        <w:snapToGrid w:val="0"/>
        <w:spacing w:before="50" w:after="50"/>
        <w:outlineLvl w:val="1"/>
        <w:rPr>
          <w:rFonts w:ascii="宋体" w:hAnsi="宋体"/>
          <w:color w:val="auto"/>
          <w:sz w:val="32"/>
          <w:szCs w:val="20"/>
          <w:highlight w:val="none"/>
        </w:rPr>
      </w:pPr>
    </w:p>
    <w:p w14:paraId="4E1B5D9D">
      <w:pPr>
        <w:snapToGrid w:val="0"/>
        <w:spacing w:before="50" w:after="50"/>
        <w:outlineLvl w:val="1"/>
        <w:rPr>
          <w:rFonts w:ascii="宋体" w:hAnsi="宋体"/>
          <w:color w:val="auto"/>
          <w:sz w:val="32"/>
          <w:szCs w:val="20"/>
          <w:highlight w:val="none"/>
        </w:rPr>
      </w:pPr>
    </w:p>
    <w:p w14:paraId="0AE337F7">
      <w:pPr>
        <w:snapToGrid w:val="0"/>
        <w:spacing w:before="50" w:after="50"/>
        <w:outlineLvl w:val="1"/>
        <w:rPr>
          <w:rFonts w:ascii="宋体" w:hAnsi="宋体"/>
          <w:color w:val="auto"/>
          <w:sz w:val="32"/>
          <w:szCs w:val="20"/>
          <w:highlight w:val="none"/>
        </w:rPr>
      </w:pPr>
    </w:p>
    <w:p w14:paraId="49E6AFBC">
      <w:pPr>
        <w:snapToGrid w:val="0"/>
        <w:spacing w:before="120" w:beforeLines="50" w:after="50"/>
        <w:jc w:val="center"/>
        <w:outlineLvl w:val="1"/>
        <w:rPr>
          <w:rFonts w:ascii="宋体" w:hAnsi="宋体"/>
          <w:color w:val="auto"/>
          <w:highlight w:val="none"/>
        </w:rPr>
      </w:pPr>
    </w:p>
    <w:p w14:paraId="31F09132">
      <w:pPr>
        <w:rPr>
          <w:rFonts w:ascii="宋体" w:hAnsi="宋体"/>
          <w:b/>
          <w:color w:val="auto"/>
          <w:sz w:val="28"/>
          <w:szCs w:val="28"/>
          <w:highlight w:val="none"/>
        </w:rPr>
      </w:pPr>
      <w:bookmarkStart w:id="149" w:name="_Toc19686836"/>
      <w:bookmarkStart w:id="150" w:name="_Toc254970557"/>
      <w:bookmarkStart w:id="151" w:name="_Toc254970698"/>
    </w:p>
    <w:p w14:paraId="74FEF318">
      <w:pPr>
        <w:rPr>
          <w:rFonts w:ascii="宋体" w:hAnsi="宋体"/>
          <w:b/>
          <w:color w:val="auto"/>
          <w:sz w:val="28"/>
          <w:szCs w:val="28"/>
          <w:highlight w:val="none"/>
        </w:rPr>
      </w:pPr>
    </w:p>
    <w:p w14:paraId="73C0C7F1">
      <w:pPr>
        <w:rPr>
          <w:rFonts w:ascii="宋体" w:hAnsi="宋体"/>
          <w:b/>
          <w:color w:val="auto"/>
          <w:sz w:val="28"/>
          <w:szCs w:val="28"/>
          <w:highlight w:val="none"/>
        </w:rPr>
      </w:pPr>
      <w:r>
        <w:rPr>
          <w:rFonts w:hint="eastAsia" w:ascii="宋体" w:hAnsi="宋体"/>
          <w:b/>
          <w:color w:val="auto"/>
          <w:sz w:val="28"/>
          <w:szCs w:val="28"/>
          <w:highlight w:val="none"/>
        </w:rPr>
        <w:t>一、报价文件格式</w:t>
      </w:r>
      <w:bookmarkEnd w:id="149"/>
    </w:p>
    <w:p w14:paraId="45C35BDE">
      <w:pPr>
        <w:snapToGrid w:val="0"/>
        <w:spacing w:before="120" w:beforeLines="50" w:after="50" w:line="360" w:lineRule="auto"/>
        <w:ind w:left="142"/>
        <w:jc w:val="left"/>
        <w:rPr>
          <w:rFonts w:ascii="宋体" w:hAnsi="宋体"/>
          <w:b/>
          <w:color w:val="auto"/>
          <w:sz w:val="24"/>
          <w:highlight w:val="none"/>
        </w:rPr>
      </w:pPr>
      <w:r>
        <w:rPr>
          <w:rFonts w:hint="eastAsia" w:ascii="宋体" w:hAnsi="宋体"/>
          <w:b/>
          <w:color w:val="auto"/>
          <w:sz w:val="24"/>
          <w:highlight w:val="none"/>
        </w:rPr>
        <w:t xml:space="preserve">1. 报价文件封面格式： </w:t>
      </w:r>
    </w:p>
    <w:p w14:paraId="72A81C1A">
      <w:pPr>
        <w:snapToGrid w:val="0"/>
        <w:spacing w:before="120" w:beforeLines="50" w:after="50" w:line="360" w:lineRule="auto"/>
        <w:ind w:left="142"/>
        <w:jc w:val="center"/>
        <w:rPr>
          <w:rFonts w:ascii="宋体" w:hAnsi="宋体"/>
          <w:bCs/>
          <w:color w:val="auto"/>
          <w:sz w:val="48"/>
          <w:szCs w:val="48"/>
          <w:highlight w:val="none"/>
        </w:rPr>
      </w:pPr>
      <w:r>
        <w:rPr>
          <w:rFonts w:hint="eastAsia" w:ascii="宋体" w:hAnsi="宋体"/>
          <w:bCs/>
          <w:color w:val="auto"/>
          <w:sz w:val="48"/>
          <w:szCs w:val="48"/>
          <w:highlight w:val="none"/>
        </w:rPr>
        <w:t>电子投标文件</w:t>
      </w:r>
    </w:p>
    <w:p w14:paraId="364B0416">
      <w:pPr>
        <w:snapToGrid w:val="0"/>
        <w:spacing w:before="120" w:beforeLines="50" w:after="50" w:line="400" w:lineRule="exact"/>
        <w:jc w:val="left"/>
        <w:rPr>
          <w:rFonts w:ascii="宋体" w:hAnsi="宋体"/>
          <w:bCs/>
          <w:color w:val="auto"/>
          <w:sz w:val="48"/>
          <w:szCs w:val="48"/>
          <w:highlight w:val="none"/>
        </w:rPr>
      </w:pPr>
    </w:p>
    <w:p w14:paraId="76E89688">
      <w:pPr>
        <w:snapToGrid w:val="0"/>
        <w:spacing w:before="120" w:beforeLines="50" w:after="50" w:line="400" w:lineRule="exact"/>
        <w:jc w:val="center"/>
        <w:rPr>
          <w:rFonts w:ascii="宋体" w:hAnsi="宋体" w:cs="方正小标宋简体"/>
          <w:color w:val="auto"/>
          <w:sz w:val="44"/>
          <w:szCs w:val="44"/>
          <w:highlight w:val="none"/>
        </w:rPr>
      </w:pPr>
      <w:r>
        <w:rPr>
          <w:rFonts w:hint="eastAsia" w:ascii="宋体" w:hAnsi="宋体" w:cs="方正小标宋简体"/>
          <w:color w:val="auto"/>
          <w:sz w:val="44"/>
          <w:szCs w:val="44"/>
          <w:highlight w:val="none"/>
        </w:rPr>
        <w:t>报  价  文  件</w:t>
      </w:r>
    </w:p>
    <w:p w14:paraId="53E3D7BD">
      <w:pPr>
        <w:snapToGrid w:val="0"/>
        <w:spacing w:before="120" w:beforeLines="50" w:after="50" w:line="400" w:lineRule="exact"/>
        <w:rPr>
          <w:rFonts w:ascii="宋体" w:hAnsi="宋体"/>
          <w:bCs/>
          <w:color w:val="auto"/>
          <w:sz w:val="24"/>
          <w:szCs w:val="20"/>
          <w:highlight w:val="none"/>
        </w:rPr>
      </w:pPr>
    </w:p>
    <w:p w14:paraId="66D86312">
      <w:pPr>
        <w:snapToGrid w:val="0"/>
        <w:spacing w:before="120" w:beforeLines="50" w:after="50" w:line="400" w:lineRule="exact"/>
        <w:rPr>
          <w:rFonts w:ascii="宋体" w:hAnsi="宋体"/>
          <w:bCs/>
          <w:color w:val="auto"/>
          <w:sz w:val="24"/>
          <w:szCs w:val="20"/>
          <w:highlight w:val="none"/>
        </w:rPr>
      </w:pPr>
    </w:p>
    <w:p w14:paraId="165D9B95">
      <w:pPr>
        <w:snapToGrid w:val="0"/>
        <w:spacing w:before="120" w:beforeLines="50" w:after="50" w:line="400" w:lineRule="exact"/>
        <w:rPr>
          <w:rFonts w:ascii="宋体" w:hAnsi="宋体"/>
          <w:bCs/>
          <w:color w:val="auto"/>
          <w:sz w:val="24"/>
          <w:szCs w:val="20"/>
          <w:highlight w:val="none"/>
        </w:rPr>
      </w:pPr>
    </w:p>
    <w:p w14:paraId="20266824">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7C75EBB7">
      <w:pPr>
        <w:snapToGrid w:val="0"/>
        <w:spacing w:before="120" w:beforeLines="50" w:after="50" w:line="400" w:lineRule="exact"/>
        <w:ind w:firstLine="360" w:firstLineChars="150"/>
        <w:rPr>
          <w:rFonts w:ascii="宋体" w:hAnsi="宋体"/>
          <w:bCs/>
          <w:color w:val="auto"/>
          <w:sz w:val="24"/>
          <w:highlight w:val="none"/>
        </w:rPr>
      </w:pPr>
    </w:p>
    <w:p w14:paraId="52E0C5FD">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14185427">
      <w:pPr>
        <w:snapToGrid w:val="0"/>
        <w:spacing w:before="120" w:beforeLines="50" w:after="50" w:line="400" w:lineRule="exact"/>
        <w:ind w:firstLine="360" w:firstLineChars="150"/>
        <w:rPr>
          <w:rFonts w:ascii="宋体" w:hAnsi="宋体"/>
          <w:bCs/>
          <w:color w:val="auto"/>
          <w:sz w:val="24"/>
          <w:highlight w:val="none"/>
        </w:rPr>
      </w:pPr>
    </w:p>
    <w:p w14:paraId="04611C76">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所投分标：无，则写“/”</w:t>
      </w:r>
    </w:p>
    <w:p w14:paraId="1C8D8880">
      <w:pPr>
        <w:snapToGrid w:val="0"/>
        <w:spacing w:before="120" w:beforeLines="50" w:after="50" w:line="400" w:lineRule="exact"/>
        <w:ind w:firstLine="360" w:firstLineChars="150"/>
        <w:rPr>
          <w:rFonts w:ascii="宋体" w:hAnsi="宋体"/>
          <w:bCs/>
          <w:color w:val="auto"/>
          <w:sz w:val="24"/>
          <w:highlight w:val="none"/>
        </w:rPr>
      </w:pPr>
    </w:p>
    <w:p w14:paraId="7CBA61BA">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15440480">
      <w:pPr>
        <w:snapToGrid w:val="0"/>
        <w:spacing w:before="120" w:beforeLines="50" w:after="50" w:line="400" w:lineRule="exact"/>
        <w:ind w:firstLine="360" w:firstLineChars="150"/>
        <w:rPr>
          <w:rFonts w:ascii="宋体" w:hAnsi="宋体"/>
          <w:bCs/>
          <w:color w:val="auto"/>
          <w:sz w:val="24"/>
          <w:highlight w:val="none"/>
        </w:rPr>
      </w:pPr>
    </w:p>
    <w:p w14:paraId="6D6D5393">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162C2DA2">
      <w:pPr>
        <w:pStyle w:val="10"/>
        <w:snapToGrid w:val="0"/>
        <w:spacing w:before="50" w:after="50" w:line="400" w:lineRule="exact"/>
        <w:ind w:firstLine="960" w:firstLineChars="400"/>
        <w:rPr>
          <w:rFonts w:ascii="宋体" w:hAnsi="宋体"/>
          <w:bCs/>
          <w:color w:val="auto"/>
          <w:sz w:val="24"/>
          <w:szCs w:val="24"/>
          <w:highlight w:val="none"/>
        </w:rPr>
      </w:pPr>
    </w:p>
    <w:p w14:paraId="37DF63D0">
      <w:pPr>
        <w:snapToGrid w:val="0"/>
        <w:spacing w:before="120" w:beforeLines="50" w:after="50" w:line="400" w:lineRule="exact"/>
        <w:rPr>
          <w:rFonts w:ascii="宋体" w:hAnsi="宋体"/>
          <w:color w:val="auto"/>
          <w:sz w:val="30"/>
          <w:szCs w:val="20"/>
          <w:highlight w:val="none"/>
        </w:rPr>
      </w:pPr>
      <w:r>
        <w:rPr>
          <w:rFonts w:hint="eastAsia" w:ascii="宋体" w:hAnsi="宋体"/>
          <w:color w:val="auto"/>
          <w:sz w:val="24"/>
          <w:highlight w:val="none"/>
        </w:rPr>
        <w:t xml:space="preserve">                                   年  月  日</w:t>
      </w:r>
    </w:p>
    <w:p w14:paraId="1004F2BD">
      <w:pPr>
        <w:snapToGrid w:val="0"/>
        <w:spacing w:before="120" w:beforeLines="50" w:after="50" w:line="360" w:lineRule="auto"/>
        <w:jc w:val="left"/>
        <w:rPr>
          <w:rFonts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28E0FDC6">
      <w:pPr>
        <w:snapToGrid w:val="0"/>
        <w:spacing w:before="50" w:after="12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5A7468D9">
      <w:pPr>
        <w:snapToGrid w:val="0"/>
        <w:spacing w:before="120" w:beforeLines="50" w:after="50"/>
        <w:rPr>
          <w:rFonts w:ascii="宋体" w:hAnsi="宋体"/>
          <w:b/>
          <w:color w:val="auto"/>
          <w:sz w:val="24"/>
          <w:highlight w:val="none"/>
        </w:rPr>
      </w:pPr>
    </w:p>
    <w:p w14:paraId="3EE73775">
      <w:pPr>
        <w:snapToGrid w:val="0"/>
        <w:spacing w:before="120" w:beforeLines="50" w:after="50"/>
        <w:rPr>
          <w:rFonts w:ascii="宋体" w:hAnsi="宋体"/>
          <w:b/>
          <w:color w:val="auto"/>
          <w:sz w:val="24"/>
          <w:highlight w:val="none"/>
        </w:rPr>
      </w:pPr>
    </w:p>
    <w:p w14:paraId="47474930">
      <w:pPr>
        <w:snapToGrid w:val="0"/>
        <w:spacing w:before="120" w:beforeLines="50" w:after="50"/>
        <w:rPr>
          <w:rFonts w:ascii="宋体" w:hAnsi="宋体"/>
          <w:b/>
          <w:color w:val="auto"/>
          <w:sz w:val="24"/>
          <w:highlight w:val="none"/>
        </w:rPr>
      </w:pPr>
    </w:p>
    <w:p w14:paraId="14CF8D6F">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79718A60">
      <w:pPr>
        <w:snapToGrid w:val="0"/>
        <w:spacing w:before="120" w:beforeLines="50" w:after="50" w:line="360" w:lineRule="auto"/>
        <w:jc w:val="center"/>
        <w:rPr>
          <w:rFonts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投 标 函</w:t>
      </w:r>
    </w:p>
    <w:p w14:paraId="13D687C7">
      <w:pPr>
        <w:snapToGrid w:val="0"/>
        <w:spacing w:before="120" w:beforeLines="50" w:after="50" w:line="320" w:lineRule="exact"/>
        <w:jc w:val="center"/>
        <w:rPr>
          <w:rFonts w:ascii="宋体" w:hAnsi="宋体"/>
          <w:b/>
          <w:color w:val="auto"/>
          <w:sz w:val="32"/>
          <w:szCs w:val="32"/>
          <w:highlight w:val="none"/>
        </w:rPr>
      </w:pPr>
    </w:p>
    <w:p w14:paraId="28239D5C">
      <w:pPr>
        <w:spacing w:line="360" w:lineRule="exact"/>
        <w:contextualSpacing/>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采购人名称</w:t>
      </w:r>
    </w:p>
    <w:p w14:paraId="79589182">
      <w:pPr>
        <w:spacing w:line="360" w:lineRule="exact"/>
        <w:ind w:firstLine="480"/>
        <w:contextualSpacing/>
        <w:rPr>
          <w:rFonts w:ascii="宋体" w:hAnsi="宋体"/>
          <w:color w:val="auto"/>
          <w:szCs w:val="21"/>
          <w:highlight w:val="none"/>
        </w:rPr>
      </w:pPr>
      <w:r>
        <w:rPr>
          <w:rFonts w:hint="eastAsia" w:ascii="宋体" w:hAnsi="宋体"/>
          <w:color w:val="auto"/>
          <w:szCs w:val="21"/>
          <w:highlight w:val="none"/>
        </w:rPr>
        <w:t>根据贵方</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）的招标公告，签字代表______</w:t>
      </w:r>
      <w:r>
        <w:rPr>
          <w:rFonts w:hint="eastAsia" w:ascii="宋体" w:hAnsi="宋体"/>
          <w:color w:val="auto"/>
          <w:szCs w:val="21"/>
          <w:highlight w:val="none"/>
          <w:u w:val="single"/>
        </w:rPr>
        <w:t xml:space="preserve">     </w:t>
      </w:r>
      <w:r>
        <w:rPr>
          <w:rFonts w:hint="eastAsia" w:ascii="宋体" w:hAnsi="宋体"/>
          <w:color w:val="auto"/>
          <w:szCs w:val="21"/>
          <w:highlight w:val="none"/>
        </w:rPr>
        <w:t>（姓名）经正式授权并代表投标人</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（投标人名称）提交投标文件。</w:t>
      </w:r>
    </w:p>
    <w:p w14:paraId="55D3262E">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据此函，我方宣布同意如下：</w:t>
      </w:r>
    </w:p>
    <w:p w14:paraId="206C9997">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014CF865">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2.我方在投标之前已经完全理解并接受招标文件的各项规定和要求，对招标文件的合理性、合法性不再有异议。</w:t>
      </w:r>
    </w:p>
    <w:p w14:paraId="00E1F98F">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3.本投标有效期自投标截止之日起</w:t>
      </w:r>
      <w:r>
        <w:rPr>
          <w:rFonts w:ascii="宋体" w:hAnsi="宋体"/>
          <w:color w:val="auto"/>
          <w:szCs w:val="21"/>
          <w:highlight w:val="none"/>
          <w:u w:val="single"/>
        </w:rPr>
        <w:t xml:space="preserve">    </w:t>
      </w:r>
      <w:r>
        <w:rPr>
          <w:rFonts w:hint="eastAsia" w:ascii="宋体" w:hAnsi="宋体"/>
          <w:color w:val="auto"/>
          <w:szCs w:val="21"/>
          <w:highlight w:val="none"/>
        </w:rPr>
        <w:t>日。</w:t>
      </w:r>
    </w:p>
    <w:p w14:paraId="782FA5A2">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4.如中标，本投标文件至本项目合同履行完毕止均保持有效，我方将按“招标文件”及政府采购法律、法规的规定履行合同责任和义务。</w:t>
      </w:r>
    </w:p>
    <w:p w14:paraId="56F23684">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5.我方同意按照贵方要求提供与投标有关的一切数据或者资料。</w:t>
      </w:r>
    </w:p>
    <w:p w14:paraId="25223E72">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6.我方向贵方提交的所有投标文件、资料都是准确的和真实的。</w:t>
      </w:r>
    </w:p>
    <w:p w14:paraId="2DC262BF">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7.以上事项如有虚假或者隐瞒，我方愿意承担一切后果，并不再寻求任何旨在减轻或者免除法律责任的辩解。</w:t>
      </w:r>
    </w:p>
    <w:p w14:paraId="1553103B">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8.根据</w:t>
      </w:r>
      <w:r>
        <w:rPr>
          <w:rFonts w:ascii="宋体" w:hAnsi="宋体"/>
          <w:color w:val="auto"/>
          <w:szCs w:val="21"/>
          <w:highlight w:val="none"/>
        </w:rPr>
        <w:t>《中华人民共和国政府采购法实施条例》第五十条要求对政府采购合同进行公告</w:t>
      </w:r>
      <w:r>
        <w:rPr>
          <w:rFonts w:hint="eastAsia" w:ascii="宋体" w:hAnsi="宋体"/>
          <w:color w:val="auto"/>
          <w:szCs w:val="21"/>
          <w:highlight w:val="none"/>
        </w:rPr>
        <w:t>，</w:t>
      </w:r>
      <w:r>
        <w:rPr>
          <w:rFonts w:ascii="宋体" w:hAnsi="宋体"/>
          <w:color w:val="auto"/>
          <w:szCs w:val="21"/>
          <w:highlight w:val="none"/>
        </w:rPr>
        <w:t>但政府采购合同中涉及国家秘密、商业秘密的内容除外。</w:t>
      </w:r>
      <w:r>
        <w:rPr>
          <w:rFonts w:hint="eastAsia" w:ascii="宋体" w:hAnsi="宋体"/>
          <w:color w:val="auto"/>
          <w:szCs w:val="21"/>
          <w:highlight w:val="none"/>
        </w:rPr>
        <w:t>我方就对本次投标文件进行注明如下：（两项内容中必须选择一项）</w:t>
      </w:r>
    </w:p>
    <w:p w14:paraId="2EA26EEB">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□我方本次投标文件</w:t>
      </w:r>
      <w:r>
        <w:rPr>
          <w:rFonts w:ascii="宋体" w:hAnsi="宋体" w:cs="宋体"/>
          <w:color w:val="auto"/>
          <w:kern w:val="0"/>
          <w:szCs w:val="21"/>
          <w:highlight w:val="none"/>
        </w:rPr>
        <w:t>内容中</w:t>
      </w:r>
      <w:r>
        <w:rPr>
          <w:rFonts w:hint="eastAsia" w:ascii="宋体" w:hAnsi="宋体"/>
          <w:color w:val="auto"/>
          <w:szCs w:val="21"/>
          <w:highlight w:val="none"/>
        </w:rPr>
        <w:t>未</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w:t>
      </w:r>
    </w:p>
    <w:p w14:paraId="2885EBCA">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□我方本次投标文件</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的</w:t>
      </w:r>
      <w:r>
        <w:rPr>
          <w:rFonts w:ascii="宋体" w:hAnsi="宋体" w:cs="宋体"/>
          <w:color w:val="auto"/>
          <w:kern w:val="0"/>
          <w:szCs w:val="21"/>
          <w:highlight w:val="none"/>
        </w:rPr>
        <w:t>内容</w:t>
      </w:r>
      <w:r>
        <w:rPr>
          <w:rFonts w:hint="eastAsia" w:ascii="宋体" w:hAnsi="宋体" w:cs="宋体"/>
          <w:color w:val="auto"/>
          <w:kern w:val="0"/>
          <w:szCs w:val="21"/>
          <w:highlight w:val="none"/>
        </w:rPr>
        <w:t>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4B363A0">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9.与本投标有关的一切正式往来信函请寄：</w:t>
      </w:r>
    </w:p>
    <w:p w14:paraId="6101B04A">
      <w:pPr>
        <w:spacing w:line="360" w:lineRule="exact"/>
        <w:ind w:firstLine="420" w:firstLineChars="200"/>
        <w:contextualSpacing/>
        <w:rPr>
          <w:rFonts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邮编：</w:t>
      </w:r>
      <w:r>
        <w:rPr>
          <w:rFonts w:hint="eastAsia" w:ascii="宋体" w:hAnsi="宋体"/>
          <w:color w:val="auto"/>
          <w:szCs w:val="21"/>
          <w:highlight w:val="none"/>
          <w:u w:val="single"/>
        </w:rPr>
        <w:t xml:space="preserve">            </w:t>
      </w:r>
    </w:p>
    <w:p w14:paraId="18D4E572">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传真：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邮箱：</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3A7302BB">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14:paraId="693CA23D">
      <w:pPr>
        <w:spacing w:line="36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银行帐号：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628E3FD">
      <w:pPr>
        <w:spacing w:line="36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 xml:space="preserve">法定代表人（或负责人）或者委托代理人（签字或电子签名）:___________ </w:t>
      </w:r>
    </w:p>
    <w:p w14:paraId="79BF34FA">
      <w:pPr>
        <w:pStyle w:val="27"/>
        <w:spacing w:line="360" w:lineRule="exact"/>
        <w:contextualSpacing/>
        <w:jc w:val="center"/>
        <w:rPr>
          <w:rFonts w:hAnsi="宋体"/>
          <w:color w:val="auto"/>
          <w:sz w:val="21"/>
          <w:highlight w:val="none"/>
        </w:rPr>
      </w:pPr>
      <w:r>
        <w:rPr>
          <w:rFonts w:hint="eastAsia" w:hAnsi="宋体"/>
          <w:color w:val="auto"/>
          <w:sz w:val="21"/>
          <w:highlight w:val="none"/>
        </w:rPr>
        <w:t xml:space="preserve"> </w:t>
      </w:r>
      <w:r>
        <w:rPr>
          <w:rFonts w:hAnsi="宋体"/>
          <w:color w:val="auto"/>
          <w:sz w:val="21"/>
          <w:highlight w:val="none"/>
        </w:rPr>
        <w:t xml:space="preserve">                                   </w:t>
      </w:r>
    </w:p>
    <w:p w14:paraId="37605361">
      <w:pPr>
        <w:pStyle w:val="27"/>
        <w:spacing w:line="360" w:lineRule="exact"/>
        <w:contextualSpacing/>
        <w:jc w:val="center"/>
        <w:rPr>
          <w:rFonts w:hAnsi="宋体"/>
          <w:color w:val="auto"/>
          <w:sz w:val="21"/>
          <w:highlight w:val="none"/>
        </w:rPr>
      </w:pPr>
    </w:p>
    <w:p w14:paraId="056B941F">
      <w:pPr>
        <w:pStyle w:val="27"/>
        <w:spacing w:line="360" w:lineRule="exact"/>
        <w:contextualSpacing/>
        <w:jc w:val="center"/>
        <w:rPr>
          <w:rFonts w:hAnsi="宋体"/>
          <w:color w:val="auto"/>
          <w:sz w:val="21"/>
          <w:highlight w:val="none"/>
          <w:u w:val="single"/>
        </w:rPr>
      </w:pPr>
      <w:r>
        <w:rPr>
          <w:rFonts w:hint="eastAsia" w:hAnsi="宋体"/>
          <w:color w:val="auto"/>
          <w:sz w:val="21"/>
          <w:highlight w:val="none"/>
        </w:rPr>
        <w:t>投标人名称（电子签章）：</w:t>
      </w:r>
    </w:p>
    <w:p w14:paraId="0B1E219D">
      <w:pPr>
        <w:pStyle w:val="27"/>
        <w:spacing w:line="360" w:lineRule="exact"/>
        <w:contextualSpacing/>
        <w:rPr>
          <w:rFonts w:hAnsi="宋体"/>
          <w:color w:val="auto"/>
          <w:sz w:val="21"/>
          <w:highlight w:val="none"/>
        </w:rPr>
      </w:pPr>
      <w:r>
        <w:rPr>
          <w:rFonts w:hint="eastAsia" w:hAnsi="宋体"/>
          <w:color w:val="auto"/>
          <w:sz w:val="21"/>
          <w:highlight w:val="none"/>
        </w:rPr>
        <w:t xml:space="preserve">                                                </w:t>
      </w:r>
      <w:r>
        <w:rPr>
          <w:rFonts w:hint="eastAsia" w:hAnsi="宋体"/>
          <w:color w:val="auto"/>
          <w:sz w:val="21"/>
          <w:highlight w:val="none"/>
          <w:u w:val="single"/>
        </w:rPr>
        <w:t xml:space="preserve">      </w:t>
      </w:r>
      <w:r>
        <w:rPr>
          <w:rFonts w:hint="eastAsia" w:hAnsi="宋体"/>
          <w:color w:val="auto"/>
          <w:sz w:val="21"/>
          <w:highlight w:val="none"/>
        </w:rPr>
        <w:t>年</w:t>
      </w:r>
      <w:r>
        <w:rPr>
          <w:rFonts w:hint="eastAsia" w:hAnsi="宋体"/>
          <w:color w:val="auto"/>
          <w:sz w:val="21"/>
          <w:highlight w:val="none"/>
          <w:u w:val="single"/>
        </w:rPr>
        <w:t xml:space="preserve">    </w:t>
      </w:r>
      <w:r>
        <w:rPr>
          <w:rFonts w:hint="eastAsia" w:hAnsi="宋体"/>
          <w:color w:val="auto"/>
          <w:sz w:val="21"/>
          <w:highlight w:val="none"/>
        </w:rPr>
        <w:t>月</w:t>
      </w:r>
      <w:r>
        <w:rPr>
          <w:rFonts w:hint="eastAsia" w:hAnsi="宋体"/>
          <w:color w:val="auto"/>
          <w:sz w:val="21"/>
          <w:highlight w:val="none"/>
          <w:u w:val="single"/>
        </w:rPr>
        <w:t xml:space="preserve">     </w:t>
      </w:r>
      <w:r>
        <w:rPr>
          <w:rFonts w:hint="eastAsia" w:hAnsi="宋体"/>
          <w:color w:val="auto"/>
          <w:sz w:val="21"/>
          <w:highlight w:val="none"/>
        </w:rPr>
        <w:t>日</w:t>
      </w:r>
    </w:p>
    <w:p w14:paraId="1DFC27EE">
      <w:pPr>
        <w:snapToGrid w:val="0"/>
        <w:spacing w:before="120" w:beforeLines="50" w:after="50"/>
        <w:jc w:val="left"/>
        <w:rPr>
          <w:rFonts w:ascii="宋体" w:hAnsi="宋体"/>
          <w:b/>
          <w:color w:val="auto"/>
          <w:sz w:val="24"/>
          <w:szCs w:val="20"/>
          <w:highlight w:val="none"/>
        </w:rPr>
      </w:pPr>
      <w:r>
        <w:rPr>
          <w:rFonts w:ascii="宋体" w:hAnsi="宋体"/>
          <w:color w:val="auto"/>
          <w:highlight w:val="none"/>
          <w:u w:val="single"/>
        </w:rPr>
        <w:br w:type="page"/>
      </w:r>
      <w:r>
        <w:rPr>
          <w:rFonts w:hint="eastAsia" w:ascii="宋体" w:hAnsi="宋体"/>
          <w:b/>
          <w:color w:val="auto"/>
          <w:sz w:val="24"/>
          <w:highlight w:val="none"/>
        </w:rPr>
        <w:t>4. 开标一览表（</w:t>
      </w:r>
      <w:r>
        <w:rPr>
          <w:rFonts w:hint="eastAsia" w:ascii="宋体" w:hAnsi="宋体"/>
          <w:b/>
          <w:color w:val="auto"/>
          <w:sz w:val="24"/>
          <w:highlight w:val="none"/>
          <w:lang w:eastAsia="zh-CN"/>
        </w:rPr>
        <w:t>服务</w:t>
      </w:r>
      <w:r>
        <w:rPr>
          <w:rFonts w:hint="eastAsia" w:ascii="宋体" w:hAnsi="宋体"/>
          <w:b/>
          <w:color w:val="auto"/>
          <w:sz w:val="24"/>
          <w:highlight w:val="none"/>
        </w:rPr>
        <w:t>类格式）</w:t>
      </w:r>
    </w:p>
    <w:p w14:paraId="6D948929">
      <w:pPr>
        <w:snapToGrid w:val="0"/>
        <w:spacing w:before="50" w:after="50"/>
        <w:jc w:val="center"/>
        <w:rPr>
          <w:rFonts w:ascii="宋体" w:hAnsi="宋体"/>
          <w:b/>
          <w:color w:val="auto"/>
          <w:sz w:val="30"/>
          <w:highlight w:val="none"/>
        </w:rPr>
      </w:pPr>
      <w:r>
        <w:rPr>
          <w:rFonts w:hint="eastAsia" w:ascii="宋体" w:hAnsi="宋体"/>
          <w:b/>
          <w:color w:val="auto"/>
          <w:sz w:val="30"/>
          <w:highlight w:val="none"/>
        </w:rPr>
        <w:t>开标一览表</w:t>
      </w:r>
    </w:p>
    <w:p w14:paraId="765ED078">
      <w:pPr>
        <w:snapToGrid w:val="0"/>
        <w:spacing w:before="50" w:after="50"/>
        <w:jc w:val="center"/>
        <w:rPr>
          <w:rFonts w:ascii="宋体" w:hAnsi="宋体"/>
          <w:b/>
          <w:color w:val="auto"/>
          <w:sz w:val="30"/>
          <w:szCs w:val="20"/>
          <w:highlight w:val="none"/>
        </w:rPr>
      </w:pPr>
    </w:p>
    <w:p w14:paraId="2E707F0F">
      <w:pPr>
        <w:snapToGrid w:val="0"/>
        <w:spacing w:before="50" w:after="50" w:line="360" w:lineRule="auto"/>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分标：</w:t>
      </w:r>
      <w:r>
        <w:rPr>
          <w:rFonts w:hint="eastAsia" w:ascii="宋体" w:hAnsi="宋体"/>
          <w:color w:val="auto"/>
          <w:szCs w:val="21"/>
          <w:highlight w:val="none"/>
          <w:u w:val="single"/>
        </w:rPr>
        <w:t xml:space="preserve">           </w:t>
      </w:r>
    </w:p>
    <w:p w14:paraId="2CC738D8">
      <w:pPr>
        <w:snapToGrid w:val="0"/>
        <w:spacing w:before="50" w:after="50" w:line="360" w:lineRule="auto"/>
        <w:rPr>
          <w:rFonts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单位：元</w:t>
      </w:r>
    </w:p>
    <w:tbl>
      <w:tblPr>
        <w:tblStyle w:val="5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285"/>
        <w:gridCol w:w="1570"/>
        <w:gridCol w:w="4132"/>
      </w:tblGrid>
      <w:tr w14:paraId="5247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33" w:type="dxa"/>
            <w:vAlign w:val="center"/>
          </w:tcPr>
          <w:p w14:paraId="71DC7A80">
            <w:pPr>
              <w:snapToGrid w:val="0"/>
              <w:spacing w:before="50" w:after="50" w:line="400" w:lineRule="exact"/>
              <w:jc w:val="center"/>
              <w:rPr>
                <w:rFonts w:ascii="宋体" w:hAnsi="宋体"/>
                <w:b/>
                <w:color w:val="auto"/>
                <w:szCs w:val="21"/>
                <w:highlight w:val="none"/>
              </w:rPr>
            </w:pPr>
            <w:r>
              <w:rPr>
                <w:rFonts w:hint="eastAsia" w:ascii="宋体" w:hAnsi="宋体"/>
                <w:b/>
                <w:color w:val="auto"/>
                <w:szCs w:val="21"/>
                <w:highlight w:val="none"/>
              </w:rPr>
              <w:t>项号</w:t>
            </w:r>
          </w:p>
        </w:tc>
        <w:tc>
          <w:tcPr>
            <w:tcW w:w="2285" w:type="dxa"/>
            <w:vAlign w:val="center"/>
          </w:tcPr>
          <w:p w14:paraId="32547E02">
            <w:pPr>
              <w:snapToGrid w:val="0"/>
              <w:spacing w:before="50" w:after="50" w:line="400" w:lineRule="exact"/>
              <w:jc w:val="center"/>
              <w:rPr>
                <w:rFonts w:ascii="宋体" w:hAnsi="宋体"/>
                <w:b/>
                <w:color w:val="auto"/>
                <w:szCs w:val="21"/>
                <w:highlight w:val="none"/>
              </w:rPr>
            </w:pPr>
            <w:r>
              <w:rPr>
                <w:rFonts w:hint="eastAsia" w:ascii="宋体" w:hAnsi="宋体"/>
                <w:b/>
                <w:color w:val="auto"/>
                <w:szCs w:val="21"/>
                <w:highlight w:val="none"/>
              </w:rPr>
              <w:t>标的名称</w:t>
            </w:r>
          </w:p>
        </w:tc>
        <w:tc>
          <w:tcPr>
            <w:tcW w:w="1570" w:type="dxa"/>
            <w:vAlign w:val="center"/>
          </w:tcPr>
          <w:p w14:paraId="6E72CFCA">
            <w:pPr>
              <w:snapToGrid w:val="0"/>
              <w:spacing w:before="50" w:after="50" w:line="400" w:lineRule="exact"/>
              <w:jc w:val="center"/>
              <w:rPr>
                <w:rFonts w:ascii="宋体" w:hAnsi="宋体"/>
                <w:b/>
                <w:color w:val="auto"/>
                <w:szCs w:val="21"/>
                <w:highlight w:val="none"/>
              </w:rPr>
            </w:pPr>
            <w:r>
              <w:rPr>
                <w:rFonts w:hint="eastAsia" w:ascii="宋体" w:hAnsi="宋体"/>
                <w:b/>
                <w:color w:val="auto"/>
                <w:szCs w:val="21"/>
                <w:highlight w:val="none"/>
              </w:rPr>
              <w:t>数量</w:t>
            </w:r>
          </w:p>
        </w:tc>
        <w:tc>
          <w:tcPr>
            <w:tcW w:w="4132" w:type="dxa"/>
            <w:vAlign w:val="center"/>
          </w:tcPr>
          <w:p w14:paraId="459A7A02">
            <w:pPr>
              <w:snapToGrid w:val="0"/>
              <w:spacing w:before="50" w:after="50" w:line="400" w:lineRule="exact"/>
              <w:jc w:val="center"/>
              <w:rPr>
                <w:rFonts w:ascii="宋体" w:hAnsi="宋体"/>
                <w:b/>
                <w:color w:val="auto"/>
                <w:szCs w:val="21"/>
                <w:highlight w:val="none"/>
              </w:rPr>
            </w:pPr>
            <w:r>
              <w:rPr>
                <w:rFonts w:hint="eastAsia" w:ascii="宋体" w:hAnsi="宋体"/>
                <w:b/>
                <w:color w:val="auto"/>
                <w:szCs w:val="21"/>
                <w:highlight w:val="none"/>
              </w:rPr>
              <w:t>折扣率报价</w:t>
            </w:r>
          </w:p>
        </w:tc>
      </w:tr>
      <w:tr w14:paraId="5B2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733" w:type="dxa"/>
            <w:vAlign w:val="center"/>
          </w:tcPr>
          <w:p w14:paraId="1C4D9450">
            <w:pPr>
              <w:spacing w:line="400" w:lineRule="exact"/>
              <w:jc w:val="center"/>
              <w:rPr>
                <w:rFonts w:ascii="宋体" w:hAnsi="宋体"/>
                <w:color w:val="auto"/>
                <w:szCs w:val="21"/>
                <w:highlight w:val="none"/>
              </w:rPr>
            </w:pPr>
            <w:r>
              <w:rPr>
                <w:rFonts w:ascii="宋体" w:hAnsi="宋体"/>
                <w:color w:val="auto"/>
                <w:szCs w:val="21"/>
                <w:highlight w:val="none"/>
              </w:rPr>
              <w:t>1</w:t>
            </w:r>
          </w:p>
        </w:tc>
        <w:tc>
          <w:tcPr>
            <w:tcW w:w="2285" w:type="dxa"/>
            <w:vAlign w:val="center"/>
          </w:tcPr>
          <w:p w14:paraId="673F8E29">
            <w:pPr>
              <w:spacing w:line="400" w:lineRule="exact"/>
              <w:jc w:val="center"/>
              <w:rPr>
                <w:rFonts w:ascii="宋体" w:hAnsi="宋体"/>
                <w:color w:val="auto"/>
                <w:szCs w:val="21"/>
                <w:highlight w:val="none"/>
              </w:rPr>
            </w:pPr>
          </w:p>
        </w:tc>
        <w:tc>
          <w:tcPr>
            <w:tcW w:w="1570" w:type="dxa"/>
            <w:vAlign w:val="center"/>
          </w:tcPr>
          <w:p w14:paraId="0C3DB794">
            <w:pPr>
              <w:spacing w:line="400" w:lineRule="exact"/>
              <w:jc w:val="center"/>
              <w:rPr>
                <w:rFonts w:ascii="宋体" w:hAnsi="宋体"/>
                <w:color w:val="auto"/>
                <w:szCs w:val="21"/>
                <w:highlight w:val="none"/>
              </w:rPr>
            </w:pPr>
            <w:r>
              <w:rPr>
                <w:rFonts w:hint="eastAsia" w:ascii="宋体" w:hAnsi="宋体"/>
                <w:color w:val="auto"/>
                <w:szCs w:val="21"/>
                <w:highlight w:val="none"/>
              </w:rPr>
              <w:t>1批</w:t>
            </w:r>
          </w:p>
        </w:tc>
        <w:tc>
          <w:tcPr>
            <w:tcW w:w="4132" w:type="dxa"/>
            <w:vAlign w:val="center"/>
          </w:tcPr>
          <w:p w14:paraId="36B865D5">
            <w:pPr>
              <w:snapToGrid w:val="0"/>
              <w:spacing w:before="50" w:after="50" w:line="400" w:lineRule="exact"/>
              <w:rPr>
                <w:rFonts w:ascii="宋体" w:hAnsi="宋体"/>
                <w:color w:val="auto"/>
                <w:szCs w:val="21"/>
                <w:highlight w:val="none"/>
              </w:rPr>
            </w:pPr>
            <w:r>
              <w:rPr>
                <w:rFonts w:ascii="宋体" w:hAnsi="宋体" w:cs="Arial"/>
                <w:color w:val="auto"/>
                <w:szCs w:val="21"/>
                <w:highlight w:val="none"/>
                <w:shd w:val="clear" w:color="auto" w:fill="FFFFFF"/>
              </w:rPr>
              <w:t>折扣率：</w:t>
            </w:r>
            <w:r>
              <w:rPr>
                <w:rFonts w:ascii="宋体" w:hAnsi="宋体" w:cs="Arial"/>
                <w:color w:val="auto"/>
                <w:szCs w:val="21"/>
                <w:highlight w:val="none"/>
                <w:u w:val="single"/>
                <w:shd w:val="clear" w:color="auto" w:fill="FFFFFF"/>
              </w:rPr>
              <w:t xml:space="preserve">                </w:t>
            </w:r>
            <w:r>
              <w:rPr>
                <w:rFonts w:ascii="宋体" w:hAnsi="宋体" w:cs="Arial"/>
                <w:color w:val="auto"/>
                <w:szCs w:val="21"/>
                <w:highlight w:val="none"/>
                <w:shd w:val="clear" w:color="auto" w:fill="FFFFFF"/>
              </w:rPr>
              <w:t>%</w:t>
            </w:r>
          </w:p>
        </w:tc>
      </w:tr>
      <w:tr w14:paraId="0519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720" w:type="dxa"/>
            <w:gridSpan w:val="4"/>
            <w:vAlign w:val="center"/>
          </w:tcPr>
          <w:p w14:paraId="1425B190">
            <w:pPr>
              <w:spacing w:line="276" w:lineRule="auto"/>
              <w:rPr>
                <w:rFonts w:ascii="宋体" w:hAnsi="宋体" w:cs="Arial"/>
                <w:color w:val="auto"/>
                <w:szCs w:val="21"/>
                <w:highlight w:val="none"/>
                <w:shd w:val="clear" w:color="auto" w:fill="FFFFFF"/>
              </w:rPr>
            </w:pPr>
            <w:r>
              <w:rPr>
                <w:rFonts w:hint="eastAsia" w:ascii="宋体" w:hAnsi="宋体" w:cs="宋体"/>
                <w:color w:val="auto"/>
                <w:sz w:val="24"/>
                <w:highlight w:val="none"/>
              </w:rPr>
              <w:t>服务期：</w:t>
            </w:r>
          </w:p>
        </w:tc>
      </w:tr>
      <w:tr w14:paraId="0D0C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720" w:type="dxa"/>
            <w:gridSpan w:val="4"/>
            <w:vAlign w:val="center"/>
          </w:tcPr>
          <w:p w14:paraId="41203E8C">
            <w:pPr>
              <w:spacing w:line="276" w:lineRule="auto"/>
              <w:rPr>
                <w:rFonts w:ascii="宋体" w:hAnsi="宋体" w:cs="Arial"/>
                <w:color w:val="auto"/>
                <w:szCs w:val="21"/>
                <w:highlight w:val="none"/>
                <w:shd w:val="clear" w:color="auto" w:fill="FFFFFF"/>
              </w:rPr>
            </w:pPr>
            <w:r>
              <w:rPr>
                <w:rFonts w:hint="eastAsia" w:ascii="宋体" w:hAnsi="宋体" w:cs="宋体"/>
                <w:color w:val="auto"/>
                <w:sz w:val="24"/>
                <w:highlight w:val="none"/>
              </w:rPr>
              <w:t>交货地点：</w:t>
            </w:r>
          </w:p>
        </w:tc>
      </w:tr>
    </w:tbl>
    <w:p w14:paraId="2D5C7E12">
      <w:pPr>
        <w:snapToGrid w:val="0"/>
        <w:spacing w:line="360" w:lineRule="auto"/>
        <w:jc w:val="left"/>
        <w:rPr>
          <w:rFonts w:ascii="宋体" w:hAnsi="宋体"/>
          <w:color w:val="auto"/>
          <w:szCs w:val="21"/>
          <w:highlight w:val="none"/>
        </w:rPr>
      </w:pPr>
    </w:p>
    <w:p w14:paraId="505D56A6">
      <w:pPr>
        <w:snapToGrid w:val="0"/>
        <w:spacing w:line="360" w:lineRule="auto"/>
        <w:jc w:val="left"/>
        <w:rPr>
          <w:rFonts w:ascii="宋体" w:hAnsi="宋体"/>
          <w:color w:val="auto"/>
          <w:szCs w:val="21"/>
          <w:highlight w:val="none"/>
        </w:rPr>
      </w:pPr>
      <w:r>
        <w:rPr>
          <w:rFonts w:hint="eastAsia" w:ascii="宋体" w:hAnsi="宋体"/>
          <w:color w:val="auto"/>
          <w:szCs w:val="21"/>
          <w:highlight w:val="none"/>
        </w:rPr>
        <w:t xml:space="preserve">注: </w:t>
      </w:r>
    </w:p>
    <w:p w14:paraId="27D1FD8A">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1.投标人的开标一览表必须加盖投标人电子签章并由法定代表人（或负责人）</w:t>
      </w:r>
      <w:r>
        <w:rPr>
          <w:rFonts w:ascii="宋体" w:hAnsi="宋体"/>
          <w:color w:val="auto"/>
          <w:szCs w:val="21"/>
          <w:highlight w:val="none"/>
        </w:rPr>
        <w:t>或者委托代理人</w:t>
      </w:r>
      <w:r>
        <w:rPr>
          <w:rFonts w:hint="eastAsia" w:ascii="宋体" w:hAnsi="宋体"/>
          <w:color w:val="auto"/>
          <w:szCs w:val="21"/>
          <w:highlight w:val="none"/>
        </w:rPr>
        <w:t>（签字或电子签名），</w:t>
      </w:r>
      <w:r>
        <w:rPr>
          <w:rFonts w:hint="eastAsia" w:ascii="宋体" w:hAnsi="宋体"/>
          <w:b/>
          <w:color w:val="auto"/>
          <w:szCs w:val="21"/>
          <w:highlight w:val="none"/>
        </w:rPr>
        <w:t>否则其投标作无效标处理</w:t>
      </w:r>
      <w:r>
        <w:rPr>
          <w:rFonts w:hint="eastAsia" w:ascii="宋体" w:hAnsi="宋体"/>
          <w:color w:val="auto"/>
          <w:szCs w:val="21"/>
          <w:highlight w:val="none"/>
        </w:rPr>
        <w:t>。</w:t>
      </w:r>
    </w:p>
    <w:p w14:paraId="3DF86BCD">
      <w:pPr>
        <w:snapToGrid w:val="0"/>
        <w:spacing w:line="360" w:lineRule="auto"/>
        <w:ind w:firstLine="420" w:firstLineChars="200"/>
        <w:jc w:val="left"/>
        <w:rPr>
          <w:rFonts w:ascii="宋体" w:hAnsi="宋体"/>
          <w:b/>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报价一经涂改，应在涂改处加盖投标人公章或者由法定代表人（或负责人）或者委托代理人（签字或电子签名）或者盖章</w:t>
      </w:r>
      <w:r>
        <w:rPr>
          <w:rFonts w:hint="eastAsia" w:ascii="宋体" w:hAnsi="宋体"/>
          <w:b/>
          <w:color w:val="auto"/>
          <w:szCs w:val="21"/>
          <w:highlight w:val="none"/>
        </w:rPr>
        <w:t>，否则其投标作无效标处理。</w:t>
      </w:r>
    </w:p>
    <w:p w14:paraId="7E4C7B0D">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3.招标文件中列明采购专用耗材的，应按招标文件规定的耗材量或者按耗材的常规试用量提供报价。</w:t>
      </w:r>
    </w:p>
    <w:p w14:paraId="57198AEC">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4.如为联合体投标，“投标人名称”处必须列明联合体各方名称，并标注联合体牵头人名称，</w:t>
      </w:r>
      <w:r>
        <w:rPr>
          <w:rFonts w:hint="eastAsia" w:ascii="宋体" w:hAnsi="宋体"/>
          <w:b/>
          <w:color w:val="auto"/>
          <w:szCs w:val="21"/>
          <w:highlight w:val="none"/>
        </w:rPr>
        <w:t>否则其投标作无效标处理。</w:t>
      </w:r>
    </w:p>
    <w:p w14:paraId="09F35A7A">
      <w:pPr>
        <w:snapToGrid w:val="0"/>
        <w:spacing w:line="360" w:lineRule="auto"/>
        <w:ind w:firstLine="396" w:firstLineChars="200"/>
        <w:jc w:val="left"/>
        <w:rPr>
          <w:rFonts w:ascii="宋体" w:hAnsi="宋体"/>
          <w:color w:val="auto"/>
          <w:spacing w:val="-6"/>
          <w:szCs w:val="21"/>
          <w:highlight w:val="none"/>
        </w:rPr>
      </w:pPr>
      <w:r>
        <w:rPr>
          <w:rFonts w:hint="eastAsia" w:ascii="宋体" w:hAnsi="宋体"/>
          <w:color w:val="auto"/>
          <w:spacing w:val="-6"/>
          <w:szCs w:val="21"/>
          <w:highlight w:val="none"/>
        </w:rPr>
        <w:t>5.如为联合体投标，盖章处须加盖联合体牵头人电子签章，</w:t>
      </w:r>
      <w:r>
        <w:rPr>
          <w:rFonts w:hint="eastAsia" w:ascii="宋体" w:hAnsi="宋体"/>
          <w:b/>
          <w:color w:val="auto"/>
          <w:spacing w:val="-6"/>
          <w:szCs w:val="21"/>
          <w:highlight w:val="none"/>
        </w:rPr>
        <w:t>否则其投标作无效标处理。</w:t>
      </w:r>
    </w:p>
    <w:p w14:paraId="57E2AC85">
      <w:pPr>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6.如有多分标，按分标分别提供开标一览表，</w:t>
      </w:r>
      <w:r>
        <w:rPr>
          <w:rFonts w:hint="eastAsia" w:ascii="宋体" w:hAnsi="宋体"/>
          <w:b/>
          <w:color w:val="auto"/>
          <w:szCs w:val="21"/>
          <w:highlight w:val="none"/>
        </w:rPr>
        <w:t>否则投标无效。</w:t>
      </w:r>
    </w:p>
    <w:p w14:paraId="2E015EFB">
      <w:pPr>
        <w:pStyle w:val="2"/>
        <w:rPr>
          <w:rFonts w:ascii="宋体" w:hAnsi="宋体"/>
          <w:color w:val="auto"/>
          <w:sz w:val="21"/>
          <w:szCs w:val="21"/>
          <w:highlight w:val="none"/>
        </w:rPr>
      </w:pPr>
    </w:p>
    <w:p w14:paraId="05A595E9">
      <w:pPr>
        <w:snapToGrid w:val="0"/>
        <w:spacing w:line="360" w:lineRule="auto"/>
        <w:ind w:left="-2" w:leftChars="-1" w:right="-817" w:rightChars="-389"/>
        <w:rPr>
          <w:rFonts w:ascii="宋体" w:hAnsi="宋体"/>
          <w:color w:val="auto"/>
          <w:szCs w:val="21"/>
          <w:highlight w:val="none"/>
        </w:rPr>
      </w:pPr>
      <w:r>
        <w:rPr>
          <w:rFonts w:hint="eastAsia" w:ascii="宋体" w:hAnsi="宋体"/>
          <w:color w:val="auto"/>
          <w:szCs w:val="21"/>
          <w:highlight w:val="none"/>
        </w:rPr>
        <w:t xml:space="preserve">法定代表人（或负责人）或者委托代理人（签字或电子签名）： </w:t>
      </w:r>
    </w:p>
    <w:p w14:paraId="3C74AD23">
      <w:pPr>
        <w:snapToGrid w:val="0"/>
        <w:spacing w:line="360" w:lineRule="auto"/>
        <w:ind w:left="-6" w:leftChars="-15" w:right="-817" w:rightChars="-389" w:hanging="25" w:hangingChars="12"/>
        <w:rPr>
          <w:rFonts w:ascii="宋体" w:hAnsi="宋体"/>
          <w:color w:val="auto"/>
          <w:szCs w:val="21"/>
          <w:highlight w:val="none"/>
        </w:rPr>
      </w:pPr>
      <w:r>
        <w:rPr>
          <w:rFonts w:hint="eastAsia" w:ascii="宋体" w:hAnsi="宋体"/>
          <w:color w:val="auto"/>
          <w:szCs w:val="21"/>
          <w:highlight w:val="none"/>
        </w:rPr>
        <w:t xml:space="preserve">                                  投标人名称（电子签章）：</w:t>
      </w:r>
    </w:p>
    <w:p w14:paraId="6322F8F8">
      <w:pPr>
        <w:snapToGrid w:val="0"/>
        <w:spacing w:line="360" w:lineRule="auto"/>
        <w:ind w:left="-6" w:leftChars="-15" w:right="-817" w:rightChars="-389" w:hanging="25" w:hangingChars="12"/>
        <w:rPr>
          <w:rFonts w:ascii="宋体" w:hAnsi="宋体"/>
          <w:color w:val="auto"/>
          <w:szCs w:val="21"/>
          <w:highlight w:val="none"/>
        </w:rPr>
      </w:pPr>
      <w:r>
        <w:rPr>
          <w:rFonts w:hint="eastAsia" w:ascii="宋体" w:hAnsi="宋体"/>
          <w:color w:val="auto"/>
          <w:szCs w:val="21"/>
          <w:highlight w:val="none"/>
        </w:rPr>
        <w:t xml:space="preserve">                                  日期：    年   月   日</w:t>
      </w:r>
    </w:p>
    <w:p w14:paraId="4FB63974">
      <w:pPr>
        <w:rPr>
          <w:rFonts w:ascii="宋体" w:hAnsi="宋体"/>
          <w:b/>
          <w:color w:val="auto"/>
          <w:sz w:val="28"/>
          <w:szCs w:val="28"/>
          <w:highlight w:val="none"/>
        </w:rPr>
      </w:pPr>
      <w:r>
        <w:rPr>
          <w:rFonts w:ascii="宋体" w:hAnsi="宋体"/>
          <w:b/>
          <w:bCs/>
          <w:color w:val="auto"/>
          <w:sz w:val="24"/>
          <w:highlight w:val="none"/>
        </w:rPr>
        <w:br w:type="page"/>
      </w:r>
      <w:bookmarkStart w:id="152" w:name="_Toc19686837"/>
      <w:r>
        <w:rPr>
          <w:rFonts w:hint="eastAsia" w:ascii="宋体" w:hAnsi="宋体"/>
          <w:b/>
          <w:color w:val="auto"/>
          <w:sz w:val="28"/>
          <w:szCs w:val="28"/>
          <w:highlight w:val="none"/>
        </w:rPr>
        <w:t>二、资格证明文件格式</w:t>
      </w:r>
      <w:bookmarkEnd w:id="150"/>
      <w:bookmarkEnd w:id="151"/>
      <w:bookmarkEnd w:id="152"/>
    </w:p>
    <w:p w14:paraId="1CC6FE8B">
      <w:pPr>
        <w:numPr>
          <w:ilvl w:val="2"/>
          <w:numId w:val="6"/>
        </w:numPr>
        <w:snapToGrid w:val="0"/>
        <w:spacing w:before="120" w:beforeLines="50" w:after="50" w:line="360" w:lineRule="auto"/>
        <w:ind w:left="0" w:firstLine="0"/>
        <w:jc w:val="left"/>
        <w:rPr>
          <w:rFonts w:ascii="宋体" w:hAnsi="宋体"/>
          <w:b/>
          <w:color w:val="auto"/>
          <w:sz w:val="24"/>
          <w:highlight w:val="none"/>
        </w:rPr>
      </w:pPr>
      <w:r>
        <w:rPr>
          <w:rFonts w:hint="eastAsia" w:ascii="宋体" w:hAnsi="宋体"/>
          <w:b/>
          <w:color w:val="auto"/>
          <w:sz w:val="24"/>
          <w:highlight w:val="none"/>
        </w:rPr>
        <w:t xml:space="preserve">资格证明文件封面格式： </w:t>
      </w:r>
    </w:p>
    <w:p w14:paraId="191FE773">
      <w:pPr>
        <w:snapToGrid w:val="0"/>
        <w:spacing w:before="120" w:beforeLines="50" w:after="50"/>
        <w:jc w:val="center"/>
        <w:rPr>
          <w:rFonts w:ascii="宋体" w:hAnsi="宋体"/>
          <w:bCs/>
          <w:color w:val="auto"/>
          <w:sz w:val="48"/>
          <w:szCs w:val="48"/>
          <w:highlight w:val="none"/>
        </w:rPr>
      </w:pPr>
    </w:p>
    <w:p w14:paraId="77FEEF28">
      <w:pPr>
        <w:snapToGrid w:val="0"/>
        <w:spacing w:before="120" w:beforeLines="50" w:after="50"/>
        <w:jc w:val="center"/>
        <w:rPr>
          <w:rFonts w:ascii="宋体" w:hAnsi="宋体"/>
          <w:bCs/>
          <w:color w:val="auto"/>
          <w:sz w:val="48"/>
          <w:szCs w:val="48"/>
          <w:highlight w:val="none"/>
        </w:rPr>
      </w:pPr>
      <w:r>
        <w:rPr>
          <w:rFonts w:hint="eastAsia" w:ascii="宋体" w:hAnsi="宋体"/>
          <w:bCs/>
          <w:color w:val="auto"/>
          <w:sz w:val="48"/>
          <w:szCs w:val="48"/>
          <w:highlight w:val="none"/>
        </w:rPr>
        <w:t>电子投标文件</w:t>
      </w:r>
    </w:p>
    <w:p w14:paraId="0A29BD35">
      <w:pPr>
        <w:pStyle w:val="2"/>
        <w:rPr>
          <w:rFonts w:ascii="宋体" w:hAnsi="宋体"/>
          <w:color w:val="auto"/>
          <w:highlight w:val="none"/>
        </w:rPr>
      </w:pPr>
    </w:p>
    <w:p w14:paraId="7E4C4E7A">
      <w:pPr>
        <w:snapToGrid w:val="0"/>
        <w:spacing w:before="120" w:beforeLines="50" w:after="50"/>
        <w:jc w:val="center"/>
        <w:rPr>
          <w:rFonts w:ascii="宋体" w:hAnsi="宋体"/>
          <w:b/>
          <w:color w:val="auto"/>
          <w:sz w:val="24"/>
          <w:szCs w:val="20"/>
          <w:highlight w:val="none"/>
        </w:rPr>
      </w:pPr>
      <w:r>
        <w:rPr>
          <w:rFonts w:hint="eastAsia" w:ascii="宋体" w:hAnsi="宋体"/>
          <w:b/>
          <w:color w:val="auto"/>
          <w:sz w:val="32"/>
          <w:szCs w:val="32"/>
          <w:highlight w:val="none"/>
        </w:rPr>
        <w:t>资格证明文件</w:t>
      </w:r>
    </w:p>
    <w:p w14:paraId="506B8F50">
      <w:pPr>
        <w:snapToGrid w:val="0"/>
        <w:spacing w:before="120" w:beforeLines="50" w:after="50"/>
        <w:rPr>
          <w:rFonts w:ascii="宋体" w:hAnsi="宋体"/>
          <w:bCs/>
          <w:color w:val="auto"/>
          <w:sz w:val="24"/>
          <w:szCs w:val="20"/>
          <w:highlight w:val="none"/>
        </w:rPr>
      </w:pPr>
    </w:p>
    <w:p w14:paraId="4965C69B">
      <w:pPr>
        <w:snapToGrid w:val="0"/>
        <w:spacing w:before="120" w:beforeLines="50" w:after="50"/>
        <w:rPr>
          <w:rFonts w:ascii="宋体" w:hAnsi="宋体"/>
          <w:bCs/>
          <w:color w:val="auto"/>
          <w:sz w:val="24"/>
          <w:szCs w:val="20"/>
          <w:highlight w:val="none"/>
        </w:rPr>
      </w:pPr>
    </w:p>
    <w:p w14:paraId="6080FA47">
      <w:pPr>
        <w:snapToGrid w:val="0"/>
        <w:spacing w:before="120" w:beforeLines="50" w:after="50"/>
        <w:rPr>
          <w:rFonts w:ascii="宋体" w:hAnsi="宋体"/>
          <w:bCs/>
          <w:color w:val="auto"/>
          <w:sz w:val="24"/>
          <w:szCs w:val="20"/>
          <w:highlight w:val="none"/>
        </w:rPr>
      </w:pPr>
    </w:p>
    <w:p w14:paraId="4F0E6B0E">
      <w:pPr>
        <w:snapToGrid w:val="0"/>
        <w:spacing w:before="120" w:beforeLines="50" w:after="50"/>
        <w:rPr>
          <w:rFonts w:ascii="宋体" w:hAnsi="宋体"/>
          <w:bCs/>
          <w:color w:val="auto"/>
          <w:sz w:val="24"/>
          <w:szCs w:val="20"/>
          <w:highlight w:val="none"/>
        </w:rPr>
      </w:pPr>
    </w:p>
    <w:p w14:paraId="772DDC30">
      <w:pPr>
        <w:snapToGrid w:val="0"/>
        <w:spacing w:before="120" w:beforeLines="50" w:after="50"/>
        <w:rPr>
          <w:rFonts w:ascii="宋体" w:hAnsi="宋体"/>
          <w:bCs/>
          <w:color w:val="auto"/>
          <w:sz w:val="24"/>
          <w:szCs w:val="20"/>
          <w:highlight w:val="none"/>
        </w:rPr>
      </w:pPr>
    </w:p>
    <w:p w14:paraId="3565110E">
      <w:pPr>
        <w:snapToGrid w:val="0"/>
        <w:spacing w:before="120" w:beforeLines="50" w:after="50"/>
        <w:rPr>
          <w:rFonts w:ascii="宋体" w:hAnsi="宋体"/>
          <w:bCs/>
          <w:color w:val="auto"/>
          <w:sz w:val="24"/>
          <w:szCs w:val="20"/>
          <w:highlight w:val="none"/>
        </w:rPr>
      </w:pPr>
    </w:p>
    <w:p w14:paraId="014C040E">
      <w:pPr>
        <w:snapToGrid w:val="0"/>
        <w:spacing w:before="120" w:beforeLines="50" w:after="50"/>
        <w:rPr>
          <w:rFonts w:ascii="宋体" w:hAnsi="宋体"/>
          <w:bCs/>
          <w:color w:val="auto"/>
          <w:sz w:val="24"/>
          <w:szCs w:val="20"/>
          <w:highlight w:val="none"/>
        </w:rPr>
      </w:pPr>
    </w:p>
    <w:p w14:paraId="5C4448E1">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42ACB7A1">
      <w:pPr>
        <w:snapToGrid w:val="0"/>
        <w:spacing w:before="120" w:beforeLines="50" w:after="50"/>
        <w:ind w:firstLine="540" w:firstLineChars="225"/>
        <w:rPr>
          <w:rFonts w:ascii="宋体" w:hAnsi="宋体"/>
          <w:bCs/>
          <w:color w:val="auto"/>
          <w:sz w:val="24"/>
          <w:szCs w:val="20"/>
          <w:highlight w:val="none"/>
        </w:rPr>
      </w:pPr>
    </w:p>
    <w:p w14:paraId="770D8343">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5C719122">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0BD99F7E">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所投分标：无，则写“/”</w:t>
      </w:r>
    </w:p>
    <w:p w14:paraId="36C86BF5">
      <w:pPr>
        <w:pStyle w:val="10"/>
        <w:snapToGrid w:val="0"/>
        <w:spacing w:before="50" w:after="50"/>
        <w:ind w:firstLine="540" w:firstLineChars="225"/>
        <w:rPr>
          <w:rFonts w:ascii="宋体" w:hAnsi="宋体"/>
          <w:bCs/>
          <w:color w:val="auto"/>
          <w:sz w:val="24"/>
          <w:szCs w:val="24"/>
          <w:highlight w:val="none"/>
        </w:rPr>
      </w:pPr>
    </w:p>
    <w:p w14:paraId="41E25EE9">
      <w:pPr>
        <w:pStyle w:val="10"/>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245FE05F">
      <w:pPr>
        <w:pStyle w:val="10"/>
        <w:snapToGrid w:val="0"/>
        <w:spacing w:before="50" w:after="50"/>
        <w:ind w:firstLine="540" w:firstLineChars="225"/>
        <w:rPr>
          <w:rFonts w:ascii="宋体" w:hAnsi="宋体"/>
          <w:bCs/>
          <w:color w:val="auto"/>
          <w:sz w:val="24"/>
          <w:szCs w:val="24"/>
          <w:highlight w:val="none"/>
        </w:rPr>
      </w:pPr>
    </w:p>
    <w:p w14:paraId="0D2F5A2E">
      <w:pPr>
        <w:pStyle w:val="10"/>
        <w:snapToGrid w:val="0"/>
        <w:spacing w:before="50" w:after="50"/>
        <w:ind w:firstLine="960" w:firstLineChars="400"/>
        <w:rPr>
          <w:rFonts w:ascii="宋体" w:hAnsi="宋体"/>
          <w:bCs/>
          <w:color w:val="auto"/>
          <w:sz w:val="24"/>
          <w:szCs w:val="24"/>
          <w:highlight w:val="none"/>
        </w:rPr>
      </w:pPr>
    </w:p>
    <w:p w14:paraId="6CA35CFE">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523364A6">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18A90F32">
      <w:pPr>
        <w:snapToGrid w:val="0"/>
        <w:spacing w:before="120" w:beforeLines="50" w:after="50"/>
        <w:rPr>
          <w:rFonts w:ascii="宋体" w:hAnsi="宋体"/>
          <w:color w:val="auto"/>
          <w:sz w:val="24"/>
          <w:szCs w:val="20"/>
          <w:highlight w:val="none"/>
        </w:rPr>
      </w:pPr>
    </w:p>
    <w:p w14:paraId="28B8B14E">
      <w:pPr>
        <w:numPr>
          <w:ilvl w:val="2"/>
          <w:numId w:val="6"/>
        </w:numPr>
        <w:snapToGrid w:val="0"/>
        <w:spacing w:before="120" w:beforeLines="50" w:after="50" w:line="360" w:lineRule="auto"/>
        <w:ind w:left="0" w:firstLine="0"/>
        <w:jc w:val="left"/>
        <w:rPr>
          <w:rFonts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5076C365">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7732CD29">
      <w:pPr>
        <w:snapToGrid w:val="0"/>
        <w:spacing w:before="50" w:after="120" w:afterLines="50"/>
        <w:jc w:val="left"/>
        <w:rPr>
          <w:rFonts w:ascii="宋体" w:hAnsi="宋体"/>
          <w:color w:val="auto"/>
          <w:sz w:val="24"/>
          <w:highlight w:val="none"/>
        </w:rPr>
      </w:pPr>
    </w:p>
    <w:p w14:paraId="72F58511">
      <w:pPr>
        <w:snapToGrid w:val="0"/>
        <w:spacing w:before="50" w:after="120" w:afterLines="50"/>
        <w:jc w:val="left"/>
        <w:rPr>
          <w:rFonts w:ascii="宋体" w:hAnsi="宋体"/>
          <w:color w:val="auto"/>
          <w:sz w:val="24"/>
          <w:highlight w:val="none"/>
        </w:rPr>
      </w:pPr>
    </w:p>
    <w:p w14:paraId="4FFEE206">
      <w:pPr>
        <w:numPr>
          <w:ilvl w:val="2"/>
          <w:numId w:val="6"/>
        </w:numPr>
        <w:snapToGrid w:val="0"/>
        <w:spacing w:before="120" w:beforeLines="50" w:after="50"/>
        <w:ind w:left="0" w:firstLine="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rPr>
        <w:t>投标人直接控股、管理关系信息表</w:t>
      </w:r>
    </w:p>
    <w:p w14:paraId="0031DBF9">
      <w:pPr>
        <w:snapToGrid w:val="0"/>
        <w:spacing w:before="50" w:after="120" w:afterLines="50"/>
        <w:jc w:val="center"/>
        <w:rPr>
          <w:rFonts w:ascii="宋体" w:hAnsi="宋体"/>
          <w:b/>
          <w:color w:val="auto"/>
          <w:sz w:val="28"/>
          <w:szCs w:val="28"/>
          <w:highlight w:val="none"/>
        </w:rPr>
      </w:pPr>
    </w:p>
    <w:p w14:paraId="13D08021">
      <w:pPr>
        <w:snapToGrid w:val="0"/>
        <w:spacing w:before="50" w:after="120" w:afterLines="50" w:line="360" w:lineRule="auto"/>
        <w:jc w:val="center"/>
        <w:rPr>
          <w:rFonts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50"/>
        <w:tblW w:w="9476" w:type="dxa"/>
        <w:jc w:val="center"/>
        <w:shd w:val="clear" w:color="auto" w:fill="FBFBFB"/>
        <w:tblLayout w:type="fixed"/>
        <w:tblCellMar>
          <w:top w:w="0" w:type="dxa"/>
          <w:left w:w="0" w:type="dxa"/>
          <w:bottom w:w="0" w:type="dxa"/>
          <w:right w:w="0" w:type="dxa"/>
        </w:tblCellMar>
      </w:tblPr>
      <w:tblGrid>
        <w:gridCol w:w="828"/>
        <w:gridCol w:w="2269"/>
        <w:gridCol w:w="1239"/>
        <w:gridCol w:w="4006"/>
        <w:gridCol w:w="1134"/>
      </w:tblGrid>
      <w:tr w14:paraId="07328FE0">
        <w:tblPrEx>
          <w:shd w:val="clear" w:color="auto" w:fill="FBFBFB"/>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D02CF5">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599957">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5C5E98">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400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A5CBB5">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84941A">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10F84454">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C64377">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1703D3">
            <w:pPr>
              <w:spacing w:line="360" w:lineRule="auto"/>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FA7617">
            <w:pPr>
              <w:spacing w:line="360" w:lineRule="auto"/>
              <w:jc w:val="center"/>
              <w:rPr>
                <w:rFonts w:ascii="宋体" w:hAnsi="宋体" w:cs="宋体"/>
                <w:color w:val="auto"/>
                <w:kern w:val="0"/>
                <w:szCs w:val="21"/>
                <w:highlight w:val="none"/>
              </w:rPr>
            </w:pPr>
          </w:p>
        </w:tc>
        <w:tc>
          <w:tcPr>
            <w:tcW w:w="400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91324A">
            <w:pPr>
              <w:spacing w:line="360" w:lineRule="auto"/>
              <w:jc w:val="center"/>
              <w:rPr>
                <w:rFonts w:ascii="宋体" w:hAnsi="宋体" w:cs="宋体"/>
                <w:color w:val="auto"/>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4303DE">
            <w:pPr>
              <w:spacing w:line="360" w:lineRule="auto"/>
              <w:jc w:val="center"/>
              <w:rPr>
                <w:rFonts w:ascii="宋体" w:hAnsi="宋体" w:cs="宋体"/>
                <w:color w:val="auto"/>
                <w:kern w:val="0"/>
                <w:szCs w:val="21"/>
                <w:highlight w:val="none"/>
              </w:rPr>
            </w:pPr>
          </w:p>
        </w:tc>
      </w:tr>
      <w:tr w14:paraId="1783700A">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61F47A">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ECBB60">
            <w:pPr>
              <w:spacing w:line="360" w:lineRule="auto"/>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DCF731">
            <w:pPr>
              <w:spacing w:line="360" w:lineRule="auto"/>
              <w:jc w:val="center"/>
              <w:rPr>
                <w:rFonts w:ascii="宋体" w:hAnsi="宋体" w:cs="宋体"/>
                <w:color w:val="auto"/>
                <w:kern w:val="0"/>
                <w:szCs w:val="21"/>
                <w:highlight w:val="none"/>
              </w:rPr>
            </w:pPr>
          </w:p>
        </w:tc>
        <w:tc>
          <w:tcPr>
            <w:tcW w:w="400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03D7D0">
            <w:pPr>
              <w:spacing w:line="360" w:lineRule="auto"/>
              <w:jc w:val="center"/>
              <w:rPr>
                <w:rFonts w:ascii="宋体" w:hAnsi="宋体" w:cs="宋体"/>
                <w:color w:val="auto"/>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7B0533">
            <w:pPr>
              <w:spacing w:line="360" w:lineRule="auto"/>
              <w:jc w:val="center"/>
              <w:rPr>
                <w:rFonts w:ascii="宋体" w:hAnsi="宋体" w:cs="宋体"/>
                <w:color w:val="auto"/>
                <w:kern w:val="0"/>
                <w:szCs w:val="21"/>
                <w:highlight w:val="none"/>
              </w:rPr>
            </w:pPr>
          </w:p>
        </w:tc>
      </w:tr>
      <w:tr w14:paraId="33B5AEAD">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6DE283">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977BE2">
            <w:pPr>
              <w:spacing w:line="360" w:lineRule="auto"/>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783ABC">
            <w:pPr>
              <w:spacing w:line="360" w:lineRule="auto"/>
              <w:jc w:val="center"/>
              <w:rPr>
                <w:rFonts w:ascii="宋体" w:hAnsi="宋体" w:cs="宋体"/>
                <w:color w:val="auto"/>
                <w:kern w:val="0"/>
                <w:szCs w:val="21"/>
                <w:highlight w:val="none"/>
              </w:rPr>
            </w:pPr>
          </w:p>
        </w:tc>
        <w:tc>
          <w:tcPr>
            <w:tcW w:w="400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720986">
            <w:pPr>
              <w:spacing w:line="360" w:lineRule="auto"/>
              <w:jc w:val="center"/>
              <w:rPr>
                <w:rFonts w:ascii="宋体" w:hAnsi="宋体" w:cs="宋体"/>
                <w:color w:val="auto"/>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E4419B">
            <w:pPr>
              <w:spacing w:line="360" w:lineRule="auto"/>
              <w:jc w:val="center"/>
              <w:rPr>
                <w:rFonts w:ascii="宋体" w:hAnsi="宋体" w:cs="宋体"/>
                <w:color w:val="auto"/>
                <w:kern w:val="0"/>
                <w:szCs w:val="21"/>
                <w:highlight w:val="none"/>
              </w:rPr>
            </w:pPr>
          </w:p>
        </w:tc>
      </w:tr>
      <w:tr w14:paraId="4B916FDC">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FAF4BE">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8C0B51">
            <w:pPr>
              <w:spacing w:line="360" w:lineRule="auto"/>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9B0AA7">
            <w:pPr>
              <w:spacing w:line="360" w:lineRule="auto"/>
              <w:jc w:val="center"/>
              <w:rPr>
                <w:rFonts w:ascii="宋体" w:hAnsi="宋体" w:cs="宋体"/>
                <w:color w:val="auto"/>
                <w:kern w:val="0"/>
                <w:szCs w:val="21"/>
                <w:highlight w:val="none"/>
              </w:rPr>
            </w:pPr>
          </w:p>
        </w:tc>
        <w:tc>
          <w:tcPr>
            <w:tcW w:w="400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F4758B">
            <w:pPr>
              <w:spacing w:line="360" w:lineRule="auto"/>
              <w:jc w:val="center"/>
              <w:rPr>
                <w:rFonts w:ascii="宋体" w:hAnsi="宋体" w:cs="宋体"/>
                <w:color w:val="auto"/>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4E3D45">
            <w:pPr>
              <w:spacing w:line="360" w:lineRule="auto"/>
              <w:jc w:val="center"/>
              <w:rPr>
                <w:rFonts w:ascii="宋体" w:hAnsi="宋体" w:cs="宋体"/>
                <w:color w:val="auto"/>
                <w:kern w:val="0"/>
                <w:szCs w:val="21"/>
                <w:highlight w:val="none"/>
              </w:rPr>
            </w:pPr>
          </w:p>
        </w:tc>
      </w:tr>
    </w:tbl>
    <w:p w14:paraId="257D2510">
      <w:pPr>
        <w:snapToGrid w:val="0"/>
        <w:spacing w:line="360" w:lineRule="auto"/>
        <w:jc w:val="left"/>
        <w:rPr>
          <w:rFonts w:ascii="宋体" w:hAnsi="宋体"/>
          <w:color w:val="auto"/>
          <w:szCs w:val="21"/>
          <w:highlight w:val="none"/>
        </w:rPr>
      </w:pPr>
      <w:r>
        <w:rPr>
          <w:rFonts w:hint="eastAsia" w:ascii="宋体" w:hAnsi="宋体"/>
          <w:color w:val="auto"/>
          <w:szCs w:val="21"/>
          <w:highlight w:val="none"/>
        </w:rPr>
        <w:t>注：</w:t>
      </w:r>
    </w:p>
    <w:p w14:paraId="4D039DFE">
      <w:pPr>
        <w:snapToGrid w:val="0"/>
        <w:spacing w:line="360" w:lineRule="auto"/>
        <w:jc w:val="left"/>
        <w:rPr>
          <w:rFonts w:ascii="宋体" w:hAnsi="宋体"/>
          <w:color w:val="auto"/>
          <w:szCs w:val="21"/>
          <w:highlight w:val="none"/>
        </w:rPr>
      </w:pPr>
      <w:r>
        <w:rPr>
          <w:rFonts w:hint="eastAsia" w:ascii="宋体" w:hAnsi="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ED1088B">
      <w:pPr>
        <w:snapToGrid w:val="0"/>
        <w:spacing w:line="360" w:lineRule="auto"/>
        <w:jc w:val="left"/>
        <w:rPr>
          <w:rFonts w:ascii="宋体" w:hAnsi="宋体"/>
          <w:color w:val="auto"/>
          <w:szCs w:val="21"/>
          <w:highlight w:val="none"/>
        </w:rPr>
      </w:pPr>
      <w:r>
        <w:rPr>
          <w:rFonts w:hint="eastAsia" w:ascii="宋体" w:hAnsi="宋体"/>
          <w:color w:val="auto"/>
          <w:szCs w:val="21"/>
          <w:highlight w:val="none"/>
        </w:rPr>
        <w:t>2.本表所指的控股关系仅限于直接控股关系，不包括间接的控股关系。公司实际控制人与公司之间的关系不属于本表所指的直接控股关系。</w:t>
      </w:r>
    </w:p>
    <w:p w14:paraId="54418C38">
      <w:pPr>
        <w:snapToGrid w:val="0"/>
        <w:spacing w:line="360" w:lineRule="auto"/>
        <w:jc w:val="left"/>
        <w:rPr>
          <w:rFonts w:ascii="宋体" w:hAnsi="宋体"/>
          <w:color w:val="auto"/>
          <w:szCs w:val="21"/>
          <w:highlight w:val="none"/>
        </w:rPr>
      </w:pPr>
      <w:r>
        <w:rPr>
          <w:rFonts w:hint="eastAsia" w:ascii="宋体" w:hAnsi="宋体"/>
          <w:color w:val="auto"/>
          <w:szCs w:val="21"/>
          <w:highlight w:val="none"/>
        </w:rPr>
        <w:t>3.供应商不存在直接控股股东的，则在“</w:t>
      </w:r>
      <w:r>
        <w:rPr>
          <w:rFonts w:hint="eastAsia" w:ascii="宋体" w:hAnsi="宋体" w:cs="宋体"/>
          <w:b/>
          <w:bCs/>
          <w:color w:val="auto"/>
          <w:kern w:val="0"/>
          <w:szCs w:val="21"/>
          <w:highlight w:val="none"/>
        </w:rPr>
        <w:t>直接控股股东名称</w:t>
      </w:r>
      <w:r>
        <w:rPr>
          <w:rFonts w:hint="eastAsia" w:ascii="宋体" w:hAnsi="宋体"/>
          <w:color w:val="auto"/>
          <w:szCs w:val="21"/>
          <w:highlight w:val="none"/>
        </w:rPr>
        <w:t>”中填“无”。</w:t>
      </w:r>
    </w:p>
    <w:p w14:paraId="71AD245F">
      <w:pPr>
        <w:snapToGrid w:val="0"/>
        <w:spacing w:line="360" w:lineRule="auto"/>
        <w:jc w:val="left"/>
        <w:rPr>
          <w:rFonts w:ascii="宋体" w:hAnsi="宋体"/>
          <w:color w:val="auto"/>
          <w:szCs w:val="21"/>
          <w:highlight w:val="none"/>
        </w:rPr>
      </w:pPr>
    </w:p>
    <w:p w14:paraId="1A593D29">
      <w:pPr>
        <w:snapToGrid w:val="0"/>
        <w:spacing w:line="360" w:lineRule="auto"/>
        <w:jc w:val="left"/>
        <w:rPr>
          <w:rFonts w:ascii="宋体" w:hAnsi="宋体"/>
          <w:color w:val="auto"/>
          <w:szCs w:val="21"/>
          <w:highlight w:val="none"/>
        </w:rPr>
      </w:pPr>
    </w:p>
    <w:p w14:paraId="6C8C100E">
      <w:pPr>
        <w:snapToGrid w:val="0"/>
        <w:spacing w:line="360" w:lineRule="auto"/>
        <w:jc w:val="left"/>
        <w:rPr>
          <w:rFonts w:ascii="宋体" w:hAnsi="宋体"/>
          <w:color w:val="auto"/>
          <w:szCs w:val="21"/>
          <w:highlight w:val="none"/>
        </w:rPr>
      </w:pPr>
    </w:p>
    <w:p w14:paraId="5450D1D6">
      <w:pPr>
        <w:snapToGrid w:val="0"/>
        <w:spacing w:line="360" w:lineRule="auto"/>
        <w:ind w:left="-2" w:leftChars="-1" w:right="-817" w:rightChars="-389"/>
        <w:rPr>
          <w:rFonts w:ascii="宋体" w:hAnsi="宋体"/>
          <w:color w:val="auto"/>
          <w:szCs w:val="21"/>
          <w:highlight w:val="none"/>
        </w:rPr>
      </w:pPr>
      <w:r>
        <w:rPr>
          <w:rFonts w:hint="eastAsia" w:ascii="宋体" w:hAnsi="宋体"/>
          <w:color w:val="auto"/>
          <w:szCs w:val="21"/>
          <w:highlight w:val="none"/>
        </w:rPr>
        <w:t xml:space="preserve">法定代表人（或负责人）或者委托代理人（签字或电子签名）： </w:t>
      </w:r>
    </w:p>
    <w:p w14:paraId="3B8ED62F">
      <w:pPr>
        <w:snapToGrid w:val="0"/>
        <w:spacing w:line="360" w:lineRule="auto"/>
        <w:ind w:left="-6" w:leftChars="-15" w:right="-817" w:rightChars="-389" w:hanging="25" w:hangingChars="12"/>
        <w:rPr>
          <w:rFonts w:ascii="宋体" w:hAnsi="宋体"/>
          <w:color w:val="auto"/>
          <w:szCs w:val="21"/>
          <w:highlight w:val="none"/>
        </w:rPr>
      </w:pPr>
      <w:r>
        <w:rPr>
          <w:rFonts w:hint="eastAsia" w:ascii="宋体" w:hAnsi="宋体"/>
          <w:color w:val="auto"/>
          <w:szCs w:val="21"/>
          <w:highlight w:val="none"/>
        </w:rPr>
        <w:t xml:space="preserve">                                    投标人名称（电子签章）：</w:t>
      </w:r>
    </w:p>
    <w:p w14:paraId="71BBA1F0">
      <w:pPr>
        <w:snapToGrid w:val="0"/>
        <w:spacing w:line="360" w:lineRule="auto"/>
        <w:jc w:val="left"/>
        <w:rPr>
          <w:rFonts w:ascii="宋体" w:hAnsi="宋体"/>
          <w:color w:val="auto"/>
          <w:szCs w:val="21"/>
          <w:highlight w:val="none"/>
        </w:rPr>
      </w:pPr>
      <w:r>
        <w:rPr>
          <w:rFonts w:hint="eastAsia" w:ascii="宋体" w:hAnsi="宋体"/>
          <w:color w:val="auto"/>
          <w:szCs w:val="21"/>
          <w:highlight w:val="none"/>
        </w:rPr>
        <w:t xml:space="preserve">                                    日期：    年   月   日</w:t>
      </w:r>
    </w:p>
    <w:p w14:paraId="46405E5C">
      <w:pPr>
        <w:snapToGrid w:val="0"/>
        <w:jc w:val="center"/>
        <w:rPr>
          <w:rFonts w:ascii="宋体" w:hAnsi="宋体"/>
          <w:b/>
          <w:color w:val="auto"/>
          <w:sz w:val="28"/>
          <w:szCs w:val="28"/>
          <w:highlight w:val="none"/>
        </w:rPr>
      </w:pPr>
    </w:p>
    <w:p w14:paraId="2E70D819">
      <w:pPr>
        <w:snapToGrid w:val="0"/>
        <w:spacing w:line="360" w:lineRule="auto"/>
        <w:jc w:val="center"/>
        <w:rPr>
          <w:rFonts w:ascii="宋体" w:hAnsi="宋体"/>
          <w:b/>
          <w:color w:val="auto"/>
          <w:sz w:val="32"/>
          <w:szCs w:val="32"/>
          <w:highlight w:val="none"/>
        </w:rPr>
      </w:pPr>
      <w:r>
        <w:rPr>
          <w:rFonts w:ascii="宋体" w:hAnsi="宋体"/>
          <w:b/>
          <w:color w:val="auto"/>
          <w:sz w:val="32"/>
          <w:szCs w:val="32"/>
          <w:highlight w:val="none"/>
        </w:rPr>
        <w:br w:type="page"/>
      </w:r>
    </w:p>
    <w:p w14:paraId="3A1F0768">
      <w:pPr>
        <w:snapToGrid w:val="0"/>
        <w:spacing w:line="360" w:lineRule="auto"/>
        <w:jc w:val="center"/>
        <w:rPr>
          <w:rFonts w:ascii="宋体" w:hAnsi="宋体"/>
          <w:b/>
          <w:color w:val="auto"/>
          <w:sz w:val="32"/>
          <w:szCs w:val="32"/>
          <w:highlight w:val="none"/>
        </w:rPr>
      </w:pPr>
    </w:p>
    <w:p w14:paraId="536BEFD4">
      <w:pPr>
        <w:snapToGrid w:val="0"/>
        <w:spacing w:line="360" w:lineRule="auto"/>
        <w:jc w:val="center"/>
        <w:rPr>
          <w:rFonts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50"/>
        <w:tblW w:w="9652" w:type="dxa"/>
        <w:tblInd w:w="0" w:type="dxa"/>
        <w:tblLayout w:type="fixed"/>
        <w:tblCellMar>
          <w:top w:w="0" w:type="dxa"/>
          <w:left w:w="0" w:type="dxa"/>
          <w:bottom w:w="0" w:type="dxa"/>
          <w:right w:w="0" w:type="dxa"/>
        </w:tblCellMar>
      </w:tblPr>
      <w:tblGrid>
        <w:gridCol w:w="1005"/>
        <w:gridCol w:w="2659"/>
        <w:gridCol w:w="3924"/>
        <w:gridCol w:w="2064"/>
      </w:tblGrid>
      <w:tr w14:paraId="50328591">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DC8A0E">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A92676">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353B94">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3B9E3D">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4F08767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3AEBCF">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753FC4">
            <w:pPr>
              <w:spacing w:line="360" w:lineRule="auto"/>
              <w:jc w:val="center"/>
              <w:rPr>
                <w:rFonts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1BF454">
            <w:pPr>
              <w:spacing w:line="360" w:lineRule="auto"/>
              <w:jc w:val="center"/>
              <w:rPr>
                <w:rFonts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792835">
            <w:pPr>
              <w:spacing w:line="360" w:lineRule="auto"/>
              <w:jc w:val="center"/>
              <w:rPr>
                <w:rFonts w:ascii="宋体" w:hAnsi="宋体" w:cs="宋体"/>
                <w:color w:val="auto"/>
                <w:kern w:val="0"/>
                <w:szCs w:val="21"/>
                <w:highlight w:val="none"/>
              </w:rPr>
            </w:pPr>
          </w:p>
        </w:tc>
      </w:tr>
      <w:tr w14:paraId="3A92B56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B5546D">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749EFB">
            <w:pPr>
              <w:spacing w:line="360" w:lineRule="auto"/>
              <w:jc w:val="center"/>
              <w:rPr>
                <w:rFonts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03E4AB">
            <w:pPr>
              <w:spacing w:line="360" w:lineRule="auto"/>
              <w:jc w:val="center"/>
              <w:rPr>
                <w:rFonts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6833A8">
            <w:pPr>
              <w:spacing w:line="360" w:lineRule="auto"/>
              <w:jc w:val="center"/>
              <w:rPr>
                <w:rFonts w:ascii="宋体" w:hAnsi="宋体" w:cs="宋体"/>
                <w:color w:val="auto"/>
                <w:kern w:val="0"/>
                <w:szCs w:val="21"/>
                <w:highlight w:val="none"/>
              </w:rPr>
            </w:pPr>
          </w:p>
        </w:tc>
      </w:tr>
      <w:tr w14:paraId="0997555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474867">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B17288">
            <w:pPr>
              <w:spacing w:line="360" w:lineRule="auto"/>
              <w:jc w:val="center"/>
              <w:rPr>
                <w:rFonts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83A073">
            <w:pPr>
              <w:spacing w:line="360" w:lineRule="auto"/>
              <w:jc w:val="center"/>
              <w:rPr>
                <w:rFonts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AF3BD7">
            <w:pPr>
              <w:spacing w:line="360" w:lineRule="auto"/>
              <w:jc w:val="center"/>
              <w:rPr>
                <w:rFonts w:ascii="宋体" w:hAnsi="宋体" w:cs="宋体"/>
                <w:color w:val="auto"/>
                <w:kern w:val="0"/>
                <w:szCs w:val="21"/>
                <w:highlight w:val="none"/>
              </w:rPr>
            </w:pPr>
          </w:p>
        </w:tc>
      </w:tr>
      <w:tr w14:paraId="7F55B13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B1A0DB">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74B883">
            <w:pPr>
              <w:spacing w:line="360" w:lineRule="auto"/>
              <w:jc w:val="center"/>
              <w:rPr>
                <w:rFonts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D77A52">
            <w:pPr>
              <w:spacing w:line="360" w:lineRule="auto"/>
              <w:jc w:val="center"/>
              <w:rPr>
                <w:rFonts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7C51AA">
            <w:pPr>
              <w:spacing w:line="360" w:lineRule="auto"/>
              <w:jc w:val="center"/>
              <w:rPr>
                <w:rFonts w:ascii="宋体" w:hAnsi="宋体" w:cs="宋体"/>
                <w:color w:val="auto"/>
                <w:kern w:val="0"/>
                <w:szCs w:val="21"/>
                <w:highlight w:val="none"/>
              </w:rPr>
            </w:pPr>
          </w:p>
        </w:tc>
      </w:tr>
    </w:tbl>
    <w:p w14:paraId="157D50C6">
      <w:pPr>
        <w:snapToGrid w:val="0"/>
        <w:spacing w:line="360" w:lineRule="auto"/>
        <w:jc w:val="left"/>
        <w:rPr>
          <w:rFonts w:ascii="宋体" w:hAnsi="宋体"/>
          <w:color w:val="auto"/>
          <w:szCs w:val="21"/>
          <w:highlight w:val="none"/>
        </w:rPr>
      </w:pPr>
      <w:r>
        <w:rPr>
          <w:rFonts w:hint="eastAsia" w:ascii="宋体" w:hAnsi="宋体"/>
          <w:color w:val="auto"/>
          <w:szCs w:val="21"/>
          <w:highlight w:val="none"/>
        </w:rPr>
        <w:t>注：</w:t>
      </w:r>
    </w:p>
    <w:p w14:paraId="039066B8">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1.管理关系：是指不具有出资持股关系的其他单位之间存在的管理与被管理关系，如一些上下级关系的事业单位和团体组织。</w:t>
      </w:r>
    </w:p>
    <w:p w14:paraId="55C14974">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pacing w:val="-6"/>
          <w:szCs w:val="21"/>
          <w:highlight w:val="none"/>
        </w:rPr>
        <w:t>本表所指的管理关系仅限于直接管理关系，不包括间接的管理关系。</w:t>
      </w:r>
    </w:p>
    <w:p w14:paraId="732BD236">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3.供应商不存在直接管理关系的，则在“</w:t>
      </w:r>
      <w:r>
        <w:rPr>
          <w:rFonts w:hint="eastAsia" w:ascii="宋体" w:hAnsi="宋体" w:cs="宋体"/>
          <w:b/>
          <w:bCs/>
          <w:color w:val="auto"/>
          <w:kern w:val="0"/>
          <w:szCs w:val="21"/>
          <w:highlight w:val="none"/>
        </w:rPr>
        <w:t>直接管理关系单位名称</w:t>
      </w:r>
      <w:r>
        <w:rPr>
          <w:rFonts w:hint="eastAsia" w:ascii="宋体" w:hAnsi="宋体"/>
          <w:color w:val="auto"/>
          <w:szCs w:val="21"/>
          <w:highlight w:val="none"/>
        </w:rPr>
        <w:t>”中填“无”。</w:t>
      </w:r>
    </w:p>
    <w:p w14:paraId="732C511C">
      <w:pPr>
        <w:snapToGrid w:val="0"/>
        <w:spacing w:line="360" w:lineRule="auto"/>
        <w:jc w:val="left"/>
        <w:rPr>
          <w:rFonts w:ascii="宋体" w:hAnsi="宋体"/>
          <w:color w:val="auto"/>
          <w:szCs w:val="21"/>
          <w:highlight w:val="none"/>
        </w:rPr>
      </w:pPr>
    </w:p>
    <w:p w14:paraId="063083CE">
      <w:pPr>
        <w:snapToGrid w:val="0"/>
        <w:spacing w:line="360" w:lineRule="auto"/>
        <w:jc w:val="left"/>
        <w:rPr>
          <w:rFonts w:ascii="宋体" w:hAnsi="宋体"/>
          <w:color w:val="auto"/>
          <w:szCs w:val="21"/>
          <w:highlight w:val="none"/>
        </w:rPr>
      </w:pPr>
    </w:p>
    <w:p w14:paraId="0E3D2738">
      <w:pPr>
        <w:snapToGrid w:val="0"/>
        <w:spacing w:line="360" w:lineRule="auto"/>
        <w:jc w:val="left"/>
        <w:rPr>
          <w:rFonts w:ascii="宋体" w:hAnsi="宋体"/>
          <w:color w:val="auto"/>
          <w:szCs w:val="21"/>
          <w:highlight w:val="none"/>
        </w:rPr>
      </w:pPr>
    </w:p>
    <w:p w14:paraId="5B16375B">
      <w:pPr>
        <w:snapToGrid w:val="0"/>
        <w:spacing w:line="360" w:lineRule="auto"/>
        <w:jc w:val="left"/>
        <w:rPr>
          <w:rFonts w:ascii="宋体" w:hAnsi="宋体"/>
          <w:color w:val="auto"/>
          <w:szCs w:val="21"/>
          <w:highlight w:val="none"/>
        </w:rPr>
      </w:pPr>
    </w:p>
    <w:p w14:paraId="7E5677BF">
      <w:pPr>
        <w:snapToGrid w:val="0"/>
        <w:spacing w:line="360" w:lineRule="auto"/>
        <w:ind w:left="-2" w:leftChars="-1" w:right="-817" w:rightChars="-389"/>
        <w:rPr>
          <w:rFonts w:ascii="宋体" w:hAnsi="宋体"/>
          <w:color w:val="auto"/>
          <w:szCs w:val="21"/>
          <w:highlight w:val="none"/>
        </w:rPr>
      </w:pPr>
      <w:r>
        <w:rPr>
          <w:rFonts w:hint="eastAsia" w:ascii="宋体" w:hAnsi="宋体"/>
          <w:color w:val="auto"/>
          <w:szCs w:val="21"/>
          <w:highlight w:val="none"/>
        </w:rPr>
        <w:t xml:space="preserve">法定代表人（或负责人）或者委托代理人（签字或电子签名）： </w:t>
      </w:r>
    </w:p>
    <w:p w14:paraId="563CC47C">
      <w:pPr>
        <w:snapToGrid w:val="0"/>
        <w:spacing w:line="360" w:lineRule="auto"/>
        <w:ind w:left="-6" w:leftChars="-15" w:right="-817" w:rightChars="-389" w:hanging="25" w:hangingChars="12"/>
        <w:rPr>
          <w:rFonts w:ascii="宋体" w:hAnsi="宋体"/>
          <w:color w:val="auto"/>
          <w:szCs w:val="21"/>
          <w:highlight w:val="none"/>
        </w:rPr>
      </w:pPr>
      <w:r>
        <w:rPr>
          <w:rFonts w:hint="eastAsia" w:ascii="宋体" w:hAnsi="宋体"/>
          <w:color w:val="auto"/>
          <w:szCs w:val="21"/>
          <w:highlight w:val="none"/>
        </w:rPr>
        <w:t xml:space="preserve">                                  投标人名称（电子签章）：</w:t>
      </w:r>
    </w:p>
    <w:p w14:paraId="744AAAAD">
      <w:pPr>
        <w:snapToGrid w:val="0"/>
        <w:spacing w:line="360" w:lineRule="auto"/>
        <w:ind w:right="480" w:firstLine="210" w:firstLineChars="100"/>
        <w:jc w:val="left"/>
        <w:rPr>
          <w:rFonts w:ascii="宋体" w:hAnsi="宋体"/>
          <w:color w:val="auto"/>
          <w:szCs w:val="21"/>
          <w:highlight w:val="none"/>
        </w:rPr>
      </w:pPr>
      <w:r>
        <w:rPr>
          <w:rFonts w:hint="eastAsia" w:ascii="宋体" w:hAnsi="宋体"/>
          <w:color w:val="auto"/>
          <w:szCs w:val="21"/>
          <w:highlight w:val="none"/>
        </w:rPr>
        <w:t xml:space="preserve">                                日期：    年   月   日</w:t>
      </w:r>
    </w:p>
    <w:p w14:paraId="6F82A2AF">
      <w:pPr>
        <w:snapToGrid w:val="0"/>
        <w:spacing w:before="120" w:beforeLines="50" w:after="50"/>
        <w:jc w:val="left"/>
        <w:rPr>
          <w:rFonts w:ascii="宋体" w:hAnsi="宋体"/>
          <w:b/>
          <w:color w:val="auto"/>
          <w:sz w:val="24"/>
          <w:szCs w:val="20"/>
          <w:highlight w:val="none"/>
        </w:rPr>
      </w:pPr>
    </w:p>
    <w:p w14:paraId="01A80CE3">
      <w:pPr>
        <w:numPr>
          <w:ilvl w:val="2"/>
          <w:numId w:val="6"/>
        </w:numPr>
        <w:snapToGrid w:val="0"/>
        <w:spacing w:before="120" w:beforeLines="50" w:after="50"/>
        <w:ind w:left="0" w:firstLine="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投标声明</w:t>
      </w:r>
    </w:p>
    <w:p w14:paraId="270316F1">
      <w:pPr>
        <w:snapToGrid w:val="0"/>
        <w:spacing w:before="50" w:after="120" w:afterLines="50"/>
        <w:jc w:val="left"/>
        <w:rPr>
          <w:rFonts w:ascii="宋体" w:hAnsi="宋体"/>
          <w:color w:val="auto"/>
          <w:highlight w:val="none"/>
        </w:rPr>
      </w:pPr>
    </w:p>
    <w:p w14:paraId="3C93D10D">
      <w:pPr>
        <w:snapToGrid w:val="0"/>
        <w:spacing w:before="50" w:after="120" w:afterLines="50"/>
        <w:jc w:val="center"/>
        <w:rPr>
          <w:rFonts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投标声明</w:t>
      </w:r>
    </w:p>
    <w:p w14:paraId="0DC7B93A">
      <w:pPr>
        <w:spacing w:line="400" w:lineRule="exact"/>
        <w:contextualSpacing/>
        <w:jc w:val="left"/>
        <w:rPr>
          <w:rFonts w:ascii="宋体" w:hAnsi="宋体"/>
          <w:color w:val="auto"/>
          <w:szCs w:val="21"/>
          <w:highlight w:val="none"/>
        </w:rPr>
      </w:pPr>
      <w:r>
        <w:rPr>
          <w:rFonts w:hint="eastAsia" w:ascii="宋体" w:hAnsi="宋体"/>
          <w:color w:val="auto"/>
          <w:szCs w:val="21"/>
          <w:highlight w:val="none"/>
        </w:rPr>
        <w:t>（采购人名称）：</w:t>
      </w:r>
    </w:p>
    <w:p w14:paraId="4219AB9B">
      <w:pPr>
        <w:spacing w:line="400" w:lineRule="exact"/>
        <w:ind w:firstLine="457" w:firstLineChars="218"/>
        <w:contextualSpacing/>
        <w:jc w:val="left"/>
        <w:rPr>
          <w:rFonts w:ascii="宋体" w:hAnsi="宋体"/>
          <w:color w:val="auto"/>
          <w:szCs w:val="21"/>
          <w:highlight w:val="none"/>
        </w:rPr>
      </w:pPr>
      <w:r>
        <w:rPr>
          <w:rFonts w:hint="eastAsia" w:ascii="宋体" w:hAnsi="宋体"/>
          <w:color w:val="auto"/>
          <w:szCs w:val="21"/>
          <w:highlight w:val="none"/>
        </w:rPr>
        <w:t>我方参加贵单位组织</w:t>
      </w:r>
      <w:r>
        <w:rPr>
          <w:rFonts w:hint="eastAsia" w:ascii="宋体" w:hAnsi="宋体"/>
          <w:color w:val="auto"/>
          <w:szCs w:val="21"/>
          <w:highlight w:val="none"/>
          <w:u w:val="single"/>
        </w:rPr>
        <w:t xml:space="preserve">             </w:t>
      </w:r>
      <w:r>
        <w:rPr>
          <w:rFonts w:hint="eastAsia" w:ascii="宋体" w:hAnsi="宋体"/>
          <w:color w:val="auto"/>
          <w:szCs w:val="21"/>
          <w:highlight w:val="none"/>
        </w:rPr>
        <w:t>项目（项目编号：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）的政府采购活动。我方在此郑重声明：</w:t>
      </w:r>
    </w:p>
    <w:p w14:paraId="6DD9225C">
      <w:pPr>
        <w:spacing w:line="40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E082772">
      <w:pPr>
        <w:spacing w:line="40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2.我方不是为本次采购项目提供整体设计、规范编制或者项目管理、监理、检测等服务的供应商。</w:t>
      </w:r>
    </w:p>
    <w:p w14:paraId="59DE1C5A">
      <w:pPr>
        <w:spacing w:line="40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 我方承诺符合《中华人民共和国政府采购法》第二十二条规定：</w:t>
      </w:r>
    </w:p>
    <w:p w14:paraId="38F27DAA">
      <w:pPr>
        <w:spacing w:line="40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（一）具有独立承担民事责任的能力；</w:t>
      </w:r>
    </w:p>
    <w:p w14:paraId="49CBBBD9">
      <w:pPr>
        <w:spacing w:line="40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（二）具有良好的商业信誉和健全的财务会计制度；</w:t>
      </w:r>
    </w:p>
    <w:p w14:paraId="27F24C8D">
      <w:pPr>
        <w:spacing w:line="40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（三）具有履行合同所必需的设备和专业技术能力；</w:t>
      </w:r>
    </w:p>
    <w:p w14:paraId="156F7319">
      <w:pPr>
        <w:spacing w:line="40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（四）有依法缴纳税收和社会保障资金的良好记录；</w:t>
      </w:r>
    </w:p>
    <w:p w14:paraId="6F9F508F">
      <w:pPr>
        <w:spacing w:line="40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（五）参加政府采购活动前三年内，在经营活动中没有重大违法记录；</w:t>
      </w:r>
    </w:p>
    <w:p w14:paraId="4DE26CEB">
      <w:pPr>
        <w:spacing w:line="40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（六）法律、行政法规规定的其他条件。</w:t>
      </w:r>
    </w:p>
    <w:p w14:paraId="02794DAA">
      <w:pPr>
        <w:spacing w:line="40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4.以上事项如有虚假或者隐瞒，我方愿意承担一切后果，并不再寻求任何旨在减轻或者免除法律责任的辩解。</w:t>
      </w:r>
    </w:p>
    <w:p w14:paraId="02A52184">
      <w:pPr>
        <w:spacing w:line="400" w:lineRule="exact"/>
        <w:contextualSpacing/>
        <w:jc w:val="left"/>
        <w:rPr>
          <w:rFonts w:ascii="宋体" w:hAnsi="宋体"/>
          <w:color w:val="auto"/>
          <w:szCs w:val="21"/>
          <w:highlight w:val="none"/>
        </w:rPr>
      </w:pPr>
      <w:r>
        <w:rPr>
          <w:rFonts w:hint="eastAsia" w:ascii="宋体" w:hAnsi="宋体"/>
          <w:color w:val="auto"/>
          <w:szCs w:val="21"/>
          <w:highlight w:val="none"/>
        </w:rPr>
        <w:t xml:space="preserve">    特此承诺。</w:t>
      </w:r>
    </w:p>
    <w:p w14:paraId="1403859F">
      <w:pPr>
        <w:spacing w:line="400" w:lineRule="exact"/>
        <w:ind w:firstLine="2940" w:firstLineChars="1400"/>
        <w:contextualSpacing/>
        <w:jc w:val="left"/>
        <w:rPr>
          <w:rFonts w:ascii="宋体" w:hAnsi="宋体"/>
          <w:color w:val="auto"/>
          <w:szCs w:val="21"/>
          <w:highlight w:val="none"/>
        </w:rPr>
      </w:pPr>
      <w:r>
        <w:rPr>
          <w:rFonts w:hint="eastAsia" w:ascii="宋体" w:hAnsi="宋体"/>
          <w:color w:val="auto"/>
          <w:szCs w:val="21"/>
          <w:highlight w:val="none"/>
        </w:rPr>
        <w:t>法定代表人（或负责人）（签字或电子签名）：</w:t>
      </w:r>
      <w:r>
        <w:rPr>
          <w:rFonts w:hint="eastAsia" w:ascii="宋体" w:hAnsi="宋体"/>
          <w:color w:val="auto"/>
          <w:szCs w:val="21"/>
          <w:highlight w:val="none"/>
          <w:u w:val="single"/>
        </w:rPr>
        <w:t xml:space="preserve">             </w:t>
      </w:r>
    </w:p>
    <w:p w14:paraId="6629E5DE">
      <w:pPr>
        <w:spacing w:line="400" w:lineRule="exact"/>
        <w:contextualSpacing/>
        <w:jc w:val="left"/>
        <w:rPr>
          <w:rFonts w:ascii="宋体" w:hAnsi="宋体"/>
          <w:color w:val="auto"/>
          <w:szCs w:val="21"/>
          <w:highlight w:val="none"/>
        </w:rPr>
      </w:pPr>
      <w:r>
        <w:rPr>
          <w:rFonts w:hint="eastAsia" w:ascii="宋体" w:hAnsi="宋体"/>
          <w:color w:val="auto"/>
          <w:szCs w:val="21"/>
          <w:highlight w:val="none"/>
        </w:rPr>
        <w:t xml:space="preserve">                                         投标人名称（电子签章）：</w:t>
      </w:r>
      <w:r>
        <w:rPr>
          <w:rFonts w:hint="eastAsia" w:ascii="宋体" w:hAnsi="宋体"/>
          <w:color w:val="auto"/>
          <w:szCs w:val="21"/>
          <w:highlight w:val="none"/>
          <w:u w:val="single"/>
        </w:rPr>
        <w:t xml:space="preserve">                 </w:t>
      </w:r>
    </w:p>
    <w:p w14:paraId="7064684E">
      <w:pPr>
        <w:spacing w:line="400" w:lineRule="exact"/>
        <w:contextualSpacing/>
        <w:jc w:val="left"/>
        <w:rPr>
          <w:rFonts w:ascii="宋体" w:hAnsi="宋体"/>
          <w:color w:val="auto"/>
          <w:szCs w:val="21"/>
          <w:highlight w:val="none"/>
        </w:rPr>
      </w:pPr>
      <w:r>
        <w:rPr>
          <w:rFonts w:hint="eastAsia" w:ascii="宋体" w:hAnsi="宋体"/>
          <w:color w:val="auto"/>
          <w:szCs w:val="21"/>
          <w:highlight w:val="none"/>
        </w:rPr>
        <w:t xml:space="preserve">                                                  年    月    日</w:t>
      </w:r>
    </w:p>
    <w:p w14:paraId="57026D39">
      <w:pPr>
        <w:spacing w:line="440" w:lineRule="exact"/>
        <w:contextualSpacing/>
        <w:rPr>
          <w:rFonts w:ascii="宋体" w:hAnsi="宋体"/>
          <w:b/>
          <w:color w:val="auto"/>
          <w:szCs w:val="21"/>
          <w:highlight w:val="none"/>
        </w:rPr>
      </w:pPr>
      <w:bookmarkStart w:id="153" w:name="_Toc19686838"/>
      <w:r>
        <w:rPr>
          <w:rFonts w:hint="eastAsia" w:ascii="宋体" w:hAnsi="宋体"/>
          <w:b/>
          <w:color w:val="auto"/>
          <w:szCs w:val="21"/>
          <w:highlight w:val="none"/>
        </w:rPr>
        <w:t>注：1.如为联合体投标，盖章处须加盖联合体牵头人电子签章并由联合体各方法定代表人（或负责人）分别签字或者电子签名，否则投标无效。</w:t>
      </w:r>
    </w:p>
    <w:p w14:paraId="13250B56">
      <w:pPr>
        <w:spacing w:line="440" w:lineRule="exact"/>
        <w:contextualSpacing/>
        <w:jc w:val="left"/>
        <w:rPr>
          <w:rFonts w:ascii="宋体" w:hAnsi="宋体"/>
          <w:b/>
          <w:color w:val="auto"/>
          <w:szCs w:val="21"/>
          <w:highlight w:val="none"/>
        </w:rPr>
      </w:pPr>
      <w:r>
        <w:rPr>
          <w:rFonts w:hint="eastAsia" w:ascii="宋体" w:hAnsi="宋体"/>
          <w:b/>
          <w:color w:val="auto"/>
          <w:szCs w:val="21"/>
          <w:highlight w:val="none"/>
        </w:rPr>
        <w:t>2</w:t>
      </w:r>
      <w:r>
        <w:rPr>
          <w:rFonts w:hint="eastAsia" w:ascii="宋体" w:hAnsi="宋体" w:cs="仿宋_GB2312"/>
          <w:color w:val="auto"/>
          <w:szCs w:val="21"/>
          <w:highlight w:val="none"/>
        </w:rPr>
        <w:t>.法定代表人（或负责人）必须在授权委托书上亲笔签字或者盖章</w:t>
      </w:r>
      <w:r>
        <w:rPr>
          <w:rFonts w:hint="eastAsia" w:ascii="宋体" w:hAnsi="宋体"/>
          <w:color w:val="auto"/>
          <w:szCs w:val="21"/>
          <w:highlight w:val="none"/>
        </w:rPr>
        <w:t>或者电子签名</w:t>
      </w:r>
      <w:r>
        <w:rPr>
          <w:rFonts w:hint="eastAsia" w:ascii="宋体" w:hAnsi="宋体" w:cs="仿宋_GB2312"/>
          <w:color w:val="auto"/>
          <w:szCs w:val="21"/>
          <w:highlight w:val="none"/>
        </w:rPr>
        <w:t>，</w:t>
      </w:r>
      <w:r>
        <w:rPr>
          <w:rFonts w:hint="eastAsia" w:ascii="宋体" w:hAnsi="宋体" w:cs="仿宋_GB2312"/>
          <w:b/>
          <w:bCs/>
          <w:color w:val="auto"/>
          <w:szCs w:val="21"/>
          <w:highlight w:val="none"/>
        </w:rPr>
        <w:t>否则按无效投标处理</w:t>
      </w:r>
      <w:r>
        <w:rPr>
          <w:rFonts w:hint="eastAsia" w:ascii="宋体" w:hAnsi="宋体" w:cs="仿宋_GB2312"/>
          <w:color w:val="auto"/>
          <w:szCs w:val="21"/>
          <w:highlight w:val="none"/>
        </w:rPr>
        <w:t>；</w:t>
      </w:r>
    </w:p>
    <w:p w14:paraId="0F309DBD">
      <w:pPr>
        <w:rPr>
          <w:rFonts w:ascii="宋体" w:hAns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三、商务文件格式</w:t>
      </w:r>
      <w:bookmarkEnd w:id="153"/>
    </w:p>
    <w:p w14:paraId="572017AD">
      <w:pPr>
        <w:snapToGrid w:val="0"/>
        <w:spacing w:before="120" w:beforeLines="50" w:after="50" w:line="360" w:lineRule="auto"/>
        <w:jc w:val="left"/>
        <w:rPr>
          <w:rFonts w:ascii="宋体" w:hAnsi="宋体"/>
          <w:b/>
          <w:color w:val="auto"/>
          <w:sz w:val="24"/>
          <w:highlight w:val="none"/>
        </w:rPr>
      </w:pPr>
      <w:r>
        <w:rPr>
          <w:rFonts w:hint="eastAsia" w:ascii="宋体" w:hAnsi="宋体"/>
          <w:b/>
          <w:color w:val="auto"/>
          <w:sz w:val="24"/>
          <w:highlight w:val="none"/>
        </w:rPr>
        <w:t xml:space="preserve">1.商务文件封面格式： </w:t>
      </w:r>
    </w:p>
    <w:p w14:paraId="053934A6">
      <w:pPr>
        <w:snapToGrid w:val="0"/>
        <w:spacing w:before="120" w:beforeLines="50" w:after="50"/>
        <w:jc w:val="center"/>
        <w:rPr>
          <w:rFonts w:ascii="宋体" w:hAnsi="宋体"/>
          <w:bCs/>
          <w:color w:val="auto"/>
          <w:sz w:val="48"/>
          <w:szCs w:val="48"/>
          <w:highlight w:val="none"/>
        </w:rPr>
      </w:pPr>
    </w:p>
    <w:p w14:paraId="7EA56DE3">
      <w:pPr>
        <w:snapToGrid w:val="0"/>
        <w:spacing w:before="120" w:beforeLines="50" w:after="50"/>
        <w:jc w:val="center"/>
        <w:rPr>
          <w:rFonts w:ascii="宋体" w:hAnsi="宋体"/>
          <w:color w:val="auto"/>
          <w:sz w:val="24"/>
          <w:highlight w:val="none"/>
        </w:rPr>
      </w:pPr>
      <w:r>
        <w:rPr>
          <w:rFonts w:hint="eastAsia" w:ascii="宋体" w:hAnsi="宋体"/>
          <w:bCs/>
          <w:color w:val="auto"/>
          <w:sz w:val="48"/>
          <w:szCs w:val="48"/>
          <w:highlight w:val="none"/>
        </w:rPr>
        <w:t>电子投标文件</w:t>
      </w:r>
    </w:p>
    <w:p w14:paraId="2B759667">
      <w:pPr>
        <w:snapToGrid w:val="0"/>
        <w:spacing w:before="120" w:beforeLines="50" w:after="50"/>
        <w:jc w:val="center"/>
        <w:rPr>
          <w:rFonts w:ascii="宋体" w:hAnsi="宋体" w:cs="方正小标宋简体"/>
          <w:bCs/>
          <w:color w:val="auto"/>
          <w:sz w:val="44"/>
          <w:szCs w:val="44"/>
          <w:highlight w:val="none"/>
        </w:rPr>
      </w:pPr>
    </w:p>
    <w:p w14:paraId="5917A77C">
      <w:pPr>
        <w:snapToGrid w:val="0"/>
        <w:spacing w:before="120" w:beforeLines="50" w:after="50"/>
        <w:jc w:val="center"/>
        <w:rPr>
          <w:rFonts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商  务  文  件</w:t>
      </w:r>
    </w:p>
    <w:p w14:paraId="7B81377B">
      <w:pPr>
        <w:snapToGrid w:val="0"/>
        <w:spacing w:before="120" w:beforeLines="50" w:after="50"/>
        <w:rPr>
          <w:rFonts w:ascii="宋体" w:hAnsi="宋体"/>
          <w:bCs/>
          <w:color w:val="auto"/>
          <w:sz w:val="24"/>
          <w:szCs w:val="20"/>
          <w:highlight w:val="none"/>
        </w:rPr>
      </w:pPr>
    </w:p>
    <w:p w14:paraId="273A580E">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0450D9FF">
      <w:pPr>
        <w:snapToGrid w:val="0"/>
        <w:spacing w:before="120" w:beforeLines="50" w:after="50"/>
        <w:ind w:firstLine="540" w:firstLineChars="225"/>
        <w:rPr>
          <w:rFonts w:ascii="宋体" w:hAnsi="宋体"/>
          <w:bCs/>
          <w:color w:val="auto"/>
          <w:sz w:val="24"/>
          <w:szCs w:val="20"/>
          <w:highlight w:val="none"/>
        </w:rPr>
      </w:pPr>
    </w:p>
    <w:p w14:paraId="2CC7B500">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04777EAC">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77432C67">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所投分标：无，则写“/”</w:t>
      </w:r>
    </w:p>
    <w:p w14:paraId="670B53CB">
      <w:pPr>
        <w:snapToGrid w:val="0"/>
        <w:spacing w:before="120" w:beforeLines="50" w:after="50"/>
        <w:ind w:firstLine="540" w:firstLineChars="225"/>
        <w:rPr>
          <w:rFonts w:ascii="宋体" w:hAnsi="宋体"/>
          <w:bCs/>
          <w:color w:val="auto"/>
          <w:sz w:val="24"/>
          <w:szCs w:val="20"/>
          <w:highlight w:val="none"/>
        </w:rPr>
      </w:pPr>
    </w:p>
    <w:p w14:paraId="389A6DA3">
      <w:pPr>
        <w:pStyle w:val="10"/>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176CC65B">
      <w:pPr>
        <w:pStyle w:val="10"/>
        <w:snapToGrid w:val="0"/>
        <w:spacing w:before="50" w:after="50"/>
        <w:ind w:firstLine="540" w:firstLineChars="225"/>
        <w:rPr>
          <w:rFonts w:ascii="宋体" w:hAnsi="宋体"/>
          <w:bCs/>
          <w:color w:val="auto"/>
          <w:sz w:val="24"/>
          <w:szCs w:val="24"/>
          <w:highlight w:val="none"/>
        </w:rPr>
      </w:pPr>
    </w:p>
    <w:p w14:paraId="4302571E">
      <w:pPr>
        <w:pStyle w:val="10"/>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投标人地址：</w:t>
      </w:r>
    </w:p>
    <w:p w14:paraId="4BD4ED5E">
      <w:pPr>
        <w:pStyle w:val="10"/>
        <w:snapToGrid w:val="0"/>
        <w:spacing w:before="50" w:after="50"/>
        <w:ind w:firstLine="960" w:firstLineChars="400"/>
        <w:rPr>
          <w:rFonts w:ascii="宋体" w:hAnsi="宋体"/>
          <w:bCs/>
          <w:color w:val="auto"/>
          <w:sz w:val="24"/>
          <w:szCs w:val="24"/>
          <w:highlight w:val="none"/>
        </w:rPr>
      </w:pPr>
    </w:p>
    <w:p w14:paraId="42A31653">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059C4C91">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5832050E">
      <w:pPr>
        <w:snapToGrid w:val="0"/>
        <w:spacing w:line="360" w:lineRule="auto"/>
        <w:jc w:val="left"/>
        <w:rPr>
          <w:rFonts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2.商务文件目录</w:t>
      </w:r>
    </w:p>
    <w:p w14:paraId="11F8D4A3">
      <w:pPr>
        <w:snapToGrid w:val="0"/>
        <w:spacing w:before="50" w:after="120" w:afterLines="50" w:line="360" w:lineRule="auto"/>
        <w:ind w:firstLine="420" w:firstLineChars="200"/>
        <w:jc w:val="left"/>
        <w:rPr>
          <w:rFonts w:ascii="宋体" w:hAnsi="宋体"/>
          <w:b/>
          <w:bCs/>
          <w:color w:val="auto"/>
          <w:szCs w:val="21"/>
          <w:highlight w:val="none"/>
        </w:rPr>
      </w:pPr>
      <w:r>
        <w:rPr>
          <w:rFonts w:hint="eastAsia" w:ascii="宋体" w:hAnsi="宋体"/>
          <w:color w:val="auto"/>
          <w:szCs w:val="21"/>
          <w:highlight w:val="none"/>
        </w:rPr>
        <w:t>根据招标文件规定及投标人提供的材料自行编写目录。</w:t>
      </w:r>
    </w:p>
    <w:p w14:paraId="12022FEF">
      <w:pPr>
        <w:snapToGrid w:val="0"/>
        <w:spacing w:before="50" w:after="120" w:afterLines="50"/>
        <w:jc w:val="left"/>
        <w:rPr>
          <w:rFonts w:ascii="宋体" w:hAnsi="宋体"/>
          <w:color w:val="auto"/>
          <w:highlight w:val="none"/>
        </w:rPr>
      </w:pPr>
    </w:p>
    <w:p w14:paraId="78F59892">
      <w:pPr>
        <w:snapToGrid w:val="0"/>
        <w:spacing w:before="120" w:beforeLines="50" w:after="5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00EB1473">
      <w:pPr>
        <w:snapToGrid w:val="0"/>
        <w:spacing w:before="120" w:beforeLines="50" w:after="50"/>
        <w:jc w:val="left"/>
        <w:rPr>
          <w:rFonts w:ascii="宋体" w:hAnsi="宋体"/>
          <w:b/>
          <w:color w:val="auto"/>
          <w:sz w:val="24"/>
          <w:highlight w:val="none"/>
        </w:rPr>
      </w:pPr>
    </w:p>
    <w:p w14:paraId="557C398C">
      <w:pPr>
        <w:spacing w:line="360" w:lineRule="auto"/>
        <w:ind w:left="420"/>
        <w:contextualSpacing/>
        <w:jc w:val="center"/>
        <w:rPr>
          <w:rFonts w:ascii="宋体" w:hAnsi="宋体"/>
          <w:b/>
          <w:color w:val="auto"/>
          <w:sz w:val="24"/>
          <w:highlight w:val="none"/>
        </w:rPr>
      </w:pPr>
      <w:r>
        <w:rPr>
          <w:rFonts w:hint="eastAsia" w:ascii="宋体" w:hAnsi="宋体" w:cs="方正小标宋简体"/>
          <w:bCs/>
          <w:color w:val="auto"/>
          <w:spacing w:val="-11"/>
          <w:sz w:val="44"/>
          <w:szCs w:val="44"/>
          <w:highlight w:val="none"/>
        </w:rPr>
        <w:t>投标人参加本项目无围标串标行为的承诺函</w:t>
      </w:r>
    </w:p>
    <w:p w14:paraId="19B88B6D">
      <w:pPr>
        <w:spacing w:line="440" w:lineRule="exact"/>
        <w:contextualSpacing/>
        <w:jc w:val="left"/>
        <w:rPr>
          <w:rFonts w:ascii="宋体" w:hAnsi="宋体"/>
          <w:b/>
          <w:color w:val="auto"/>
          <w:szCs w:val="21"/>
          <w:highlight w:val="none"/>
        </w:rPr>
      </w:pPr>
      <w:r>
        <w:rPr>
          <w:rFonts w:hint="eastAsia" w:ascii="宋体" w:hAnsi="宋体"/>
          <w:b/>
          <w:color w:val="auto"/>
          <w:szCs w:val="21"/>
          <w:highlight w:val="none"/>
        </w:rPr>
        <w:t>一、我方承诺无下列相互串通投标的情形：</w:t>
      </w:r>
    </w:p>
    <w:p w14:paraId="57C99230">
      <w:pPr>
        <w:spacing w:line="44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1.不同投标人的投标文件由同一单位或者个人编制；</w:t>
      </w:r>
    </w:p>
    <w:p w14:paraId="6AFA211D">
      <w:pPr>
        <w:spacing w:line="44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18D54209">
      <w:pPr>
        <w:spacing w:line="44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14:paraId="48530758">
      <w:pPr>
        <w:spacing w:line="44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344D9E06">
      <w:pPr>
        <w:spacing w:line="44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5.不同投标人的投标文件相互混装；</w:t>
      </w:r>
    </w:p>
    <w:p w14:paraId="20B42AF7">
      <w:pPr>
        <w:spacing w:line="44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6.不同投标人的投标保证金从同一单位或者个人账户转出。</w:t>
      </w:r>
    </w:p>
    <w:p w14:paraId="3AE116F4">
      <w:pPr>
        <w:spacing w:line="440" w:lineRule="exact"/>
        <w:contextualSpacing/>
        <w:jc w:val="left"/>
        <w:rPr>
          <w:rFonts w:ascii="宋体" w:hAnsi="宋体"/>
          <w:color w:val="auto"/>
          <w:szCs w:val="21"/>
          <w:highlight w:val="none"/>
        </w:rPr>
      </w:pPr>
      <w:r>
        <w:rPr>
          <w:rFonts w:hint="eastAsia" w:ascii="宋体" w:hAnsi="宋体"/>
          <w:b/>
          <w:color w:val="auto"/>
          <w:szCs w:val="21"/>
          <w:highlight w:val="none"/>
        </w:rPr>
        <w:t>二、我方承诺无下列恶意串通的情形：</w:t>
      </w:r>
    </w:p>
    <w:p w14:paraId="683A6495">
      <w:pPr>
        <w:spacing w:line="44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1.投标人直接或者间接从采购人或者采购代理机构处获得其他投标人的相关信息并修改其投标文件或者响应文件；</w:t>
      </w:r>
    </w:p>
    <w:p w14:paraId="23318F15">
      <w:pPr>
        <w:spacing w:line="44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2.投标人按照采购人或者采购代理机构的授意撤换、修改投标文件或者响应文件；</w:t>
      </w:r>
    </w:p>
    <w:p w14:paraId="3F4AE222">
      <w:pPr>
        <w:spacing w:line="44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3.投标人之间协商报价、技术方案等投标文件或者响应文件的实质性内容；</w:t>
      </w:r>
    </w:p>
    <w:p w14:paraId="36D21376">
      <w:pPr>
        <w:spacing w:line="44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14:paraId="344158EE">
      <w:pPr>
        <w:spacing w:line="44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49FD6BBE">
      <w:pPr>
        <w:spacing w:line="44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14:paraId="1A1B243A">
      <w:pPr>
        <w:spacing w:line="44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14:paraId="1E49947F">
      <w:pPr>
        <w:spacing w:line="440" w:lineRule="exact"/>
        <w:ind w:firstLine="413" w:firstLineChars="196"/>
        <w:contextualSpacing/>
        <w:jc w:val="left"/>
        <w:rPr>
          <w:rFonts w:ascii="宋体" w:hAnsi="宋体"/>
          <w:b/>
          <w:color w:val="auto"/>
          <w:szCs w:val="21"/>
          <w:highlight w:val="none"/>
        </w:rPr>
      </w:pPr>
      <w:r>
        <w:rPr>
          <w:rFonts w:hint="eastAsia" w:ascii="宋体" w:hAnsi="宋体"/>
          <w:b/>
          <w:color w:val="auto"/>
          <w:szCs w:val="21"/>
          <w:highlight w:val="none"/>
        </w:rPr>
        <w:t>以上情形一经核查属实，我方愿意承担一切后果，并不再寻求任何旨在减轻或者免除法律责任的辩解。</w:t>
      </w:r>
    </w:p>
    <w:p w14:paraId="07D2944C">
      <w:pPr>
        <w:pStyle w:val="27"/>
        <w:spacing w:line="440" w:lineRule="exact"/>
        <w:ind w:firstLine="5985" w:firstLineChars="2850"/>
        <w:contextualSpacing/>
        <w:rPr>
          <w:rFonts w:hAnsi="宋体"/>
          <w:color w:val="auto"/>
          <w:sz w:val="21"/>
          <w:highlight w:val="none"/>
        </w:rPr>
      </w:pPr>
    </w:p>
    <w:p w14:paraId="348FD804">
      <w:pPr>
        <w:pStyle w:val="27"/>
        <w:spacing w:line="440" w:lineRule="exact"/>
        <w:contextualSpacing/>
        <w:jc w:val="center"/>
        <w:rPr>
          <w:rFonts w:hAnsi="宋体"/>
          <w:color w:val="auto"/>
          <w:sz w:val="21"/>
          <w:highlight w:val="none"/>
        </w:rPr>
      </w:pPr>
      <w:r>
        <w:rPr>
          <w:rFonts w:hint="eastAsia" w:hAnsi="宋体"/>
          <w:color w:val="auto"/>
          <w:sz w:val="21"/>
          <w:highlight w:val="none"/>
        </w:rPr>
        <w:t xml:space="preserve"> </w:t>
      </w:r>
      <w:r>
        <w:rPr>
          <w:rFonts w:hAnsi="宋体"/>
          <w:color w:val="auto"/>
          <w:sz w:val="21"/>
          <w:highlight w:val="none"/>
        </w:rPr>
        <w:t xml:space="preserve">                                   </w:t>
      </w:r>
      <w:r>
        <w:rPr>
          <w:rFonts w:hint="eastAsia" w:hAnsi="宋体"/>
          <w:color w:val="auto"/>
          <w:sz w:val="21"/>
          <w:highlight w:val="none"/>
        </w:rPr>
        <w:t>投标人名称（电子签章）</w:t>
      </w:r>
    </w:p>
    <w:p w14:paraId="0D5ED1F8">
      <w:pPr>
        <w:pStyle w:val="27"/>
        <w:spacing w:line="440" w:lineRule="exact"/>
        <w:contextualSpacing/>
        <w:rPr>
          <w:rFonts w:hAnsi="宋体"/>
          <w:color w:val="auto"/>
          <w:sz w:val="21"/>
          <w:highlight w:val="none"/>
        </w:rPr>
        <w:sectPr>
          <w:pgSz w:w="11906" w:h="16838"/>
          <w:pgMar w:top="1134" w:right="1332" w:bottom="1134" w:left="1332" w:header="851" w:footer="992" w:gutter="0"/>
          <w:cols w:space="0" w:num="1"/>
          <w:titlePg/>
          <w:docGrid w:linePitch="312" w:charSpace="0"/>
        </w:sectPr>
      </w:pPr>
      <w:r>
        <w:rPr>
          <w:rFonts w:hint="eastAsia" w:hAnsi="宋体"/>
          <w:color w:val="auto"/>
          <w:sz w:val="21"/>
          <w:highlight w:val="none"/>
        </w:rPr>
        <w:t xml:space="preserve">                                                   </w:t>
      </w:r>
      <w:r>
        <w:rPr>
          <w:rFonts w:hint="eastAsia" w:hAnsi="宋体"/>
          <w:color w:val="auto"/>
          <w:sz w:val="21"/>
          <w:highlight w:val="none"/>
          <w:u w:val="single"/>
        </w:rPr>
        <w:t xml:space="preserve">      </w:t>
      </w:r>
      <w:r>
        <w:rPr>
          <w:rFonts w:hint="eastAsia" w:hAnsi="宋体"/>
          <w:color w:val="auto"/>
          <w:sz w:val="21"/>
          <w:highlight w:val="none"/>
        </w:rPr>
        <w:t>年</w:t>
      </w:r>
      <w:r>
        <w:rPr>
          <w:rFonts w:hint="eastAsia" w:hAnsi="宋体"/>
          <w:color w:val="auto"/>
          <w:sz w:val="21"/>
          <w:highlight w:val="none"/>
          <w:u w:val="single"/>
        </w:rPr>
        <w:t xml:space="preserve">    </w:t>
      </w:r>
      <w:r>
        <w:rPr>
          <w:rFonts w:hint="eastAsia" w:hAnsi="宋体"/>
          <w:color w:val="auto"/>
          <w:sz w:val="21"/>
          <w:highlight w:val="none"/>
        </w:rPr>
        <w:t>月</w:t>
      </w:r>
      <w:r>
        <w:rPr>
          <w:rFonts w:hint="eastAsia" w:hAnsi="宋体"/>
          <w:color w:val="auto"/>
          <w:sz w:val="21"/>
          <w:highlight w:val="none"/>
          <w:u w:val="single"/>
        </w:rPr>
        <w:t xml:space="preserve">     </w:t>
      </w:r>
      <w:r>
        <w:rPr>
          <w:rFonts w:hint="eastAsia" w:hAnsi="宋体"/>
          <w:color w:val="auto"/>
          <w:sz w:val="21"/>
          <w:highlight w:val="none"/>
        </w:rPr>
        <w:t>日</w:t>
      </w:r>
    </w:p>
    <w:p w14:paraId="09A9D9A2">
      <w:pPr>
        <w:snapToGrid w:val="0"/>
        <w:spacing w:before="120" w:beforeLines="50" w:after="50"/>
        <w:jc w:val="left"/>
        <w:rPr>
          <w:rFonts w:ascii="宋体" w:hAnsi="宋体"/>
          <w:b/>
          <w:color w:val="auto"/>
          <w:sz w:val="24"/>
          <w:szCs w:val="20"/>
          <w:highlight w:val="none"/>
        </w:rPr>
      </w:pPr>
      <w:r>
        <w:rPr>
          <w:rFonts w:hint="eastAsia" w:ascii="宋体" w:hAnsi="宋体"/>
          <w:b/>
          <w:color w:val="auto"/>
          <w:sz w:val="24"/>
          <w:highlight w:val="none"/>
        </w:rPr>
        <w:t>4.法定代表人（或负责人）身份证明</w:t>
      </w:r>
    </w:p>
    <w:p w14:paraId="540EDAB7">
      <w:pPr>
        <w:spacing w:before="240" w:beforeLines="100" w:after="120" w:afterLines="50"/>
        <w:ind w:left="540"/>
        <w:jc w:val="center"/>
        <w:rPr>
          <w:rFonts w:ascii="宋体" w:hAnsi="宋体"/>
          <w:b/>
          <w:color w:val="auto"/>
          <w:sz w:val="32"/>
          <w:szCs w:val="32"/>
          <w:highlight w:val="none"/>
        </w:rPr>
      </w:pPr>
    </w:p>
    <w:p w14:paraId="58E98787">
      <w:pPr>
        <w:spacing w:before="240" w:beforeLines="100" w:after="120" w:afterLines="50"/>
        <w:ind w:left="540"/>
        <w:jc w:val="center"/>
        <w:rPr>
          <w:rFonts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法定代表人（或负责人）身份证明</w:t>
      </w:r>
    </w:p>
    <w:p w14:paraId="12013936">
      <w:pPr>
        <w:spacing w:line="500" w:lineRule="exact"/>
        <w:ind w:left="540"/>
        <w:rPr>
          <w:rFonts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p>
    <w:p w14:paraId="53FC870F">
      <w:pPr>
        <w:spacing w:line="500" w:lineRule="exact"/>
        <w:ind w:left="54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19D63E5E">
      <w:pPr>
        <w:spacing w:line="500" w:lineRule="exact"/>
        <w:ind w:left="540"/>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      别：</w:t>
      </w:r>
      <w:r>
        <w:rPr>
          <w:rFonts w:hint="eastAsia" w:ascii="宋体" w:hAnsi="宋体"/>
          <w:color w:val="auto"/>
          <w:szCs w:val="21"/>
          <w:highlight w:val="none"/>
          <w:u w:val="single"/>
        </w:rPr>
        <w:t xml:space="preserve">                </w:t>
      </w:r>
    </w:p>
    <w:p w14:paraId="4B234F8D">
      <w:pPr>
        <w:spacing w:line="500" w:lineRule="exact"/>
        <w:ind w:left="540"/>
        <w:rPr>
          <w:rFonts w:ascii="宋体" w:hAnsi="宋体"/>
          <w:color w:val="auto"/>
          <w:szCs w:val="21"/>
          <w:highlight w:val="none"/>
          <w:u w:val="single"/>
        </w:rPr>
      </w:pPr>
      <w:r>
        <w:rPr>
          <w:rFonts w:hint="eastAsia" w:ascii="宋体" w:hAnsi="宋体"/>
          <w:color w:val="auto"/>
          <w:szCs w:val="21"/>
          <w:highlight w:val="none"/>
        </w:rPr>
        <w:t>年    龄：</w:t>
      </w:r>
      <w:r>
        <w:rPr>
          <w:rFonts w:hint="eastAsia" w:ascii="宋体" w:hAnsi="宋体"/>
          <w:color w:val="auto"/>
          <w:szCs w:val="21"/>
          <w:highlight w:val="none"/>
          <w:u w:val="single"/>
        </w:rPr>
        <w:t xml:space="preserve">                          </w:t>
      </w: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14:paraId="24AF9EEE">
      <w:pPr>
        <w:spacing w:line="500" w:lineRule="exact"/>
        <w:ind w:left="540"/>
        <w:rPr>
          <w:rFonts w:ascii="宋体" w:hAnsi="宋体"/>
          <w:color w:val="auto"/>
          <w:szCs w:val="21"/>
          <w:highlight w:val="non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14:paraId="0070C79D">
      <w:pPr>
        <w:spacing w:line="500" w:lineRule="exact"/>
        <w:ind w:left="540"/>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（投标人名称）              </w:t>
      </w:r>
      <w:r>
        <w:rPr>
          <w:rFonts w:hint="eastAsia" w:ascii="宋体" w:hAnsi="宋体"/>
          <w:color w:val="auto"/>
          <w:szCs w:val="21"/>
          <w:highlight w:val="none"/>
        </w:rPr>
        <w:t>的法定代表人（或负责人）。</w:t>
      </w:r>
    </w:p>
    <w:p w14:paraId="01A67987">
      <w:pPr>
        <w:spacing w:line="500" w:lineRule="exact"/>
        <w:ind w:left="540"/>
        <w:rPr>
          <w:rFonts w:ascii="宋体" w:hAnsi="宋体"/>
          <w:color w:val="auto"/>
          <w:szCs w:val="21"/>
          <w:highlight w:val="none"/>
        </w:rPr>
      </w:pPr>
      <w:r>
        <w:rPr>
          <w:rFonts w:hint="eastAsia" w:ascii="宋体" w:hAnsi="宋体"/>
          <w:color w:val="auto"/>
          <w:szCs w:val="21"/>
          <w:highlight w:val="none"/>
        </w:rPr>
        <w:t>特此证明。</w:t>
      </w:r>
    </w:p>
    <w:p w14:paraId="6A90D8F4">
      <w:pPr>
        <w:spacing w:line="500" w:lineRule="exact"/>
        <w:ind w:left="540"/>
        <w:rPr>
          <w:rFonts w:ascii="宋体" w:hAnsi="宋体"/>
          <w:color w:val="auto"/>
          <w:szCs w:val="21"/>
          <w:highlight w:val="none"/>
        </w:rPr>
      </w:pPr>
    </w:p>
    <w:p w14:paraId="51DFF4B9">
      <w:pPr>
        <w:spacing w:line="500" w:lineRule="exact"/>
        <w:ind w:left="540"/>
        <w:rPr>
          <w:rFonts w:ascii="宋体" w:hAnsi="宋体"/>
          <w:color w:val="auto"/>
          <w:szCs w:val="21"/>
          <w:highlight w:val="none"/>
        </w:rPr>
      </w:pPr>
    </w:p>
    <w:p w14:paraId="17BC33E7">
      <w:pPr>
        <w:spacing w:line="500" w:lineRule="exact"/>
        <w:ind w:left="540"/>
        <w:rPr>
          <w:rFonts w:ascii="宋体" w:hAnsi="宋体"/>
          <w:color w:val="auto"/>
          <w:szCs w:val="21"/>
          <w:highlight w:val="none"/>
        </w:rPr>
      </w:pPr>
      <w:r>
        <w:rPr>
          <w:rFonts w:hint="eastAsia" w:ascii="宋体" w:hAnsi="宋体"/>
          <w:color w:val="auto"/>
          <w:szCs w:val="21"/>
          <w:highlight w:val="none"/>
        </w:rPr>
        <w:t>附件：法定代表人（或负责人）有效身份证正反面复印件</w:t>
      </w:r>
    </w:p>
    <w:p w14:paraId="2A1FDE77">
      <w:pPr>
        <w:spacing w:line="500" w:lineRule="exact"/>
        <w:ind w:left="540"/>
        <w:rPr>
          <w:rFonts w:ascii="宋体" w:hAnsi="宋体"/>
          <w:color w:val="auto"/>
          <w:szCs w:val="21"/>
          <w:highlight w:val="none"/>
        </w:rPr>
      </w:pPr>
    </w:p>
    <w:p w14:paraId="23A641E4">
      <w:pPr>
        <w:spacing w:line="500" w:lineRule="exact"/>
        <w:ind w:left="540"/>
        <w:jc w:val="right"/>
        <w:rPr>
          <w:rFonts w:ascii="宋体" w:hAnsi="宋体"/>
          <w:color w:val="auto"/>
          <w:szCs w:val="21"/>
          <w:highlight w:val="none"/>
        </w:rPr>
      </w:pPr>
      <w:r>
        <w:rPr>
          <w:rFonts w:hint="eastAsia" w:ascii="宋体" w:hAnsi="宋体"/>
          <w:color w:val="auto"/>
          <w:szCs w:val="21"/>
          <w:highlight w:val="none"/>
        </w:rPr>
        <w:t>投标人名称（电子签章）</w:t>
      </w:r>
    </w:p>
    <w:p w14:paraId="3C3A8652">
      <w:pPr>
        <w:spacing w:line="500" w:lineRule="exact"/>
        <w:ind w:left="540"/>
        <w:jc w:val="right"/>
        <w:rPr>
          <w:rFonts w:ascii="宋体" w:hAnsi="宋体"/>
          <w:color w:val="auto"/>
          <w:szCs w:val="21"/>
          <w:highlight w:val="none"/>
        </w:rPr>
      </w:pPr>
    </w:p>
    <w:p w14:paraId="2C3FBE00">
      <w:pPr>
        <w:snapToGrid w:val="0"/>
        <w:spacing w:before="120" w:beforeLines="50" w:after="50"/>
        <w:ind w:left="540"/>
        <w:jc w:val="righ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468C10C">
      <w:pPr>
        <w:snapToGrid w:val="0"/>
        <w:spacing w:before="120" w:beforeLines="50" w:after="50"/>
        <w:jc w:val="center"/>
        <w:rPr>
          <w:rFonts w:ascii="宋体" w:hAnsi="宋体"/>
          <w:b/>
          <w:color w:val="auto"/>
          <w:szCs w:val="21"/>
          <w:highlight w:val="none"/>
        </w:rPr>
      </w:pPr>
    </w:p>
    <w:p w14:paraId="61C2A1EE">
      <w:pPr>
        <w:snapToGrid w:val="0"/>
        <w:spacing w:before="120" w:beforeLines="50" w:after="50"/>
        <w:jc w:val="left"/>
        <w:rPr>
          <w:rFonts w:ascii="宋体" w:hAnsi="宋体"/>
          <w:b/>
          <w:color w:val="auto"/>
          <w:szCs w:val="21"/>
          <w:highlight w:val="none"/>
        </w:rPr>
      </w:pPr>
      <w:r>
        <w:rPr>
          <w:rFonts w:hint="eastAsia" w:ascii="宋体" w:hAnsi="宋体"/>
          <w:color w:val="auto"/>
          <w:szCs w:val="21"/>
          <w:highlight w:val="none"/>
        </w:rPr>
        <w:t>注：自然人投标的无需提供</w:t>
      </w:r>
    </w:p>
    <w:p w14:paraId="02CB06A0">
      <w:pPr>
        <w:snapToGrid w:val="0"/>
        <w:spacing w:before="120" w:beforeLines="50" w:after="5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41C9CF76">
      <w:pPr>
        <w:spacing w:line="360" w:lineRule="auto"/>
        <w:contextualSpacing/>
        <w:jc w:val="center"/>
        <w:rPr>
          <w:rFonts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授权委托书</w:t>
      </w:r>
    </w:p>
    <w:p w14:paraId="7628C991">
      <w:pPr>
        <w:spacing w:line="360" w:lineRule="auto"/>
        <w:contextualSpacing/>
        <w:jc w:val="center"/>
        <w:rPr>
          <w:rFonts w:ascii="宋体" w:hAnsi="宋体" w:cs="方正小标宋简体"/>
          <w:bCs/>
          <w:color w:val="auto"/>
          <w:sz w:val="32"/>
          <w:szCs w:val="32"/>
          <w:highlight w:val="none"/>
        </w:rPr>
      </w:pPr>
      <w:r>
        <w:rPr>
          <w:rFonts w:hint="eastAsia" w:ascii="宋体" w:hAnsi="宋体" w:cs="方正小标宋简体"/>
          <w:bCs/>
          <w:color w:val="auto"/>
          <w:sz w:val="32"/>
          <w:szCs w:val="32"/>
          <w:highlight w:val="none"/>
        </w:rPr>
        <w:t>（非联合体投标格式）</w:t>
      </w:r>
    </w:p>
    <w:p w14:paraId="15C9BF82">
      <w:pPr>
        <w:spacing w:line="360" w:lineRule="auto"/>
        <w:contextualSpacing/>
        <w:jc w:val="center"/>
        <w:rPr>
          <w:rFonts w:ascii="宋体" w:hAnsi="宋体" w:cs="方正小标宋简体"/>
          <w:bCs/>
          <w:color w:val="auto"/>
          <w:sz w:val="24"/>
          <w:highlight w:val="none"/>
        </w:rPr>
      </w:pPr>
      <w:r>
        <w:rPr>
          <w:rFonts w:hint="eastAsia" w:ascii="宋体" w:hAnsi="宋体" w:cs="方正小标宋简体"/>
          <w:bCs/>
          <w:color w:val="auto"/>
          <w:sz w:val="32"/>
          <w:szCs w:val="32"/>
          <w:highlight w:val="none"/>
        </w:rPr>
        <w:t>（如有委托时）</w:t>
      </w:r>
    </w:p>
    <w:p w14:paraId="77C48D34">
      <w:pPr>
        <w:spacing w:line="440" w:lineRule="exact"/>
        <w:contextualSpacing/>
        <w:jc w:val="center"/>
        <w:rPr>
          <w:rFonts w:ascii="宋体" w:hAnsi="宋体"/>
          <w:b/>
          <w:color w:val="auto"/>
          <w:sz w:val="24"/>
          <w:highlight w:val="none"/>
        </w:rPr>
      </w:pPr>
    </w:p>
    <w:p w14:paraId="4A69FFD2">
      <w:pPr>
        <w:spacing w:line="440" w:lineRule="exact"/>
        <w:contextualSpacing/>
        <w:rPr>
          <w:rFonts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szCs w:val="21"/>
          <w:highlight w:val="none"/>
          <w:u w:val="single"/>
        </w:rPr>
        <w:t>采购人名称</w:t>
      </w:r>
      <w:r>
        <w:rPr>
          <w:rFonts w:hint="eastAsia" w:ascii="宋体" w:hAnsi="宋体"/>
          <w:color w:val="auto"/>
          <w:szCs w:val="21"/>
          <w:highlight w:val="none"/>
        </w:rPr>
        <w:t>：</w:t>
      </w:r>
    </w:p>
    <w:p w14:paraId="5F8805E9">
      <w:pPr>
        <w:spacing w:line="440" w:lineRule="exact"/>
        <w:ind w:firstLine="495" w:firstLineChars="236"/>
        <w:contextualSpacing/>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（投标人名称）的法定代表人（或负责人），现授权委托</w:t>
      </w:r>
      <w:r>
        <w:rPr>
          <w:rFonts w:hint="eastAsia" w:ascii="宋体" w:hAnsi="宋体"/>
          <w:color w:val="auto"/>
          <w:szCs w:val="21"/>
          <w:highlight w:val="none"/>
          <w:u w:val="single"/>
        </w:rPr>
        <w:t xml:space="preserve">              （姓名）</w:t>
      </w:r>
      <w:r>
        <w:rPr>
          <w:rFonts w:hint="eastAsia" w:ascii="宋体" w:hAnsi="宋体"/>
          <w:color w:val="auto"/>
          <w:szCs w:val="21"/>
          <w:highlight w:val="none"/>
        </w:rPr>
        <w:t>以我方的名义参加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项目的投标活动，并代表我方全权办理针对上述项目的所有采购程序和环节的具体事务和签署相关文件。</w:t>
      </w:r>
    </w:p>
    <w:p w14:paraId="0057A7B2">
      <w:pPr>
        <w:spacing w:line="440" w:lineRule="exact"/>
        <w:contextualSpacing/>
        <w:rPr>
          <w:rFonts w:ascii="宋体" w:hAnsi="宋体"/>
          <w:color w:val="auto"/>
          <w:szCs w:val="21"/>
          <w:highlight w:val="none"/>
        </w:rPr>
      </w:pPr>
      <w:r>
        <w:rPr>
          <w:rFonts w:hint="eastAsia" w:ascii="宋体" w:hAnsi="宋体"/>
          <w:color w:val="auto"/>
          <w:szCs w:val="21"/>
          <w:highlight w:val="none"/>
        </w:rPr>
        <w:t xml:space="preserve">    我方对委托代理人的签字或者电子签名事项负全部责任。</w:t>
      </w:r>
    </w:p>
    <w:p w14:paraId="3DC9084B">
      <w:pPr>
        <w:spacing w:line="440" w:lineRule="exact"/>
        <w:ind w:firstLine="480"/>
        <w:contextualSpacing/>
        <w:rPr>
          <w:rFonts w:ascii="宋体" w:hAnsi="宋体"/>
          <w:color w:val="auto"/>
          <w:szCs w:val="21"/>
          <w:highlight w:val="none"/>
        </w:rPr>
      </w:pPr>
      <w:r>
        <w:rPr>
          <w:rFonts w:hint="eastAsia" w:ascii="宋体" w:hAnsi="宋体"/>
          <w:color w:val="auto"/>
          <w:szCs w:val="21"/>
          <w:highlight w:val="none"/>
          <w:u w:val="single"/>
        </w:rPr>
        <w:t>本授权书自签署之日起生效，在撤销授权的书面通知以前，本授权书一直有效。委托代理人在授权书有效期内签署的所有文件不因授权的撤销而失效。</w:t>
      </w:r>
    </w:p>
    <w:p w14:paraId="644FFAAA">
      <w:pPr>
        <w:spacing w:line="440" w:lineRule="exact"/>
        <w:ind w:firstLine="480"/>
        <w:contextualSpacing/>
        <w:rPr>
          <w:rFonts w:ascii="宋体" w:hAnsi="宋体"/>
          <w:color w:val="auto"/>
          <w:szCs w:val="21"/>
          <w:highlight w:val="none"/>
        </w:rPr>
      </w:pPr>
      <w:r>
        <w:rPr>
          <w:rFonts w:hint="eastAsia" w:ascii="宋体" w:hAnsi="宋体"/>
          <w:color w:val="auto"/>
          <w:szCs w:val="21"/>
          <w:highlight w:val="none"/>
        </w:rPr>
        <w:t>委托代理人无转委托权，特此委托。</w:t>
      </w:r>
    </w:p>
    <w:p w14:paraId="6B5036AE">
      <w:pPr>
        <w:spacing w:line="440" w:lineRule="exact"/>
        <w:ind w:firstLine="480"/>
        <w:contextualSpacing/>
        <w:rPr>
          <w:rFonts w:ascii="宋体" w:hAnsi="宋体"/>
          <w:color w:val="auto"/>
          <w:szCs w:val="21"/>
          <w:highlight w:val="none"/>
        </w:rPr>
      </w:pPr>
      <w:r>
        <w:rPr>
          <w:rFonts w:hint="eastAsia" w:ascii="宋体" w:hAnsi="宋体"/>
          <w:color w:val="auto"/>
          <w:szCs w:val="21"/>
          <w:highlight w:val="none"/>
        </w:rPr>
        <w:t>附：法定代表人（或负责人）身份证明及委托代理人有效身份证正反面复印件</w:t>
      </w:r>
    </w:p>
    <w:p w14:paraId="7F4E92C4">
      <w:pPr>
        <w:spacing w:line="440" w:lineRule="exact"/>
        <w:contextualSpacing/>
        <w:rPr>
          <w:rFonts w:ascii="宋体" w:hAnsi="宋体"/>
          <w:color w:val="auto"/>
          <w:szCs w:val="21"/>
          <w:highlight w:val="none"/>
        </w:rPr>
      </w:pPr>
    </w:p>
    <w:p w14:paraId="0461563A">
      <w:pPr>
        <w:spacing w:line="440" w:lineRule="exact"/>
        <w:contextualSpacing/>
        <w:rPr>
          <w:rFonts w:ascii="宋体" w:hAnsi="宋体"/>
          <w:color w:val="auto"/>
          <w:szCs w:val="21"/>
          <w:highlight w:val="none"/>
        </w:rPr>
      </w:pPr>
      <w:r>
        <w:rPr>
          <w:rFonts w:hint="eastAsia" w:ascii="宋体" w:hAnsi="宋体"/>
          <w:color w:val="auto"/>
          <w:szCs w:val="21"/>
          <w:highlight w:val="none"/>
        </w:rPr>
        <w:t>委托代理人（签字或电子签名）：</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535ADA3">
      <w:pPr>
        <w:spacing w:line="440" w:lineRule="exact"/>
        <w:contextualSpacing/>
        <w:rPr>
          <w:rFonts w:ascii="宋体" w:hAnsi="宋体"/>
          <w:color w:val="auto"/>
          <w:szCs w:val="21"/>
          <w:highlight w:val="none"/>
          <w:u w:val="single"/>
        </w:rPr>
      </w:pPr>
      <w:r>
        <w:rPr>
          <w:rFonts w:hint="eastAsia" w:ascii="宋体" w:hAnsi="宋体"/>
          <w:color w:val="auto"/>
          <w:szCs w:val="21"/>
          <w:highlight w:val="none"/>
        </w:rPr>
        <w:t>委托代理人身份证号码：</w:t>
      </w:r>
      <w:r>
        <w:rPr>
          <w:rFonts w:hint="eastAsia" w:ascii="宋体" w:hAnsi="宋体"/>
          <w:color w:val="auto"/>
          <w:szCs w:val="21"/>
          <w:highlight w:val="none"/>
          <w:u w:val="single"/>
        </w:rPr>
        <w:t xml:space="preserve">                             </w:t>
      </w:r>
    </w:p>
    <w:p w14:paraId="17531365">
      <w:pPr>
        <w:spacing w:line="440" w:lineRule="exact"/>
        <w:contextualSpacing/>
        <w:rPr>
          <w:rFonts w:ascii="宋体" w:hAnsi="宋体"/>
          <w:color w:val="auto"/>
          <w:szCs w:val="21"/>
          <w:highlight w:val="none"/>
          <w:u w:val="single"/>
        </w:rPr>
      </w:pPr>
      <w:r>
        <w:rPr>
          <w:rFonts w:hint="eastAsia" w:ascii="宋体" w:hAnsi="宋体"/>
          <w:color w:val="auto"/>
          <w:szCs w:val="21"/>
          <w:highlight w:val="none"/>
        </w:rPr>
        <w:t>法定代表人（或负责人）（签字或电子签名）：</w:t>
      </w:r>
      <w:r>
        <w:rPr>
          <w:rFonts w:hint="eastAsia" w:ascii="宋体" w:hAnsi="宋体"/>
          <w:color w:val="auto"/>
          <w:szCs w:val="21"/>
          <w:highlight w:val="none"/>
          <w:u w:val="single"/>
        </w:rPr>
        <w:t xml:space="preserve">              </w:t>
      </w:r>
    </w:p>
    <w:p w14:paraId="691BC09D">
      <w:pPr>
        <w:spacing w:line="440" w:lineRule="exact"/>
        <w:contextualSpacing/>
        <w:rPr>
          <w:rFonts w:ascii="宋体" w:hAnsi="宋体"/>
          <w:color w:val="auto"/>
          <w:szCs w:val="21"/>
          <w:highlight w:val="none"/>
        </w:rPr>
      </w:pPr>
      <w:r>
        <w:rPr>
          <w:rFonts w:hint="eastAsia" w:ascii="宋体" w:hAnsi="宋体"/>
          <w:color w:val="auto"/>
          <w:szCs w:val="21"/>
          <w:highlight w:val="none"/>
        </w:rPr>
        <w:t xml:space="preserve"> </w:t>
      </w:r>
    </w:p>
    <w:p w14:paraId="68B92657">
      <w:pPr>
        <w:spacing w:line="440" w:lineRule="exact"/>
        <w:contextualSpacing/>
        <w:jc w:val="center"/>
        <w:rPr>
          <w:rFonts w:ascii="宋体" w:hAnsi="宋体"/>
          <w:color w:val="auto"/>
          <w:szCs w:val="21"/>
          <w:highlight w:val="none"/>
        </w:rPr>
      </w:pPr>
      <w:r>
        <w:rPr>
          <w:rFonts w:hint="eastAsia" w:ascii="宋体" w:hAnsi="宋体"/>
          <w:color w:val="auto"/>
          <w:szCs w:val="21"/>
          <w:highlight w:val="none"/>
        </w:rPr>
        <w:t xml:space="preserve">                                                投标人名称（电子签章）：</w:t>
      </w:r>
    </w:p>
    <w:p w14:paraId="2200D99C">
      <w:pPr>
        <w:spacing w:line="440" w:lineRule="exact"/>
        <w:contextualSpacing/>
        <w:jc w:val="center"/>
        <w:rPr>
          <w:rFonts w:ascii="宋体" w:hAnsi="宋体"/>
          <w:color w:val="auto"/>
          <w:szCs w:val="21"/>
          <w:highlight w:val="none"/>
        </w:rPr>
      </w:pPr>
      <w:r>
        <w:rPr>
          <w:rFonts w:hint="eastAsia" w:ascii="宋体" w:hAnsi="宋体"/>
          <w:color w:val="auto"/>
          <w:szCs w:val="21"/>
          <w:highlight w:val="none"/>
        </w:rPr>
        <w:t xml:space="preserve">                                              年    月    日</w:t>
      </w:r>
    </w:p>
    <w:p w14:paraId="15A8EEC5">
      <w:pPr>
        <w:spacing w:line="440" w:lineRule="exact"/>
        <w:contextualSpacing/>
        <w:rPr>
          <w:rFonts w:ascii="宋体" w:hAnsi="宋体" w:cs="仿宋_GB2312"/>
          <w:color w:val="auto"/>
          <w:szCs w:val="21"/>
          <w:highlight w:val="none"/>
        </w:rPr>
      </w:pPr>
      <w:r>
        <w:rPr>
          <w:rFonts w:hint="eastAsia" w:ascii="宋体" w:hAnsi="宋体" w:cs="仿宋_GB2312"/>
          <w:color w:val="auto"/>
          <w:szCs w:val="21"/>
          <w:highlight w:val="none"/>
        </w:rPr>
        <w:t>注：1.</w:t>
      </w:r>
      <w:bookmarkStart w:id="154" w:name="_Hlk65851555"/>
      <w:bookmarkStart w:id="155" w:name="_Hlk65851620"/>
      <w:r>
        <w:rPr>
          <w:rFonts w:hint="eastAsia" w:ascii="宋体" w:hAnsi="宋体" w:cs="仿宋_GB2312"/>
          <w:color w:val="auto"/>
          <w:szCs w:val="21"/>
          <w:highlight w:val="none"/>
        </w:rPr>
        <w:t>法定代表人（或负责人）必须在授权委托书上亲笔签字或者盖章</w:t>
      </w:r>
      <w:r>
        <w:rPr>
          <w:rFonts w:hint="eastAsia" w:ascii="宋体" w:hAnsi="宋体"/>
          <w:color w:val="auto"/>
          <w:szCs w:val="21"/>
          <w:highlight w:val="none"/>
        </w:rPr>
        <w:t>或者电子签名</w:t>
      </w:r>
      <w:r>
        <w:rPr>
          <w:rFonts w:hint="eastAsia" w:ascii="宋体" w:hAnsi="宋体" w:cs="仿宋_GB2312"/>
          <w:color w:val="auto"/>
          <w:szCs w:val="21"/>
          <w:highlight w:val="none"/>
        </w:rPr>
        <w:t>，</w:t>
      </w:r>
      <w:bookmarkEnd w:id="154"/>
      <w:r>
        <w:rPr>
          <w:rFonts w:hint="eastAsia" w:ascii="宋体" w:hAnsi="宋体" w:cs="仿宋_GB2312"/>
          <w:color w:val="auto"/>
          <w:szCs w:val="21"/>
          <w:highlight w:val="none"/>
        </w:rPr>
        <w:t>委托代理人必须在授权委托书上亲笔签字</w:t>
      </w:r>
      <w:r>
        <w:rPr>
          <w:rFonts w:hint="eastAsia" w:ascii="宋体" w:hAnsi="宋体"/>
          <w:color w:val="auto"/>
          <w:szCs w:val="21"/>
          <w:highlight w:val="none"/>
        </w:rPr>
        <w:t>或者电子签名</w:t>
      </w:r>
      <w:r>
        <w:rPr>
          <w:rFonts w:hint="eastAsia" w:ascii="宋体" w:hAnsi="宋体" w:cs="仿宋_GB2312"/>
          <w:color w:val="auto"/>
          <w:szCs w:val="21"/>
          <w:highlight w:val="none"/>
        </w:rPr>
        <w:t>，</w:t>
      </w:r>
      <w:r>
        <w:rPr>
          <w:rFonts w:hint="eastAsia" w:ascii="宋体" w:hAnsi="宋体" w:cs="仿宋_GB2312"/>
          <w:b/>
          <w:bCs/>
          <w:color w:val="auto"/>
          <w:szCs w:val="21"/>
          <w:highlight w:val="none"/>
        </w:rPr>
        <w:t>否则按无效投标处理</w:t>
      </w:r>
      <w:r>
        <w:rPr>
          <w:rFonts w:hint="eastAsia" w:ascii="宋体" w:hAnsi="宋体" w:cs="仿宋_GB2312"/>
          <w:color w:val="auto"/>
          <w:szCs w:val="21"/>
          <w:highlight w:val="none"/>
        </w:rPr>
        <w:t>；</w:t>
      </w:r>
      <w:bookmarkEnd w:id="155"/>
    </w:p>
    <w:p w14:paraId="0CDCBEC8">
      <w:pPr>
        <w:spacing w:line="440" w:lineRule="exact"/>
        <w:ind w:firstLine="420" w:firstLineChars="200"/>
        <w:contextualSpacing/>
        <w:jc w:val="left"/>
        <w:rPr>
          <w:rFonts w:ascii="宋体" w:hAnsi="宋体"/>
          <w:color w:val="auto"/>
          <w:szCs w:val="21"/>
          <w:highlight w:val="none"/>
        </w:rPr>
      </w:pPr>
      <w:r>
        <w:rPr>
          <w:rFonts w:hint="eastAsia" w:ascii="宋体" w:hAnsi="宋体" w:cs="仿宋_GB2312"/>
          <w:color w:val="auto"/>
          <w:szCs w:val="21"/>
          <w:highlight w:val="none"/>
        </w:rPr>
        <w:t>2.法人、其他组织投标时“我方”是指“我单位”，自然人投标时“我方”是指“本人”。</w:t>
      </w:r>
    </w:p>
    <w:p w14:paraId="0B8FAF83">
      <w:pPr>
        <w:rPr>
          <w:rFonts w:ascii="宋体" w:hAnsi="宋体"/>
          <w:color w:val="auto"/>
          <w:sz w:val="24"/>
          <w:highlight w:val="none"/>
        </w:rPr>
      </w:pPr>
      <w:r>
        <w:rPr>
          <w:rFonts w:ascii="宋体" w:hAnsi="宋体"/>
          <w:color w:val="auto"/>
          <w:sz w:val="24"/>
          <w:highlight w:val="none"/>
        </w:rPr>
        <w:br w:type="page"/>
      </w:r>
    </w:p>
    <w:p w14:paraId="224CF88D">
      <w:pPr>
        <w:rPr>
          <w:rFonts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7DE80964">
      <w:pPr>
        <w:pStyle w:val="27"/>
        <w:rPr>
          <w:rFonts w:hAnsi="宋体"/>
          <w:b/>
          <w:color w:val="auto"/>
          <w:sz w:val="24"/>
          <w:highlight w:val="none"/>
        </w:rPr>
      </w:pPr>
    </w:p>
    <w:p w14:paraId="49BD4F2B">
      <w:pPr>
        <w:pStyle w:val="27"/>
        <w:jc w:val="center"/>
        <w:rPr>
          <w:rFonts w:hAnsi="宋体"/>
          <w:color w:val="auto"/>
          <w:sz w:val="32"/>
          <w:szCs w:val="32"/>
          <w:highlight w:val="none"/>
        </w:rPr>
      </w:pPr>
      <w:r>
        <w:rPr>
          <w:rFonts w:hint="eastAsia" w:hAnsi="宋体"/>
          <w:b/>
          <w:color w:val="auto"/>
          <w:sz w:val="32"/>
          <w:szCs w:val="32"/>
          <w:highlight w:val="none"/>
        </w:rPr>
        <w:t>商务要求偏离表</w:t>
      </w:r>
    </w:p>
    <w:p w14:paraId="7E92F89D">
      <w:pPr>
        <w:snapToGrid w:val="0"/>
        <w:spacing w:before="50"/>
        <w:jc w:val="left"/>
        <w:rPr>
          <w:rFonts w:ascii="宋体" w:hAnsi="宋体"/>
          <w:color w:val="auto"/>
          <w:szCs w:val="21"/>
          <w:highlight w:val="none"/>
        </w:rPr>
      </w:pPr>
      <w:r>
        <w:rPr>
          <w:rFonts w:hint="eastAsia" w:ascii="宋体" w:hAnsi="宋体"/>
          <w:color w:val="auto"/>
          <w:szCs w:val="21"/>
          <w:highlight w:val="none"/>
        </w:rPr>
        <w:t xml:space="preserve">                      </w:t>
      </w:r>
    </w:p>
    <w:tbl>
      <w:tblPr>
        <w:tblStyle w:val="50"/>
        <w:tblW w:w="86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52"/>
        <w:gridCol w:w="2662"/>
        <w:gridCol w:w="1701"/>
        <w:gridCol w:w="1326"/>
      </w:tblGrid>
      <w:tr w14:paraId="595BC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952" w:type="dxa"/>
            <w:tcBorders>
              <w:top w:val="single" w:color="auto" w:sz="4" w:space="0"/>
              <w:left w:val="single" w:color="auto" w:sz="4" w:space="0"/>
              <w:bottom w:val="single" w:color="auto" w:sz="4" w:space="0"/>
              <w:right w:val="single" w:color="auto" w:sz="4" w:space="0"/>
            </w:tcBorders>
          </w:tcPr>
          <w:p w14:paraId="675890A0">
            <w:pPr>
              <w:snapToGrid w:val="0"/>
              <w:spacing w:before="120" w:beforeLines="50"/>
              <w:jc w:val="center"/>
              <w:rPr>
                <w:rFonts w:ascii="宋体" w:hAnsi="宋体"/>
                <w:color w:val="auto"/>
                <w:szCs w:val="21"/>
                <w:highlight w:val="none"/>
              </w:rPr>
            </w:pPr>
            <w:r>
              <w:rPr>
                <w:rFonts w:hint="eastAsia" w:ascii="宋体" w:hAnsi="宋体"/>
                <w:color w:val="auto"/>
                <w:szCs w:val="21"/>
                <w:highlight w:val="none"/>
              </w:rPr>
              <w:t>项目</w:t>
            </w:r>
          </w:p>
        </w:tc>
        <w:tc>
          <w:tcPr>
            <w:tcW w:w="2662" w:type="dxa"/>
            <w:tcBorders>
              <w:top w:val="single" w:color="auto" w:sz="4" w:space="0"/>
              <w:left w:val="single" w:color="auto" w:sz="4" w:space="0"/>
              <w:bottom w:val="single" w:color="auto" w:sz="4" w:space="0"/>
              <w:right w:val="single" w:color="auto" w:sz="4" w:space="0"/>
            </w:tcBorders>
          </w:tcPr>
          <w:p w14:paraId="4BB1320D">
            <w:pPr>
              <w:snapToGrid w:val="0"/>
              <w:spacing w:before="120" w:beforeLines="50"/>
              <w:jc w:val="center"/>
              <w:rPr>
                <w:rFonts w:ascii="宋体" w:hAnsi="宋体"/>
                <w:color w:val="auto"/>
                <w:szCs w:val="21"/>
                <w:highlight w:val="none"/>
              </w:rPr>
            </w:pPr>
            <w:r>
              <w:rPr>
                <w:rFonts w:hint="eastAsia" w:ascii="宋体" w:hAnsi="宋体"/>
                <w:color w:val="auto"/>
                <w:szCs w:val="21"/>
                <w:highlight w:val="none"/>
              </w:rPr>
              <w:t>招标文件商务要求</w:t>
            </w:r>
          </w:p>
        </w:tc>
        <w:tc>
          <w:tcPr>
            <w:tcW w:w="1701" w:type="dxa"/>
            <w:tcBorders>
              <w:top w:val="single" w:color="auto" w:sz="4" w:space="0"/>
              <w:left w:val="single" w:color="auto" w:sz="4" w:space="0"/>
              <w:bottom w:val="single" w:color="auto" w:sz="4" w:space="0"/>
              <w:right w:val="single" w:color="auto" w:sz="4" w:space="0"/>
            </w:tcBorders>
          </w:tcPr>
          <w:p w14:paraId="67D9F416">
            <w:pPr>
              <w:snapToGrid w:val="0"/>
              <w:spacing w:before="120" w:beforeLines="50"/>
              <w:jc w:val="center"/>
              <w:rPr>
                <w:rFonts w:ascii="宋体" w:hAnsi="宋体"/>
                <w:color w:val="auto"/>
                <w:szCs w:val="21"/>
                <w:highlight w:val="none"/>
              </w:rPr>
            </w:pPr>
            <w:r>
              <w:rPr>
                <w:rFonts w:hint="eastAsia" w:ascii="宋体" w:hAnsi="宋体"/>
                <w:color w:val="auto"/>
                <w:szCs w:val="21"/>
                <w:highlight w:val="none"/>
              </w:rPr>
              <w:t>投标人的承诺</w:t>
            </w:r>
          </w:p>
        </w:tc>
        <w:tc>
          <w:tcPr>
            <w:tcW w:w="1326" w:type="dxa"/>
            <w:tcBorders>
              <w:top w:val="single" w:color="auto" w:sz="4" w:space="0"/>
              <w:left w:val="single" w:color="auto" w:sz="4" w:space="0"/>
              <w:bottom w:val="single" w:color="auto" w:sz="4" w:space="0"/>
              <w:right w:val="single" w:color="auto" w:sz="4" w:space="0"/>
            </w:tcBorders>
          </w:tcPr>
          <w:p w14:paraId="2F75E841">
            <w:pPr>
              <w:snapToGrid w:val="0"/>
              <w:spacing w:before="120" w:beforeLines="50"/>
              <w:jc w:val="center"/>
              <w:rPr>
                <w:rFonts w:ascii="宋体" w:hAnsi="宋体"/>
                <w:color w:val="auto"/>
                <w:szCs w:val="21"/>
                <w:highlight w:val="none"/>
              </w:rPr>
            </w:pPr>
            <w:r>
              <w:rPr>
                <w:rFonts w:hint="eastAsia" w:ascii="宋体" w:hAnsi="宋体"/>
                <w:color w:val="auto"/>
                <w:szCs w:val="21"/>
                <w:highlight w:val="none"/>
              </w:rPr>
              <w:t>偏离说明</w:t>
            </w:r>
          </w:p>
        </w:tc>
      </w:tr>
      <w:tr w14:paraId="4CE28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31E935B9">
            <w:pPr>
              <w:snapToGrid w:val="0"/>
              <w:spacing w:line="400" w:lineRule="exact"/>
              <w:jc w:val="center"/>
              <w:rPr>
                <w:rFonts w:ascii="宋体" w:hAnsi="宋体"/>
                <w:color w:val="auto"/>
                <w:szCs w:val="21"/>
                <w:highlight w:val="none"/>
              </w:rPr>
            </w:pPr>
          </w:p>
        </w:tc>
        <w:tc>
          <w:tcPr>
            <w:tcW w:w="2662" w:type="dxa"/>
            <w:tcBorders>
              <w:top w:val="single" w:color="auto" w:sz="4" w:space="0"/>
              <w:left w:val="single" w:color="auto" w:sz="4" w:space="0"/>
              <w:bottom w:val="single" w:color="auto" w:sz="4" w:space="0"/>
              <w:right w:val="single" w:color="auto" w:sz="4" w:space="0"/>
            </w:tcBorders>
          </w:tcPr>
          <w:p w14:paraId="5ABEC715">
            <w:pPr>
              <w:snapToGrid w:val="0"/>
              <w:spacing w:line="40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63E85867">
            <w:pPr>
              <w:snapToGrid w:val="0"/>
              <w:spacing w:line="400" w:lineRule="exact"/>
              <w:jc w:val="center"/>
              <w:rPr>
                <w:rFonts w:ascii="宋体" w:hAnsi="宋体"/>
                <w:color w:val="auto"/>
                <w:szCs w:val="21"/>
                <w:highlight w:val="none"/>
              </w:rPr>
            </w:pPr>
          </w:p>
        </w:tc>
        <w:tc>
          <w:tcPr>
            <w:tcW w:w="1326" w:type="dxa"/>
            <w:tcBorders>
              <w:top w:val="single" w:color="auto" w:sz="4" w:space="0"/>
              <w:left w:val="single" w:color="auto" w:sz="4" w:space="0"/>
              <w:bottom w:val="single" w:color="auto" w:sz="4" w:space="0"/>
              <w:right w:val="single" w:color="auto" w:sz="4" w:space="0"/>
            </w:tcBorders>
          </w:tcPr>
          <w:p w14:paraId="63945736">
            <w:pPr>
              <w:snapToGrid w:val="0"/>
              <w:spacing w:line="400" w:lineRule="exact"/>
              <w:jc w:val="center"/>
              <w:rPr>
                <w:rFonts w:ascii="宋体" w:hAnsi="宋体"/>
                <w:color w:val="auto"/>
                <w:szCs w:val="21"/>
                <w:highlight w:val="none"/>
              </w:rPr>
            </w:pPr>
          </w:p>
        </w:tc>
      </w:tr>
      <w:tr w14:paraId="385CF4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2A3EB5A9">
            <w:pPr>
              <w:snapToGrid w:val="0"/>
              <w:spacing w:line="400" w:lineRule="exact"/>
              <w:jc w:val="center"/>
              <w:rPr>
                <w:rFonts w:ascii="宋体" w:hAnsi="宋体"/>
                <w:color w:val="auto"/>
                <w:szCs w:val="21"/>
                <w:highlight w:val="none"/>
              </w:rPr>
            </w:pPr>
          </w:p>
        </w:tc>
        <w:tc>
          <w:tcPr>
            <w:tcW w:w="2662" w:type="dxa"/>
            <w:tcBorders>
              <w:top w:val="single" w:color="auto" w:sz="4" w:space="0"/>
              <w:left w:val="single" w:color="auto" w:sz="4" w:space="0"/>
              <w:bottom w:val="single" w:color="auto" w:sz="4" w:space="0"/>
              <w:right w:val="single" w:color="auto" w:sz="4" w:space="0"/>
            </w:tcBorders>
          </w:tcPr>
          <w:p w14:paraId="42CBDD4D">
            <w:pPr>
              <w:snapToGrid w:val="0"/>
              <w:spacing w:line="40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21F5A2B3">
            <w:pPr>
              <w:snapToGrid w:val="0"/>
              <w:spacing w:line="400" w:lineRule="exact"/>
              <w:jc w:val="center"/>
              <w:rPr>
                <w:rFonts w:ascii="宋体" w:hAnsi="宋体"/>
                <w:color w:val="auto"/>
                <w:szCs w:val="21"/>
                <w:highlight w:val="none"/>
              </w:rPr>
            </w:pPr>
          </w:p>
        </w:tc>
        <w:tc>
          <w:tcPr>
            <w:tcW w:w="1326" w:type="dxa"/>
            <w:tcBorders>
              <w:top w:val="single" w:color="auto" w:sz="4" w:space="0"/>
              <w:left w:val="single" w:color="auto" w:sz="4" w:space="0"/>
              <w:bottom w:val="single" w:color="auto" w:sz="4" w:space="0"/>
              <w:right w:val="single" w:color="auto" w:sz="4" w:space="0"/>
            </w:tcBorders>
          </w:tcPr>
          <w:p w14:paraId="676F6AB1">
            <w:pPr>
              <w:snapToGrid w:val="0"/>
              <w:spacing w:line="400" w:lineRule="exact"/>
              <w:jc w:val="center"/>
              <w:rPr>
                <w:rFonts w:ascii="宋体" w:hAnsi="宋体"/>
                <w:color w:val="auto"/>
                <w:szCs w:val="21"/>
                <w:highlight w:val="none"/>
              </w:rPr>
            </w:pPr>
          </w:p>
        </w:tc>
      </w:tr>
      <w:tr w14:paraId="16275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12DD04A">
            <w:pPr>
              <w:spacing w:line="400" w:lineRule="exact"/>
              <w:jc w:val="center"/>
              <w:rPr>
                <w:rFonts w:ascii="宋体" w:hAnsi="宋体"/>
                <w:color w:val="auto"/>
                <w:szCs w:val="21"/>
                <w:highlight w:val="none"/>
              </w:rPr>
            </w:pPr>
          </w:p>
        </w:tc>
        <w:tc>
          <w:tcPr>
            <w:tcW w:w="2662" w:type="dxa"/>
            <w:tcBorders>
              <w:top w:val="single" w:color="auto" w:sz="4" w:space="0"/>
              <w:left w:val="single" w:color="auto" w:sz="4" w:space="0"/>
              <w:bottom w:val="single" w:color="auto" w:sz="4" w:space="0"/>
              <w:right w:val="single" w:color="auto" w:sz="4" w:space="0"/>
            </w:tcBorders>
          </w:tcPr>
          <w:p w14:paraId="359C81B2">
            <w:pPr>
              <w:snapToGrid w:val="0"/>
              <w:spacing w:line="400" w:lineRule="exact"/>
              <w:rPr>
                <w:rFonts w:ascii="宋体" w:hAnsi="宋体"/>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tcPr>
          <w:p w14:paraId="50286932">
            <w:pPr>
              <w:snapToGrid w:val="0"/>
              <w:spacing w:line="400" w:lineRule="exact"/>
              <w:ind w:left="43"/>
              <w:jc w:val="center"/>
              <w:rPr>
                <w:rFonts w:ascii="宋体" w:hAnsi="宋体"/>
                <w:color w:val="auto"/>
                <w:szCs w:val="21"/>
                <w:highlight w:val="none"/>
              </w:rPr>
            </w:pPr>
          </w:p>
        </w:tc>
        <w:tc>
          <w:tcPr>
            <w:tcW w:w="1326" w:type="dxa"/>
            <w:tcBorders>
              <w:top w:val="single" w:color="auto" w:sz="4" w:space="0"/>
              <w:left w:val="single" w:color="auto" w:sz="4" w:space="0"/>
              <w:bottom w:val="single" w:color="auto" w:sz="4" w:space="0"/>
              <w:right w:val="single" w:color="auto" w:sz="4" w:space="0"/>
            </w:tcBorders>
          </w:tcPr>
          <w:p w14:paraId="395893B5">
            <w:pPr>
              <w:snapToGrid w:val="0"/>
              <w:spacing w:line="400" w:lineRule="exact"/>
              <w:ind w:left="43"/>
              <w:jc w:val="center"/>
              <w:rPr>
                <w:rFonts w:ascii="宋体" w:hAnsi="宋体"/>
                <w:color w:val="auto"/>
                <w:szCs w:val="21"/>
                <w:highlight w:val="none"/>
              </w:rPr>
            </w:pPr>
          </w:p>
        </w:tc>
      </w:tr>
      <w:tr w14:paraId="0462E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7EAEC487">
            <w:pPr>
              <w:snapToGrid w:val="0"/>
              <w:spacing w:line="400" w:lineRule="exact"/>
              <w:jc w:val="center"/>
              <w:rPr>
                <w:rFonts w:ascii="宋体" w:hAnsi="宋体"/>
                <w:color w:val="auto"/>
                <w:szCs w:val="21"/>
                <w:highlight w:val="none"/>
              </w:rPr>
            </w:pPr>
          </w:p>
        </w:tc>
        <w:tc>
          <w:tcPr>
            <w:tcW w:w="2662" w:type="dxa"/>
            <w:tcBorders>
              <w:top w:val="single" w:color="auto" w:sz="4" w:space="0"/>
              <w:left w:val="single" w:color="auto" w:sz="4" w:space="0"/>
              <w:bottom w:val="single" w:color="auto" w:sz="4" w:space="0"/>
              <w:right w:val="single" w:color="auto" w:sz="4" w:space="0"/>
            </w:tcBorders>
          </w:tcPr>
          <w:p w14:paraId="11B66210">
            <w:pPr>
              <w:snapToGrid w:val="0"/>
              <w:spacing w:line="400" w:lineRule="exact"/>
              <w:rPr>
                <w:rFonts w:ascii="宋体" w:hAnsi="宋体"/>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tcPr>
          <w:p w14:paraId="1CDCAC66">
            <w:pPr>
              <w:snapToGrid w:val="0"/>
              <w:spacing w:line="400" w:lineRule="exact"/>
              <w:ind w:left="43"/>
              <w:jc w:val="center"/>
              <w:rPr>
                <w:rFonts w:ascii="宋体" w:hAnsi="宋体"/>
                <w:color w:val="auto"/>
                <w:szCs w:val="21"/>
                <w:highlight w:val="none"/>
              </w:rPr>
            </w:pPr>
          </w:p>
        </w:tc>
        <w:tc>
          <w:tcPr>
            <w:tcW w:w="1326" w:type="dxa"/>
            <w:tcBorders>
              <w:top w:val="single" w:color="auto" w:sz="4" w:space="0"/>
              <w:left w:val="single" w:color="auto" w:sz="4" w:space="0"/>
              <w:bottom w:val="single" w:color="auto" w:sz="4" w:space="0"/>
              <w:right w:val="single" w:color="auto" w:sz="4" w:space="0"/>
            </w:tcBorders>
          </w:tcPr>
          <w:p w14:paraId="58CE7B74">
            <w:pPr>
              <w:snapToGrid w:val="0"/>
              <w:spacing w:line="400" w:lineRule="exact"/>
              <w:ind w:left="43"/>
              <w:jc w:val="center"/>
              <w:rPr>
                <w:rFonts w:ascii="宋体" w:hAnsi="宋体"/>
                <w:color w:val="auto"/>
                <w:szCs w:val="21"/>
                <w:highlight w:val="none"/>
              </w:rPr>
            </w:pPr>
          </w:p>
        </w:tc>
      </w:tr>
      <w:tr w14:paraId="58BC9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11FB964">
            <w:pPr>
              <w:snapToGrid w:val="0"/>
              <w:spacing w:line="400" w:lineRule="exact"/>
              <w:jc w:val="center"/>
              <w:rPr>
                <w:rFonts w:ascii="宋体" w:hAnsi="宋体"/>
                <w:color w:val="auto"/>
                <w:szCs w:val="21"/>
                <w:highlight w:val="none"/>
              </w:rPr>
            </w:pPr>
          </w:p>
        </w:tc>
        <w:tc>
          <w:tcPr>
            <w:tcW w:w="2662" w:type="dxa"/>
            <w:tcBorders>
              <w:top w:val="single" w:color="auto" w:sz="4" w:space="0"/>
              <w:left w:val="single" w:color="auto" w:sz="4" w:space="0"/>
              <w:bottom w:val="single" w:color="auto" w:sz="4" w:space="0"/>
              <w:right w:val="single" w:color="auto" w:sz="4" w:space="0"/>
            </w:tcBorders>
          </w:tcPr>
          <w:p w14:paraId="19180E2B">
            <w:pPr>
              <w:snapToGrid w:val="0"/>
              <w:spacing w:line="400" w:lineRule="exact"/>
              <w:rPr>
                <w:rFonts w:ascii="宋体" w:hAnsi="宋体"/>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tcPr>
          <w:p w14:paraId="4AE43D1F">
            <w:pPr>
              <w:snapToGrid w:val="0"/>
              <w:spacing w:line="400" w:lineRule="exact"/>
              <w:ind w:left="43"/>
              <w:jc w:val="center"/>
              <w:rPr>
                <w:rFonts w:ascii="宋体" w:hAnsi="宋体"/>
                <w:color w:val="auto"/>
                <w:szCs w:val="21"/>
                <w:highlight w:val="none"/>
              </w:rPr>
            </w:pPr>
          </w:p>
        </w:tc>
        <w:tc>
          <w:tcPr>
            <w:tcW w:w="1326" w:type="dxa"/>
            <w:tcBorders>
              <w:top w:val="single" w:color="auto" w:sz="4" w:space="0"/>
              <w:left w:val="single" w:color="auto" w:sz="4" w:space="0"/>
              <w:bottom w:val="single" w:color="auto" w:sz="4" w:space="0"/>
              <w:right w:val="single" w:color="auto" w:sz="4" w:space="0"/>
            </w:tcBorders>
          </w:tcPr>
          <w:p w14:paraId="31099C43">
            <w:pPr>
              <w:snapToGrid w:val="0"/>
              <w:spacing w:line="400" w:lineRule="exact"/>
              <w:ind w:left="43"/>
              <w:jc w:val="center"/>
              <w:rPr>
                <w:rFonts w:ascii="宋体" w:hAnsi="宋体"/>
                <w:color w:val="auto"/>
                <w:szCs w:val="21"/>
                <w:highlight w:val="none"/>
              </w:rPr>
            </w:pPr>
          </w:p>
        </w:tc>
      </w:tr>
      <w:tr w14:paraId="650CFA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55756090">
            <w:pPr>
              <w:snapToGrid w:val="0"/>
              <w:spacing w:line="400" w:lineRule="exact"/>
              <w:jc w:val="center"/>
              <w:rPr>
                <w:rFonts w:ascii="宋体" w:hAnsi="宋体" w:cs="宋体"/>
                <w:color w:val="auto"/>
                <w:szCs w:val="21"/>
                <w:highlight w:val="none"/>
              </w:rPr>
            </w:pPr>
          </w:p>
        </w:tc>
        <w:tc>
          <w:tcPr>
            <w:tcW w:w="2662" w:type="dxa"/>
            <w:tcBorders>
              <w:top w:val="single" w:color="auto" w:sz="4" w:space="0"/>
              <w:left w:val="single" w:color="auto" w:sz="4" w:space="0"/>
              <w:bottom w:val="single" w:color="auto" w:sz="4" w:space="0"/>
              <w:right w:val="single" w:color="auto" w:sz="4" w:space="0"/>
            </w:tcBorders>
          </w:tcPr>
          <w:p w14:paraId="13065413">
            <w:pPr>
              <w:snapToGrid w:val="0"/>
              <w:spacing w:line="400" w:lineRule="exact"/>
              <w:rPr>
                <w:rFonts w:ascii="宋体" w:hAnsi="宋体"/>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tcPr>
          <w:p w14:paraId="74D4159F">
            <w:pPr>
              <w:snapToGrid w:val="0"/>
              <w:spacing w:line="400" w:lineRule="exact"/>
              <w:ind w:left="43"/>
              <w:jc w:val="center"/>
              <w:rPr>
                <w:rFonts w:ascii="宋体" w:hAnsi="宋体"/>
                <w:color w:val="auto"/>
                <w:szCs w:val="21"/>
                <w:highlight w:val="none"/>
              </w:rPr>
            </w:pPr>
          </w:p>
        </w:tc>
        <w:tc>
          <w:tcPr>
            <w:tcW w:w="1326" w:type="dxa"/>
            <w:tcBorders>
              <w:top w:val="single" w:color="auto" w:sz="4" w:space="0"/>
              <w:left w:val="single" w:color="auto" w:sz="4" w:space="0"/>
              <w:bottom w:val="single" w:color="auto" w:sz="4" w:space="0"/>
              <w:right w:val="single" w:color="auto" w:sz="4" w:space="0"/>
            </w:tcBorders>
          </w:tcPr>
          <w:p w14:paraId="074E61DC">
            <w:pPr>
              <w:snapToGrid w:val="0"/>
              <w:spacing w:line="400" w:lineRule="exact"/>
              <w:ind w:left="43"/>
              <w:jc w:val="center"/>
              <w:rPr>
                <w:rFonts w:ascii="宋体" w:hAnsi="宋体"/>
                <w:color w:val="auto"/>
                <w:szCs w:val="21"/>
                <w:highlight w:val="none"/>
              </w:rPr>
            </w:pPr>
          </w:p>
        </w:tc>
      </w:tr>
      <w:tr w14:paraId="202CB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3DEE43B0">
            <w:pPr>
              <w:snapToGrid w:val="0"/>
              <w:spacing w:line="400" w:lineRule="exact"/>
              <w:jc w:val="center"/>
              <w:rPr>
                <w:rFonts w:ascii="宋体" w:hAnsi="宋体"/>
                <w:color w:val="auto"/>
                <w:szCs w:val="21"/>
                <w:highlight w:val="none"/>
              </w:rPr>
            </w:pPr>
          </w:p>
        </w:tc>
        <w:tc>
          <w:tcPr>
            <w:tcW w:w="2662" w:type="dxa"/>
            <w:tcBorders>
              <w:top w:val="single" w:color="auto" w:sz="4" w:space="0"/>
              <w:left w:val="single" w:color="auto" w:sz="4" w:space="0"/>
              <w:bottom w:val="single" w:color="auto" w:sz="4" w:space="0"/>
              <w:right w:val="single" w:color="auto" w:sz="4" w:space="0"/>
            </w:tcBorders>
          </w:tcPr>
          <w:p w14:paraId="78A798B7">
            <w:pPr>
              <w:snapToGrid w:val="0"/>
              <w:spacing w:line="400" w:lineRule="exact"/>
              <w:rPr>
                <w:rFonts w:ascii="宋体" w:hAnsi="宋体"/>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tcPr>
          <w:p w14:paraId="509AA641">
            <w:pPr>
              <w:snapToGrid w:val="0"/>
              <w:spacing w:line="400" w:lineRule="exact"/>
              <w:ind w:left="43"/>
              <w:jc w:val="center"/>
              <w:rPr>
                <w:rFonts w:ascii="宋体" w:hAnsi="宋体"/>
                <w:color w:val="auto"/>
                <w:szCs w:val="21"/>
                <w:highlight w:val="none"/>
              </w:rPr>
            </w:pPr>
          </w:p>
        </w:tc>
        <w:tc>
          <w:tcPr>
            <w:tcW w:w="1326" w:type="dxa"/>
            <w:tcBorders>
              <w:top w:val="single" w:color="auto" w:sz="4" w:space="0"/>
              <w:left w:val="single" w:color="auto" w:sz="4" w:space="0"/>
              <w:bottom w:val="single" w:color="auto" w:sz="4" w:space="0"/>
              <w:right w:val="single" w:color="auto" w:sz="4" w:space="0"/>
            </w:tcBorders>
          </w:tcPr>
          <w:p w14:paraId="57E8FC87">
            <w:pPr>
              <w:snapToGrid w:val="0"/>
              <w:spacing w:line="400" w:lineRule="exact"/>
              <w:ind w:left="43"/>
              <w:jc w:val="center"/>
              <w:rPr>
                <w:rFonts w:ascii="宋体" w:hAnsi="宋体"/>
                <w:color w:val="auto"/>
                <w:szCs w:val="21"/>
                <w:highlight w:val="none"/>
              </w:rPr>
            </w:pPr>
          </w:p>
        </w:tc>
      </w:tr>
      <w:tr w14:paraId="363AE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F5ABF46">
            <w:pPr>
              <w:snapToGrid w:val="0"/>
              <w:spacing w:line="400" w:lineRule="exact"/>
              <w:jc w:val="center"/>
              <w:rPr>
                <w:rFonts w:ascii="宋体" w:hAnsi="宋体"/>
                <w:color w:val="auto"/>
                <w:szCs w:val="21"/>
                <w:highlight w:val="none"/>
              </w:rPr>
            </w:pPr>
          </w:p>
        </w:tc>
        <w:tc>
          <w:tcPr>
            <w:tcW w:w="2662" w:type="dxa"/>
            <w:tcBorders>
              <w:top w:val="single" w:color="auto" w:sz="4" w:space="0"/>
              <w:left w:val="single" w:color="auto" w:sz="4" w:space="0"/>
              <w:bottom w:val="single" w:color="auto" w:sz="4" w:space="0"/>
              <w:right w:val="single" w:color="auto" w:sz="4" w:space="0"/>
            </w:tcBorders>
          </w:tcPr>
          <w:p w14:paraId="0768D552">
            <w:pPr>
              <w:snapToGrid w:val="0"/>
              <w:spacing w:line="40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5BCC6C0D">
            <w:pPr>
              <w:snapToGrid w:val="0"/>
              <w:spacing w:line="400" w:lineRule="exact"/>
              <w:jc w:val="center"/>
              <w:rPr>
                <w:rFonts w:ascii="宋体" w:hAnsi="宋体"/>
                <w:color w:val="auto"/>
                <w:szCs w:val="21"/>
                <w:highlight w:val="none"/>
              </w:rPr>
            </w:pPr>
          </w:p>
        </w:tc>
        <w:tc>
          <w:tcPr>
            <w:tcW w:w="1326" w:type="dxa"/>
            <w:tcBorders>
              <w:top w:val="single" w:color="auto" w:sz="4" w:space="0"/>
              <w:left w:val="single" w:color="auto" w:sz="4" w:space="0"/>
              <w:bottom w:val="single" w:color="auto" w:sz="4" w:space="0"/>
              <w:right w:val="single" w:color="auto" w:sz="4" w:space="0"/>
            </w:tcBorders>
          </w:tcPr>
          <w:p w14:paraId="4C5A1094">
            <w:pPr>
              <w:snapToGrid w:val="0"/>
              <w:spacing w:line="400" w:lineRule="exact"/>
              <w:jc w:val="center"/>
              <w:rPr>
                <w:rFonts w:ascii="宋体" w:hAnsi="宋体"/>
                <w:color w:val="auto"/>
                <w:szCs w:val="21"/>
                <w:highlight w:val="none"/>
              </w:rPr>
            </w:pPr>
          </w:p>
        </w:tc>
      </w:tr>
      <w:tr w14:paraId="6C0F2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0BB5D83E">
            <w:pPr>
              <w:snapToGrid w:val="0"/>
              <w:spacing w:line="400" w:lineRule="exact"/>
              <w:jc w:val="center"/>
              <w:rPr>
                <w:rFonts w:ascii="宋体" w:hAnsi="宋体" w:cs="宋体"/>
                <w:color w:val="auto"/>
                <w:szCs w:val="21"/>
                <w:highlight w:val="none"/>
              </w:rPr>
            </w:pPr>
          </w:p>
        </w:tc>
        <w:tc>
          <w:tcPr>
            <w:tcW w:w="2662" w:type="dxa"/>
            <w:tcBorders>
              <w:top w:val="single" w:color="auto" w:sz="4" w:space="0"/>
              <w:left w:val="single" w:color="auto" w:sz="4" w:space="0"/>
              <w:bottom w:val="single" w:color="auto" w:sz="4" w:space="0"/>
              <w:right w:val="single" w:color="auto" w:sz="4" w:space="0"/>
            </w:tcBorders>
          </w:tcPr>
          <w:p w14:paraId="5A356C1B">
            <w:pPr>
              <w:snapToGrid w:val="0"/>
              <w:spacing w:line="40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4E8140BE">
            <w:pPr>
              <w:snapToGrid w:val="0"/>
              <w:spacing w:line="400" w:lineRule="exact"/>
              <w:jc w:val="center"/>
              <w:rPr>
                <w:rFonts w:ascii="宋体" w:hAnsi="宋体"/>
                <w:color w:val="auto"/>
                <w:szCs w:val="21"/>
                <w:highlight w:val="none"/>
              </w:rPr>
            </w:pPr>
          </w:p>
        </w:tc>
        <w:tc>
          <w:tcPr>
            <w:tcW w:w="1326" w:type="dxa"/>
            <w:tcBorders>
              <w:top w:val="single" w:color="auto" w:sz="4" w:space="0"/>
              <w:left w:val="single" w:color="auto" w:sz="4" w:space="0"/>
              <w:bottom w:val="single" w:color="auto" w:sz="4" w:space="0"/>
              <w:right w:val="single" w:color="auto" w:sz="4" w:space="0"/>
            </w:tcBorders>
          </w:tcPr>
          <w:p w14:paraId="4F9D994E">
            <w:pPr>
              <w:snapToGrid w:val="0"/>
              <w:spacing w:line="400" w:lineRule="exact"/>
              <w:jc w:val="center"/>
              <w:rPr>
                <w:rFonts w:ascii="宋体" w:hAnsi="宋体"/>
                <w:color w:val="auto"/>
                <w:szCs w:val="21"/>
                <w:highlight w:val="none"/>
              </w:rPr>
            </w:pPr>
          </w:p>
        </w:tc>
      </w:tr>
      <w:tr w14:paraId="3E9FE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52" w:type="dxa"/>
            <w:tcBorders>
              <w:top w:val="single" w:color="auto" w:sz="4" w:space="0"/>
              <w:left w:val="single" w:color="auto" w:sz="4" w:space="0"/>
              <w:bottom w:val="single" w:color="auto" w:sz="4" w:space="0"/>
              <w:right w:val="single" w:color="auto" w:sz="4" w:space="0"/>
            </w:tcBorders>
            <w:vAlign w:val="center"/>
          </w:tcPr>
          <w:p w14:paraId="1D8497FE">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2662" w:type="dxa"/>
            <w:tcBorders>
              <w:top w:val="single" w:color="auto" w:sz="4" w:space="0"/>
              <w:left w:val="single" w:color="auto" w:sz="4" w:space="0"/>
              <w:bottom w:val="single" w:color="auto" w:sz="4" w:space="0"/>
              <w:right w:val="single" w:color="auto" w:sz="4" w:space="0"/>
            </w:tcBorders>
          </w:tcPr>
          <w:p w14:paraId="02C7B36F">
            <w:pPr>
              <w:snapToGrid w:val="0"/>
              <w:spacing w:line="400" w:lineRule="exact"/>
              <w:jc w:val="center"/>
              <w:rPr>
                <w:rFonts w:ascii="宋体" w:hAnsi="宋体"/>
                <w:color w:val="auto"/>
                <w:szCs w:val="21"/>
                <w:highlight w:val="none"/>
              </w:rPr>
            </w:pPr>
            <w:r>
              <w:rPr>
                <w:rFonts w:hint="eastAsia" w:ascii="宋体" w:hAnsi="宋体" w:cs="宋体"/>
                <w:color w:val="auto"/>
                <w:szCs w:val="21"/>
                <w:highlight w:val="none"/>
              </w:rPr>
              <w:t>……</w:t>
            </w:r>
          </w:p>
        </w:tc>
        <w:tc>
          <w:tcPr>
            <w:tcW w:w="1701" w:type="dxa"/>
            <w:tcBorders>
              <w:top w:val="single" w:color="auto" w:sz="4" w:space="0"/>
              <w:left w:val="single" w:color="auto" w:sz="4" w:space="0"/>
              <w:bottom w:val="single" w:color="auto" w:sz="4" w:space="0"/>
              <w:right w:val="single" w:color="auto" w:sz="4" w:space="0"/>
            </w:tcBorders>
          </w:tcPr>
          <w:p w14:paraId="423B59BA">
            <w:pPr>
              <w:snapToGrid w:val="0"/>
              <w:spacing w:line="400" w:lineRule="exact"/>
              <w:jc w:val="center"/>
              <w:rPr>
                <w:rFonts w:ascii="宋体" w:hAnsi="宋体"/>
                <w:color w:val="auto"/>
                <w:szCs w:val="21"/>
                <w:highlight w:val="none"/>
              </w:rPr>
            </w:pPr>
            <w:r>
              <w:rPr>
                <w:rFonts w:hint="eastAsia" w:ascii="宋体" w:hAnsi="宋体" w:cs="宋体"/>
                <w:color w:val="auto"/>
                <w:szCs w:val="21"/>
                <w:highlight w:val="none"/>
              </w:rPr>
              <w:t>……</w:t>
            </w:r>
          </w:p>
        </w:tc>
        <w:tc>
          <w:tcPr>
            <w:tcW w:w="1326" w:type="dxa"/>
            <w:tcBorders>
              <w:top w:val="single" w:color="auto" w:sz="4" w:space="0"/>
              <w:left w:val="single" w:color="auto" w:sz="4" w:space="0"/>
              <w:bottom w:val="single" w:color="auto" w:sz="4" w:space="0"/>
              <w:right w:val="single" w:color="auto" w:sz="4" w:space="0"/>
            </w:tcBorders>
          </w:tcPr>
          <w:p w14:paraId="79EE1B72">
            <w:pPr>
              <w:snapToGrid w:val="0"/>
              <w:spacing w:line="400" w:lineRule="exact"/>
              <w:jc w:val="center"/>
              <w:rPr>
                <w:rFonts w:ascii="宋体" w:hAnsi="宋体"/>
                <w:color w:val="auto"/>
                <w:szCs w:val="21"/>
                <w:highlight w:val="none"/>
              </w:rPr>
            </w:pPr>
            <w:r>
              <w:rPr>
                <w:rFonts w:hint="eastAsia" w:ascii="宋体" w:hAnsi="宋体" w:cs="宋体"/>
                <w:color w:val="auto"/>
                <w:szCs w:val="21"/>
                <w:highlight w:val="none"/>
              </w:rPr>
              <w:t>……</w:t>
            </w:r>
          </w:p>
        </w:tc>
      </w:tr>
    </w:tbl>
    <w:p w14:paraId="1706D3AA">
      <w:pPr>
        <w:pStyle w:val="21"/>
        <w:rPr>
          <w:rFonts w:ascii="宋体" w:hAnsi="宋体"/>
          <w:color w:val="auto"/>
          <w:sz w:val="21"/>
          <w:szCs w:val="21"/>
          <w:highlight w:val="none"/>
        </w:rPr>
      </w:pPr>
      <w:r>
        <w:rPr>
          <w:rFonts w:hint="eastAsia" w:ascii="宋体" w:hAnsi="宋体"/>
          <w:color w:val="auto"/>
          <w:sz w:val="21"/>
          <w:szCs w:val="21"/>
          <w:highlight w:val="none"/>
        </w:rPr>
        <w:t>注：</w:t>
      </w:r>
    </w:p>
    <w:p w14:paraId="7BF2EB3C">
      <w:pPr>
        <w:pStyle w:val="22"/>
        <w:spacing w:line="520" w:lineRule="exact"/>
        <w:ind w:firstLine="0" w:firstLineChars="0"/>
        <w:rPr>
          <w:rFonts w:ascii="宋体" w:hAnsi="宋体" w:eastAsia="宋体" w:cs="仿宋_GB2312"/>
          <w:color w:val="auto"/>
          <w:sz w:val="21"/>
          <w:szCs w:val="21"/>
          <w:highlight w:val="none"/>
        </w:rPr>
      </w:pPr>
      <w:r>
        <w:rPr>
          <w:rFonts w:hint="eastAsia" w:ascii="宋体" w:hAnsi="宋体" w:eastAsia="宋体"/>
          <w:color w:val="auto"/>
          <w:sz w:val="21"/>
          <w:szCs w:val="21"/>
          <w:highlight w:val="none"/>
        </w:rPr>
        <w:t>1. 说明：应对照招标文件“第二章 采购需求”中的商务要求逐条作明确的投标响应，并作出偏离说明。</w:t>
      </w:r>
    </w:p>
    <w:p w14:paraId="31374BC4">
      <w:pPr>
        <w:pStyle w:val="21"/>
        <w:rPr>
          <w:rFonts w:ascii="宋体" w:hAnsi="宋体"/>
          <w:b w:val="0"/>
          <w:bCs w:val="0"/>
          <w:color w:val="auto"/>
          <w:sz w:val="21"/>
          <w:szCs w:val="21"/>
          <w:highlight w:val="none"/>
        </w:rPr>
      </w:pPr>
      <w:r>
        <w:rPr>
          <w:rFonts w:ascii="宋体" w:hAnsi="宋体"/>
          <w:b w:val="0"/>
          <w:bCs w:val="0"/>
          <w:color w:val="auto"/>
          <w:sz w:val="21"/>
          <w:szCs w:val="21"/>
          <w:highlight w:val="none"/>
        </w:rPr>
        <w:t>2.</w:t>
      </w:r>
      <w:r>
        <w:rPr>
          <w:rFonts w:hint="eastAsia" w:ascii="宋体" w:hAnsi="宋体"/>
          <w:b w:val="0"/>
          <w:bCs w:val="0"/>
          <w:color w:val="auto"/>
          <w:sz w:val="21"/>
          <w:szCs w:val="21"/>
          <w:highlight w:val="none"/>
        </w:rPr>
        <w:t>投标人应根据自身的承诺，对照招标文件要求在“偏离说明”中注明“</w:t>
      </w:r>
      <w:r>
        <w:rPr>
          <w:rFonts w:hint="eastAsia" w:ascii="宋体" w:hAnsi="宋体"/>
          <w:color w:val="auto"/>
          <w:sz w:val="21"/>
          <w:szCs w:val="21"/>
          <w:highlight w:val="none"/>
        </w:rPr>
        <w:t>正偏离</w:t>
      </w:r>
      <w:r>
        <w:rPr>
          <w:rFonts w:hint="eastAsia" w:ascii="宋体" w:hAnsi="宋体"/>
          <w:b w:val="0"/>
          <w:bCs w:val="0"/>
          <w:color w:val="auto"/>
          <w:sz w:val="21"/>
          <w:szCs w:val="21"/>
          <w:highlight w:val="none"/>
        </w:rPr>
        <w:t>”、“</w:t>
      </w:r>
      <w:r>
        <w:rPr>
          <w:rFonts w:hint="eastAsia" w:ascii="宋体" w:hAnsi="宋体"/>
          <w:color w:val="auto"/>
          <w:sz w:val="21"/>
          <w:szCs w:val="21"/>
          <w:highlight w:val="none"/>
        </w:rPr>
        <w:t>负偏离</w:t>
      </w:r>
      <w:r>
        <w:rPr>
          <w:rFonts w:hint="eastAsia" w:ascii="宋体" w:hAnsi="宋体"/>
          <w:b w:val="0"/>
          <w:bCs w:val="0"/>
          <w:color w:val="auto"/>
          <w:sz w:val="21"/>
          <w:szCs w:val="21"/>
          <w:highlight w:val="none"/>
        </w:rPr>
        <w:t>”或者“</w:t>
      </w:r>
      <w:r>
        <w:rPr>
          <w:rFonts w:hint="eastAsia" w:ascii="宋体" w:hAnsi="宋体"/>
          <w:color w:val="auto"/>
          <w:sz w:val="21"/>
          <w:szCs w:val="21"/>
          <w:highlight w:val="none"/>
        </w:rPr>
        <w:t>无偏离</w:t>
      </w:r>
      <w:r>
        <w:rPr>
          <w:rFonts w:hint="eastAsia" w:ascii="宋体" w:hAnsi="宋体"/>
          <w:b w:val="0"/>
          <w:bCs w:val="0"/>
          <w:color w:val="auto"/>
          <w:sz w:val="21"/>
          <w:szCs w:val="21"/>
          <w:highlight w:val="none"/>
        </w:rPr>
        <w:t>”。既不属于“</w:t>
      </w:r>
      <w:r>
        <w:rPr>
          <w:rFonts w:hint="eastAsia" w:ascii="宋体" w:hAnsi="宋体"/>
          <w:color w:val="auto"/>
          <w:sz w:val="21"/>
          <w:szCs w:val="21"/>
          <w:highlight w:val="none"/>
        </w:rPr>
        <w:t>正偏离</w:t>
      </w:r>
      <w:r>
        <w:rPr>
          <w:rFonts w:hint="eastAsia" w:ascii="宋体" w:hAnsi="宋体"/>
          <w:b w:val="0"/>
          <w:bCs w:val="0"/>
          <w:color w:val="auto"/>
          <w:sz w:val="21"/>
          <w:szCs w:val="21"/>
          <w:highlight w:val="none"/>
        </w:rPr>
        <w:t>”也不属于“</w:t>
      </w:r>
      <w:r>
        <w:rPr>
          <w:rFonts w:hint="eastAsia" w:ascii="宋体" w:hAnsi="宋体"/>
          <w:color w:val="auto"/>
          <w:sz w:val="21"/>
          <w:szCs w:val="21"/>
          <w:highlight w:val="none"/>
        </w:rPr>
        <w:t>负偏离</w:t>
      </w:r>
      <w:r>
        <w:rPr>
          <w:rFonts w:hint="eastAsia" w:ascii="宋体" w:hAnsi="宋体"/>
          <w:b w:val="0"/>
          <w:bCs w:val="0"/>
          <w:color w:val="auto"/>
          <w:sz w:val="21"/>
          <w:szCs w:val="21"/>
          <w:highlight w:val="none"/>
        </w:rPr>
        <w:t>”即为“</w:t>
      </w:r>
      <w:r>
        <w:rPr>
          <w:rFonts w:hint="eastAsia" w:ascii="宋体" w:hAnsi="宋体"/>
          <w:color w:val="auto"/>
          <w:sz w:val="21"/>
          <w:szCs w:val="21"/>
          <w:highlight w:val="none"/>
        </w:rPr>
        <w:t>无偏离</w:t>
      </w:r>
      <w:r>
        <w:rPr>
          <w:rFonts w:hint="eastAsia" w:ascii="宋体" w:hAnsi="宋体"/>
          <w:b w:val="0"/>
          <w:bCs w:val="0"/>
          <w:color w:val="auto"/>
          <w:sz w:val="21"/>
          <w:szCs w:val="21"/>
          <w:highlight w:val="none"/>
        </w:rPr>
        <w:t>”。</w:t>
      </w:r>
    </w:p>
    <w:p w14:paraId="3162787E">
      <w:pPr>
        <w:pStyle w:val="21"/>
        <w:rPr>
          <w:rFonts w:ascii="宋体" w:hAnsi="宋体"/>
          <w:b w:val="0"/>
          <w:bCs w:val="0"/>
          <w:color w:val="auto"/>
          <w:sz w:val="21"/>
          <w:szCs w:val="21"/>
          <w:highlight w:val="none"/>
        </w:rPr>
      </w:pPr>
      <w:r>
        <w:rPr>
          <w:rFonts w:hint="eastAsia" w:ascii="宋体" w:hAnsi="宋体"/>
          <w:b w:val="0"/>
          <w:bCs w:val="0"/>
          <w:color w:val="auto"/>
          <w:sz w:val="21"/>
          <w:szCs w:val="21"/>
          <w:highlight w:val="none"/>
        </w:rPr>
        <w:t>3.不按照要求填写承诺内容的或者仅填写“满足或者响应”的，均按无效投标处理。</w:t>
      </w:r>
    </w:p>
    <w:p w14:paraId="29B54EE5">
      <w:pPr>
        <w:snapToGrid w:val="0"/>
        <w:spacing w:before="50" w:after="50"/>
        <w:rPr>
          <w:rFonts w:ascii="宋体" w:hAnsi="宋体"/>
          <w:color w:val="auto"/>
          <w:szCs w:val="21"/>
          <w:highlight w:val="none"/>
        </w:rPr>
      </w:pPr>
    </w:p>
    <w:p w14:paraId="2BA067DB">
      <w:pPr>
        <w:snapToGrid w:val="0"/>
        <w:spacing w:before="50" w:after="50"/>
        <w:rPr>
          <w:rFonts w:ascii="宋体" w:hAnsi="宋体"/>
          <w:color w:val="auto"/>
          <w:szCs w:val="21"/>
          <w:highlight w:val="none"/>
        </w:rPr>
      </w:pPr>
    </w:p>
    <w:p w14:paraId="43BD0D08">
      <w:pPr>
        <w:snapToGrid w:val="0"/>
        <w:spacing w:before="50" w:after="50"/>
        <w:rPr>
          <w:rFonts w:ascii="宋体" w:hAnsi="宋体"/>
          <w:color w:val="auto"/>
          <w:spacing w:val="20"/>
          <w:szCs w:val="21"/>
          <w:highlight w:val="none"/>
          <w:u w:val="single"/>
        </w:rPr>
      </w:pPr>
      <w:r>
        <w:rPr>
          <w:rFonts w:hint="eastAsia" w:ascii="宋体" w:hAnsi="宋体"/>
          <w:color w:val="auto"/>
          <w:szCs w:val="21"/>
          <w:highlight w:val="none"/>
        </w:rPr>
        <w:t>法定代表人（或负责人）或者委托代理人（签字或电子签名）</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14:paraId="46A9C8E4">
      <w:pPr>
        <w:snapToGrid w:val="0"/>
        <w:spacing w:before="120" w:beforeLines="50"/>
        <w:rPr>
          <w:rFonts w:ascii="宋体" w:hAnsi="宋体"/>
          <w:color w:val="auto"/>
          <w:spacing w:val="20"/>
          <w:szCs w:val="21"/>
          <w:highlight w:val="none"/>
        </w:rPr>
      </w:pPr>
      <w:r>
        <w:rPr>
          <w:rFonts w:hint="eastAsia" w:ascii="宋体" w:hAnsi="宋体"/>
          <w:color w:val="auto"/>
          <w:spacing w:val="20"/>
          <w:szCs w:val="21"/>
          <w:highlight w:val="none"/>
        </w:rPr>
        <w:t>投标人名称（电子签章）：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w:t>
      </w:r>
    </w:p>
    <w:p w14:paraId="7A8CBCA0">
      <w:pPr>
        <w:snapToGrid w:val="0"/>
        <w:spacing w:before="120" w:beforeLines="50"/>
        <w:rPr>
          <w:rFonts w:ascii="宋体" w:hAnsi="宋体"/>
          <w:color w:val="auto"/>
          <w:szCs w:val="21"/>
          <w:highlight w:val="none"/>
        </w:rPr>
      </w:pPr>
      <w:r>
        <w:rPr>
          <w:rFonts w:hint="eastAsia" w:ascii="宋体" w:hAnsi="宋体"/>
          <w:color w:val="auto"/>
          <w:spacing w:val="20"/>
          <w:szCs w:val="21"/>
          <w:highlight w:val="none"/>
        </w:rPr>
        <w:t>日  期：</w:t>
      </w:r>
      <w:r>
        <w:rPr>
          <w:rFonts w:hint="eastAsia" w:ascii="宋体" w:hAnsi="宋体"/>
          <w:color w:val="auto"/>
          <w:spacing w:val="20"/>
          <w:szCs w:val="21"/>
          <w:highlight w:val="none"/>
          <w:u w:val="single"/>
        </w:rPr>
        <w:t xml:space="preserve">         </w:t>
      </w:r>
    </w:p>
    <w:p w14:paraId="042D3240">
      <w:pPr>
        <w:snapToGrid w:val="0"/>
        <w:spacing w:before="120" w:beforeLines="50" w:after="50"/>
        <w:jc w:val="left"/>
        <w:rPr>
          <w:rFonts w:ascii="宋体" w:hAnsi="宋体"/>
          <w:b/>
          <w:color w:val="auto"/>
          <w:sz w:val="24"/>
          <w:highlight w:val="none"/>
        </w:rPr>
        <w:sectPr>
          <w:pgSz w:w="11906" w:h="16838"/>
          <w:pgMar w:top="1134" w:right="1332" w:bottom="1134" w:left="1332" w:header="851" w:footer="992" w:gutter="0"/>
          <w:cols w:space="0" w:num="1"/>
          <w:titlePg/>
          <w:docGrid w:linePitch="312" w:charSpace="0"/>
        </w:sectPr>
      </w:pPr>
    </w:p>
    <w:p w14:paraId="54ED78EC">
      <w:pPr>
        <w:snapToGrid w:val="0"/>
        <w:spacing w:before="120" w:beforeLines="50" w:after="50"/>
        <w:jc w:val="left"/>
        <w:rPr>
          <w:rFonts w:ascii="宋体" w:hAnsi="宋体"/>
          <w:b/>
          <w:color w:val="auto"/>
          <w:sz w:val="24"/>
          <w:highlight w:val="none"/>
        </w:rPr>
      </w:pPr>
      <w:r>
        <w:rPr>
          <w:rFonts w:hint="eastAsia" w:ascii="宋体" w:hAnsi="宋体"/>
          <w:b/>
          <w:color w:val="auto"/>
          <w:sz w:val="24"/>
          <w:highlight w:val="none"/>
        </w:rPr>
        <w:t>7.投标人业绩证明材料</w:t>
      </w:r>
    </w:p>
    <w:p w14:paraId="3544CE00">
      <w:pPr>
        <w:pStyle w:val="37"/>
        <w:snapToGrid w:val="0"/>
        <w:ind w:left="480" w:hanging="480"/>
        <w:rPr>
          <w:rFonts w:ascii="宋体" w:hAnsi="宋体"/>
          <w:color w:val="auto"/>
          <w:sz w:val="24"/>
          <w:highlight w:val="none"/>
        </w:rPr>
      </w:pPr>
    </w:p>
    <w:p w14:paraId="2B9FAECB">
      <w:pPr>
        <w:pStyle w:val="37"/>
        <w:snapToGrid w:val="0"/>
        <w:ind w:left="420" w:hanging="420"/>
        <w:rPr>
          <w:rFonts w:ascii="宋体" w:hAnsi="宋体"/>
          <w:color w:val="auto"/>
          <w:sz w:val="21"/>
          <w:szCs w:val="21"/>
          <w:highlight w:val="none"/>
        </w:rPr>
      </w:pPr>
      <w:r>
        <w:rPr>
          <w:rFonts w:hint="eastAsia" w:ascii="宋体" w:hAnsi="宋体"/>
          <w:color w:val="auto"/>
          <w:sz w:val="21"/>
          <w:szCs w:val="21"/>
          <w:highlight w:val="none"/>
        </w:rPr>
        <w:t xml:space="preserve">投标人业绩情况一览表格式： </w:t>
      </w:r>
    </w:p>
    <w:tbl>
      <w:tblPr>
        <w:tblStyle w:val="50"/>
        <w:tblW w:w="92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6"/>
        <w:gridCol w:w="1930"/>
        <w:gridCol w:w="1930"/>
        <w:gridCol w:w="3113"/>
      </w:tblGrid>
      <w:tr w14:paraId="74F17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jc w:val="center"/>
        </w:trPr>
        <w:tc>
          <w:tcPr>
            <w:tcW w:w="2326" w:type="dxa"/>
            <w:vMerge w:val="restart"/>
            <w:tcBorders>
              <w:top w:val="single" w:color="auto" w:sz="4" w:space="0"/>
              <w:left w:val="single" w:color="auto" w:sz="4" w:space="0"/>
              <w:bottom w:val="single" w:color="auto" w:sz="4" w:space="0"/>
              <w:right w:val="single" w:color="auto" w:sz="4" w:space="0"/>
            </w:tcBorders>
            <w:vAlign w:val="center"/>
          </w:tcPr>
          <w:p w14:paraId="28015E97">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采购人名称</w:t>
            </w:r>
          </w:p>
        </w:tc>
        <w:tc>
          <w:tcPr>
            <w:tcW w:w="1930" w:type="dxa"/>
            <w:vMerge w:val="restart"/>
            <w:tcBorders>
              <w:top w:val="single" w:color="auto" w:sz="4" w:space="0"/>
              <w:left w:val="single" w:color="auto" w:sz="4" w:space="0"/>
              <w:bottom w:val="single" w:color="auto" w:sz="4" w:space="0"/>
              <w:right w:val="single" w:color="auto" w:sz="4" w:space="0"/>
            </w:tcBorders>
            <w:vAlign w:val="center"/>
          </w:tcPr>
          <w:p w14:paraId="57968D36">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项目名称</w:t>
            </w:r>
          </w:p>
        </w:tc>
        <w:tc>
          <w:tcPr>
            <w:tcW w:w="1930" w:type="dxa"/>
            <w:vMerge w:val="restart"/>
            <w:tcBorders>
              <w:top w:val="single" w:color="auto" w:sz="4" w:space="0"/>
              <w:left w:val="single" w:color="auto" w:sz="4" w:space="0"/>
              <w:bottom w:val="single" w:color="auto" w:sz="4" w:space="0"/>
              <w:right w:val="single" w:color="auto" w:sz="4" w:space="0"/>
            </w:tcBorders>
            <w:vAlign w:val="center"/>
          </w:tcPr>
          <w:p w14:paraId="45B43FF6">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合同金额</w:t>
            </w:r>
          </w:p>
          <w:p w14:paraId="2F069710">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（万元）</w:t>
            </w:r>
          </w:p>
        </w:tc>
        <w:tc>
          <w:tcPr>
            <w:tcW w:w="3113" w:type="dxa"/>
            <w:vMerge w:val="restart"/>
            <w:tcBorders>
              <w:top w:val="single" w:color="auto" w:sz="4" w:space="0"/>
              <w:left w:val="single" w:color="auto" w:sz="4" w:space="0"/>
              <w:bottom w:val="single" w:color="auto" w:sz="4" w:space="0"/>
              <w:right w:val="single" w:color="auto" w:sz="4" w:space="0"/>
            </w:tcBorders>
            <w:vAlign w:val="center"/>
          </w:tcPr>
          <w:p w14:paraId="2ADDFA5C">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采购人联系人及</w:t>
            </w:r>
          </w:p>
          <w:p w14:paraId="20DA6215">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联系电话</w:t>
            </w:r>
          </w:p>
        </w:tc>
      </w:tr>
      <w:tr w14:paraId="0D107E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6" w:hRule="atLeast"/>
          <w:jc w:val="center"/>
        </w:trPr>
        <w:tc>
          <w:tcPr>
            <w:tcW w:w="2326" w:type="dxa"/>
            <w:vMerge w:val="continue"/>
            <w:tcBorders>
              <w:top w:val="single" w:color="auto" w:sz="4" w:space="0"/>
              <w:left w:val="single" w:color="auto" w:sz="4" w:space="0"/>
              <w:bottom w:val="single" w:color="auto" w:sz="4" w:space="0"/>
              <w:right w:val="single" w:color="auto" w:sz="4" w:space="0"/>
            </w:tcBorders>
            <w:vAlign w:val="center"/>
          </w:tcPr>
          <w:p w14:paraId="6F803178">
            <w:pPr>
              <w:jc w:val="left"/>
              <w:rPr>
                <w:rFonts w:ascii="宋体" w:hAnsi="宋体"/>
                <w:color w:val="auto"/>
                <w:szCs w:val="21"/>
                <w:highlight w:val="none"/>
              </w:rPr>
            </w:pPr>
          </w:p>
        </w:tc>
        <w:tc>
          <w:tcPr>
            <w:tcW w:w="1930" w:type="dxa"/>
            <w:vMerge w:val="continue"/>
            <w:tcBorders>
              <w:top w:val="single" w:color="auto" w:sz="4" w:space="0"/>
              <w:left w:val="single" w:color="auto" w:sz="4" w:space="0"/>
              <w:bottom w:val="single" w:color="auto" w:sz="4" w:space="0"/>
              <w:right w:val="single" w:color="auto" w:sz="4" w:space="0"/>
            </w:tcBorders>
            <w:vAlign w:val="center"/>
          </w:tcPr>
          <w:p w14:paraId="23F6AA14">
            <w:pPr>
              <w:jc w:val="left"/>
              <w:rPr>
                <w:rFonts w:ascii="宋体" w:hAnsi="宋体"/>
                <w:color w:val="auto"/>
                <w:szCs w:val="21"/>
                <w:highlight w:val="none"/>
              </w:rPr>
            </w:pPr>
          </w:p>
        </w:tc>
        <w:tc>
          <w:tcPr>
            <w:tcW w:w="1930" w:type="dxa"/>
            <w:vMerge w:val="continue"/>
            <w:tcBorders>
              <w:top w:val="single" w:color="auto" w:sz="4" w:space="0"/>
              <w:left w:val="single" w:color="auto" w:sz="4" w:space="0"/>
              <w:bottom w:val="single" w:color="auto" w:sz="4" w:space="0"/>
              <w:right w:val="single" w:color="auto" w:sz="4" w:space="0"/>
            </w:tcBorders>
            <w:vAlign w:val="center"/>
          </w:tcPr>
          <w:p w14:paraId="48E780E1">
            <w:pPr>
              <w:jc w:val="left"/>
              <w:rPr>
                <w:rFonts w:ascii="宋体" w:hAnsi="宋体"/>
                <w:color w:val="auto"/>
                <w:szCs w:val="21"/>
                <w:highlight w:val="none"/>
              </w:rPr>
            </w:pPr>
          </w:p>
        </w:tc>
        <w:tc>
          <w:tcPr>
            <w:tcW w:w="3113" w:type="dxa"/>
            <w:vMerge w:val="continue"/>
            <w:tcBorders>
              <w:top w:val="single" w:color="auto" w:sz="4" w:space="0"/>
              <w:left w:val="single" w:color="auto" w:sz="4" w:space="0"/>
              <w:bottom w:val="single" w:color="auto" w:sz="4" w:space="0"/>
              <w:right w:val="single" w:color="auto" w:sz="4" w:space="0"/>
            </w:tcBorders>
            <w:vAlign w:val="center"/>
          </w:tcPr>
          <w:p w14:paraId="744819BE">
            <w:pPr>
              <w:jc w:val="left"/>
              <w:rPr>
                <w:rFonts w:ascii="宋体" w:hAnsi="宋体"/>
                <w:color w:val="auto"/>
                <w:szCs w:val="21"/>
                <w:highlight w:val="none"/>
              </w:rPr>
            </w:pPr>
          </w:p>
        </w:tc>
      </w:tr>
      <w:tr w14:paraId="157FA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2326" w:type="dxa"/>
            <w:tcBorders>
              <w:top w:val="single" w:color="auto" w:sz="4" w:space="0"/>
              <w:left w:val="single" w:color="auto" w:sz="4" w:space="0"/>
              <w:bottom w:val="single" w:color="auto" w:sz="4" w:space="0"/>
              <w:right w:val="single" w:color="auto" w:sz="4" w:space="0"/>
            </w:tcBorders>
          </w:tcPr>
          <w:p w14:paraId="4CCBB43C">
            <w:pPr>
              <w:snapToGrid w:val="0"/>
              <w:spacing w:line="240" w:lineRule="exact"/>
              <w:jc w:val="left"/>
              <w:rPr>
                <w:rFonts w:ascii="宋体" w:hAnsi="宋体"/>
                <w:color w:val="auto"/>
                <w:szCs w:val="21"/>
                <w:highlight w:val="none"/>
              </w:rPr>
            </w:pPr>
          </w:p>
        </w:tc>
        <w:tc>
          <w:tcPr>
            <w:tcW w:w="1930" w:type="dxa"/>
            <w:tcBorders>
              <w:top w:val="single" w:color="auto" w:sz="4" w:space="0"/>
              <w:left w:val="single" w:color="auto" w:sz="4" w:space="0"/>
              <w:bottom w:val="single" w:color="auto" w:sz="4" w:space="0"/>
              <w:right w:val="single" w:color="auto" w:sz="4" w:space="0"/>
            </w:tcBorders>
          </w:tcPr>
          <w:p w14:paraId="3DCE3977">
            <w:pPr>
              <w:snapToGrid w:val="0"/>
              <w:spacing w:line="240" w:lineRule="exact"/>
              <w:jc w:val="left"/>
              <w:rPr>
                <w:rFonts w:ascii="宋体" w:hAnsi="宋体"/>
                <w:color w:val="auto"/>
                <w:szCs w:val="21"/>
                <w:highlight w:val="none"/>
              </w:rPr>
            </w:pPr>
          </w:p>
        </w:tc>
        <w:tc>
          <w:tcPr>
            <w:tcW w:w="1930" w:type="dxa"/>
            <w:tcBorders>
              <w:top w:val="single" w:color="auto" w:sz="4" w:space="0"/>
              <w:left w:val="single" w:color="auto" w:sz="4" w:space="0"/>
              <w:bottom w:val="single" w:color="auto" w:sz="4" w:space="0"/>
              <w:right w:val="single" w:color="auto" w:sz="4" w:space="0"/>
            </w:tcBorders>
          </w:tcPr>
          <w:p w14:paraId="2B7F51A4">
            <w:pPr>
              <w:snapToGrid w:val="0"/>
              <w:spacing w:line="240" w:lineRule="exact"/>
              <w:jc w:val="left"/>
              <w:rPr>
                <w:rFonts w:ascii="宋体" w:hAnsi="宋体"/>
                <w:color w:val="auto"/>
                <w:szCs w:val="21"/>
                <w:highlight w:val="none"/>
              </w:rPr>
            </w:pPr>
          </w:p>
        </w:tc>
        <w:tc>
          <w:tcPr>
            <w:tcW w:w="3113" w:type="dxa"/>
            <w:tcBorders>
              <w:top w:val="single" w:color="auto" w:sz="4" w:space="0"/>
              <w:left w:val="single" w:color="auto" w:sz="4" w:space="0"/>
              <w:bottom w:val="single" w:color="auto" w:sz="4" w:space="0"/>
              <w:right w:val="single" w:color="auto" w:sz="4" w:space="0"/>
            </w:tcBorders>
          </w:tcPr>
          <w:p w14:paraId="4E6BB806">
            <w:pPr>
              <w:snapToGrid w:val="0"/>
              <w:spacing w:line="240" w:lineRule="exact"/>
              <w:jc w:val="left"/>
              <w:rPr>
                <w:rFonts w:ascii="宋体" w:hAnsi="宋体"/>
                <w:color w:val="auto"/>
                <w:szCs w:val="21"/>
                <w:highlight w:val="none"/>
              </w:rPr>
            </w:pPr>
          </w:p>
        </w:tc>
      </w:tr>
      <w:tr w14:paraId="0534C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326" w:type="dxa"/>
            <w:tcBorders>
              <w:top w:val="single" w:color="auto" w:sz="4" w:space="0"/>
              <w:left w:val="single" w:color="auto" w:sz="4" w:space="0"/>
              <w:bottom w:val="single" w:color="auto" w:sz="4" w:space="0"/>
              <w:right w:val="single" w:color="auto" w:sz="4" w:space="0"/>
            </w:tcBorders>
          </w:tcPr>
          <w:p w14:paraId="5D592E12">
            <w:pPr>
              <w:snapToGrid w:val="0"/>
              <w:spacing w:before="50" w:after="120" w:afterLines="50" w:line="400" w:lineRule="exact"/>
              <w:jc w:val="left"/>
              <w:rPr>
                <w:rFonts w:ascii="宋体" w:hAnsi="宋体"/>
                <w:color w:val="auto"/>
                <w:szCs w:val="21"/>
                <w:highlight w:val="none"/>
              </w:rPr>
            </w:pPr>
          </w:p>
        </w:tc>
        <w:tc>
          <w:tcPr>
            <w:tcW w:w="1930" w:type="dxa"/>
            <w:tcBorders>
              <w:top w:val="single" w:color="auto" w:sz="4" w:space="0"/>
              <w:left w:val="single" w:color="auto" w:sz="4" w:space="0"/>
              <w:bottom w:val="single" w:color="auto" w:sz="4" w:space="0"/>
              <w:right w:val="single" w:color="auto" w:sz="4" w:space="0"/>
            </w:tcBorders>
          </w:tcPr>
          <w:p w14:paraId="41494A9F">
            <w:pPr>
              <w:snapToGrid w:val="0"/>
              <w:spacing w:before="50" w:after="120" w:afterLines="50" w:line="400" w:lineRule="exact"/>
              <w:jc w:val="left"/>
              <w:rPr>
                <w:rFonts w:ascii="宋体" w:hAnsi="宋体"/>
                <w:color w:val="auto"/>
                <w:szCs w:val="21"/>
                <w:highlight w:val="none"/>
              </w:rPr>
            </w:pPr>
          </w:p>
        </w:tc>
        <w:tc>
          <w:tcPr>
            <w:tcW w:w="1930" w:type="dxa"/>
            <w:tcBorders>
              <w:top w:val="single" w:color="auto" w:sz="4" w:space="0"/>
              <w:left w:val="single" w:color="auto" w:sz="4" w:space="0"/>
              <w:bottom w:val="single" w:color="auto" w:sz="4" w:space="0"/>
              <w:right w:val="single" w:color="auto" w:sz="4" w:space="0"/>
            </w:tcBorders>
          </w:tcPr>
          <w:p w14:paraId="33C086AF">
            <w:pPr>
              <w:snapToGrid w:val="0"/>
              <w:spacing w:before="50" w:after="120" w:afterLines="50" w:line="400" w:lineRule="exact"/>
              <w:jc w:val="left"/>
              <w:rPr>
                <w:rFonts w:ascii="宋体" w:hAnsi="宋体"/>
                <w:color w:val="auto"/>
                <w:szCs w:val="21"/>
                <w:highlight w:val="none"/>
              </w:rPr>
            </w:pPr>
          </w:p>
        </w:tc>
        <w:tc>
          <w:tcPr>
            <w:tcW w:w="3113" w:type="dxa"/>
            <w:tcBorders>
              <w:top w:val="single" w:color="auto" w:sz="4" w:space="0"/>
              <w:left w:val="single" w:color="auto" w:sz="4" w:space="0"/>
              <w:bottom w:val="single" w:color="auto" w:sz="4" w:space="0"/>
              <w:right w:val="single" w:color="auto" w:sz="4" w:space="0"/>
            </w:tcBorders>
          </w:tcPr>
          <w:p w14:paraId="7BFBC801">
            <w:pPr>
              <w:snapToGrid w:val="0"/>
              <w:spacing w:before="50" w:after="120" w:afterLines="50" w:line="400" w:lineRule="exact"/>
              <w:jc w:val="left"/>
              <w:rPr>
                <w:rFonts w:ascii="宋体" w:hAnsi="宋体"/>
                <w:color w:val="auto"/>
                <w:szCs w:val="21"/>
                <w:highlight w:val="none"/>
              </w:rPr>
            </w:pPr>
          </w:p>
        </w:tc>
      </w:tr>
      <w:tr w14:paraId="2507A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2326" w:type="dxa"/>
            <w:tcBorders>
              <w:top w:val="single" w:color="auto" w:sz="4" w:space="0"/>
              <w:left w:val="single" w:color="auto" w:sz="4" w:space="0"/>
              <w:bottom w:val="single" w:color="auto" w:sz="4" w:space="0"/>
              <w:right w:val="single" w:color="auto" w:sz="4" w:space="0"/>
            </w:tcBorders>
          </w:tcPr>
          <w:p w14:paraId="549511A1">
            <w:pPr>
              <w:snapToGrid w:val="0"/>
              <w:spacing w:before="50" w:after="120" w:afterLines="50" w:line="400" w:lineRule="exact"/>
              <w:jc w:val="left"/>
              <w:rPr>
                <w:rFonts w:ascii="宋体" w:hAnsi="宋体"/>
                <w:color w:val="auto"/>
                <w:szCs w:val="21"/>
                <w:highlight w:val="none"/>
              </w:rPr>
            </w:pPr>
          </w:p>
        </w:tc>
        <w:tc>
          <w:tcPr>
            <w:tcW w:w="1930" w:type="dxa"/>
            <w:tcBorders>
              <w:top w:val="single" w:color="auto" w:sz="4" w:space="0"/>
              <w:left w:val="single" w:color="auto" w:sz="4" w:space="0"/>
              <w:bottom w:val="single" w:color="auto" w:sz="4" w:space="0"/>
              <w:right w:val="single" w:color="auto" w:sz="4" w:space="0"/>
            </w:tcBorders>
          </w:tcPr>
          <w:p w14:paraId="75D22441">
            <w:pPr>
              <w:snapToGrid w:val="0"/>
              <w:spacing w:before="50" w:after="120" w:afterLines="50" w:line="400" w:lineRule="exact"/>
              <w:jc w:val="left"/>
              <w:rPr>
                <w:rFonts w:ascii="宋体" w:hAnsi="宋体"/>
                <w:color w:val="auto"/>
                <w:szCs w:val="21"/>
                <w:highlight w:val="none"/>
              </w:rPr>
            </w:pPr>
          </w:p>
        </w:tc>
        <w:tc>
          <w:tcPr>
            <w:tcW w:w="1930" w:type="dxa"/>
            <w:tcBorders>
              <w:top w:val="single" w:color="auto" w:sz="4" w:space="0"/>
              <w:left w:val="single" w:color="auto" w:sz="4" w:space="0"/>
              <w:bottom w:val="single" w:color="auto" w:sz="4" w:space="0"/>
              <w:right w:val="single" w:color="auto" w:sz="4" w:space="0"/>
            </w:tcBorders>
          </w:tcPr>
          <w:p w14:paraId="19C5B87E">
            <w:pPr>
              <w:snapToGrid w:val="0"/>
              <w:spacing w:before="50" w:after="120" w:afterLines="50" w:line="400" w:lineRule="exact"/>
              <w:jc w:val="left"/>
              <w:rPr>
                <w:rFonts w:ascii="宋体" w:hAnsi="宋体"/>
                <w:color w:val="auto"/>
                <w:szCs w:val="21"/>
                <w:highlight w:val="none"/>
              </w:rPr>
            </w:pPr>
          </w:p>
        </w:tc>
        <w:tc>
          <w:tcPr>
            <w:tcW w:w="3113" w:type="dxa"/>
            <w:tcBorders>
              <w:top w:val="single" w:color="auto" w:sz="4" w:space="0"/>
              <w:left w:val="single" w:color="auto" w:sz="4" w:space="0"/>
              <w:bottom w:val="single" w:color="auto" w:sz="4" w:space="0"/>
              <w:right w:val="single" w:color="auto" w:sz="4" w:space="0"/>
            </w:tcBorders>
          </w:tcPr>
          <w:p w14:paraId="51437C62">
            <w:pPr>
              <w:snapToGrid w:val="0"/>
              <w:spacing w:before="50" w:after="120" w:afterLines="50" w:line="400" w:lineRule="exact"/>
              <w:jc w:val="left"/>
              <w:rPr>
                <w:rFonts w:ascii="宋体" w:hAnsi="宋体"/>
                <w:color w:val="auto"/>
                <w:szCs w:val="21"/>
                <w:highlight w:val="none"/>
              </w:rPr>
            </w:pPr>
          </w:p>
        </w:tc>
      </w:tr>
      <w:tr w14:paraId="44CC5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326" w:type="dxa"/>
            <w:tcBorders>
              <w:top w:val="single" w:color="auto" w:sz="4" w:space="0"/>
              <w:left w:val="single" w:color="auto" w:sz="4" w:space="0"/>
              <w:bottom w:val="single" w:color="auto" w:sz="4" w:space="0"/>
              <w:right w:val="single" w:color="auto" w:sz="4" w:space="0"/>
            </w:tcBorders>
          </w:tcPr>
          <w:p w14:paraId="31BD220A">
            <w:pPr>
              <w:snapToGrid w:val="0"/>
              <w:spacing w:before="50" w:after="120" w:afterLines="50" w:line="400" w:lineRule="exact"/>
              <w:jc w:val="left"/>
              <w:rPr>
                <w:rFonts w:ascii="宋体" w:hAnsi="宋体"/>
                <w:color w:val="auto"/>
                <w:szCs w:val="21"/>
                <w:highlight w:val="none"/>
              </w:rPr>
            </w:pPr>
          </w:p>
        </w:tc>
        <w:tc>
          <w:tcPr>
            <w:tcW w:w="1930" w:type="dxa"/>
            <w:tcBorders>
              <w:top w:val="single" w:color="auto" w:sz="4" w:space="0"/>
              <w:left w:val="single" w:color="auto" w:sz="4" w:space="0"/>
              <w:bottom w:val="single" w:color="auto" w:sz="4" w:space="0"/>
              <w:right w:val="single" w:color="auto" w:sz="4" w:space="0"/>
            </w:tcBorders>
          </w:tcPr>
          <w:p w14:paraId="3FCFA6CF">
            <w:pPr>
              <w:snapToGrid w:val="0"/>
              <w:spacing w:before="50" w:after="120" w:afterLines="50" w:line="400" w:lineRule="exact"/>
              <w:jc w:val="left"/>
              <w:rPr>
                <w:rFonts w:ascii="宋体" w:hAnsi="宋体"/>
                <w:color w:val="auto"/>
                <w:szCs w:val="21"/>
                <w:highlight w:val="none"/>
              </w:rPr>
            </w:pPr>
          </w:p>
        </w:tc>
        <w:tc>
          <w:tcPr>
            <w:tcW w:w="1930" w:type="dxa"/>
            <w:tcBorders>
              <w:top w:val="single" w:color="auto" w:sz="4" w:space="0"/>
              <w:left w:val="single" w:color="auto" w:sz="4" w:space="0"/>
              <w:bottom w:val="single" w:color="auto" w:sz="4" w:space="0"/>
              <w:right w:val="single" w:color="auto" w:sz="4" w:space="0"/>
            </w:tcBorders>
          </w:tcPr>
          <w:p w14:paraId="1C3F307D">
            <w:pPr>
              <w:snapToGrid w:val="0"/>
              <w:spacing w:before="50" w:after="120" w:afterLines="50" w:line="400" w:lineRule="exact"/>
              <w:jc w:val="left"/>
              <w:rPr>
                <w:rFonts w:ascii="宋体" w:hAnsi="宋体"/>
                <w:color w:val="auto"/>
                <w:szCs w:val="21"/>
                <w:highlight w:val="none"/>
              </w:rPr>
            </w:pPr>
          </w:p>
        </w:tc>
        <w:tc>
          <w:tcPr>
            <w:tcW w:w="3113" w:type="dxa"/>
            <w:tcBorders>
              <w:top w:val="single" w:color="auto" w:sz="4" w:space="0"/>
              <w:left w:val="single" w:color="auto" w:sz="4" w:space="0"/>
              <w:bottom w:val="single" w:color="auto" w:sz="4" w:space="0"/>
              <w:right w:val="single" w:color="auto" w:sz="4" w:space="0"/>
            </w:tcBorders>
          </w:tcPr>
          <w:p w14:paraId="3F33E45B">
            <w:pPr>
              <w:snapToGrid w:val="0"/>
              <w:spacing w:before="50" w:after="120" w:afterLines="50" w:line="400" w:lineRule="exact"/>
              <w:jc w:val="left"/>
              <w:rPr>
                <w:rFonts w:ascii="宋体" w:hAnsi="宋体"/>
                <w:color w:val="auto"/>
                <w:szCs w:val="21"/>
                <w:highlight w:val="none"/>
              </w:rPr>
            </w:pPr>
          </w:p>
        </w:tc>
      </w:tr>
      <w:tr w14:paraId="341C7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2326" w:type="dxa"/>
            <w:tcBorders>
              <w:top w:val="single" w:color="auto" w:sz="4" w:space="0"/>
              <w:left w:val="single" w:color="auto" w:sz="4" w:space="0"/>
              <w:bottom w:val="single" w:color="auto" w:sz="4" w:space="0"/>
              <w:right w:val="single" w:color="auto" w:sz="4" w:space="0"/>
            </w:tcBorders>
          </w:tcPr>
          <w:p w14:paraId="6D8D561F">
            <w:pPr>
              <w:snapToGrid w:val="0"/>
              <w:spacing w:before="50" w:after="120" w:afterLines="50" w:line="400" w:lineRule="exact"/>
              <w:jc w:val="left"/>
              <w:rPr>
                <w:rFonts w:ascii="宋体" w:hAnsi="宋体"/>
                <w:color w:val="auto"/>
                <w:szCs w:val="21"/>
                <w:highlight w:val="none"/>
              </w:rPr>
            </w:pPr>
          </w:p>
        </w:tc>
        <w:tc>
          <w:tcPr>
            <w:tcW w:w="1930" w:type="dxa"/>
            <w:tcBorders>
              <w:top w:val="single" w:color="auto" w:sz="4" w:space="0"/>
              <w:left w:val="single" w:color="auto" w:sz="4" w:space="0"/>
              <w:bottom w:val="single" w:color="auto" w:sz="4" w:space="0"/>
              <w:right w:val="single" w:color="auto" w:sz="4" w:space="0"/>
            </w:tcBorders>
          </w:tcPr>
          <w:p w14:paraId="622DCCD5">
            <w:pPr>
              <w:snapToGrid w:val="0"/>
              <w:spacing w:before="50" w:after="120" w:afterLines="50" w:line="400" w:lineRule="exact"/>
              <w:jc w:val="left"/>
              <w:rPr>
                <w:rFonts w:ascii="宋体" w:hAnsi="宋体"/>
                <w:color w:val="auto"/>
                <w:szCs w:val="21"/>
                <w:highlight w:val="none"/>
              </w:rPr>
            </w:pPr>
          </w:p>
        </w:tc>
        <w:tc>
          <w:tcPr>
            <w:tcW w:w="1930" w:type="dxa"/>
            <w:tcBorders>
              <w:top w:val="single" w:color="auto" w:sz="4" w:space="0"/>
              <w:left w:val="single" w:color="auto" w:sz="4" w:space="0"/>
              <w:bottom w:val="single" w:color="auto" w:sz="4" w:space="0"/>
              <w:right w:val="single" w:color="auto" w:sz="4" w:space="0"/>
            </w:tcBorders>
          </w:tcPr>
          <w:p w14:paraId="12180509">
            <w:pPr>
              <w:snapToGrid w:val="0"/>
              <w:spacing w:before="50" w:after="120" w:afterLines="50" w:line="400" w:lineRule="exact"/>
              <w:jc w:val="left"/>
              <w:rPr>
                <w:rFonts w:ascii="宋体" w:hAnsi="宋体"/>
                <w:color w:val="auto"/>
                <w:szCs w:val="21"/>
                <w:highlight w:val="none"/>
              </w:rPr>
            </w:pPr>
          </w:p>
        </w:tc>
        <w:tc>
          <w:tcPr>
            <w:tcW w:w="3113" w:type="dxa"/>
            <w:tcBorders>
              <w:top w:val="single" w:color="auto" w:sz="4" w:space="0"/>
              <w:left w:val="single" w:color="auto" w:sz="4" w:space="0"/>
              <w:bottom w:val="single" w:color="auto" w:sz="4" w:space="0"/>
              <w:right w:val="single" w:color="auto" w:sz="4" w:space="0"/>
            </w:tcBorders>
          </w:tcPr>
          <w:p w14:paraId="3E85F533">
            <w:pPr>
              <w:snapToGrid w:val="0"/>
              <w:spacing w:before="50" w:after="120" w:afterLines="50" w:line="400" w:lineRule="exact"/>
              <w:jc w:val="left"/>
              <w:rPr>
                <w:rFonts w:ascii="宋体" w:hAnsi="宋体"/>
                <w:color w:val="auto"/>
                <w:szCs w:val="21"/>
                <w:highlight w:val="none"/>
              </w:rPr>
            </w:pPr>
          </w:p>
        </w:tc>
      </w:tr>
    </w:tbl>
    <w:p w14:paraId="423E229E">
      <w:pPr>
        <w:pStyle w:val="18"/>
        <w:spacing w:before="0" w:after="0" w:line="360" w:lineRule="auto"/>
        <w:contextualSpacing/>
        <w:rPr>
          <w:rFonts w:ascii="宋体" w:hAnsi="宋体" w:eastAsia="宋体"/>
          <w:color w:val="auto"/>
          <w:sz w:val="21"/>
          <w:szCs w:val="21"/>
          <w:highlight w:val="none"/>
        </w:rPr>
      </w:pPr>
    </w:p>
    <w:p w14:paraId="64C2D7CB">
      <w:pPr>
        <w:pStyle w:val="18"/>
        <w:spacing w:before="0" w:after="0" w:line="360" w:lineRule="auto"/>
        <w:contextualSpacing/>
        <w:rPr>
          <w:rFonts w:ascii="宋体" w:hAnsi="宋体" w:eastAsia="宋体"/>
          <w:color w:val="auto"/>
          <w:sz w:val="21"/>
          <w:szCs w:val="21"/>
          <w:highlight w:val="none"/>
        </w:rPr>
      </w:pPr>
      <w:r>
        <w:rPr>
          <w:rFonts w:hint="eastAsia" w:ascii="宋体" w:hAnsi="宋体" w:eastAsia="宋体"/>
          <w:color w:val="auto"/>
          <w:sz w:val="21"/>
          <w:szCs w:val="21"/>
          <w:highlight w:val="none"/>
        </w:rPr>
        <w:t>注：投标人根据评标标准具体要求附业绩证明材料。</w:t>
      </w:r>
    </w:p>
    <w:p w14:paraId="21DD8321">
      <w:pPr>
        <w:pStyle w:val="18"/>
        <w:spacing w:before="0" w:after="0" w:line="360" w:lineRule="auto"/>
        <w:contextualSpacing/>
        <w:jc w:val="left"/>
        <w:rPr>
          <w:rFonts w:ascii="宋体" w:hAnsi="宋体" w:eastAsia="宋体"/>
          <w:color w:val="auto"/>
          <w:sz w:val="21"/>
          <w:szCs w:val="21"/>
          <w:highlight w:val="none"/>
        </w:rPr>
      </w:pPr>
    </w:p>
    <w:p w14:paraId="49FC508B">
      <w:pPr>
        <w:pStyle w:val="18"/>
        <w:spacing w:before="0" w:after="0" w:line="360" w:lineRule="auto"/>
        <w:contextualSpacing/>
        <w:jc w:val="left"/>
        <w:rPr>
          <w:rFonts w:ascii="宋体" w:hAnsi="宋体" w:eastAsia="宋体"/>
          <w:color w:val="auto"/>
          <w:sz w:val="21"/>
          <w:szCs w:val="21"/>
          <w:highlight w:val="none"/>
        </w:rPr>
      </w:pPr>
    </w:p>
    <w:p w14:paraId="6FAAD03E">
      <w:pPr>
        <w:pStyle w:val="18"/>
        <w:spacing w:before="0" w:after="0" w:line="360" w:lineRule="auto"/>
        <w:contextualSpacing/>
        <w:jc w:val="left"/>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法定代表人（或负责人）或者委托代理人（签字或电子签名）：</w:t>
      </w:r>
      <w:r>
        <w:rPr>
          <w:rFonts w:hint="eastAsia" w:ascii="宋体" w:hAnsi="宋体" w:eastAsia="宋体"/>
          <w:color w:val="auto"/>
          <w:sz w:val="21"/>
          <w:szCs w:val="21"/>
          <w:highlight w:val="none"/>
          <w:u w:val="single"/>
        </w:rPr>
        <w:t>　　　　　</w:t>
      </w:r>
    </w:p>
    <w:p w14:paraId="0703BC02">
      <w:pPr>
        <w:spacing w:line="360" w:lineRule="auto"/>
        <w:ind w:right="480"/>
        <w:contextualSpacing/>
        <w:jc w:val="left"/>
        <w:rPr>
          <w:rFonts w:ascii="宋体" w:hAnsi="宋体"/>
          <w:color w:val="auto"/>
          <w:szCs w:val="21"/>
          <w:highlight w:val="none"/>
        </w:rPr>
      </w:pPr>
      <w:r>
        <w:rPr>
          <w:rFonts w:hint="eastAsia" w:ascii="宋体" w:hAnsi="宋体" w:cs="Arial"/>
          <w:color w:val="auto"/>
          <w:szCs w:val="21"/>
          <w:highlight w:val="none"/>
        </w:rPr>
        <w:t xml:space="preserve">投标人名称（电子签章）：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月    日</w:t>
      </w:r>
    </w:p>
    <w:p w14:paraId="35505857">
      <w:pPr>
        <w:snapToGrid w:val="0"/>
        <w:spacing w:before="50"/>
        <w:ind w:firstLine="480" w:firstLineChars="200"/>
        <w:jc w:val="left"/>
        <w:rPr>
          <w:rFonts w:ascii="宋体" w:hAnsi="宋体"/>
          <w:color w:val="auto"/>
          <w:sz w:val="24"/>
          <w:szCs w:val="20"/>
          <w:highlight w:val="none"/>
        </w:rPr>
      </w:pPr>
    </w:p>
    <w:p w14:paraId="6659E39C">
      <w:pPr>
        <w:snapToGrid w:val="0"/>
        <w:spacing w:before="50"/>
        <w:jc w:val="left"/>
        <w:rPr>
          <w:rFonts w:ascii="宋体" w:hAnsi="宋体"/>
          <w:color w:val="auto"/>
          <w:sz w:val="24"/>
          <w:highlight w:val="none"/>
        </w:rPr>
      </w:pPr>
    </w:p>
    <w:p w14:paraId="217DC7FE">
      <w:pPr>
        <w:snapToGrid w:val="0"/>
        <w:spacing w:before="120" w:beforeLines="50"/>
        <w:rPr>
          <w:rFonts w:ascii="宋体" w:hAnsi="宋体"/>
          <w:color w:val="auto"/>
          <w:sz w:val="24"/>
          <w:szCs w:val="20"/>
          <w:highlight w:val="none"/>
        </w:rPr>
        <w:sectPr>
          <w:pgSz w:w="11906" w:h="16838"/>
          <w:pgMar w:top="1134" w:right="1332" w:bottom="1134" w:left="1332" w:header="851" w:footer="992" w:gutter="0"/>
          <w:cols w:space="0" w:num="1"/>
          <w:titlePg/>
          <w:docGrid w:linePitch="312" w:charSpace="0"/>
        </w:sectPr>
      </w:pPr>
    </w:p>
    <w:p w14:paraId="716E1976">
      <w:pPr>
        <w:rPr>
          <w:rFonts w:ascii="宋体" w:hAnsi="宋体"/>
          <w:b/>
          <w:color w:val="auto"/>
          <w:sz w:val="28"/>
          <w:szCs w:val="28"/>
          <w:highlight w:val="none"/>
        </w:rPr>
      </w:pPr>
      <w:r>
        <w:rPr>
          <w:rFonts w:hint="eastAsia" w:ascii="宋体" w:hAnsi="宋体"/>
          <w:b/>
          <w:color w:val="auto"/>
          <w:sz w:val="28"/>
          <w:szCs w:val="28"/>
          <w:highlight w:val="none"/>
        </w:rPr>
        <w:t>四、技术文件格式</w:t>
      </w:r>
    </w:p>
    <w:p w14:paraId="27D3BAEE">
      <w:pPr>
        <w:snapToGrid w:val="0"/>
        <w:spacing w:before="120" w:beforeLines="50" w:after="50"/>
        <w:ind w:left="142"/>
        <w:jc w:val="left"/>
        <w:rPr>
          <w:rFonts w:ascii="宋体" w:hAnsi="宋体"/>
          <w:b/>
          <w:color w:val="auto"/>
          <w:sz w:val="24"/>
          <w:highlight w:val="none"/>
        </w:rPr>
      </w:pPr>
      <w:r>
        <w:rPr>
          <w:rFonts w:hint="eastAsia" w:ascii="宋体" w:hAnsi="宋体"/>
          <w:b/>
          <w:color w:val="auto"/>
          <w:sz w:val="24"/>
          <w:highlight w:val="none"/>
        </w:rPr>
        <w:t xml:space="preserve">1. 技术文件封面格式： </w:t>
      </w:r>
    </w:p>
    <w:p w14:paraId="00B70811">
      <w:pPr>
        <w:snapToGrid w:val="0"/>
        <w:spacing w:before="120" w:beforeLines="50" w:after="50" w:line="360" w:lineRule="auto"/>
        <w:ind w:left="142"/>
        <w:jc w:val="center"/>
        <w:rPr>
          <w:rFonts w:ascii="宋体" w:hAnsi="宋体"/>
          <w:bCs/>
          <w:color w:val="auto"/>
          <w:sz w:val="48"/>
          <w:szCs w:val="48"/>
          <w:highlight w:val="none"/>
        </w:rPr>
      </w:pPr>
      <w:r>
        <w:rPr>
          <w:rFonts w:hint="eastAsia" w:ascii="宋体" w:hAnsi="宋体"/>
          <w:bCs/>
          <w:color w:val="auto"/>
          <w:sz w:val="48"/>
          <w:szCs w:val="48"/>
          <w:highlight w:val="none"/>
        </w:rPr>
        <w:t>电子投标文件</w:t>
      </w:r>
    </w:p>
    <w:p w14:paraId="08BD3238">
      <w:pPr>
        <w:snapToGrid w:val="0"/>
        <w:spacing w:before="120" w:beforeLines="50" w:after="50"/>
        <w:jc w:val="center"/>
        <w:rPr>
          <w:rFonts w:ascii="宋体" w:hAnsi="宋体"/>
          <w:b/>
          <w:bCs/>
          <w:color w:val="auto"/>
          <w:sz w:val="32"/>
          <w:szCs w:val="32"/>
          <w:highlight w:val="none"/>
        </w:rPr>
      </w:pPr>
      <w:r>
        <w:rPr>
          <w:rFonts w:hint="eastAsia" w:ascii="宋体" w:hAnsi="宋体"/>
          <w:b/>
          <w:bCs/>
          <w:color w:val="auto"/>
          <w:sz w:val="32"/>
          <w:szCs w:val="32"/>
          <w:highlight w:val="none"/>
        </w:rPr>
        <w:t>技术文件</w:t>
      </w:r>
    </w:p>
    <w:p w14:paraId="5D3C511B">
      <w:pPr>
        <w:snapToGrid w:val="0"/>
        <w:spacing w:before="120" w:beforeLines="50" w:after="50"/>
        <w:rPr>
          <w:rFonts w:ascii="宋体" w:hAnsi="宋体"/>
          <w:bCs/>
          <w:color w:val="auto"/>
          <w:sz w:val="24"/>
          <w:szCs w:val="20"/>
          <w:highlight w:val="none"/>
        </w:rPr>
      </w:pPr>
    </w:p>
    <w:p w14:paraId="6E005814">
      <w:pPr>
        <w:snapToGrid w:val="0"/>
        <w:spacing w:before="120" w:beforeLines="50" w:after="50" w:line="400" w:lineRule="exact"/>
        <w:ind w:firstLine="360" w:firstLineChars="150"/>
        <w:rPr>
          <w:rFonts w:ascii="宋体" w:hAnsi="宋体"/>
          <w:bCs/>
          <w:color w:val="auto"/>
          <w:sz w:val="24"/>
          <w:szCs w:val="20"/>
          <w:highlight w:val="none"/>
        </w:rPr>
      </w:pPr>
      <w:r>
        <w:rPr>
          <w:rFonts w:hint="eastAsia" w:ascii="宋体" w:hAnsi="宋体"/>
          <w:bCs/>
          <w:color w:val="auto"/>
          <w:sz w:val="24"/>
          <w:highlight w:val="none"/>
        </w:rPr>
        <w:t xml:space="preserve">项目名称： </w:t>
      </w:r>
    </w:p>
    <w:p w14:paraId="1E3FE291">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13E38C5A">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所投分标：无，则写“/”</w:t>
      </w:r>
    </w:p>
    <w:p w14:paraId="1B8C0A9A">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667F685F">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40D3E7B8">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 xml:space="preserve">                        年    月    日</w:t>
      </w:r>
    </w:p>
    <w:p w14:paraId="1C6D4434">
      <w:pPr>
        <w:snapToGrid w:val="0"/>
        <w:spacing w:before="120" w:beforeLines="50" w:after="50"/>
        <w:ind w:firstLine="645"/>
        <w:jc w:val="center"/>
        <w:rPr>
          <w:rFonts w:ascii="宋体" w:hAnsi="宋体"/>
          <w:color w:val="auto"/>
          <w:sz w:val="24"/>
          <w:szCs w:val="20"/>
          <w:highlight w:val="none"/>
        </w:rPr>
      </w:pPr>
    </w:p>
    <w:p w14:paraId="26DE47DF">
      <w:pPr>
        <w:snapToGrid w:val="0"/>
        <w:spacing w:before="120" w:beforeLines="50" w:after="50"/>
        <w:ind w:left="142"/>
        <w:jc w:val="left"/>
        <w:rPr>
          <w:rFonts w:ascii="宋体" w:hAnsi="宋体"/>
          <w:b/>
          <w:color w:val="auto"/>
          <w:sz w:val="24"/>
          <w:highlight w:val="none"/>
        </w:rPr>
      </w:pPr>
      <w:r>
        <w:rPr>
          <w:rFonts w:ascii="宋体" w:hAnsi="宋体"/>
          <w:b/>
          <w:bCs/>
          <w:color w:val="auto"/>
          <w:sz w:val="24"/>
          <w:highlight w:val="none"/>
        </w:rPr>
        <w:br w:type="page"/>
      </w:r>
      <w:r>
        <w:rPr>
          <w:rFonts w:hint="eastAsia" w:ascii="宋体" w:hAnsi="宋体"/>
          <w:b/>
          <w:color w:val="auto"/>
          <w:sz w:val="24"/>
          <w:highlight w:val="none"/>
        </w:rPr>
        <w:t>2.技术文件目录</w:t>
      </w:r>
    </w:p>
    <w:p w14:paraId="38780CB4">
      <w:pPr>
        <w:snapToGrid w:val="0"/>
        <w:spacing w:before="50" w:after="120" w:after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708C354C">
      <w:pPr>
        <w:snapToGrid w:val="0"/>
        <w:spacing w:before="50" w:after="120" w:afterLines="50"/>
        <w:jc w:val="left"/>
        <w:rPr>
          <w:rFonts w:ascii="宋体" w:hAnsi="宋体"/>
          <w:color w:val="auto"/>
          <w:sz w:val="24"/>
          <w:szCs w:val="20"/>
          <w:highlight w:val="none"/>
        </w:rPr>
      </w:pPr>
      <w:r>
        <w:rPr>
          <w:rFonts w:ascii="宋体" w:hAnsi="宋体"/>
          <w:b/>
          <w:color w:val="auto"/>
          <w:sz w:val="24"/>
          <w:highlight w:val="none"/>
        </w:rPr>
        <w:br w:type="page"/>
      </w:r>
    </w:p>
    <w:p w14:paraId="4DE591A1">
      <w:pPr>
        <w:snapToGrid w:val="0"/>
        <w:spacing w:before="120" w:beforeLines="50" w:after="50"/>
        <w:ind w:left="142"/>
        <w:jc w:val="left"/>
        <w:rPr>
          <w:rFonts w:ascii="宋体" w:hAnsi="宋体"/>
          <w:b/>
          <w:color w:val="auto"/>
          <w:sz w:val="24"/>
          <w:highlight w:val="none"/>
        </w:rPr>
      </w:pPr>
      <w:r>
        <w:rPr>
          <w:rFonts w:hint="eastAsia" w:ascii="宋体" w:hAnsi="宋体"/>
          <w:b/>
          <w:color w:val="auto"/>
          <w:sz w:val="24"/>
          <w:highlight w:val="none"/>
        </w:rPr>
        <w:t>3. 技术要求偏离表格式</w:t>
      </w:r>
    </w:p>
    <w:p w14:paraId="7B10B26A">
      <w:pPr>
        <w:snapToGrid w:val="0"/>
        <w:spacing w:before="120" w:beforeLines="50" w:after="50"/>
        <w:ind w:left="142"/>
        <w:jc w:val="left"/>
        <w:rPr>
          <w:rFonts w:ascii="宋体" w:hAnsi="宋体"/>
          <w:b/>
          <w:color w:val="auto"/>
          <w:sz w:val="24"/>
          <w:highlight w:val="none"/>
        </w:rPr>
      </w:pPr>
    </w:p>
    <w:p w14:paraId="4A99800C">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tbl>
      <w:tblPr>
        <w:tblStyle w:val="50"/>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33DB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7DD229CB">
            <w:pPr>
              <w:pStyle w:val="27"/>
              <w:spacing w:line="400" w:lineRule="exact"/>
              <w:jc w:val="center"/>
              <w:rPr>
                <w:rFonts w:hAnsi="宋体" w:cs="Courier New"/>
                <w:color w:val="auto"/>
                <w:kern w:val="2"/>
                <w:sz w:val="21"/>
                <w:highlight w:val="none"/>
              </w:rPr>
            </w:pPr>
            <w:r>
              <w:rPr>
                <w:rFonts w:hint="eastAsia" w:hAnsi="宋体" w:cs="Courier New"/>
                <w:color w:val="auto"/>
                <w:kern w:val="2"/>
                <w:sz w:val="21"/>
                <w:highlight w:val="none"/>
              </w:rPr>
              <w:t>项号</w:t>
            </w:r>
          </w:p>
        </w:tc>
        <w:tc>
          <w:tcPr>
            <w:tcW w:w="2143" w:type="dxa"/>
            <w:vAlign w:val="center"/>
          </w:tcPr>
          <w:p w14:paraId="029A3DFF">
            <w:pPr>
              <w:pStyle w:val="27"/>
              <w:spacing w:line="400" w:lineRule="exact"/>
              <w:jc w:val="center"/>
              <w:rPr>
                <w:rFonts w:hAnsi="宋体" w:cs="Courier New"/>
                <w:color w:val="auto"/>
                <w:kern w:val="2"/>
                <w:sz w:val="21"/>
                <w:highlight w:val="none"/>
              </w:rPr>
            </w:pPr>
            <w:r>
              <w:rPr>
                <w:rFonts w:hint="eastAsia" w:hAnsi="宋体" w:cs="Courier New"/>
                <w:color w:val="auto"/>
                <w:kern w:val="2"/>
                <w:sz w:val="21"/>
                <w:highlight w:val="none"/>
              </w:rPr>
              <w:t>标的名称</w:t>
            </w:r>
          </w:p>
        </w:tc>
        <w:tc>
          <w:tcPr>
            <w:tcW w:w="1834" w:type="dxa"/>
            <w:vAlign w:val="center"/>
          </w:tcPr>
          <w:p w14:paraId="72490CD1">
            <w:pPr>
              <w:pStyle w:val="27"/>
              <w:spacing w:line="400" w:lineRule="exact"/>
              <w:jc w:val="center"/>
              <w:rPr>
                <w:rFonts w:hAnsi="宋体" w:cs="Courier New"/>
                <w:color w:val="auto"/>
                <w:kern w:val="2"/>
                <w:sz w:val="21"/>
                <w:highlight w:val="none"/>
              </w:rPr>
            </w:pPr>
            <w:r>
              <w:rPr>
                <w:rFonts w:hint="eastAsia" w:hAnsi="宋体" w:cs="Courier New"/>
                <w:color w:val="auto"/>
                <w:kern w:val="2"/>
                <w:sz w:val="21"/>
                <w:highlight w:val="none"/>
              </w:rPr>
              <w:t>技术要求</w:t>
            </w:r>
          </w:p>
        </w:tc>
        <w:tc>
          <w:tcPr>
            <w:tcW w:w="2181" w:type="dxa"/>
            <w:vAlign w:val="center"/>
          </w:tcPr>
          <w:p w14:paraId="777D9C12">
            <w:pPr>
              <w:pStyle w:val="27"/>
              <w:spacing w:line="400" w:lineRule="exact"/>
              <w:jc w:val="center"/>
              <w:rPr>
                <w:rFonts w:hAnsi="宋体" w:cs="Courier New"/>
                <w:color w:val="auto"/>
                <w:kern w:val="2"/>
                <w:sz w:val="21"/>
                <w:highlight w:val="none"/>
              </w:rPr>
            </w:pPr>
            <w:r>
              <w:rPr>
                <w:rFonts w:hint="eastAsia" w:hAnsi="宋体" w:cs="Courier New"/>
                <w:color w:val="auto"/>
                <w:kern w:val="2"/>
                <w:sz w:val="21"/>
                <w:highlight w:val="none"/>
              </w:rPr>
              <w:t>投标响应</w:t>
            </w:r>
          </w:p>
        </w:tc>
        <w:tc>
          <w:tcPr>
            <w:tcW w:w="1934" w:type="dxa"/>
            <w:vAlign w:val="center"/>
          </w:tcPr>
          <w:p w14:paraId="28D94FE8">
            <w:pPr>
              <w:pStyle w:val="27"/>
              <w:spacing w:line="400" w:lineRule="exact"/>
              <w:jc w:val="center"/>
              <w:rPr>
                <w:rFonts w:hAnsi="宋体" w:cs="Courier New"/>
                <w:color w:val="auto"/>
                <w:kern w:val="2"/>
                <w:sz w:val="21"/>
                <w:highlight w:val="none"/>
              </w:rPr>
            </w:pPr>
            <w:r>
              <w:rPr>
                <w:rFonts w:hint="eastAsia" w:hAnsi="宋体" w:cs="Courier New"/>
                <w:color w:val="auto"/>
                <w:kern w:val="2"/>
                <w:sz w:val="21"/>
                <w:highlight w:val="none"/>
              </w:rPr>
              <w:t>偏离说明</w:t>
            </w:r>
          </w:p>
        </w:tc>
      </w:tr>
      <w:tr w14:paraId="0542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EC12F92">
            <w:pPr>
              <w:pStyle w:val="27"/>
              <w:spacing w:line="600" w:lineRule="exact"/>
              <w:jc w:val="center"/>
              <w:rPr>
                <w:rFonts w:hAnsi="宋体" w:cs="Courier New"/>
                <w:color w:val="auto"/>
                <w:kern w:val="2"/>
                <w:sz w:val="21"/>
                <w:highlight w:val="none"/>
              </w:rPr>
            </w:pPr>
          </w:p>
        </w:tc>
        <w:tc>
          <w:tcPr>
            <w:tcW w:w="2143" w:type="dxa"/>
            <w:vAlign w:val="center"/>
          </w:tcPr>
          <w:p w14:paraId="544AE70E">
            <w:pPr>
              <w:pStyle w:val="27"/>
              <w:spacing w:line="600" w:lineRule="exact"/>
              <w:jc w:val="center"/>
              <w:rPr>
                <w:rFonts w:hAnsi="宋体" w:cs="Courier New"/>
                <w:color w:val="auto"/>
                <w:kern w:val="2"/>
                <w:sz w:val="21"/>
                <w:highlight w:val="none"/>
              </w:rPr>
            </w:pPr>
          </w:p>
        </w:tc>
        <w:tc>
          <w:tcPr>
            <w:tcW w:w="1834" w:type="dxa"/>
            <w:vAlign w:val="center"/>
          </w:tcPr>
          <w:p w14:paraId="588ED708">
            <w:pPr>
              <w:pStyle w:val="27"/>
              <w:spacing w:line="600" w:lineRule="exact"/>
              <w:jc w:val="center"/>
              <w:rPr>
                <w:rFonts w:hAnsi="宋体" w:cs="Courier New"/>
                <w:color w:val="auto"/>
                <w:kern w:val="2"/>
                <w:sz w:val="21"/>
                <w:highlight w:val="none"/>
              </w:rPr>
            </w:pPr>
          </w:p>
        </w:tc>
        <w:tc>
          <w:tcPr>
            <w:tcW w:w="2181" w:type="dxa"/>
            <w:vAlign w:val="center"/>
          </w:tcPr>
          <w:p w14:paraId="7ADC2AAA">
            <w:pPr>
              <w:pStyle w:val="27"/>
              <w:spacing w:line="600" w:lineRule="exact"/>
              <w:jc w:val="center"/>
              <w:rPr>
                <w:rFonts w:hAnsi="宋体" w:cs="Courier New"/>
                <w:color w:val="auto"/>
                <w:kern w:val="2"/>
                <w:sz w:val="21"/>
                <w:highlight w:val="none"/>
              </w:rPr>
            </w:pPr>
          </w:p>
        </w:tc>
        <w:tc>
          <w:tcPr>
            <w:tcW w:w="1934" w:type="dxa"/>
            <w:vAlign w:val="center"/>
          </w:tcPr>
          <w:p w14:paraId="6B5DB703">
            <w:pPr>
              <w:pStyle w:val="27"/>
              <w:spacing w:line="600" w:lineRule="exact"/>
              <w:jc w:val="center"/>
              <w:rPr>
                <w:rFonts w:hAnsi="宋体" w:cs="Courier New"/>
                <w:color w:val="auto"/>
                <w:kern w:val="2"/>
                <w:sz w:val="21"/>
                <w:highlight w:val="none"/>
              </w:rPr>
            </w:pPr>
          </w:p>
        </w:tc>
      </w:tr>
      <w:tr w14:paraId="6011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297522E">
            <w:pPr>
              <w:pStyle w:val="27"/>
              <w:spacing w:line="600" w:lineRule="exact"/>
              <w:rPr>
                <w:rFonts w:hAnsi="宋体" w:cs="Courier New"/>
                <w:color w:val="auto"/>
                <w:kern w:val="2"/>
                <w:sz w:val="21"/>
                <w:highlight w:val="none"/>
              </w:rPr>
            </w:pPr>
          </w:p>
        </w:tc>
        <w:tc>
          <w:tcPr>
            <w:tcW w:w="2143" w:type="dxa"/>
          </w:tcPr>
          <w:p w14:paraId="3238B3C9">
            <w:pPr>
              <w:pStyle w:val="27"/>
              <w:spacing w:line="600" w:lineRule="exact"/>
              <w:rPr>
                <w:rFonts w:hAnsi="宋体" w:cs="Courier New"/>
                <w:color w:val="auto"/>
                <w:kern w:val="2"/>
                <w:sz w:val="21"/>
                <w:highlight w:val="none"/>
              </w:rPr>
            </w:pPr>
          </w:p>
        </w:tc>
        <w:tc>
          <w:tcPr>
            <w:tcW w:w="1834" w:type="dxa"/>
          </w:tcPr>
          <w:p w14:paraId="4455F046">
            <w:pPr>
              <w:pStyle w:val="27"/>
              <w:spacing w:line="600" w:lineRule="exact"/>
              <w:rPr>
                <w:rFonts w:hAnsi="宋体" w:cs="Courier New"/>
                <w:color w:val="auto"/>
                <w:kern w:val="2"/>
                <w:sz w:val="21"/>
                <w:highlight w:val="none"/>
              </w:rPr>
            </w:pPr>
          </w:p>
        </w:tc>
        <w:tc>
          <w:tcPr>
            <w:tcW w:w="2181" w:type="dxa"/>
          </w:tcPr>
          <w:p w14:paraId="2FEF877F">
            <w:pPr>
              <w:pStyle w:val="27"/>
              <w:spacing w:line="600" w:lineRule="exact"/>
              <w:rPr>
                <w:rFonts w:hAnsi="宋体" w:cs="Courier New"/>
                <w:color w:val="auto"/>
                <w:kern w:val="2"/>
                <w:sz w:val="21"/>
                <w:highlight w:val="none"/>
              </w:rPr>
            </w:pPr>
          </w:p>
        </w:tc>
        <w:tc>
          <w:tcPr>
            <w:tcW w:w="1934" w:type="dxa"/>
          </w:tcPr>
          <w:p w14:paraId="132DD35A">
            <w:pPr>
              <w:pStyle w:val="27"/>
              <w:spacing w:line="600" w:lineRule="exact"/>
              <w:rPr>
                <w:rFonts w:hAnsi="宋体" w:cs="Courier New"/>
                <w:color w:val="auto"/>
                <w:kern w:val="2"/>
                <w:sz w:val="21"/>
                <w:highlight w:val="none"/>
              </w:rPr>
            </w:pPr>
          </w:p>
        </w:tc>
      </w:tr>
      <w:tr w14:paraId="58E4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B4CB88F">
            <w:pPr>
              <w:pStyle w:val="27"/>
              <w:spacing w:line="600" w:lineRule="exact"/>
              <w:rPr>
                <w:rFonts w:hAnsi="宋体" w:cs="Courier New"/>
                <w:color w:val="auto"/>
                <w:kern w:val="2"/>
                <w:sz w:val="21"/>
                <w:highlight w:val="none"/>
              </w:rPr>
            </w:pPr>
          </w:p>
        </w:tc>
        <w:tc>
          <w:tcPr>
            <w:tcW w:w="2143" w:type="dxa"/>
          </w:tcPr>
          <w:p w14:paraId="39510723">
            <w:pPr>
              <w:pStyle w:val="27"/>
              <w:spacing w:line="600" w:lineRule="exact"/>
              <w:rPr>
                <w:rFonts w:hAnsi="宋体" w:cs="Courier New"/>
                <w:color w:val="auto"/>
                <w:kern w:val="2"/>
                <w:sz w:val="21"/>
                <w:highlight w:val="none"/>
              </w:rPr>
            </w:pPr>
          </w:p>
        </w:tc>
        <w:tc>
          <w:tcPr>
            <w:tcW w:w="1834" w:type="dxa"/>
          </w:tcPr>
          <w:p w14:paraId="748BA49A">
            <w:pPr>
              <w:pStyle w:val="27"/>
              <w:spacing w:line="600" w:lineRule="exact"/>
              <w:rPr>
                <w:rFonts w:hAnsi="宋体" w:cs="Courier New"/>
                <w:color w:val="auto"/>
                <w:kern w:val="2"/>
                <w:sz w:val="21"/>
                <w:highlight w:val="none"/>
              </w:rPr>
            </w:pPr>
          </w:p>
        </w:tc>
        <w:tc>
          <w:tcPr>
            <w:tcW w:w="2181" w:type="dxa"/>
          </w:tcPr>
          <w:p w14:paraId="2C368E73">
            <w:pPr>
              <w:pStyle w:val="27"/>
              <w:spacing w:line="600" w:lineRule="exact"/>
              <w:rPr>
                <w:rFonts w:hAnsi="宋体" w:cs="Courier New"/>
                <w:color w:val="auto"/>
                <w:kern w:val="2"/>
                <w:sz w:val="21"/>
                <w:highlight w:val="none"/>
              </w:rPr>
            </w:pPr>
          </w:p>
        </w:tc>
        <w:tc>
          <w:tcPr>
            <w:tcW w:w="1934" w:type="dxa"/>
          </w:tcPr>
          <w:p w14:paraId="440397D6">
            <w:pPr>
              <w:pStyle w:val="27"/>
              <w:spacing w:line="600" w:lineRule="exact"/>
              <w:rPr>
                <w:rFonts w:hAnsi="宋体" w:cs="Courier New"/>
                <w:color w:val="auto"/>
                <w:kern w:val="2"/>
                <w:sz w:val="21"/>
                <w:highlight w:val="none"/>
              </w:rPr>
            </w:pPr>
          </w:p>
        </w:tc>
      </w:tr>
      <w:tr w14:paraId="334F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AAEBECB">
            <w:pPr>
              <w:pStyle w:val="27"/>
              <w:spacing w:line="600" w:lineRule="exact"/>
              <w:rPr>
                <w:rFonts w:hAnsi="宋体" w:cs="Courier New"/>
                <w:color w:val="auto"/>
                <w:kern w:val="2"/>
                <w:sz w:val="21"/>
                <w:highlight w:val="none"/>
              </w:rPr>
            </w:pPr>
          </w:p>
        </w:tc>
        <w:tc>
          <w:tcPr>
            <w:tcW w:w="2143" w:type="dxa"/>
          </w:tcPr>
          <w:p w14:paraId="7CDA5027">
            <w:pPr>
              <w:pStyle w:val="27"/>
              <w:spacing w:line="600" w:lineRule="exact"/>
              <w:rPr>
                <w:rFonts w:hAnsi="宋体" w:cs="Courier New"/>
                <w:color w:val="auto"/>
                <w:kern w:val="2"/>
                <w:sz w:val="21"/>
                <w:highlight w:val="none"/>
              </w:rPr>
            </w:pPr>
          </w:p>
        </w:tc>
        <w:tc>
          <w:tcPr>
            <w:tcW w:w="1834" w:type="dxa"/>
          </w:tcPr>
          <w:p w14:paraId="5E41E346">
            <w:pPr>
              <w:pStyle w:val="27"/>
              <w:spacing w:line="600" w:lineRule="exact"/>
              <w:rPr>
                <w:rFonts w:hAnsi="宋体" w:cs="Courier New"/>
                <w:color w:val="auto"/>
                <w:kern w:val="2"/>
                <w:sz w:val="21"/>
                <w:highlight w:val="none"/>
              </w:rPr>
            </w:pPr>
          </w:p>
        </w:tc>
        <w:tc>
          <w:tcPr>
            <w:tcW w:w="2181" w:type="dxa"/>
          </w:tcPr>
          <w:p w14:paraId="20B8DF0E">
            <w:pPr>
              <w:pStyle w:val="27"/>
              <w:spacing w:line="600" w:lineRule="exact"/>
              <w:rPr>
                <w:rFonts w:hAnsi="宋体" w:cs="Courier New"/>
                <w:color w:val="auto"/>
                <w:kern w:val="2"/>
                <w:sz w:val="21"/>
                <w:highlight w:val="none"/>
              </w:rPr>
            </w:pPr>
          </w:p>
        </w:tc>
        <w:tc>
          <w:tcPr>
            <w:tcW w:w="1934" w:type="dxa"/>
          </w:tcPr>
          <w:p w14:paraId="6F51E1C4">
            <w:pPr>
              <w:pStyle w:val="27"/>
              <w:spacing w:line="600" w:lineRule="exact"/>
              <w:rPr>
                <w:rFonts w:hAnsi="宋体" w:cs="Courier New"/>
                <w:color w:val="auto"/>
                <w:kern w:val="2"/>
                <w:sz w:val="21"/>
                <w:highlight w:val="none"/>
              </w:rPr>
            </w:pPr>
          </w:p>
        </w:tc>
      </w:tr>
      <w:tr w14:paraId="1AFB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C945870">
            <w:pPr>
              <w:pStyle w:val="27"/>
              <w:spacing w:line="600" w:lineRule="exact"/>
              <w:rPr>
                <w:rFonts w:hAnsi="宋体" w:cs="Courier New"/>
                <w:color w:val="auto"/>
                <w:kern w:val="2"/>
                <w:sz w:val="21"/>
                <w:highlight w:val="none"/>
              </w:rPr>
            </w:pPr>
          </w:p>
        </w:tc>
        <w:tc>
          <w:tcPr>
            <w:tcW w:w="2143" w:type="dxa"/>
          </w:tcPr>
          <w:p w14:paraId="6211CA8E">
            <w:pPr>
              <w:pStyle w:val="27"/>
              <w:spacing w:line="600" w:lineRule="exact"/>
              <w:rPr>
                <w:rFonts w:hAnsi="宋体" w:cs="Courier New"/>
                <w:color w:val="auto"/>
                <w:kern w:val="2"/>
                <w:sz w:val="21"/>
                <w:highlight w:val="none"/>
              </w:rPr>
            </w:pPr>
          </w:p>
        </w:tc>
        <w:tc>
          <w:tcPr>
            <w:tcW w:w="1834" w:type="dxa"/>
          </w:tcPr>
          <w:p w14:paraId="5F948BD1">
            <w:pPr>
              <w:pStyle w:val="27"/>
              <w:spacing w:line="600" w:lineRule="exact"/>
              <w:rPr>
                <w:rFonts w:hAnsi="宋体" w:cs="Courier New"/>
                <w:color w:val="auto"/>
                <w:kern w:val="2"/>
                <w:sz w:val="21"/>
                <w:highlight w:val="none"/>
              </w:rPr>
            </w:pPr>
          </w:p>
        </w:tc>
        <w:tc>
          <w:tcPr>
            <w:tcW w:w="2181" w:type="dxa"/>
          </w:tcPr>
          <w:p w14:paraId="60C4AFC9">
            <w:pPr>
              <w:pStyle w:val="27"/>
              <w:spacing w:line="600" w:lineRule="exact"/>
              <w:rPr>
                <w:rFonts w:hAnsi="宋体" w:cs="Courier New"/>
                <w:color w:val="auto"/>
                <w:kern w:val="2"/>
                <w:sz w:val="21"/>
                <w:highlight w:val="none"/>
              </w:rPr>
            </w:pPr>
          </w:p>
        </w:tc>
        <w:tc>
          <w:tcPr>
            <w:tcW w:w="1934" w:type="dxa"/>
          </w:tcPr>
          <w:p w14:paraId="74988A35">
            <w:pPr>
              <w:pStyle w:val="27"/>
              <w:spacing w:line="600" w:lineRule="exact"/>
              <w:rPr>
                <w:rFonts w:hAnsi="宋体" w:cs="Courier New"/>
                <w:color w:val="auto"/>
                <w:kern w:val="2"/>
                <w:sz w:val="21"/>
                <w:highlight w:val="none"/>
              </w:rPr>
            </w:pPr>
          </w:p>
        </w:tc>
      </w:tr>
      <w:tr w14:paraId="3443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BF2AF04">
            <w:pPr>
              <w:pStyle w:val="27"/>
              <w:spacing w:line="600" w:lineRule="exact"/>
              <w:rPr>
                <w:rFonts w:hAnsi="宋体" w:cs="Courier New"/>
                <w:color w:val="auto"/>
                <w:kern w:val="2"/>
                <w:sz w:val="21"/>
                <w:highlight w:val="none"/>
              </w:rPr>
            </w:pPr>
          </w:p>
        </w:tc>
        <w:tc>
          <w:tcPr>
            <w:tcW w:w="2143" w:type="dxa"/>
          </w:tcPr>
          <w:p w14:paraId="1830F270">
            <w:pPr>
              <w:pStyle w:val="27"/>
              <w:spacing w:line="600" w:lineRule="exact"/>
              <w:rPr>
                <w:rFonts w:hAnsi="宋体" w:cs="Courier New"/>
                <w:color w:val="auto"/>
                <w:kern w:val="2"/>
                <w:sz w:val="21"/>
                <w:highlight w:val="none"/>
              </w:rPr>
            </w:pPr>
          </w:p>
        </w:tc>
        <w:tc>
          <w:tcPr>
            <w:tcW w:w="1834" w:type="dxa"/>
          </w:tcPr>
          <w:p w14:paraId="28D17F31">
            <w:pPr>
              <w:pStyle w:val="27"/>
              <w:spacing w:line="600" w:lineRule="exact"/>
              <w:rPr>
                <w:rFonts w:hAnsi="宋体" w:cs="Courier New"/>
                <w:color w:val="auto"/>
                <w:kern w:val="2"/>
                <w:sz w:val="21"/>
                <w:highlight w:val="none"/>
              </w:rPr>
            </w:pPr>
          </w:p>
        </w:tc>
        <w:tc>
          <w:tcPr>
            <w:tcW w:w="2181" w:type="dxa"/>
          </w:tcPr>
          <w:p w14:paraId="08093FBD">
            <w:pPr>
              <w:pStyle w:val="27"/>
              <w:spacing w:line="600" w:lineRule="exact"/>
              <w:rPr>
                <w:rFonts w:hAnsi="宋体" w:cs="Courier New"/>
                <w:color w:val="auto"/>
                <w:kern w:val="2"/>
                <w:sz w:val="21"/>
                <w:highlight w:val="none"/>
              </w:rPr>
            </w:pPr>
          </w:p>
        </w:tc>
        <w:tc>
          <w:tcPr>
            <w:tcW w:w="1934" w:type="dxa"/>
          </w:tcPr>
          <w:p w14:paraId="65DEED54">
            <w:pPr>
              <w:pStyle w:val="27"/>
              <w:spacing w:line="600" w:lineRule="exact"/>
              <w:rPr>
                <w:rFonts w:hAnsi="宋体" w:cs="Courier New"/>
                <w:color w:val="auto"/>
                <w:kern w:val="2"/>
                <w:sz w:val="21"/>
                <w:highlight w:val="none"/>
              </w:rPr>
            </w:pPr>
          </w:p>
        </w:tc>
      </w:tr>
    </w:tbl>
    <w:p w14:paraId="237C9A3C">
      <w:pPr>
        <w:pStyle w:val="21"/>
        <w:rPr>
          <w:rFonts w:ascii="宋体" w:hAnsi="宋体"/>
          <w:color w:val="auto"/>
          <w:sz w:val="21"/>
          <w:szCs w:val="21"/>
          <w:highlight w:val="none"/>
        </w:rPr>
      </w:pPr>
      <w:r>
        <w:rPr>
          <w:rFonts w:hint="eastAsia" w:ascii="宋体" w:hAnsi="宋体"/>
          <w:color w:val="auto"/>
          <w:sz w:val="21"/>
          <w:szCs w:val="21"/>
          <w:highlight w:val="none"/>
        </w:rPr>
        <w:t>注：</w:t>
      </w:r>
    </w:p>
    <w:p w14:paraId="7E35ACA3">
      <w:pPr>
        <w:pStyle w:val="22"/>
        <w:spacing w:line="360" w:lineRule="auto"/>
        <w:ind w:firstLine="0" w:firstLineChars="0"/>
        <w:rPr>
          <w:rFonts w:ascii="宋体" w:hAnsi="宋体" w:eastAsia="宋体" w:cs="仿宋_GB2312"/>
          <w:color w:val="auto"/>
          <w:sz w:val="21"/>
          <w:szCs w:val="21"/>
          <w:highlight w:val="none"/>
        </w:rPr>
      </w:pPr>
      <w:r>
        <w:rPr>
          <w:rFonts w:hint="eastAsia" w:ascii="宋体" w:hAnsi="宋体" w:eastAsia="宋体"/>
          <w:color w:val="auto"/>
          <w:sz w:val="21"/>
          <w:szCs w:val="21"/>
          <w:highlight w:val="none"/>
        </w:rPr>
        <w:t>1. 说明：应对照招标文件“第二章 采购需求”中的“技术要求”逐条作明确的投标响应，并作出偏离说明。</w:t>
      </w:r>
    </w:p>
    <w:p w14:paraId="6C2CD5EF">
      <w:pPr>
        <w:pStyle w:val="21"/>
        <w:spacing w:line="360" w:lineRule="auto"/>
        <w:rPr>
          <w:rFonts w:ascii="宋体" w:hAnsi="宋体"/>
          <w:b w:val="0"/>
          <w:bCs w:val="0"/>
          <w:color w:val="auto"/>
          <w:sz w:val="21"/>
          <w:szCs w:val="21"/>
          <w:highlight w:val="none"/>
        </w:rPr>
      </w:pPr>
      <w:r>
        <w:rPr>
          <w:rFonts w:ascii="宋体" w:hAnsi="宋体"/>
          <w:b w:val="0"/>
          <w:bCs w:val="0"/>
          <w:color w:val="auto"/>
          <w:sz w:val="21"/>
          <w:szCs w:val="21"/>
          <w:highlight w:val="none"/>
        </w:rPr>
        <w:t>2.</w:t>
      </w:r>
      <w:r>
        <w:rPr>
          <w:rFonts w:hint="eastAsia" w:ascii="宋体" w:hAnsi="宋体"/>
          <w:b w:val="0"/>
          <w:bCs w:val="0"/>
          <w:color w:val="auto"/>
          <w:sz w:val="21"/>
          <w:szCs w:val="21"/>
          <w:highlight w:val="none"/>
        </w:rPr>
        <w:t>投标人根据投标货物的性能指标，对照招标文件技术要求，在“偏离说明”中注明“</w:t>
      </w:r>
      <w:r>
        <w:rPr>
          <w:rFonts w:hint="eastAsia" w:ascii="宋体" w:hAnsi="宋体"/>
          <w:color w:val="auto"/>
          <w:sz w:val="21"/>
          <w:szCs w:val="21"/>
          <w:highlight w:val="none"/>
        </w:rPr>
        <w:t>正偏离</w:t>
      </w:r>
      <w:r>
        <w:rPr>
          <w:rFonts w:hint="eastAsia" w:ascii="宋体" w:hAnsi="宋体"/>
          <w:b w:val="0"/>
          <w:bCs w:val="0"/>
          <w:color w:val="auto"/>
          <w:sz w:val="21"/>
          <w:szCs w:val="21"/>
          <w:highlight w:val="none"/>
        </w:rPr>
        <w:t>”、“</w:t>
      </w:r>
      <w:r>
        <w:rPr>
          <w:rFonts w:hint="eastAsia" w:ascii="宋体" w:hAnsi="宋体"/>
          <w:color w:val="auto"/>
          <w:sz w:val="21"/>
          <w:szCs w:val="21"/>
          <w:highlight w:val="none"/>
        </w:rPr>
        <w:t>负偏离</w:t>
      </w:r>
      <w:r>
        <w:rPr>
          <w:rFonts w:hint="eastAsia" w:ascii="宋体" w:hAnsi="宋体"/>
          <w:b w:val="0"/>
          <w:bCs w:val="0"/>
          <w:color w:val="auto"/>
          <w:sz w:val="21"/>
          <w:szCs w:val="21"/>
          <w:highlight w:val="none"/>
        </w:rPr>
        <w:t>”或者“</w:t>
      </w:r>
      <w:r>
        <w:rPr>
          <w:rFonts w:hint="eastAsia" w:ascii="宋体" w:hAnsi="宋体"/>
          <w:color w:val="auto"/>
          <w:sz w:val="21"/>
          <w:szCs w:val="21"/>
          <w:highlight w:val="none"/>
        </w:rPr>
        <w:t>无偏离</w:t>
      </w:r>
      <w:r>
        <w:rPr>
          <w:rFonts w:hint="eastAsia" w:ascii="宋体" w:hAnsi="宋体"/>
          <w:b w:val="0"/>
          <w:bCs w:val="0"/>
          <w:color w:val="auto"/>
          <w:sz w:val="21"/>
          <w:szCs w:val="21"/>
          <w:highlight w:val="none"/>
        </w:rPr>
        <w:t>”。既不属于“</w:t>
      </w:r>
      <w:r>
        <w:rPr>
          <w:rFonts w:hint="eastAsia" w:ascii="宋体" w:hAnsi="宋体"/>
          <w:color w:val="auto"/>
          <w:sz w:val="21"/>
          <w:szCs w:val="21"/>
          <w:highlight w:val="none"/>
        </w:rPr>
        <w:t>正偏离</w:t>
      </w:r>
      <w:r>
        <w:rPr>
          <w:rFonts w:hint="eastAsia" w:ascii="宋体" w:hAnsi="宋体"/>
          <w:b w:val="0"/>
          <w:bCs w:val="0"/>
          <w:color w:val="auto"/>
          <w:sz w:val="21"/>
          <w:szCs w:val="21"/>
          <w:highlight w:val="none"/>
        </w:rPr>
        <w:t>”也不属于“</w:t>
      </w:r>
      <w:r>
        <w:rPr>
          <w:rFonts w:hint="eastAsia" w:ascii="宋体" w:hAnsi="宋体"/>
          <w:color w:val="auto"/>
          <w:sz w:val="21"/>
          <w:szCs w:val="21"/>
          <w:highlight w:val="none"/>
        </w:rPr>
        <w:t>负偏离</w:t>
      </w:r>
      <w:r>
        <w:rPr>
          <w:rFonts w:hint="eastAsia" w:ascii="宋体" w:hAnsi="宋体"/>
          <w:b w:val="0"/>
          <w:bCs w:val="0"/>
          <w:color w:val="auto"/>
          <w:sz w:val="21"/>
          <w:szCs w:val="21"/>
          <w:highlight w:val="none"/>
        </w:rPr>
        <w:t>”即为“</w:t>
      </w:r>
      <w:r>
        <w:rPr>
          <w:rFonts w:hint="eastAsia" w:ascii="宋体" w:hAnsi="宋体"/>
          <w:color w:val="auto"/>
          <w:sz w:val="21"/>
          <w:szCs w:val="21"/>
          <w:highlight w:val="none"/>
        </w:rPr>
        <w:t>无偏离</w:t>
      </w:r>
      <w:r>
        <w:rPr>
          <w:rFonts w:hint="eastAsia" w:ascii="宋体" w:hAnsi="宋体"/>
          <w:b w:val="0"/>
          <w:bCs w:val="0"/>
          <w:color w:val="auto"/>
          <w:sz w:val="21"/>
          <w:szCs w:val="21"/>
          <w:highlight w:val="none"/>
        </w:rPr>
        <w:t>”。</w:t>
      </w:r>
    </w:p>
    <w:p w14:paraId="0F18213F">
      <w:pPr>
        <w:pStyle w:val="22"/>
        <w:spacing w:line="360" w:lineRule="auto"/>
        <w:ind w:firstLine="0" w:firstLineChars="0"/>
        <w:rPr>
          <w:rFonts w:ascii="宋体" w:hAnsi="宋体" w:eastAsia="宋体"/>
          <w:color w:val="auto"/>
          <w:sz w:val="21"/>
          <w:szCs w:val="21"/>
          <w:highlight w:val="none"/>
        </w:rPr>
      </w:pPr>
      <w:r>
        <w:rPr>
          <w:rFonts w:hint="eastAsia" w:ascii="宋体" w:hAnsi="宋体" w:eastAsia="宋体"/>
          <w:color w:val="auto"/>
          <w:sz w:val="21"/>
          <w:szCs w:val="21"/>
          <w:highlight w:val="none"/>
        </w:rPr>
        <w:t>3.如技术要求偏离表中的投标响应与佐证材料不一致的，以佐证材料为准。</w:t>
      </w:r>
    </w:p>
    <w:p w14:paraId="2BC02543">
      <w:pPr>
        <w:pStyle w:val="22"/>
        <w:spacing w:line="360" w:lineRule="auto"/>
        <w:ind w:firstLine="0" w:firstLineChars="0"/>
        <w:rPr>
          <w:rFonts w:ascii="宋体" w:hAnsi="宋体" w:eastAsia="宋体"/>
          <w:color w:val="auto"/>
          <w:sz w:val="21"/>
          <w:szCs w:val="21"/>
          <w:highlight w:val="none"/>
        </w:rPr>
      </w:pPr>
      <w:r>
        <w:rPr>
          <w:rFonts w:hint="eastAsia" w:ascii="宋体" w:hAnsi="宋体" w:eastAsia="宋体"/>
          <w:color w:val="auto"/>
          <w:sz w:val="21"/>
          <w:szCs w:val="21"/>
          <w:highlight w:val="none"/>
        </w:rPr>
        <w:t>4.不按照要求填写响应内容的或者仅填写“满足或者响应”的，均按无效投标处理。</w:t>
      </w:r>
    </w:p>
    <w:p w14:paraId="056237BC">
      <w:pPr>
        <w:snapToGrid w:val="0"/>
        <w:spacing w:before="50" w:after="50" w:line="360" w:lineRule="auto"/>
        <w:rPr>
          <w:rFonts w:ascii="宋体" w:hAnsi="宋体"/>
          <w:color w:val="auto"/>
          <w:szCs w:val="21"/>
          <w:highlight w:val="none"/>
        </w:rPr>
      </w:pPr>
    </w:p>
    <w:p w14:paraId="2400EA36">
      <w:pPr>
        <w:snapToGrid w:val="0"/>
        <w:spacing w:before="50" w:after="50" w:line="360" w:lineRule="auto"/>
        <w:rPr>
          <w:rFonts w:ascii="宋体" w:hAnsi="宋体"/>
          <w:color w:val="auto"/>
          <w:spacing w:val="20"/>
          <w:szCs w:val="21"/>
          <w:highlight w:val="none"/>
          <w:u w:val="single"/>
        </w:rPr>
      </w:pPr>
      <w:r>
        <w:rPr>
          <w:rFonts w:hint="eastAsia" w:ascii="宋体" w:hAnsi="宋体"/>
          <w:color w:val="auto"/>
          <w:szCs w:val="21"/>
          <w:highlight w:val="none"/>
        </w:rPr>
        <w:t>法定代表人（或负责人）或者委托代理人（签字或电子签名）</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14:paraId="5225D4F6">
      <w:pPr>
        <w:snapToGrid w:val="0"/>
        <w:spacing w:before="50" w:after="50" w:line="360" w:lineRule="auto"/>
        <w:rPr>
          <w:rFonts w:ascii="宋体" w:hAnsi="宋体"/>
          <w:color w:val="auto"/>
          <w:spacing w:val="20"/>
          <w:szCs w:val="21"/>
          <w:highlight w:val="none"/>
        </w:rPr>
      </w:pPr>
      <w:r>
        <w:rPr>
          <w:rFonts w:hint="eastAsia" w:ascii="宋体" w:hAnsi="宋体"/>
          <w:color w:val="auto"/>
          <w:spacing w:val="20"/>
          <w:szCs w:val="21"/>
          <w:highlight w:val="none"/>
        </w:rPr>
        <w:t>投标人名称（电子签章）：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w:t>
      </w:r>
    </w:p>
    <w:p w14:paraId="1067B5D1">
      <w:pPr>
        <w:snapToGrid w:val="0"/>
        <w:spacing w:before="50" w:after="50" w:line="360" w:lineRule="auto"/>
        <w:rPr>
          <w:rFonts w:ascii="宋体" w:hAnsi="宋体"/>
          <w:color w:val="auto"/>
          <w:spacing w:val="20"/>
          <w:szCs w:val="21"/>
          <w:highlight w:val="none"/>
          <w:u w:val="single"/>
        </w:rPr>
      </w:pPr>
      <w:r>
        <w:rPr>
          <w:rFonts w:hint="eastAsia" w:ascii="宋体" w:hAnsi="宋体"/>
          <w:color w:val="auto"/>
          <w:spacing w:val="20"/>
          <w:szCs w:val="21"/>
          <w:highlight w:val="none"/>
        </w:rPr>
        <w:t>日 期：</w:t>
      </w:r>
      <w:r>
        <w:rPr>
          <w:rFonts w:hint="eastAsia" w:ascii="宋体" w:hAnsi="宋体"/>
          <w:color w:val="auto"/>
          <w:spacing w:val="20"/>
          <w:szCs w:val="21"/>
          <w:highlight w:val="none"/>
          <w:u w:val="single"/>
        </w:rPr>
        <w:t xml:space="preserve">        </w:t>
      </w:r>
    </w:p>
    <w:p w14:paraId="75B6BB3C">
      <w:pPr>
        <w:snapToGrid w:val="0"/>
        <w:spacing w:before="50" w:after="50" w:line="360" w:lineRule="auto"/>
        <w:rPr>
          <w:rFonts w:ascii="宋体" w:hAnsi="宋体"/>
          <w:color w:val="auto"/>
          <w:sz w:val="24"/>
          <w:szCs w:val="20"/>
          <w:highlight w:val="none"/>
        </w:rPr>
      </w:pPr>
    </w:p>
    <w:p w14:paraId="7E39E25B">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4. 项目实施人员一览表格式</w:t>
      </w:r>
    </w:p>
    <w:p w14:paraId="0DADBD1D">
      <w:pPr>
        <w:snapToGrid w:val="0"/>
        <w:spacing w:before="120" w:beforeLines="50" w:after="50"/>
        <w:ind w:left="142"/>
        <w:jc w:val="left"/>
        <w:rPr>
          <w:rFonts w:ascii="宋体" w:hAnsi="宋体"/>
          <w:b/>
          <w:color w:val="auto"/>
          <w:sz w:val="24"/>
          <w:highlight w:val="none"/>
        </w:rPr>
      </w:pPr>
    </w:p>
    <w:p w14:paraId="5D3CC558">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p w14:paraId="7F6BA991">
      <w:pPr>
        <w:pStyle w:val="61"/>
        <w:rPr>
          <w:color w:val="auto"/>
          <w:highlight w:val="none"/>
        </w:rPr>
      </w:pPr>
    </w:p>
    <w:tbl>
      <w:tblPr>
        <w:tblStyle w:val="50"/>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824"/>
        <w:gridCol w:w="1977"/>
        <w:gridCol w:w="1651"/>
        <w:gridCol w:w="1974"/>
        <w:gridCol w:w="1978"/>
      </w:tblGrid>
      <w:tr w14:paraId="78DE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jc w:val="center"/>
        </w:trPr>
        <w:tc>
          <w:tcPr>
            <w:tcW w:w="949" w:type="dxa"/>
            <w:vAlign w:val="center"/>
          </w:tcPr>
          <w:p w14:paraId="60550F64">
            <w:pPr>
              <w:snapToGrid w:val="0"/>
              <w:spacing w:before="50" w:after="120" w:afterLines="50"/>
              <w:jc w:val="center"/>
              <w:rPr>
                <w:rFonts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szCs w:val="21"/>
                <w:highlight w:val="none"/>
              </w:rPr>
              <w:t>姓名</w:t>
            </w:r>
          </w:p>
        </w:tc>
        <w:tc>
          <w:tcPr>
            <w:tcW w:w="824" w:type="dxa"/>
            <w:vAlign w:val="center"/>
          </w:tcPr>
          <w:p w14:paraId="3A3C68F0">
            <w:pPr>
              <w:snapToGrid w:val="0"/>
              <w:spacing w:before="50" w:after="120" w:afterLines="50"/>
              <w:jc w:val="center"/>
              <w:rPr>
                <w:rFonts w:ascii="宋体" w:hAnsi="宋体"/>
                <w:color w:val="auto"/>
                <w:szCs w:val="21"/>
                <w:highlight w:val="none"/>
              </w:rPr>
            </w:pPr>
            <w:r>
              <w:rPr>
                <w:rFonts w:hint="eastAsia" w:ascii="宋体" w:hAnsi="宋体"/>
                <w:color w:val="auto"/>
                <w:szCs w:val="21"/>
                <w:highlight w:val="none"/>
              </w:rPr>
              <w:t>职务</w:t>
            </w:r>
          </w:p>
        </w:tc>
        <w:tc>
          <w:tcPr>
            <w:tcW w:w="1977" w:type="dxa"/>
            <w:vAlign w:val="center"/>
          </w:tcPr>
          <w:p w14:paraId="3A929176">
            <w:pPr>
              <w:snapToGrid w:val="0"/>
              <w:spacing w:before="50" w:after="120" w:afterLines="50"/>
              <w:jc w:val="center"/>
              <w:rPr>
                <w:rFonts w:ascii="宋体" w:hAnsi="宋体"/>
                <w:color w:val="auto"/>
                <w:szCs w:val="21"/>
                <w:highlight w:val="none"/>
              </w:rPr>
            </w:pPr>
            <w:r>
              <w:rPr>
                <w:rFonts w:hint="eastAsia" w:ascii="宋体" w:hAnsi="宋体"/>
                <w:color w:val="auto"/>
                <w:szCs w:val="21"/>
                <w:highlight w:val="none"/>
              </w:rPr>
              <w:t>专业技术资格（职称）或者职业资格或者执业资格证或者其他证书</w:t>
            </w:r>
          </w:p>
        </w:tc>
        <w:tc>
          <w:tcPr>
            <w:tcW w:w="1651" w:type="dxa"/>
            <w:vAlign w:val="center"/>
          </w:tcPr>
          <w:p w14:paraId="23E32047">
            <w:pPr>
              <w:snapToGrid w:val="0"/>
              <w:spacing w:before="50" w:after="120" w:afterLines="50"/>
              <w:jc w:val="center"/>
              <w:rPr>
                <w:rFonts w:ascii="宋体" w:hAnsi="宋体"/>
                <w:color w:val="auto"/>
                <w:szCs w:val="21"/>
                <w:highlight w:val="none"/>
              </w:rPr>
            </w:pPr>
            <w:r>
              <w:rPr>
                <w:rFonts w:hint="eastAsia" w:ascii="宋体" w:hAnsi="宋体"/>
                <w:color w:val="auto"/>
                <w:szCs w:val="21"/>
                <w:highlight w:val="none"/>
              </w:rPr>
              <w:t>证书编号</w:t>
            </w:r>
          </w:p>
        </w:tc>
        <w:tc>
          <w:tcPr>
            <w:tcW w:w="1974" w:type="dxa"/>
            <w:vAlign w:val="center"/>
          </w:tcPr>
          <w:p w14:paraId="5B5A1769">
            <w:pPr>
              <w:snapToGrid w:val="0"/>
              <w:spacing w:before="50" w:after="120" w:afterLines="50"/>
              <w:jc w:val="center"/>
              <w:rPr>
                <w:rFonts w:ascii="宋体" w:hAnsi="宋体"/>
                <w:color w:val="auto"/>
                <w:szCs w:val="21"/>
                <w:highlight w:val="none"/>
              </w:rPr>
            </w:pPr>
            <w:r>
              <w:rPr>
                <w:rFonts w:hint="eastAsia" w:ascii="宋体" w:hAnsi="宋体"/>
                <w:color w:val="auto"/>
                <w:szCs w:val="21"/>
                <w:highlight w:val="none"/>
              </w:rPr>
              <w:t>参加本单位</w:t>
            </w:r>
          </w:p>
          <w:p w14:paraId="2A410C42">
            <w:pPr>
              <w:snapToGrid w:val="0"/>
              <w:spacing w:before="50" w:after="120" w:afterLines="50"/>
              <w:jc w:val="center"/>
              <w:rPr>
                <w:rFonts w:ascii="宋体" w:hAnsi="宋体"/>
                <w:color w:val="auto"/>
                <w:szCs w:val="21"/>
                <w:highlight w:val="none"/>
              </w:rPr>
            </w:pPr>
            <w:r>
              <w:rPr>
                <w:rFonts w:hint="eastAsia" w:ascii="宋体" w:hAnsi="宋体"/>
                <w:color w:val="auto"/>
                <w:szCs w:val="21"/>
                <w:highlight w:val="none"/>
              </w:rPr>
              <w:t>工作时间</w:t>
            </w:r>
          </w:p>
        </w:tc>
        <w:tc>
          <w:tcPr>
            <w:tcW w:w="1978" w:type="dxa"/>
            <w:vAlign w:val="center"/>
          </w:tcPr>
          <w:p w14:paraId="1C801626">
            <w:pPr>
              <w:snapToGrid w:val="0"/>
              <w:spacing w:before="50" w:after="120" w:afterLines="50"/>
              <w:jc w:val="center"/>
              <w:rPr>
                <w:rFonts w:ascii="宋体" w:hAnsi="宋体"/>
                <w:color w:val="auto"/>
                <w:szCs w:val="21"/>
                <w:highlight w:val="none"/>
              </w:rPr>
            </w:pPr>
            <w:r>
              <w:rPr>
                <w:rFonts w:hint="eastAsia" w:ascii="宋体" w:hAnsi="宋体"/>
                <w:color w:val="auto"/>
                <w:szCs w:val="21"/>
                <w:highlight w:val="none"/>
              </w:rPr>
              <w:t>劳动合同编号</w:t>
            </w:r>
          </w:p>
        </w:tc>
      </w:tr>
      <w:tr w14:paraId="0F44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49" w:type="dxa"/>
            <w:vAlign w:val="center"/>
          </w:tcPr>
          <w:p w14:paraId="05ECDA55">
            <w:pPr>
              <w:snapToGrid w:val="0"/>
              <w:spacing w:before="50" w:after="120" w:afterLines="50"/>
              <w:jc w:val="center"/>
              <w:rPr>
                <w:rFonts w:ascii="宋体" w:hAnsi="宋体"/>
                <w:color w:val="auto"/>
                <w:szCs w:val="21"/>
                <w:highlight w:val="none"/>
              </w:rPr>
            </w:pPr>
          </w:p>
        </w:tc>
        <w:tc>
          <w:tcPr>
            <w:tcW w:w="824" w:type="dxa"/>
            <w:vAlign w:val="center"/>
          </w:tcPr>
          <w:p w14:paraId="6A80AABF">
            <w:pPr>
              <w:snapToGrid w:val="0"/>
              <w:spacing w:before="50" w:after="120" w:afterLines="50"/>
              <w:jc w:val="center"/>
              <w:rPr>
                <w:rFonts w:ascii="宋体" w:hAnsi="宋体"/>
                <w:color w:val="auto"/>
                <w:szCs w:val="21"/>
                <w:highlight w:val="none"/>
              </w:rPr>
            </w:pPr>
          </w:p>
        </w:tc>
        <w:tc>
          <w:tcPr>
            <w:tcW w:w="1977" w:type="dxa"/>
            <w:vAlign w:val="center"/>
          </w:tcPr>
          <w:p w14:paraId="6523403E">
            <w:pPr>
              <w:snapToGrid w:val="0"/>
              <w:spacing w:before="50" w:after="120" w:afterLines="50"/>
              <w:jc w:val="center"/>
              <w:rPr>
                <w:rFonts w:ascii="宋体" w:hAnsi="宋体"/>
                <w:color w:val="auto"/>
                <w:szCs w:val="21"/>
                <w:highlight w:val="none"/>
              </w:rPr>
            </w:pPr>
          </w:p>
        </w:tc>
        <w:tc>
          <w:tcPr>
            <w:tcW w:w="1651" w:type="dxa"/>
            <w:vAlign w:val="center"/>
          </w:tcPr>
          <w:p w14:paraId="14648915">
            <w:pPr>
              <w:snapToGrid w:val="0"/>
              <w:spacing w:before="50" w:after="120" w:afterLines="50"/>
              <w:jc w:val="center"/>
              <w:rPr>
                <w:rFonts w:ascii="宋体" w:hAnsi="宋体"/>
                <w:color w:val="auto"/>
                <w:szCs w:val="21"/>
                <w:highlight w:val="none"/>
              </w:rPr>
            </w:pPr>
          </w:p>
        </w:tc>
        <w:tc>
          <w:tcPr>
            <w:tcW w:w="1974" w:type="dxa"/>
            <w:vAlign w:val="center"/>
          </w:tcPr>
          <w:p w14:paraId="6FEB9616">
            <w:pPr>
              <w:snapToGrid w:val="0"/>
              <w:spacing w:before="50" w:after="120" w:afterLines="50"/>
              <w:jc w:val="center"/>
              <w:rPr>
                <w:rFonts w:ascii="宋体" w:hAnsi="宋体"/>
                <w:color w:val="auto"/>
                <w:szCs w:val="21"/>
                <w:highlight w:val="none"/>
              </w:rPr>
            </w:pPr>
          </w:p>
        </w:tc>
        <w:tc>
          <w:tcPr>
            <w:tcW w:w="1978" w:type="dxa"/>
            <w:vAlign w:val="center"/>
          </w:tcPr>
          <w:p w14:paraId="3BE9B152">
            <w:pPr>
              <w:snapToGrid w:val="0"/>
              <w:spacing w:before="50" w:after="120" w:afterLines="50"/>
              <w:jc w:val="center"/>
              <w:rPr>
                <w:rFonts w:ascii="宋体" w:hAnsi="宋体"/>
                <w:color w:val="auto"/>
                <w:szCs w:val="21"/>
                <w:highlight w:val="none"/>
              </w:rPr>
            </w:pPr>
          </w:p>
        </w:tc>
      </w:tr>
      <w:tr w14:paraId="6AA4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49" w:type="dxa"/>
            <w:vAlign w:val="center"/>
          </w:tcPr>
          <w:p w14:paraId="4CAAC44D">
            <w:pPr>
              <w:snapToGrid w:val="0"/>
              <w:spacing w:before="50" w:after="120" w:afterLines="50"/>
              <w:jc w:val="center"/>
              <w:rPr>
                <w:rFonts w:ascii="宋体" w:hAnsi="宋体"/>
                <w:color w:val="auto"/>
                <w:szCs w:val="21"/>
                <w:highlight w:val="none"/>
              </w:rPr>
            </w:pPr>
          </w:p>
        </w:tc>
        <w:tc>
          <w:tcPr>
            <w:tcW w:w="824" w:type="dxa"/>
            <w:vAlign w:val="center"/>
          </w:tcPr>
          <w:p w14:paraId="4E39A526">
            <w:pPr>
              <w:snapToGrid w:val="0"/>
              <w:spacing w:before="50" w:after="120" w:afterLines="50"/>
              <w:jc w:val="center"/>
              <w:rPr>
                <w:rFonts w:ascii="宋体" w:hAnsi="宋体"/>
                <w:color w:val="auto"/>
                <w:szCs w:val="21"/>
                <w:highlight w:val="none"/>
              </w:rPr>
            </w:pPr>
          </w:p>
        </w:tc>
        <w:tc>
          <w:tcPr>
            <w:tcW w:w="1977" w:type="dxa"/>
            <w:vAlign w:val="center"/>
          </w:tcPr>
          <w:p w14:paraId="14818138">
            <w:pPr>
              <w:snapToGrid w:val="0"/>
              <w:spacing w:before="50" w:after="120" w:afterLines="50"/>
              <w:jc w:val="center"/>
              <w:rPr>
                <w:rFonts w:ascii="宋体" w:hAnsi="宋体"/>
                <w:color w:val="auto"/>
                <w:szCs w:val="21"/>
                <w:highlight w:val="none"/>
              </w:rPr>
            </w:pPr>
          </w:p>
        </w:tc>
        <w:tc>
          <w:tcPr>
            <w:tcW w:w="1651" w:type="dxa"/>
            <w:vAlign w:val="center"/>
          </w:tcPr>
          <w:p w14:paraId="4746EFB9">
            <w:pPr>
              <w:snapToGrid w:val="0"/>
              <w:spacing w:before="50" w:after="120" w:afterLines="50"/>
              <w:jc w:val="center"/>
              <w:rPr>
                <w:rFonts w:ascii="宋体" w:hAnsi="宋体"/>
                <w:color w:val="auto"/>
                <w:szCs w:val="21"/>
                <w:highlight w:val="none"/>
              </w:rPr>
            </w:pPr>
          </w:p>
        </w:tc>
        <w:tc>
          <w:tcPr>
            <w:tcW w:w="1974" w:type="dxa"/>
            <w:vAlign w:val="center"/>
          </w:tcPr>
          <w:p w14:paraId="076776C2">
            <w:pPr>
              <w:snapToGrid w:val="0"/>
              <w:spacing w:before="50" w:after="120" w:afterLines="50"/>
              <w:jc w:val="center"/>
              <w:rPr>
                <w:rFonts w:ascii="宋体" w:hAnsi="宋体"/>
                <w:color w:val="auto"/>
                <w:szCs w:val="21"/>
                <w:highlight w:val="none"/>
              </w:rPr>
            </w:pPr>
          </w:p>
        </w:tc>
        <w:tc>
          <w:tcPr>
            <w:tcW w:w="1978" w:type="dxa"/>
            <w:vAlign w:val="center"/>
          </w:tcPr>
          <w:p w14:paraId="2743AF32">
            <w:pPr>
              <w:snapToGrid w:val="0"/>
              <w:spacing w:before="50" w:after="120" w:afterLines="50"/>
              <w:jc w:val="center"/>
              <w:rPr>
                <w:rFonts w:ascii="宋体" w:hAnsi="宋体"/>
                <w:color w:val="auto"/>
                <w:szCs w:val="21"/>
                <w:highlight w:val="none"/>
              </w:rPr>
            </w:pPr>
          </w:p>
        </w:tc>
      </w:tr>
      <w:tr w14:paraId="0779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49" w:type="dxa"/>
            <w:vAlign w:val="center"/>
          </w:tcPr>
          <w:p w14:paraId="4E49770D">
            <w:pPr>
              <w:snapToGrid w:val="0"/>
              <w:spacing w:before="50" w:after="120" w:afterLines="50"/>
              <w:jc w:val="center"/>
              <w:rPr>
                <w:rFonts w:ascii="宋体" w:hAnsi="宋体"/>
                <w:color w:val="auto"/>
                <w:szCs w:val="21"/>
                <w:highlight w:val="none"/>
              </w:rPr>
            </w:pPr>
          </w:p>
        </w:tc>
        <w:tc>
          <w:tcPr>
            <w:tcW w:w="824" w:type="dxa"/>
            <w:vAlign w:val="center"/>
          </w:tcPr>
          <w:p w14:paraId="73690DC7">
            <w:pPr>
              <w:snapToGrid w:val="0"/>
              <w:spacing w:before="50" w:after="120" w:afterLines="50"/>
              <w:jc w:val="center"/>
              <w:rPr>
                <w:rFonts w:ascii="宋体" w:hAnsi="宋体"/>
                <w:color w:val="auto"/>
                <w:szCs w:val="21"/>
                <w:highlight w:val="none"/>
              </w:rPr>
            </w:pPr>
          </w:p>
        </w:tc>
        <w:tc>
          <w:tcPr>
            <w:tcW w:w="1977" w:type="dxa"/>
            <w:vAlign w:val="center"/>
          </w:tcPr>
          <w:p w14:paraId="20428641">
            <w:pPr>
              <w:snapToGrid w:val="0"/>
              <w:spacing w:before="50" w:after="120" w:afterLines="50"/>
              <w:jc w:val="center"/>
              <w:rPr>
                <w:rFonts w:ascii="宋体" w:hAnsi="宋体"/>
                <w:color w:val="auto"/>
                <w:szCs w:val="21"/>
                <w:highlight w:val="none"/>
              </w:rPr>
            </w:pPr>
          </w:p>
        </w:tc>
        <w:tc>
          <w:tcPr>
            <w:tcW w:w="1651" w:type="dxa"/>
            <w:vAlign w:val="center"/>
          </w:tcPr>
          <w:p w14:paraId="332521F0">
            <w:pPr>
              <w:snapToGrid w:val="0"/>
              <w:spacing w:before="50" w:after="120" w:afterLines="50"/>
              <w:jc w:val="center"/>
              <w:rPr>
                <w:rFonts w:ascii="宋体" w:hAnsi="宋体"/>
                <w:color w:val="auto"/>
                <w:szCs w:val="21"/>
                <w:highlight w:val="none"/>
              </w:rPr>
            </w:pPr>
          </w:p>
        </w:tc>
        <w:tc>
          <w:tcPr>
            <w:tcW w:w="1974" w:type="dxa"/>
            <w:vAlign w:val="center"/>
          </w:tcPr>
          <w:p w14:paraId="3293C21D">
            <w:pPr>
              <w:snapToGrid w:val="0"/>
              <w:spacing w:before="50" w:after="120" w:afterLines="50"/>
              <w:jc w:val="center"/>
              <w:rPr>
                <w:rFonts w:ascii="宋体" w:hAnsi="宋体"/>
                <w:color w:val="auto"/>
                <w:szCs w:val="21"/>
                <w:highlight w:val="none"/>
              </w:rPr>
            </w:pPr>
          </w:p>
        </w:tc>
        <w:tc>
          <w:tcPr>
            <w:tcW w:w="1978" w:type="dxa"/>
            <w:vAlign w:val="center"/>
          </w:tcPr>
          <w:p w14:paraId="698AA8C7">
            <w:pPr>
              <w:snapToGrid w:val="0"/>
              <w:spacing w:before="50" w:after="120" w:afterLines="50"/>
              <w:jc w:val="center"/>
              <w:rPr>
                <w:rFonts w:ascii="宋体" w:hAnsi="宋体"/>
                <w:color w:val="auto"/>
                <w:szCs w:val="21"/>
                <w:highlight w:val="none"/>
              </w:rPr>
            </w:pPr>
          </w:p>
        </w:tc>
      </w:tr>
    </w:tbl>
    <w:p w14:paraId="6364E97F">
      <w:pPr>
        <w:snapToGrid w:val="0"/>
        <w:spacing w:before="50" w:after="120" w:afterLines="50"/>
        <w:jc w:val="left"/>
        <w:rPr>
          <w:rFonts w:ascii="宋体" w:hAnsi="宋体"/>
          <w:color w:val="auto"/>
          <w:szCs w:val="21"/>
          <w:highlight w:val="none"/>
        </w:rPr>
      </w:pPr>
    </w:p>
    <w:p w14:paraId="315E8FBE">
      <w:pPr>
        <w:spacing w:line="360" w:lineRule="auto"/>
        <w:contextualSpacing/>
        <w:jc w:val="left"/>
        <w:rPr>
          <w:rFonts w:ascii="宋体" w:hAnsi="宋体"/>
          <w:color w:val="auto"/>
          <w:szCs w:val="21"/>
          <w:highlight w:val="none"/>
        </w:rPr>
      </w:pPr>
      <w:r>
        <w:rPr>
          <w:rFonts w:hint="eastAsia" w:ascii="宋体" w:hAnsi="宋体"/>
          <w:color w:val="auto"/>
          <w:szCs w:val="21"/>
          <w:highlight w:val="none"/>
        </w:rPr>
        <w:t>注：</w:t>
      </w:r>
    </w:p>
    <w:p w14:paraId="13BD475D">
      <w:pPr>
        <w:spacing w:line="360" w:lineRule="auto"/>
        <w:contextualSpacing/>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在填写时，如本表格不适合投标单位的实际情况，可根据本表格式自行制表填写。</w:t>
      </w:r>
    </w:p>
    <w:p w14:paraId="5F677E5E">
      <w:pPr>
        <w:spacing w:line="360" w:lineRule="auto"/>
        <w:contextualSpacing/>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投标人应当附本表所列证书的复印件并加盖投标人公章。</w:t>
      </w:r>
    </w:p>
    <w:p w14:paraId="2067D635">
      <w:pPr>
        <w:spacing w:line="360" w:lineRule="auto"/>
        <w:contextualSpacing/>
        <w:jc w:val="left"/>
        <w:rPr>
          <w:rFonts w:ascii="宋体" w:hAnsi="宋体"/>
          <w:color w:val="auto"/>
          <w:szCs w:val="21"/>
          <w:highlight w:val="none"/>
        </w:rPr>
      </w:pPr>
    </w:p>
    <w:p w14:paraId="4A9184F9">
      <w:pPr>
        <w:spacing w:line="360" w:lineRule="auto"/>
        <w:contextualSpacing/>
        <w:jc w:val="left"/>
        <w:rPr>
          <w:rFonts w:ascii="宋体" w:hAnsi="宋体"/>
          <w:color w:val="auto"/>
          <w:szCs w:val="21"/>
          <w:highlight w:val="none"/>
        </w:rPr>
      </w:pPr>
    </w:p>
    <w:p w14:paraId="4BA71681">
      <w:pPr>
        <w:spacing w:line="360" w:lineRule="auto"/>
        <w:contextualSpacing/>
        <w:rPr>
          <w:rFonts w:ascii="宋体" w:hAnsi="宋体"/>
          <w:color w:val="auto"/>
          <w:spacing w:val="20"/>
          <w:szCs w:val="21"/>
          <w:highlight w:val="none"/>
          <w:u w:val="single"/>
        </w:rPr>
      </w:pPr>
      <w:r>
        <w:rPr>
          <w:rFonts w:hint="eastAsia" w:ascii="宋体" w:hAnsi="宋体"/>
          <w:color w:val="auto"/>
          <w:szCs w:val="21"/>
          <w:highlight w:val="none"/>
        </w:rPr>
        <w:t>法定代表人（或负责人）或者委托代理人（签字或电子签名）</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14:paraId="641728BB">
      <w:pPr>
        <w:spacing w:line="360" w:lineRule="auto"/>
        <w:contextualSpacing/>
        <w:jc w:val="left"/>
        <w:rPr>
          <w:rFonts w:ascii="宋体" w:hAnsi="宋体"/>
          <w:color w:val="auto"/>
          <w:spacing w:val="20"/>
          <w:szCs w:val="21"/>
          <w:highlight w:val="none"/>
        </w:rPr>
      </w:pPr>
      <w:r>
        <w:rPr>
          <w:rFonts w:hint="eastAsia" w:ascii="宋体" w:hAnsi="宋体"/>
          <w:color w:val="auto"/>
          <w:spacing w:val="20"/>
          <w:szCs w:val="21"/>
          <w:highlight w:val="none"/>
        </w:rPr>
        <w:t>投标人名称（电子签章）：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w:t>
      </w:r>
    </w:p>
    <w:p w14:paraId="67826DEA">
      <w:pPr>
        <w:spacing w:line="360" w:lineRule="auto"/>
        <w:contextualSpacing/>
        <w:jc w:val="left"/>
        <w:rPr>
          <w:rFonts w:ascii="宋体" w:hAnsi="宋体"/>
          <w:color w:val="auto"/>
          <w:szCs w:val="21"/>
          <w:highlight w:val="none"/>
        </w:rPr>
      </w:pPr>
      <w:r>
        <w:rPr>
          <w:rFonts w:hint="eastAsia" w:ascii="宋体" w:hAnsi="宋体"/>
          <w:color w:val="auto"/>
          <w:spacing w:val="20"/>
          <w:szCs w:val="21"/>
          <w:highlight w:val="none"/>
        </w:rPr>
        <w:t>日 期：</w:t>
      </w:r>
      <w:r>
        <w:rPr>
          <w:rFonts w:hint="eastAsia" w:ascii="宋体" w:hAnsi="宋体"/>
          <w:color w:val="auto"/>
          <w:spacing w:val="20"/>
          <w:szCs w:val="21"/>
          <w:highlight w:val="none"/>
          <w:u w:val="single"/>
        </w:rPr>
        <w:t xml:space="preserve">         </w:t>
      </w:r>
    </w:p>
    <w:p w14:paraId="11BF9E00">
      <w:pPr>
        <w:snapToGrid w:val="0"/>
        <w:spacing w:before="50" w:after="120" w:afterLines="50"/>
        <w:jc w:val="left"/>
        <w:rPr>
          <w:rFonts w:ascii="宋体" w:hAnsi="宋体"/>
          <w:color w:val="auto"/>
          <w:sz w:val="24"/>
          <w:szCs w:val="20"/>
          <w:highlight w:val="none"/>
        </w:rPr>
      </w:pPr>
    </w:p>
    <w:p w14:paraId="7F1D205E">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5. 选配件、专用耗材、售后服务优惠表格式（注：按项目需求表具体项目修改）</w:t>
      </w:r>
    </w:p>
    <w:p w14:paraId="1B6FA319">
      <w:pPr>
        <w:snapToGrid w:val="0"/>
        <w:spacing w:before="120" w:beforeLines="50" w:after="50"/>
        <w:ind w:left="142"/>
        <w:jc w:val="left"/>
        <w:rPr>
          <w:rFonts w:ascii="宋体" w:hAnsi="宋体"/>
          <w:b/>
          <w:color w:val="auto"/>
          <w:sz w:val="24"/>
          <w:highlight w:val="none"/>
        </w:rPr>
      </w:pPr>
    </w:p>
    <w:p w14:paraId="24D0ADC1">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选配件、专用耗材、售后服务优惠表</w:t>
      </w:r>
    </w:p>
    <w:p w14:paraId="74A69D60">
      <w:pPr>
        <w:pStyle w:val="61"/>
        <w:rPr>
          <w:color w:val="auto"/>
          <w:highlight w:val="none"/>
        </w:rPr>
      </w:pPr>
    </w:p>
    <w:tbl>
      <w:tblPr>
        <w:tblStyle w:val="50"/>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9"/>
        <w:gridCol w:w="2751"/>
        <w:gridCol w:w="1467"/>
        <w:gridCol w:w="1467"/>
        <w:gridCol w:w="2384"/>
      </w:tblGrid>
      <w:tr w14:paraId="63F2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749" w:type="dxa"/>
            <w:tcMar>
              <w:top w:w="15" w:type="dxa"/>
              <w:left w:w="15" w:type="dxa"/>
              <w:bottom w:w="0" w:type="dxa"/>
              <w:right w:w="15" w:type="dxa"/>
            </w:tcMar>
            <w:vAlign w:val="center"/>
          </w:tcPr>
          <w:p w14:paraId="36F06B07">
            <w:pPr>
              <w:pStyle w:val="27"/>
              <w:snapToGrid w:val="0"/>
              <w:spacing w:before="295" w:after="295"/>
              <w:jc w:val="center"/>
              <w:rPr>
                <w:rFonts w:hAnsi="宋体" w:cs="Courier New"/>
                <w:color w:val="auto"/>
                <w:kern w:val="2"/>
                <w:sz w:val="21"/>
                <w:highlight w:val="none"/>
              </w:rPr>
            </w:pPr>
            <w:r>
              <w:rPr>
                <w:rFonts w:hint="eastAsia" w:hAnsi="宋体"/>
                <w:color w:val="auto"/>
                <w:sz w:val="21"/>
                <w:highlight w:val="none"/>
              </w:rPr>
              <w:t xml:space="preserve"> </w:t>
            </w:r>
            <w:r>
              <w:rPr>
                <w:rFonts w:hint="eastAsia" w:hAnsi="宋体" w:cs="Courier New"/>
                <w:color w:val="auto"/>
                <w:kern w:val="2"/>
                <w:sz w:val="21"/>
                <w:highlight w:val="none"/>
              </w:rPr>
              <w:t>序号</w:t>
            </w:r>
          </w:p>
        </w:tc>
        <w:tc>
          <w:tcPr>
            <w:tcW w:w="2751" w:type="dxa"/>
            <w:vAlign w:val="center"/>
          </w:tcPr>
          <w:p w14:paraId="4046CED3">
            <w:pPr>
              <w:pStyle w:val="27"/>
              <w:snapToGrid w:val="0"/>
              <w:spacing w:before="295" w:after="295"/>
              <w:jc w:val="center"/>
              <w:rPr>
                <w:rFonts w:hAnsi="宋体" w:cs="Courier New"/>
                <w:color w:val="auto"/>
                <w:kern w:val="2"/>
                <w:sz w:val="21"/>
                <w:highlight w:val="none"/>
              </w:rPr>
            </w:pPr>
            <w:r>
              <w:rPr>
                <w:rFonts w:hint="eastAsia" w:hAnsi="宋体" w:cs="Courier New"/>
                <w:color w:val="auto"/>
                <w:kern w:val="2"/>
                <w:sz w:val="21"/>
                <w:highlight w:val="none"/>
              </w:rPr>
              <w:t>优惠内容</w:t>
            </w:r>
          </w:p>
        </w:tc>
        <w:tc>
          <w:tcPr>
            <w:tcW w:w="1467" w:type="dxa"/>
            <w:vAlign w:val="center"/>
          </w:tcPr>
          <w:p w14:paraId="777941FA">
            <w:pPr>
              <w:pStyle w:val="27"/>
              <w:snapToGrid w:val="0"/>
              <w:spacing w:before="295" w:after="295"/>
              <w:jc w:val="center"/>
              <w:rPr>
                <w:rFonts w:hAnsi="宋体" w:cs="Courier New"/>
                <w:color w:val="auto"/>
                <w:kern w:val="2"/>
                <w:sz w:val="21"/>
                <w:highlight w:val="none"/>
              </w:rPr>
            </w:pPr>
            <w:r>
              <w:rPr>
                <w:rFonts w:hint="eastAsia" w:hAnsi="宋体" w:cs="Courier New"/>
                <w:color w:val="auto"/>
                <w:kern w:val="2"/>
                <w:sz w:val="21"/>
                <w:highlight w:val="none"/>
              </w:rPr>
              <w:t>适用机型</w:t>
            </w:r>
          </w:p>
        </w:tc>
        <w:tc>
          <w:tcPr>
            <w:tcW w:w="1467" w:type="dxa"/>
            <w:tcMar>
              <w:top w:w="15" w:type="dxa"/>
              <w:left w:w="15" w:type="dxa"/>
              <w:bottom w:w="0" w:type="dxa"/>
              <w:right w:w="15" w:type="dxa"/>
            </w:tcMar>
            <w:vAlign w:val="center"/>
          </w:tcPr>
          <w:p w14:paraId="01E4FF0C">
            <w:pPr>
              <w:pStyle w:val="27"/>
              <w:snapToGrid w:val="0"/>
              <w:spacing w:before="295" w:after="295"/>
              <w:jc w:val="center"/>
              <w:rPr>
                <w:rFonts w:hAnsi="宋体" w:cs="Courier New"/>
                <w:color w:val="auto"/>
                <w:kern w:val="2"/>
                <w:sz w:val="21"/>
                <w:highlight w:val="none"/>
              </w:rPr>
            </w:pPr>
            <w:r>
              <w:rPr>
                <w:rFonts w:hint="eastAsia" w:hAnsi="宋体" w:cs="Courier New"/>
                <w:color w:val="auto"/>
                <w:kern w:val="2"/>
                <w:sz w:val="21"/>
                <w:highlight w:val="none"/>
              </w:rPr>
              <w:t>单价</w:t>
            </w:r>
          </w:p>
        </w:tc>
        <w:tc>
          <w:tcPr>
            <w:tcW w:w="2384" w:type="dxa"/>
            <w:vAlign w:val="center"/>
          </w:tcPr>
          <w:p w14:paraId="49192023">
            <w:pPr>
              <w:pStyle w:val="27"/>
              <w:snapToGrid w:val="0"/>
              <w:spacing w:before="295" w:after="295"/>
              <w:jc w:val="center"/>
              <w:rPr>
                <w:rFonts w:hAnsi="宋体" w:cs="Courier New"/>
                <w:color w:val="auto"/>
                <w:kern w:val="2"/>
                <w:sz w:val="21"/>
                <w:highlight w:val="none"/>
              </w:rPr>
            </w:pPr>
            <w:r>
              <w:rPr>
                <w:rFonts w:hint="eastAsia" w:hAnsi="宋体" w:cs="Courier New"/>
                <w:color w:val="auto"/>
                <w:kern w:val="2"/>
                <w:sz w:val="21"/>
                <w:highlight w:val="none"/>
              </w:rPr>
              <w:t>比市场价优惠率</w:t>
            </w:r>
          </w:p>
        </w:tc>
      </w:tr>
      <w:tr w14:paraId="137A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749" w:type="dxa"/>
            <w:tcMar>
              <w:top w:w="15" w:type="dxa"/>
              <w:left w:w="15" w:type="dxa"/>
              <w:bottom w:w="0" w:type="dxa"/>
              <w:right w:w="15" w:type="dxa"/>
            </w:tcMar>
            <w:vAlign w:val="center"/>
          </w:tcPr>
          <w:p w14:paraId="730C17D5">
            <w:pPr>
              <w:pStyle w:val="27"/>
              <w:snapToGrid w:val="0"/>
              <w:spacing w:before="295" w:after="295"/>
              <w:jc w:val="center"/>
              <w:rPr>
                <w:rFonts w:hAnsi="宋体"/>
                <w:color w:val="auto"/>
                <w:kern w:val="2"/>
                <w:sz w:val="21"/>
                <w:highlight w:val="none"/>
              </w:rPr>
            </w:pPr>
            <w:r>
              <w:rPr>
                <w:rFonts w:hint="eastAsia" w:hAnsi="宋体"/>
                <w:color w:val="auto"/>
                <w:kern w:val="2"/>
                <w:sz w:val="21"/>
                <w:highlight w:val="none"/>
              </w:rPr>
              <w:t>1</w:t>
            </w:r>
          </w:p>
        </w:tc>
        <w:tc>
          <w:tcPr>
            <w:tcW w:w="2751" w:type="dxa"/>
            <w:vAlign w:val="center"/>
          </w:tcPr>
          <w:p w14:paraId="31FB4AC7">
            <w:pPr>
              <w:pStyle w:val="27"/>
              <w:snapToGrid w:val="0"/>
              <w:spacing w:before="295" w:after="295"/>
              <w:jc w:val="center"/>
              <w:rPr>
                <w:rFonts w:hAnsi="宋体"/>
                <w:color w:val="auto"/>
                <w:kern w:val="2"/>
                <w:sz w:val="21"/>
                <w:highlight w:val="none"/>
              </w:rPr>
            </w:pPr>
          </w:p>
        </w:tc>
        <w:tc>
          <w:tcPr>
            <w:tcW w:w="1467" w:type="dxa"/>
            <w:vAlign w:val="center"/>
          </w:tcPr>
          <w:p w14:paraId="10708CA3">
            <w:pPr>
              <w:pStyle w:val="27"/>
              <w:snapToGrid w:val="0"/>
              <w:spacing w:before="295" w:after="295"/>
              <w:jc w:val="center"/>
              <w:rPr>
                <w:rFonts w:hAnsi="宋体"/>
                <w:color w:val="auto"/>
                <w:kern w:val="2"/>
                <w:sz w:val="21"/>
                <w:highlight w:val="none"/>
              </w:rPr>
            </w:pPr>
          </w:p>
        </w:tc>
        <w:tc>
          <w:tcPr>
            <w:tcW w:w="1467" w:type="dxa"/>
            <w:tcMar>
              <w:top w:w="15" w:type="dxa"/>
              <w:left w:w="15" w:type="dxa"/>
              <w:bottom w:w="0" w:type="dxa"/>
              <w:right w:w="15" w:type="dxa"/>
            </w:tcMar>
            <w:vAlign w:val="center"/>
          </w:tcPr>
          <w:p w14:paraId="48D0029C">
            <w:pPr>
              <w:pStyle w:val="27"/>
              <w:snapToGrid w:val="0"/>
              <w:spacing w:before="295" w:after="295"/>
              <w:jc w:val="center"/>
              <w:rPr>
                <w:rFonts w:hAnsi="宋体"/>
                <w:color w:val="auto"/>
                <w:kern w:val="2"/>
                <w:sz w:val="21"/>
                <w:highlight w:val="none"/>
              </w:rPr>
            </w:pPr>
          </w:p>
        </w:tc>
        <w:tc>
          <w:tcPr>
            <w:tcW w:w="2384" w:type="dxa"/>
            <w:vAlign w:val="center"/>
          </w:tcPr>
          <w:p w14:paraId="6F00F9C1">
            <w:pPr>
              <w:pStyle w:val="27"/>
              <w:snapToGrid w:val="0"/>
              <w:spacing w:before="295" w:after="295"/>
              <w:jc w:val="center"/>
              <w:rPr>
                <w:rFonts w:hAnsi="宋体"/>
                <w:color w:val="auto"/>
                <w:kern w:val="2"/>
                <w:sz w:val="21"/>
                <w:highlight w:val="none"/>
              </w:rPr>
            </w:pPr>
            <w:r>
              <w:rPr>
                <w:rFonts w:hint="eastAsia" w:hAnsi="宋体"/>
                <w:color w:val="auto"/>
                <w:kern w:val="2"/>
                <w:sz w:val="21"/>
                <w:highlight w:val="none"/>
              </w:rPr>
              <w:t xml:space="preserve"> </w:t>
            </w:r>
            <w:r>
              <w:rPr>
                <w:rFonts w:hint="eastAsia" w:hAnsi="宋体"/>
                <w:color w:val="auto"/>
                <w:kern w:val="2"/>
                <w:sz w:val="21"/>
                <w:highlight w:val="none"/>
                <w:u w:val="single"/>
              </w:rPr>
              <w:t xml:space="preserve">           </w:t>
            </w:r>
            <w:r>
              <w:rPr>
                <w:rFonts w:hint="eastAsia" w:hAnsi="宋体"/>
                <w:color w:val="auto"/>
                <w:kern w:val="2"/>
                <w:sz w:val="21"/>
                <w:highlight w:val="none"/>
              </w:rPr>
              <w:t>%</w:t>
            </w:r>
          </w:p>
        </w:tc>
      </w:tr>
      <w:tr w14:paraId="0341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749" w:type="dxa"/>
            <w:tcMar>
              <w:top w:w="15" w:type="dxa"/>
              <w:left w:w="15" w:type="dxa"/>
              <w:bottom w:w="0" w:type="dxa"/>
              <w:right w:w="15" w:type="dxa"/>
            </w:tcMar>
            <w:vAlign w:val="center"/>
          </w:tcPr>
          <w:p w14:paraId="56173313">
            <w:pPr>
              <w:pStyle w:val="27"/>
              <w:snapToGrid w:val="0"/>
              <w:spacing w:before="295" w:after="295"/>
              <w:jc w:val="center"/>
              <w:rPr>
                <w:rFonts w:hAnsi="宋体"/>
                <w:color w:val="auto"/>
                <w:kern w:val="2"/>
                <w:sz w:val="21"/>
                <w:highlight w:val="none"/>
              </w:rPr>
            </w:pPr>
            <w:r>
              <w:rPr>
                <w:rFonts w:hint="eastAsia" w:hAnsi="宋体"/>
                <w:color w:val="auto"/>
                <w:kern w:val="2"/>
                <w:sz w:val="21"/>
                <w:highlight w:val="none"/>
              </w:rPr>
              <w:t>2</w:t>
            </w:r>
          </w:p>
        </w:tc>
        <w:tc>
          <w:tcPr>
            <w:tcW w:w="2751" w:type="dxa"/>
            <w:vAlign w:val="center"/>
          </w:tcPr>
          <w:p w14:paraId="530F485A">
            <w:pPr>
              <w:pStyle w:val="27"/>
              <w:snapToGrid w:val="0"/>
              <w:spacing w:before="295" w:after="295"/>
              <w:jc w:val="center"/>
              <w:rPr>
                <w:rFonts w:hAnsi="宋体"/>
                <w:color w:val="auto"/>
                <w:kern w:val="2"/>
                <w:sz w:val="21"/>
                <w:highlight w:val="none"/>
              </w:rPr>
            </w:pPr>
          </w:p>
        </w:tc>
        <w:tc>
          <w:tcPr>
            <w:tcW w:w="1467" w:type="dxa"/>
            <w:vAlign w:val="center"/>
          </w:tcPr>
          <w:p w14:paraId="0C57867B">
            <w:pPr>
              <w:pStyle w:val="27"/>
              <w:snapToGrid w:val="0"/>
              <w:spacing w:before="295" w:after="295"/>
              <w:jc w:val="center"/>
              <w:rPr>
                <w:rFonts w:hAnsi="宋体"/>
                <w:color w:val="auto"/>
                <w:kern w:val="2"/>
                <w:sz w:val="21"/>
                <w:highlight w:val="none"/>
              </w:rPr>
            </w:pPr>
          </w:p>
        </w:tc>
        <w:tc>
          <w:tcPr>
            <w:tcW w:w="1467" w:type="dxa"/>
            <w:tcMar>
              <w:top w:w="15" w:type="dxa"/>
              <w:left w:w="15" w:type="dxa"/>
              <w:bottom w:w="0" w:type="dxa"/>
              <w:right w:w="15" w:type="dxa"/>
            </w:tcMar>
            <w:vAlign w:val="center"/>
          </w:tcPr>
          <w:p w14:paraId="14CED1BC">
            <w:pPr>
              <w:pStyle w:val="27"/>
              <w:snapToGrid w:val="0"/>
              <w:spacing w:before="295" w:after="295"/>
              <w:jc w:val="center"/>
              <w:rPr>
                <w:rFonts w:hAnsi="宋体"/>
                <w:color w:val="auto"/>
                <w:kern w:val="2"/>
                <w:sz w:val="21"/>
                <w:highlight w:val="none"/>
              </w:rPr>
            </w:pPr>
          </w:p>
        </w:tc>
        <w:tc>
          <w:tcPr>
            <w:tcW w:w="2384" w:type="dxa"/>
            <w:vAlign w:val="center"/>
          </w:tcPr>
          <w:p w14:paraId="5D50E3D9">
            <w:pPr>
              <w:pStyle w:val="27"/>
              <w:snapToGrid w:val="0"/>
              <w:spacing w:before="295" w:after="295"/>
              <w:jc w:val="center"/>
              <w:rPr>
                <w:rFonts w:hAnsi="宋体"/>
                <w:color w:val="auto"/>
                <w:kern w:val="2"/>
                <w:sz w:val="21"/>
                <w:highlight w:val="none"/>
              </w:rPr>
            </w:pPr>
            <w:r>
              <w:rPr>
                <w:rFonts w:hint="eastAsia" w:hAnsi="宋体"/>
                <w:color w:val="auto"/>
                <w:kern w:val="2"/>
                <w:sz w:val="21"/>
                <w:highlight w:val="none"/>
              </w:rPr>
              <w:t xml:space="preserve"> </w:t>
            </w:r>
            <w:r>
              <w:rPr>
                <w:rFonts w:hint="eastAsia" w:hAnsi="宋体"/>
                <w:color w:val="auto"/>
                <w:kern w:val="2"/>
                <w:sz w:val="21"/>
                <w:highlight w:val="none"/>
                <w:u w:val="single"/>
              </w:rPr>
              <w:t xml:space="preserve">           </w:t>
            </w:r>
            <w:r>
              <w:rPr>
                <w:rFonts w:hint="eastAsia" w:hAnsi="宋体"/>
                <w:color w:val="auto"/>
                <w:kern w:val="2"/>
                <w:sz w:val="21"/>
                <w:highlight w:val="none"/>
              </w:rPr>
              <w:t>%</w:t>
            </w:r>
          </w:p>
        </w:tc>
      </w:tr>
      <w:tr w14:paraId="4D22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749" w:type="dxa"/>
            <w:tcMar>
              <w:top w:w="15" w:type="dxa"/>
              <w:left w:w="15" w:type="dxa"/>
              <w:bottom w:w="0" w:type="dxa"/>
              <w:right w:w="15" w:type="dxa"/>
            </w:tcMar>
            <w:vAlign w:val="center"/>
          </w:tcPr>
          <w:p w14:paraId="13E4E8A9">
            <w:pPr>
              <w:pStyle w:val="27"/>
              <w:snapToGrid w:val="0"/>
              <w:spacing w:before="295" w:after="295"/>
              <w:jc w:val="center"/>
              <w:rPr>
                <w:rFonts w:hAnsi="宋体"/>
                <w:color w:val="auto"/>
                <w:kern w:val="2"/>
                <w:sz w:val="21"/>
                <w:highlight w:val="none"/>
              </w:rPr>
            </w:pPr>
            <w:r>
              <w:rPr>
                <w:rFonts w:hint="eastAsia" w:hAnsi="宋体"/>
                <w:color w:val="auto"/>
                <w:kern w:val="2"/>
                <w:sz w:val="21"/>
                <w:highlight w:val="none"/>
              </w:rPr>
              <w:t>3</w:t>
            </w:r>
          </w:p>
        </w:tc>
        <w:tc>
          <w:tcPr>
            <w:tcW w:w="2751" w:type="dxa"/>
            <w:vAlign w:val="center"/>
          </w:tcPr>
          <w:p w14:paraId="4FBE69EC">
            <w:pPr>
              <w:pStyle w:val="27"/>
              <w:snapToGrid w:val="0"/>
              <w:spacing w:before="295" w:after="295"/>
              <w:jc w:val="center"/>
              <w:rPr>
                <w:rFonts w:hAnsi="宋体"/>
                <w:color w:val="auto"/>
                <w:kern w:val="2"/>
                <w:sz w:val="21"/>
                <w:highlight w:val="none"/>
              </w:rPr>
            </w:pPr>
          </w:p>
        </w:tc>
        <w:tc>
          <w:tcPr>
            <w:tcW w:w="1467" w:type="dxa"/>
            <w:vAlign w:val="center"/>
          </w:tcPr>
          <w:p w14:paraId="56F25B00">
            <w:pPr>
              <w:pStyle w:val="27"/>
              <w:snapToGrid w:val="0"/>
              <w:spacing w:before="295" w:after="295"/>
              <w:jc w:val="center"/>
              <w:rPr>
                <w:rFonts w:hAnsi="宋体"/>
                <w:color w:val="auto"/>
                <w:kern w:val="2"/>
                <w:sz w:val="21"/>
                <w:highlight w:val="none"/>
              </w:rPr>
            </w:pPr>
          </w:p>
        </w:tc>
        <w:tc>
          <w:tcPr>
            <w:tcW w:w="1467" w:type="dxa"/>
            <w:tcMar>
              <w:top w:w="15" w:type="dxa"/>
              <w:left w:w="15" w:type="dxa"/>
              <w:bottom w:w="0" w:type="dxa"/>
              <w:right w:w="15" w:type="dxa"/>
            </w:tcMar>
            <w:vAlign w:val="center"/>
          </w:tcPr>
          <w:p w14:paraId="2A99E7CB">
            <w:pPr>
              <w:pStyle w:val="27"/>
              <w:snapToGrid w:val="0"/>
              <w:spacing w:before="295" w:after="295"/>
              <w:jc w:val="center"/>
              <w:rPr>
                <w:rFonts w:hAnsi="宋体"/>
                <w:color w:val="auto"/>
                <w:kern w:val="2"/>
                <w:sz w:val="21"/>
                <w:highlight w:val="none"/>
              </w:rPr>
            </w:pPr>
          </w:p>
        </w:tc>
        <w:tc>
          <w:tcPr>
            <w:tcW w:w="2384" w:type="dxa"/>
            <w:vAlign w:val="center"/>
          </w:tcPr>
          <w:p w14:paraId="6D5E1396">
            <w:pPr>
              <w:pStyle w:val="27"/>
              <w:snapToGrid w:val="0"/>
              <w:spacing w:before="295" w:after="295"/>
              <w:jc w:val="center"/>
              <w:rPr>
                <w:rFonts w:hAnsi="宋体"/>
                <w:color w:val="auto"/>
                <w:kern w:val="2"/>
                <w:sz w:val="21"/>
                <w:highlight w:val="none"/>
              </w:rPr>
            </w:pPr>
            <w:r>
              <w:rPr>
                <w:rFonts w:hint="eastAsia" w:hAnsi="宋体"/>
                <w:color w:val="auto"/>
                <w:kern w:val="2"/>
                <w:sz w:val="21"/>
                <w:highlight w:val="none"/>
              </w:rPr>
              <w:t xml:space="preserve"> </w:t>
            </w:r>
            <w:r>
              <w:rPr>
                <w:rFonts w:hint="eastAsia" w:hAnsi="宋体"/>
                <w:color w:val="auto"/>
                <w:kern w:val="2"/>
                <w:sz w:val="21"/>
                <w:highlight w:val="none"/>
                <w:u w:val="single"/>
              </w:rPr>
              <w:t xml:space="preserve">           </w:t>
            </w:r>
            <w:r>
              <w:rPr>
                <w:rFonts w:hint="eastAsia" w:hAnsi="宋体"/>
                <w:color w:val="auto"/>
                <w:kern w:val="2"/>
                <w:sz w:val="21"/>
                <w:highlight w:val="none"/>
              </w:rPr>
              <w:t>%</w:t>
            </w:r>
          </w:p>
        </w:tc>
      </w:tr>
    </w:tbl>
    <w:p w14:paraId="381F5D09">
      <w:pPr>
        <w:spacing w:line="360" w:lineRule="auto"/>
        <w:contextualSpacing/>
        <w:rPr>
          <w:rFonts w:ascii="宋体" w:hAnsi="宋体"/>
          <w:color w:val="auto"/>
          <w:szCs w:val="21"/>
          <w:highlight w:val="none"/>
        </w:rPr>
      </w:pPr>
    </w:p>
    <w:p w14:paraId="2640FFEF">
      <w:pPr>
        <w:pStyle w:val="61"/>
        <w:rPr>
          <w:color w:val="auto"/>
          <w:highlight w:val="none"/>
        </w:rPr>
      </w:pPr>
    </w:p>
    <w:p w14:paraId="26A72940">
      <w:pPr>
        <w:spacing w:line="360" w:lineRule="auto"/>
        <w:contextualSpacing/>
        <w:rPr>
          <w:rFonts w:ascii="宋体" w:hAnsi="宋体"/>
          <w:color w:val="auto"/>
          <w:spacing w:val="20"/>
          <w:szCs w:val="21"/>
          <w:highlight w:val="none"/>
          <w:u w:val="single"/>
        </w:rPr>
      </w:pPr>
      <w:r>
        <w:rPr>
          <w:rFonts w:hint="eastAsia" w:ascii="宋体" w:hAnsi="宋体"/>
          <w:color w:val="auto"/>
          <w:szCs w:val="21"/>
          <w:highlight w:val="none"/>
        </w:rPr>
        <w:t>法定代表人（或负责人）或者委托代理人（签字或电子签名）</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14:paraId="75E64347">
      <w:pPr>
        <w:spacing w:line="360" w:lineRule="auto"/>
        <w:contextualSpacing/>
        <w:jc w:val="left"/>
        <w:rPr>
          <w:rFonts w:ascii="宋体" w:hAnsi="宋体"/>
          <w:color w:val="auto"/>
          <w:spacing w:val="20"/>
          <w:szCs w:val="21"/>
          <w:highlight w:val="none"/>
        </w:rPr>
      </w:pPr>
      <w:r>
        <w:rPr>
          <w:rFonts w:hint="eastAsia" w:ascii="宋体" w:hAnsi="宋体"/>
          <w:color w:val="auto"/>
          <w:spacing w:val="20"/>
          <w:szCs w:val="21"/>
          <w:highlight w:val="none"/>
        </w:rPr>
        <w:t>投标人名称（电子签章）：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w:t>
      </w:r>
    </w:p>
    <w:p w14:paraId="1DB0027E">
      <w:pPr>
        <w:spacing w:line="360" w:lineRule="auto"/>
        <w:contextualSpacing/>
        <w:jc w:val="left"/>
        <w:rPr>
          <w:rFonts w:ascii="宋体" w:hAnsi="宋体"/>
          <w:color w:val="auto"/>
          <w:szCs w:val="21"/>
          <w:highlight w:val="none"/>
        </w:rPr>
      </w:pPr>
      <w:r>
        <w:rPr>
          <w:rFonts w:hint="eastAsia" w:ascii="宋体" w:hAnsi="宋体"/>
          <w:color w:val="auto"/>
          <w:spacing w:val="20"/>
          <w:szCs w:val="21"/>
          <w:highlight w:val="none"/>
        </w:rPr>
        <w:t>日 期：</w:t>
      </w:r>
      <w:r>
        <w:rPr>
          <w:rFonts w:hint="eastAsia" w:ascii="宋体" w:hAnsi="宋体"/>
          <w:color w:val="auto"/>
          <w:spacing w:val="20"/>
          <w:szCs w:val="21"/>
          <w:highlight w:val="none"/>
          <w:u w:val="single"/>
        </w:rPr>
        <w:t xml:space="preserve">            </w:t>
      </w:r>
    </w:p>
    <w:p w14:paraId="045C4D74">
      <w:pPr>
        <w:snapToGrid w:val="0"/>
        <w:spacing w:before="50" w:after="120" w:afterLines="50"/>
        <w:jc w:val="left"/>
        <w:rPr>
          <w:rFonts w:ascii="宋体" w:hAnsi="宋体"/>
          <w:color w:val="auto"/>
          <w:sz w:val="24"/>
          <w:szCs w:val="20"/>
          <w:highlight w:val="none"/>
        </w:rPr>
      </w:pPr>
    </w:p>
    <w:p w14:paraId="64141F06">
      <w:pPr>
        <w:rPr>
          <w:rFonts w:ascii="宋体" w:hAnsi="宋体"/>
          <w:b/>
          <w:color w:val="auto"/>
          <w:sz w:val="28"/>
          <w:szCs w:val="28"/>
          <w:highlight w:val="none"/>
        </w:rPr>
      </w:pPr>
      <w:r>
        <w:rPr>
          <w:rFonts w:ascii="宋体" w:hAnsi="宋体"/>
          <w:b/>
          <w:bCs/>
          <w:color w:val="auto"/>
          <w:sz w:val="24"/>
          <w:highlight w:val="none"/>
        </w:rPr>
        <w:br w:type="page"/>
      </w:r>
      <w:r>
        <w:rPr>
          <w:rFonts w:hint="eastAsia" w:ascii="宋体" w:hAnsi="宋体"/>
          <w:b/>
          <w:color w:val="auto"/>
          <w:sz w:val="28"/>
          <w:szCs w:val="28"/>
          <w:highlight w:val="none"/>
        </w:rPr>
        <w:t>五、其他文书、文件格式</w:t>
      </w:r>
    </w:p>
    <w:p w14:paraId="72F718BF">
      <w:pPr>
        <w:snapToGrid w:val="0"/>
        <w:spacing w:before="120" w:beforeLines="50" w:after="50"/>
        <w:jc w:val="left"/>
        <w:rPr>
          <w:rFonts w:ascii="宋体" w:hAnsi="宋体"/>
          <w:color w:val="auto"/>
          <w:highlight w:val="none"/>
        </w:rPr>
      </w:pPr>
      <w:r>
        <w:rPr>
          <w:rFonts w:hint="eastAsia" w:ascii="宋体" w:hAnsi="宋体"/>
          <w:b/>
          <w:color w:val="auto"/>
          <w:sz w:val="24"/>
          <w:highlight w:val="none"/>
        </w:rPr>
        <w:t>1.中小企业声明函格式</w:t>
      </w:r>
    </w:p>
    <w:p w14:paraId="0C7D42FD">
      <w:pPr>
        <w:rPr>
          <w:rFonts w:ascii="宋体" w:hAnsi="宋体"/>
          <w:color w:val="auto"/>
          <w:highlight w:val="none"/>
        </w:rPr>
      </w:pPr>
    </w:p>
    <w:p w14:paraId="3C7F9118">
      <w:pPr>
        <w:jc w:val="center"/>
        <w:rPr>
          <w:rFonts w:ascii="方正小标宋简体" w:hAnsi="方正小标宋简体" w:eastAsia="方正小标宋简体" w:cs="方正小标宋简体"/>
          <w:color w:val="auto"/>
          <w:sz w:val="44"/>
          <w:szCs w:val="44"/>
          <w:highlight w:val="none"/>
        </w:rPr>
      </w:pPr>
      <w:bookmarkStart w:id="156" w:name="_Toc71365926"/>
      <w:r>
        <w:rPr>
          <w:rFonts w:hint="eastAsia" w:ascii="方正小标宋简体" w:hAnsi="方正小标宋简体" w:eastAsia="方正小标宋简体" w:cs="方正小标宋简体"/>
          <w:color w:val="auto"/>
          <w:sz w:val="44"/>
          <w:szCs w:val="44"/>
          <w:highlight w:val="none"/>
        </w:rPr>
        <w:t>中小企业声明函（服务）</w:t>
      </w:r>
      <w:bookmarkEnd w:id="156"/>
    </w:p>
    <w:p w14:paraId="04EE0D81">
      <w:pPr>
        <w:spacing w:before="2" w:line="500" w:lineRule="exact"/>
        <w:ind w:firstLine="708" w:firstLineChars="294"/>
        <w:rPr>
          <w:rFonts w:ascii="宋体" w:hAnsi="宋体" w:cs="宋体"/>
          <w:b/>
          <w:bCs/>
          <w:color w:val="auto"/>
          <w:sz w:val="24"/>
          <w:highlight w:val="none"/>
        </w:rPr>
      </w:pPr>
    </w:p>
    <w:p w14:paraId="3B88C1CA">
      <w:pPr>
        <w:pStyle w:val="2"/>
        <w:spacing w:line="500" w:lineRule="exact"/>
        <w:ind w:right="142" w:firstLine="617" w:firstLineChars="294"/>
        <w:rPr>
          <w:rFonts w:ascii="宋体" w:hAnsi="宋体"/>
          <w:color w:val="auto"/>
          <w:sz w:val="21"/>
          <w:szCs w:val="21"/>
          <w:highlight w:val="none"/>
        </w:rPr>
      </w:pPr>
      <w:r>
        <w:rPr>
          <w:rFonts w:ascii="宋体" w:hAnsi="宋体"/>
          <w:color w:val="auto"/>
          <w:sz w:val="21"/>
          <w:szCs w:val="21"/>
          <w:highlight w:val="none"/>
        </w:rPr>
        <w:t>本公司（联合体）郑重声明，根据《政府采购促进中小企业发展管理办法》（财库﹝2020﹞46号）的规定，本公司（联合体）参加</w:t>
      </w:r>
      <w:r>
        <w:rPr>
          <w:rFonts w:ascii="宋体" w:hAnsi="宋体"/>
          <w:color w:val="auto"/>
          <w:sz w:val="21"/>
          <w:szCs w:val="21"/>
          <w:highlight w:val="none"/>
          <w:u w:val="single"/>
        </w:rPr>
        <w:t>（单位名称）</w:t>
      </w:r>
      <w:r>
        <w:rPr>
          <w:rFonts w:ascii="宋体" w:hAnsi="宋体"/>
          <w:color w:val="auto"/>
          <w:sz w:val="21"/>
          <w:szCs w:val="21"/>
          <w:highlight w:val="none"/>
        </w:rPr>
        <w:t>的</w:t>
      </w:r>
      <w:r>
        <w:rPr>
          <w:rFonts w:ascii="宋体" w:hAnsi="宋体"/>
          <w:color w:val="auto"/>
          <w:sz w:val="21"/>
          <w:szCs w:val="21"/>
          <w:highlight w:val="none"/>
          <w:u w:val="single"/>
        </w:rPr>
        <w:t>（项目名称）</w:t>
      </w:r>
      <w:r>
        <w:rPr>
          <w:rFonts w:ascii="宋体" w:hAnsi="宋体"/>
          <w:color w:val="auto"/>
          <w:sz w:val="21"/>
          <w:szCs w:val="21"/>
          <w:highlight w:val="none"/>
        </w:rPr>
        <w:t>采购活动，</w:t>
      </w:r>
      <w:r>
        <w:rPr>
          <w:rFonts w:hint="eastAsia" w:ascii="宋体" w:hAnsi="宋体"/>
          <w:color w:val="auto"/>
          <w:sz w:val="21"/>
          <w:szCs w:val="21"/>
          <w:highlight w:val="none"/>
        </w:rPr>
        <w:t>服务全部由符合政策要求的中小企业承接。相关企业（含联合体中的中小企业、签订分包意向协议的中小企业）的具体情况如下：</w:t>
      </w:r>
    </w:p>
    <w:p w14:paraId="087F3781">
      <w:pPr>
        <w:tabs>
          <w:tab w:val="left" w:pos="1384"/>
          <w:tab w:val="left" w:pos="4562"/>
          <w:tab w:val="left" w:pos="6803"/>
        </w:tabs>
        <w:spacing w:before="13" w:line="500" w:lineRule="exact"/>
        <w:ind w:right="142" w:firstLine="676" w:firstLineChars="322"/>
        <w:rPr>
          <w:rFonts w:ascii="宋体" w:hAnsi="宋体"/>
          <w:color w:val="auto"/>
          <w:szCs w:val="21"/>
          <w:highlight w:val="none"/>
        </w:rPr>
      </w:pPr>
      <w:r>
        <w:rPr>
          <w:rFonts w:ascii="宋体" w:hAnsi="宋体"/>
          <w:color w:val="auto"/>
          <w:szCs w:val="21"/>
          <w:highlight w:val="none"/>
        </w:rPr>
        <w:t>1.</w:t>
      </w:r>
      <w:r>
        <w:rPr>
          <w:rFonts w:ascii="宋体" w:hAnsi="宋体"/>
          <w:color w:val="auto"/>
          <w:szCs w:val="21"/>
          <w:highlight w:val="none"/>
          <w:u w:val="single"/>
        </w:rPr>
        <w:t>（标的名称）</w:t>
      </w:r>
      <w:r>
        <w:rPr>
          <w:rFonts w:ascii="宋体" w:hAnsi="宋体"/>
          <w:color w:val="auto"/>
          <w:szCs w:val="21"/>
          <w:highlight w:val="none"/>
        </w:rPr>
        <w:t>，属于</w:t>
      </w:r>
      <w:r>
        <w:rPr>
          <w:rFonts w:ascii="宋体" w:hAnsi="宋体"/>
          <w:color w:val="auto"/>
          <w:szCs w:val="21"/>
          <w:highlight w:val="none"/>
          <w:u w:val="single"/>
        </w:rPr>
        <w:t>（采购文件中明确的所属</w:t>
      </w:r>
      <w:r>
        <w:rPr>
          <w:rFonts w:hint="eastAsia" w:ascii="宋体" w:hAnsi="宋体"/>
          <w:color w:val="auto"/>
          <w:szCs w:val="21"/>
          <w:highlight w:val="none"/>
          <w:u w:val="single"/>
        </w:rPr>
        <w:t>行</w:t>
      </w:r>
      <w:r>
        <w:rPr>
          <w:rFonts w:ascii="宋体" w:hAnsi="宋体"/>
          <w:color w:val="auto"/>
          <w:szCs w:val="21"/>
          <w:highlight w:val="none"/>
          <w:u w:val="single"/>
        </w:rPr>
        <w:t>业）</w:t>
      </w:r>
      <w:r>
        <w:rPr>
          <w:rFonts w:ascii="宋体" w:hAnsi="宋体"/>
          <w:color w:val="auto"/>
          <w:szCs w:val="21"/>
          <w:highlight w:val="none"/>
        </w:rPr>
        <w:t>；</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w:t>
      </w:r>
      <w:r>
        <w:rPr>
          <w:rFonts w:ascii="宋体" w:hAnsi="宋体"/>
          <w:color w:val="auto"/>
          <w:szCs w:val="21"/>
          <w:highlight w:val="none"/>
        </w:rPr>
        <w:t>，属于</w:t>
      </w:r>
      <w:r>
        <w:rPr>
          <w:rFonts w:ascii="宋体" w:hAnsi="宋体"/>
          <w:color w:val="auto"/>
          <w:szCs w:val="21"/>
          <w:highlight w:val="none"/>
          <w:u w:val="single"/>
        </w:rPr>
        <w:t>（中型企业、</w:t>
      </w:r>
      <w:r>
        <w:rPr>
          <w:rFonts w:hint="eastAsia" w:ascii="宋体" w:hAnsi="宋体"/>
          <w:color w:val="auto"/>
          <w:szCs w:val="21"/>
          <w:highlight w:val="none"/>
          <w:u w:val="single"/>
        </w:rPr>
        <w:t>小型企业、微型企业）</w:t>
      </w:r>
      <w:r>
        <w:rPr>
          <w:rFonts w:hint="eastAsia" w:ascii="宋体" w:hAnsi="宋体"/>
          <w:color w:val="auto"/>
          <w:szCs w:val="21"/>
          <w:highlight w:val="none"/>
        </w:rPr>
        <w:t>；</w:t>
      </w:r>
    </w:p>
    <w:p w14:paraId="13811088">
      <w:pPr>
        <w:tabs>
          <w:tab w:val="left" w:pos="1065"/>
          <w:tab w:val="left" w:pos="4262"/>
          <w:tab w:val="left" w:pos="6477"/>
        </w:tabs>
        <w:spacing w:before="20" w:line="500" w:lineRule="exact"/>
        <w:ind w:right="84" w:firstLine="676" w:firstLineChars="322"/>
        <w:rPr>
          <w:rFonts w:ascii="宋体" w:hAnsi="宋体"/>
          <w:color w:val="auto"/>
          <w:szCs w:val="21"/>
          <w:highlight w:val="none"/>
          <w:u w:val="single"/>
        </w:rPr>
      </w:pPr>
      <w:r>
        <w:rPr>
          <w:rFonts w:ascii="宋体" w:hAnsi="宋体"/>
          <w:color w:val="auto"/>
          <w:szCs w:val="21"/>
          <w:highlight w:val="none"/>
        </w:rPr>
        <w:t>2.</w:t>
      </w:r>
      <w:r>
        <w:rPr>
          <w:rFonts w:ascii="宋体" w:hAnsi="宋体"/>
          <w:color w:val="auto"/>
          <w:szCs w:val="21"/>
          <w:highlight w:val="none"/>
          <w:u w:val="single"/>
        </w:rPr>
        <w:t>（标的名称）</w:t>
      </w:r>
      <w:r>
        <w:rPr>
          <w:rFonts w:ascii="宋体" w:hAnsi="宋体"/>
          <w:color w:val="auto"/>
          <w:szCs w:val="21"/>
          <w:highlight w:val="none"/>
        </w:rPr>
        <w:t>，属于</w:t>
      </w:r>
      <w:r>
        <w:rPr>
          <w:rFonts w:ascii="宋体" w:hAnsi="宋体"/>
          <w:color w:val="auto"/>
          <w:szCs w:val="21"/>
          <w:highlight w:val="none"/>
          <w:u w:val="single"/>
        </w:rPr>
        <w:t>（采购文件中明确的所属</w:t>
      </w:r>
      <w:r>
        <w:rPr>
          <w:rFonts w:hint="eastAsia" w:ascii="宋体" w:hAnsi="宋体"/>
          <w:color w:val="auto"/>
          <w:szCs w:val="21"/>
          <w:highlight w:val="none"/>
          <w:u w:val="single"/>
        </w:rPr>
        <w:t>行业</w:t>
      </w:r>
      <w:r>
        <w:rPr>
          <w:rFonts w:ascii="宋体" w:hAnsi="宋体"/>
          <w:color w:val="auto"/>
          <w:szCs w:val="21"/>
          <w:highlight w:val="none"/>
          <w:u w:val="single"/>
        </w:rPr>
        <w:t>）</w:t>
      </w:r>
      <w:r>
        <w:rPr>
          <w:rFonts w:ascii="宋体" w:hAnsi="宋体"/>
          <w:color w:val="auto"/>
          <w:szCs w:val="21"/>
          <w:highlight w:val="none"/>
        </w:rPr>
        <w:t>；</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w:t>
      </w:r>
      <w:r>
        <w:rPr>
          <w:rFonts w:ascii="宋体" w:hAnsi="宋体"/>
          <w:color w:val="auto"/>
          <w:szCs w:val="21"/>
          <w:highlight w:val="none"/>
        </w:rPr>
        <w:t>，属于</w:t>
      </w:r>
      <w:r>
        <w:rPr>
          <w:rFonts w:ascii="宋体" w:hAnsi="宋体"/>
          <w:color w:val="auto"/>
          <w:szCs w:val="21"/>
          <w:highlight w:val="none"/>
          <w:u w:val="single"/>
        </w:rPr>
        <w:t>（中型企业、</w:t>
      </w:r>
      <w:r>
        <w:rPr>
          <w:rFonts w:hint="eastAsia" w:ascii="宋体" w:hAnsi="宋体"/>
          <w:color w:val="auto"/>
          <w:szCs w:val="21"/>
          <w:highlight w:val="none"/>
          <w:u w:val="single"/>
        </w:rPr>
        <w:t>小型企业、微型企业）</w:t>
      </w:r>
      <w:r>
        <w:rPr>
          <w:rFonts w:hint="eastAsia" w:ascii="宋体" w:hAnsi="宋体"/>
          <w:color w:val="auto"/>
          <w:szCs w:val="21"/>
          <w:highlight w:val="none"/>
        </w:rPr>
        <w:t>；</w:t>
      </w:r>
    </w:p>
    <w:p w14:paraId="5963DB84">
      <w:pPr>
        <w:pStyle w:val="2"/>
        <w:tabs>
          <w:tab w:val="left" w:pos="7895"/>
        </w:tabs>
        <w:spacing w:before="34" w:line="500" w:lineRule="exact"/>
        <w:ind w:right="142" w:firstLine="617" w:firstLineChars="294"/>
        <w:rPr>
          <w:rFonts w:ascii="宋体" w:hAnsi="宋体"/>
          <w:color w:val="auto"/>
          <w:sz w:val="21"/>
          <w:szCs w:val="21"/>
          <w:highlight w:val="none"/>
        </w:rPr>
      </w:pPr>
      <w:r>
        <w:rPr>
          <w:rFonts w:ascii="宋体" w:hAnsi="宋体"/>
          <w:color w:val="auto"/>
          <w:sz w:val="21"/>
          <w:szCs w:val="21"/>
          <w:highlight w:val="none"/>
        </w:rPr>
        <w:t xml:space="preserve">…… </w:t>
      </w:r>
      <w:r>
        <w:rPr>
          <w:rFonts w:hint="eastAsia" w:ascii="宋体" w:hAnsi="宋体"/>
          <w:color w:val="auto"/>
          <w:sz w:val="21"/>
          <w:szCs w:val="21"/>
          <w:highlight w:val="none"/>
        </w:rPr>
        <w:tab/>
      </w:r>
    </w:p>
    <w:p w14:paraId="66E933F0">
      <w:pPr>
        <w:pStyle w:val="2"/>
        <w:spacing w:before="34" w:line="500" w:lineRule="exact"/>
        <w:ind w:right="142" w:firstLine="617" w:firstLineChars="294"/>
        <w:rPr>
          <w:rFonts w:ascii="宋体" w:hAnsi="宋体"/>
          <w:color w:val="auto"/>
          <w:sz w:val="21"/>
          <w:szCs w:val="21"/>
          <w:highlight w:val="none"/>
        </w:rPr>
      </w:pPr>
      <w:r>
        <w:rPr>
          <w:rFonts w:ascii="宋体" w:hAnsi="宋体"/>
          <w:color w:val="auto"/>
          <w:sz w:val="21"/>
          <w:szCs w:val="21"/>
          <w:highlight w:val="none"/>
        </w:rPr>
        <w:t>以上企业，不属于大企业的分支机构，不存在控股股东为大企业的情形，也不存在与大企业的负责人为同一人的情形。</w:t>
      </w:r>
    </w:p>
    <w:p w14:paraId="1B7A67FD">
      <w:pPr>
        <w:pStyle w:val="2"/>
        <w:spacing w:before="25" w:line="500" w:lineRule="exact"/>
        <w:ind w:right="142" w:firstLine="617" w:firstLineChars="294"/>
        <w:rPr>
          <w:rFonts w:ascii="宋体" w:hAnsi="宋体"/>
          <w:color w:val="auto"/>
          <w:sz w:val="21"/>
          <w:szCs w:val="21"/>
          <w:highlight w:val="none"/>
        </w:rPr>
      </w:pPr>
      <w:r>
        <w:rPr>
          <w:rFonts w:ascii="宋体" w:hAnsi="宋体"/>
          <w:color w:val="auto"/>
          <w:sz w:val="21"/>
          <w:szCs w:val="21"/>
          <w:highlight w:val="none"/>
        </w:rPr>
        <w:t>本企业对上述声明内容的真实性负责。如有虚假，将依法承担相应责任。</w:t>
      </w:r>
    </w:p>
    <w:p w14:paraId="41F41AAB">
      <w:pPr>
        <w:pStyle w:val="2"/>
        <w:spacing w:line="360" w:lineRule="auto"/>
        <w:ind w:left="3960" w:right="1808"/>
        <w:contextualSpacing/>
        <w:rPr>
          <w:rFonts w:ascii="宋体" w:hAnsi="宋体"/>
          <w:color w:val="auto"/>
          <w:kern w:val="24"/>
          <w:sz w:val="21"/>
          <w:szCs w:val="21"/>
          <w:highlight w:val="none"/>
        </w:rPr>
      </w:pPr>
    </w:p>
    <w:p w14:paraId="4CAFF015">
      <w:pPr>
        <w:pStyle w:val="2"/>
        <w:spacing w:line="360" w:lineRule="auto"/>
        <w:ind w:left="3960" w:right="1808"/>
        <w:contextualSpacing/>
        <w:rPr>
          <w:rFonts w:ascii="宋体" w:hAnsi="宋体"/>
          <w:color w:val="auto"/>
          <w:kern w:val="24"/>
          <w:sz w:val="21"/>
          <w:szCs w:val="21"/>
          <w:highlight w:val="none"/>
        </w:rPr>
      </w:pPr>
      <w:r>
        <w:rPr>
          <w:rFonts w:ascii="宋体" w:hAnsi="宋体"/>
          <w:color w:val="auto"/>
          <w:kern w:val="24"/>
          <w:sz w:val="21"/>
          <w:szCs w:val="21"/>
          <w:highlight w:val="none"/>
        </w:rPr>
        <w:t>企业名称（</w:t>
      </w:r>
      <w:r>
        <w:rPr>
          <w:rFonts w:hint="eastAsia" w:ascii="宋体" w:hAnsi="宋体"/>
          <w:color w:val="auto"/>
          <w:kern w:val="24"/>
          <w:sz w:val="21"/>
          <w:szCs w:val="21"/>
          <w:highlight w:val="none"/>
        </w:rPr>
        <w:t>电子签章</w:t>
      </w:r>
      <w:r>
        <w:rPr>
          <w:rFonts w:ascii="宋体" w:hAnsi="宋体"/>
          <w:color w:val="auto"/>
          <w:kern w:val="24"/>
          <w:sz w:val="21"/>
          <w:szCs w:val="21"/>
          <w:highlight w:val="none"/>
        </w:rPr>
        <w:t xml:space="preserve">）： </w:t>
      </w:r>
    </w:p>
    <w:p w14:paraId="149A26EE">
      <w:pPr>
        <w:pStyle w:val="2"/>
        <w:spacing w:line="360" w:lineRule="auto"/>
        <w:ind w:left="3960" w:right="1808"/>
        <w:contextualSpacing/>
        <w:rPr>
          <w:rFonts w:ascii="宋体" w:hAnsi="宋体"/>
          <w:color w:val="auto"/>
          <w:kern w:val="24"/>
          <w:sz w:val="21"/>
          <w:szCs w:val="21"/>
          <w:highlight w:val="none"/>
        </w:rPr>
      </w:pPr>
      <w:r>
        <w:rPr>
          <w:rFonts w:ascii="宋体" w:hAnsi="宋体"/>
          <w:color w:val="auto"/>
          <w:kern w:val="24"/>
          <w:sz w:val="21"/>
          <w:szCs w:val="21"/>
          <w:highlight w:val="none"/>
        </w:rPr>
        <w:t>日</w:t>
      </w:r>
      <w:r>
        <w:rPr>
          <w:rFonts w:hint="eastAsia" w:ascii="宋体" w:hAnsi="宋体"/>
          <w:color w:val="auto"/>
          <w:kern w:val="24"/>
          <w:sz w:val="21"/>
          <w:szCs w:val="21"/>
          <w:highlight w:val="none"/>
        </w:rPr>
        <w:t xml:space="preserve"> </w:t>
      </w:r>
      <w:r>
        <w:rPr>
          <w:rFonts w:ascii="宋体" w:hAnsi="宋体"/>
          <w:color w:val="auto"/>
          <w:kern w:val="24"/>
          <w:sz w:val="21"/>
          <w:szCs w:val="21"/>
          <w:highlight w:val="none"/>
        </w:rPr>
        <w:t>期：</w:t>
      </w:r>
    </w:p>
    <w:p w14:paraId="78D42F01">
      <w:pPr>
        <w:pStyle w:val="2"/>
        <w:spacing w:line="360" w:lineRule="auto"/>
        <w:ind w:left="3960" w:right="1808"/>
        <w:contextualSpacing/>
        <w:rPr>
          <w:rFonts w:ascii="宋体" w:hAnsi="宋体"/>
          <w:color w:val="auto"/>
          <w:kern w:val="24"/>
          <w:sz w:val="21"/>
          <w:szCs w:val="21"/>
          <w:highlight w:val="none"/>
        </w:rPr>
      </w:pPr>
    </w:p>
    <w:p w14:paraId="7F1C428E">
      <w:pPr>
        <w:pStyle w:val="2"/>
        <w:spacing w:line="360" w:lineRule="auto"/>
        <w:ind w:left="3960" w:right="1808"/>
        <w:contextualSpacing/>
        <w:rPr>
          <w:rFonts w:ascii="宋体" w:hAnsi="宋体"/>
          <w:color w:val="auto"/>
          <w:kern w:val="24"/>
          <w:sz w:val="21"/>
          <w:szCs w:val="21"/>
          <w:highlight w:val="none"/>
        </w:rPr>
      </w:pPr>
    </w:p>
    <w:p w14:paraId="7A3231E6">
      <w:pPr>
        <w:pStyle w:val="2"/>
        <w:spacing w:line="360" w:lineRule="auto"/>
        <w:ind w:left="-426" w:right="142" w:firstLine="567"/>
        <w:contextualSpacing/>
        <w:rPr>
          <w:rFonts w:ascii="宋体" w:hAnsi="宋体"/>
          <w:color w:val="auto"/>
          <w:kern w:val="24"/>
          <w:sz w:val="21"/>
          <w:szCs w:val="21"/>
          <w:highlight w:val="none"/>
        </w:rPr>
      </w:pPr>
      <w:r>
        <w:rPr>
          <w:rFonts w:hint="eastAsia" w:ascii="宋体" w:hAnsi="宋体"/>
          <w:color w:val="auto"/>
          <w:kern w:val="24"/>
          <w:sz w:val="21"/>
          <w:szCs w:val="21"/>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72B14F8B">
      <w:pPr>
        <w:snapToGrid w:val="0"/>
        <w:spacing w:before="120" w:beforeLines="50" w:after="50"/>
        <w:ind w:left="142"/>
        <w:jc w:val="left"/>
        <w:rPr>
          <w:rFonts w:ascii="宋体" w:hAnsi="宋体"/>
          <w:b/>
          <w:color w:val="auto"/>
          <w:sz w:val="24"/>
          <w:highlight w:val="none"/>
        </w:rPr>
      </w:pPr>
      <w:r>
        <w:rPr>
          <w:rFonts w:ascii="宋体" w:hAnsi="宋体"/>
          <w:b/>
          <w:color w:val="auto"/>
          <w:szCs w:val="21"/>
          <w:highlight w:val="none"/>
        </w:rPr>
        <w:br w:type="page"/>
      </w:r>
      <w:r>
        <w:rPr>
          <w:rFonts w:hint="eastAsia" w:ascii="宋体" w:hAnsi="宋体"/>
          <w:b/>
          <w:color w:val="auto"/>
          <w:sz w:val="24"/>
          <w:highlight w:val="none"/>
        </w:rPr>
        <w:t>2.残疾人福利性单位声明函格式</w:t>
      </w:r>
    </w:p>
    <w:p w14:paraId="1745859A">
      <w:pPr>
        <w:spacing w:line="588" w:lineRule="exact"/>
        <w:jc w:val="center"/>
        <w:rPr>
          <w:rFonts w:ascii="宋体" w:hAnsi="宋体"/>
          <w:b/>
          <w:color w:val="auto"/>
          <w:spacing w:val="6"/>
          <w:sz w:val="32"/>
          <w:szCs w:val="32"/>
          <w:highlight w:val="none"/>
        </w:rPr>
      </w:pPr>
    </w:p>
    <w:p w14:paraId="61233365">
      <w:pPr>
        <w:spacing w:line="588" w:lineRule="exact"/>
        <w:jc w:val="center"/>
        <w:rPr>
          <w:rFonts w:ascii="宋体" w:hAnsi="宋体" w:cs="方正小标宋简体"/>
          <w:bCs/>
          <w:color w:val="auto"/>
          <w:spacing w:val="6"/>
          <w:sz w:val="44"/>
          <w:szCs w:val="44"/>
          <w:highlight w:val="none"/>
        </w:rPr>
      </w:pPr>
      <w:r>
        <w:rPr>
          <w:rFonts w:hint="eastAsia" w:ascii="宋体" w:hAnsi="宋体" w:cs="方正小标宋简体"/>
          <w:bCs/>
          <w:color w:val="auto"/>
          <w:spacing w:val="6"/>
          <w:sz w:val="44"/>
          <w:szCs w:val="44"/>
          <w:highlight w:val="none"/>
        </w:rPr>
        <w:t>残疾人福利性单位声明函</w:t>
      </w:r>
    </w:p>
    <w:p w14:paraId="1E778A5A">
      <w:pPr>
        <w:spacing w:line="360" w:lineRule="auto"/>
        <w:contextualSpacing/>
        <w:rPr>
          <w:rFonts w:ascii="宋体" w:hAnsi="宋体"/>
          <w:bCs/>
          <w:color w:val="auto"/>
          <w:spacing w:val="6"/>
          <w:sz w:val="30"/>
          <w:szCs w:val="30"/>
          <w:highlight w:val="none"/>
        </w:rPr>
      </w:pPr>
    </w:p>
    <w:p w14:paraId="6B035E4F">
      <w:pPr>
        <w:spacing w:line="360" w:lineRule="auto"/>
        <w:ind w:firstLine="444" w:firstLineChars="200"/>
        <w:contextualSpacing/>
        <w:rPr>
          <w:rFonts w:ascii="宋体" w:hAnsi="宋体"/>
          <w:color w:val="auto"/>
          <w:spacing w:val="6"/>
          <w:szCs w:val="21"/>
          <w:highlight w:val="none"/>
        </w:rPr>
      </w:pPr>
      <w:r>
        <w:rPr>
          <w:rFonts w:hint="eastAsia" w:ascii="宋体" w:hAnsi="宋体"/>
          <w:color w:val="auto"/>
          <w:spacing w:val="6"/>
          <w:szCs w:val="21"/>
          <w:highlight w:val="none"/>
        </w:rPr>
        <w:t>本单位郑重声明，根据《财政部 民政部 中国残疾人联合会关于促进残疾人就业政府采购政策的通知》（财库</w:t>
      </w:r>
      <w:r>
        <w:rPr>
          <w:rFonts w:hint="eastAsia" w:ascii="宋体" w:hAnsi="宋体"/>
          <w:color w:val="auto"/>
          <w:szCs w:val="21"/>
          <w:highlight w:val="none"/>
        </w:rPr>
        <w:t>〔2017〕 141</w:t>
      </w:r>
      <w:r>
        <w:rPr>
          <w:rFonts w:hint="eastAsia" w:ascii="宋体" w:hAnsi="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Cs w:val="21"/>
          <w:highlight w:val="none"/>
        </w:rPr>
        <w:t>疾人福利性单位制造的货物（不包括使用非残疾人福利性单位注册商标的货物）。</w:t>
      </w:r>
    </w:p>
    <w:p w14:paraId="7B45DEB4">
      <w:pPr>
        <w:spacing w:line="360" w:lineRule="auto"/>
        <w:ind w:firstLine="444" w:firstLineChars="200"/>
        <w:contextualSpacing/>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14:paraId="427D8FB5">
      <w:pPr>
        <w:spacing w:line="360" w:lineRule="auto"/>
        <w:ind w:firstLine="444" w:firstLineChars="200"/>
        <w:contextualSpacing/>
        <w:rPr>
          <w:rFonts w:ascii="宋体" w:hAnsi="宋体"/>
          <w:color w:val="auto"/>
          <w:spacing w:val="6"/>
          <w:szCs w:val="21"/>
          <w:highlight w:val="none"/>
        </w:rPr>
      </w:pPr>
    </w:p>
    <w:p w14:paraId="65FEF761">
      <w:pPr>
        <w:spacing w:line="360" w:lineRule="auto"/>
        <w:ind w:firstLine="444" w:firstLineChars="200"/>
        <w:contextualSpacing/>
        <w:rPr>
          <w:rFonts w:ascii="宋体" w:hAnsi="宋体"/>
          <w:color w:val="auto"/>
          <w:spacing w:val="6"/>
          <w:szCs w:val="21"/>
          <w:highlight w:val="none"/>
        </w:rPr>
      </w:pPr>
    </w:p>
    <w:p w14:paraId="01654246">
      <w:pPr>
        <w:tabs>
          <w:tab w:val="left" w:pos="4860"/>
        </w:tabs>
        <w:spacing w:line="360" w:lineRule="auto"/>
        <w:ind w:right="1560" w:firstLine="444" w:firstLineChars="200"/>
        <w:contextualSpacing/>
        <w:jc w:val="center"/>
        <w:rPr>
          <w:rFonts w:ascii="宋体" w:hAnsi="宋体"/>
          <w:color w:val="auto"/>
          <w:spacing w:val="6"/>
          <w:szCs w:val="21"/>
          <w:highlight w:val="none"/>
        </w:rPr>
      </w:pPr>
      <w:r>
        <w:rPr>
          <w:rFonts w:hint="eastAsia" w:ascii="宋体" w:hAnsi="宋体"/>
          <w:color w:val="auto"/>
          <w:spacing w:val="6"/>
          <w:szCs w:val="21"/>
          <w:highlight w:val="none"/>
        </w:rPr>
        <w:t>单位名称（电子签章）：</w:t>
      </w:r>
    </w:p>
    <w:p w14:paraId="24AC187A">
      <w:pPr>
        <w:tabs>
          <w:tab w:val="left" w:pos="4860"/>
        </w:tabs>
        <w:spacing w:line="360" w:lineRule="auto"/>
        <w:ind w:right="1560" w:firstLine="444" w:firstLineChars="200"/>
        <w:contextualSpacing/>
        <w:jc w:val="center"/>
        <w:rPr>
          <w:rFonts w:ascii="宋体" w:hAnsi="宋体"/>
          <w:color w:val="auto"/>
          <w:spacing w:val="6"/>
          <w:szCs w:val="21"/>
          <w:highlight w:val="none"/>
        </w:rPr>
      </w:pPr>
      <w:r>
        <w:rPr>
          <w:rFonts w:hint="eastAsia" w:ascii="宋体" w:hAnsi="宋体"/>
          <w:color w:val="auto"/>
          <w:spacing w:val="6"/>
          <w:szCs w:val="21"/>
          <w:highlight w:val="none"/>
        </w:rPr>
        <w:t>日  期：</w:t>
      </w:r>
    </w:p>
    <w:p w14:paraId="7933B7C4">
      <w:pPr>
        <w:spacing w:line="360" w:lineRule="auto"/>
        <w:contextualSpacing/>
        <w:rPr>
          <w:rFonts w:ascii="宋体" w:hAnsi="宋体"/>
          <w:color w:val="auto"/>
          <w:szCs w:val="21"/>
          <w:highlight w:val="none"/>
        </w:rPr>
      </w:pPr>
    </w:p>
    <w:p w14:paraId="501DCF6E">
      <w:pPr>
        <w:spacing w:line="360" w:lineRule="auto"/>
        <w:contextualSpacing/>
        <w:rPr>
          <w:rFonts w:ascii="宋体" w:hAnsi="宋体"/>
          <w:color w:val="auto"/>
          <w:sz w:val="24"/>
          <w:highlight w:val="none"/>
        </w:rPr>
      </w:pPr>
    </w:p>
    <w:p w14:paraId="22AB7C84">
      <w:pPr>
        <w:spacing w:line="360" w:lineRule="auto"/>
        <w:contextualSpacing/>
        <w:rPr>
          <w:rFonts w:ascii="宋体" w:hAnsi="宋体"/>
          <w:color w:val="auto"/>
          <w:sz w:val="24"/>
          <w:highlight w:val="none"/>
        </w:rPr>
      </w:pPr>
    </w:p>
    <w:p w14:paraId="27D4875B">
      <w:pPr>
        <w:spacing w:line="360" w:lineRule="auto"/>
        <w:contextualSpacing/>
        <w:rPr>
          <w:rFonts w:ascii="宋体" w:hAnsi="宋体"/>
          <w:color w:val="auto"/>
          <w:szCs w:val="21"/>
          <w:highlight w:val="none"/>
        </w:rPr>
      </w:pPr>
      <w:r>
        <w:rPr>
          <w:rFonts w:hint="eastAsia" w:ascii="宋体" w:hAnsi="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F5978C4">
      <w:pPr>
        <w:spacing w:line="360" w:lineRule="auto"/>
        <w:jc w:val="left"/>
        <w:rPr>
          <w:rFonts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3.质疑函（格式）</w:t>
      </w:r>
    </w:p>
    <w:p w14:paraId="467AAE5A">
      <w:pPr>
        <w:spacing w:line="360" w:lineRule="auto"/>
        <w:jc w:val="center"/>
        <w:rPr>
          <w:rFonts w:ascii="宋体" w:hAnsi="宋体" w:cs="方正小标宋简体"/>
          <w:color w:val="auto"/>
          <w:sz w:val="44"/>
          <w:szCs w:val="44"/>
          <w:highlight w:val="none"/>
        </w:rPr>
      </w:pPr>
      <w:r>
        <w:rPr>
          <w:rFonts w:hint="eastAsia" w:ascii="宋体" w:hAnsi="宋体" w:cs="方正小标宋简体"/>
          <w:color w:val="auto"/>
          <w:sz w:val="44"/>
          <w:szCs w:val="44"/>
          <w:highlight w:val="none"/>
        </w:rPr>
        <w:t>质疑函（格式）</w:t>
      </w:r>
    </w:p>
    <w:p w14:paraId="6B7F808B">
      <w:pPr>
        <w:pStyle w:val="27"/>
        <w:snapToGrid w:val="0"/>
        <w:spacing w:line="360" w:lineRule="exact"/>
        <w:ind w:firstLine="422" w:firstLineChars="200"/>
        <w:rPr>
          <w:rFonts w:hAnsi="宋体"/>
          <w:b/>
          <w:bCs/>
          <w:color w:val="auto"/>
          <w:sz w:val="21"/>
          <w:highlight w:val="none"/>
        </w:rPr>
      </w:pPr>
      <w:r>
        <w:rPr>
          <w:rFonts w:hint="eastAsia" w:hAnsi="宋体"/>
          <w:b/>
          <w:bCs/>
          <w:color w:val="auto"/>
          <w:sz w:val="21"/>
          <w:highlight w:val="none"/>
        </w:rPr>
        <w:t>一、质疑供应商基本信息：</w:t>
      </w:r>
    </w:p>
    <w:p w14:paraId="15734A23">
      <w:pPr>
        <w:pStyle w:val="27"/>
        <w:snapToGrid w:val="0"/>
        <w:spacing w:line="360" w:lineRule="exact"/>
        <w:ind w:firstLine="420" w:firstLineChars="200"/>
        <w:rPr>
          <w:rFonts w:hAnsi="宋体"/>
          <w:bCs/>
          <w:color w:val="auto"/>
          <w:sz w:val="21"/>
          <w:highlight w:val="none"/>
          <w:u w:val="single"/>
        </w:rPr>
      </w:pPr>
      <w:r>
        <w:rPr>
          <w:rFonts w:hint="eastAsia" w:hAnsi="宋体"/>
          <w:bCs/>
          <w:color w:val="auto"/>
          <w:sz w:val="21"/>
          <w:highlight w:val="none"/>
        </w:rPr>
        <w:t>质疑供应商：</w:t>
      </w:r>
      <w:r>
        <w:rPr>
          <w:rFonts w:hint="eastAsia" w:hAnsi="宋体"/>
          <w:bCs/>
          <w:color w:val="auto"/>
          <w:sz w:val="21"/>
          <w:highlight w:val="none"/>
          <w:u w:val="single"/>
        </w:rPr>
        <w:t xml:space="preserve">                                       </w:t>
      </w:r>
      <w:r>
        <w:rPr>
          <w:rFonts w:hint="eastAsia" w:hAnsi="宋体"/>
          <w:bCs/>
          <w:color w:val="auto"/>
          <w:sz w:val="21"/>
          <w:highlight w:val="none"/>
        </w:rPr>
        <w:t xml:space="preserve">                 </w:t>
      </w:r>
    </w:p>
    <w:p w14:paraId="02EFDB17">
      <w:pPr>
        <w:pStyle w:val="27"/>
        <w:snapToGrid w:val="0"/>
        <w:spacing w:line="360" w:lineRule="exact"/>
        <w:ind w:firstLine="420" w:firstLineChars="200"/>
        <w:rPr>
          <w:rFonts w:hAnsi="宋体"/>
          <w:bCs/>
          <w:color w:val="auto"/>
          <w:sz w:val="21"/>
          <w:highlight w:val="none"/>
        </w:rPr>
      </w:pPr>
      <w:r>
        <w:rPr>
          <w:rFonts w:hAnsi="宋体"/>
          <w:bCs/>
          <w:color w:val="auto"/>
          <w:sz w:val="21"/>
          <w:highlight w:val="none"/>
        </w:rPr>
        <w:t>地址</w:t>
      </w:r>
      <w:r>
        <w:rPr>
          <w:rFonts w:hint="eastAsia" w:hAnsi="宋体"/>
          <w:bCs/>
          <w:color w:val="auto"/>
          <w:sz w:val="21"/>
          <w:highlight w:val="none"/>
        </w:rPr>
        <w:t>：</w:t>
      </w:r>
      <w:r>
        <w:rPr>
          <w:rFonts w:hint="eastAsia" w:hAnsi="宋体"/>
          <w:bCs/>
          <w:color w:val="auto"/>
          <w:sz w:val="21"/>
          <w:highlight w:val="none"/>
          <w:u w:val="single"/>
        </w:rPr>
        <w:t xml:space="preserve">                                          </w:t>
      </w:r>
      <w:r>
        <w:rPr>
          <w:rFonts w:hAnsi="宋体"/>
          <w:bCs/>
          <w:color w:val="auto"/>
          <w:sz w:val="21"/>
          <w:highlight w:val="none"/>
        </w:rPr>
        <w:t>邮编</w:t>
      </w:r>
      <w:r>
        <w:rPr>
          <w:rFonts w:hint="eastAsia" w:hAnsi="宋体"/>
          <w:bCs/>
          <w:color w:val="auto"/>
          <w:sz w:val="21"/>
          <w:highlight w:val="none"/>
        </w:rPr>
        <w:t>：</w:t>
      </w:r>
      <w:r>
        <w:rPr>
          <w:rFonts w:hint="eastAsia" w:hAnsi="宋体"/>
          <w:bCs/>
          <w:color w:val="auto"/>
          <w:sz w:val="21"/>
          <w:highlight w:val="none"/>
          <w:u w:val="single"/>
        </w:rPr>
        <w:t xml:space="preserve">                  </w:t>
      </w:r>
      <w:r>
        <w:rPr>
          <w:rFonts w:hint="eastAsia" w:hAnsi="宋体"/>
          <w:bCs/>
          <w:color w:val="auto"/>
          <w:sz w:val="21"/>
          <w:highlight w:val="none"/>
        </w:rPr>
        <w:t xml:space="preserve">                 </w:t>
      </w:r>
    </w:p>
    <w:p w14:paraId="46B4A193">
      <w:pPr>
        <w:pStyle w:val="27"/>
        <w:snapToGrid w:val="0"/>
        <w:spacing w:line="360" w:lineRule="exact"/>
        <w:ind w:firstLine="420" w:firstLineChars="200"/>
        <w:rPr>
          <w:rFonts w:hAnsi="宋体"/>
          <w:bCs/>
          <w:color w:val="auto"/>
          <w:sz w:val="21"/>
          <w:highlight w:val="none"/>
        </w:rPr>
      </w:pPr>
      <w:r>
        <w:rPr>
          <w:rFonts w:hAnsi="宋体"/>
          <w:bCs/>
          <w:color w:val="auto"/>
          <w:sz w:val="21"/>
          <w:highlight w:val="none"/>
        </w:rPr>
        <w:t>联系人</w:t>
      </w:r>
      <w:r>
        <w:rPr>
          <w:rFonts w:hint="eastAsia" w:hAnsi="宋体"/>
          <w:bCs/>
          <w:color w:val="auto"/>
          <w:sz w:val="21"/>
          <w:highlight w:val="none"/>
        </w:rPr>
        <w:t>：</w:t>
      </w:r>
      <w:r>
        <w:rPr>
          <w:rFonts w:hint="eastAsia" w:hAnsi="宋体"/>
          <w:bCs/>
          <w:color w:val="auto"/>
          <w:sz w:val="21"/>
          <w:highlight w:val="none"/>
          <w:u w:val="single"/>
        </w:rPr>
        <w:t xml:space="preserve">                     </w:t>
      </w:r>
      <w:r>
        <w:rPr>
          <w:rFonts w:hAnsi="宋体"/>
          <w:bCs/>
          <w:color w:val="auto"/>
          <w:sz w:val="21"/>
          <w:highlight w:val="none"/>
        </w:rPr>
        <w:t>联系电话</w:t>
      </w:r>
      <w:r>
        <w:rPr>
          <w:rFonts w:hint="eastAsia" w:hAnsi="宋体"/>
          <w:bCs/>
          <w:color w:val="auto"/>
          <w:sz w:val="21"/>
          <w:highlight w:val="none"/>
        </w:rPr>
        <w:t>：</w:t>
      </w:r>
      <w:r>
        <w:rPr>
          <w:rFonts w:hint="eastAsia" w:hAnsi="宋体"/>
          <w:bCs/>
          <w:color w:val="auto"/>
          <w:sz w:val="21"/>
          <w:highlight w:val="none"/>
          <w:u w:val="single"/>
        </w:rPr>
        <w:t xml:space="preserve">                 </w:t>
      </w:r>
    </w:p>
    <w:p w14:paraId="1AA7624B">
      <w:pPr>
        <w:pStyle w:val="27"/>
        <w:snapToGrid w:val="0"/>
        <w:spacing w:line="360" w:lineRule="exact"/>
        <w:ind w:firstLine="420" w:firstLineChars="200"/>
        <w:rPr>
          <w:rFonts w:hAnsi="宋体"/>
          <w:bCs/>
          <w:color w:val="auto"/>
          <w:sz w:val="21"/>
          <w:highlight w:val="none"/>
        </w:rPr>
      </w:pPr>
      <w:r>
        <w:rPr>
          <w:rFonts w:hint="eastAsia" w:hAnsi="宋体"/>
          <w:bCs/>
          <w:color w:val="auto"/>
          <w:sz w:val="21"/>
          <w:highlight w:val="none"/>
        </w:rPr>
        <w:t>授权代表：</w:t>
      </w:r>
      <w:r>
        <w:rPr>
          <w:rFonts w:hint="eastAsia" w:hAnsi="宋体"/>
          <w:bCs/>
          <w:color w:val="auto"/>
          <w:sz w:val="21"/>
          <w:highlight w:val="none"/>
          <w:u w:val="single"/>
        </w:rPr>
        <w:t xml:space="preserve">                      </w:t>
      </w:r>
    </w:p>
    <w:p w14:paraId="22729237">
      <w:pPr>
        <w:pStyle w:val="27"/>
        <w:snapToGrid w:val="0"/>
        <w:spacing w:line="360" w:lineRule="exact"/>
        <w:ind w:firstLine="420" w:firstLineChars="200"/>
        <w:rPr>
          <w:rFonts w:hAnsi="宋体"/>
          <w:bCs/>
          <w:color w:val="auto"/>
          <w:sz w:val="21"/>
          <w:highlight w:val="none"/>
          <w:u w:val="single"/>
        </w:rPr>
      </w:pPr>
      <w:r>
        <w:rPr>
          <w:rFonts w:hAnsi="宋体"/>
          <w:bCs/>
          <w:color w:val="auto"/>
          <w:sz w:val="21"/>
          <w:highlight w:val="none"/>
        </w:rPr>
        <w:t>联系</w:t>
      </w:r>
      <w:r>
        <w:rPr>
          <w:rFonts w:hint="eastAsia" w:hAnsi="宋体"/>
          <w:bCs/>
          <w:color w:val="auto"/>
          <w:sz w:val="21"/>
          <w:highlight w:val="none"/>
        </w:rPr>
        <w:t>电话：</w:t>
      </w:r>
      <w:r>
        <w:rPr>
          <w:rFonts w:hint="eastAsia" w:hAnsi="宋体"/>
          <w:bCs/>
          <w:color w:val="auto"/>
          <w:sz w:val="21"/>
          <w:highlight w:val="none"/>
          <w:u w:val="single"/>
        </w:rPr>
        <w:t xml:space="preserve">                      </w:t>
      </w:r>
    </w:p>
    <w:p w14:paraId="20601FF3">
      <w:pPr>
        <w:pStyle w:val="27"/>
        <w:snapToGrid w:val="0"/>
        <w:spacing w:line="360" w:lineRule="exact"/>
        <w:ind w:firstLine="420" w:firstLineChars="200"/>
        <w:rPr>
          <w:rFonts w:hAnsi="宋体"/>
          <w:bCs/>
          <w:color w:val="auto"/>
          <w:sz w:val="21"/>
          <w:highlight w:val="none"/>
        </w:rPr>
      </w:pPr>
      <w:r>
        <w:rPr>
          <w:rFonts w:hAnsi="宋体"/>
          <w:bCs/>
          <w:color w:val="auto"/>
          <w:sz w:val="21"/>
          <w:highlight w:val="none"/>
        </w:rPr>
        <w:t>地址</w:t>
      </w:r>
      <w:r>
        <w:rPr>
          <w:rFonts w:hint="eastAsia" w:hAnsi="宋体"/>
          <w:bCs/>
          <w:color w:val="auto"/>
          <w:sz w:val="21"/>
          <w:highlight w:val="none"/>
        </w:rPr>
        <w:t>：</w:t>
      </w:r>
      <w:r>
        <w:rPr>
          <w:rFonts w:hint="eastAsia" w:hAnsi="宋体"/>
          <w:bCs/>
          <w:color w:val="auto"/>
          <w:sz w:val="21"/>
          <w:highlight w:val="none"/>
          <w:u w:val="single"/>
        </w:rPr>
        <w:t xml:space="preserve">                 </w:t>
      </w:r>
      <w:r>
        <w:rPr>
          <w:rFonts w:hAnsi="宋体"/>
          <w:bCs/>
          <w:color w:val="auto"/>
          <w:sz w:val="21"/>
          <w:highlight w:val="none"/>
        </w:rPr>
        <w:t>邮编</w:t>
      </w:r>
      <w:r>
        <w:rPr>
          <w:rFonts w:hint="eastAsia" w:hAnsi="宋体"/>
          <w:bCs/>
          <w:color w:val="auto"/>
          <w:sz w:val="21"/>
          <w:highlight w:val="none"/>
        </w:rPr>
        <w:t>：</w:t>
      </w:r>
      <w:r>
        <w:rPr>
          <w:rFonts w:hint="eastAsia" w:hAnsi="宋体"/>
          <w:bCs/>
          <w:color w:val="auto"/>
          <w:sz w:val="21"/>
          <w:highlight w:val="none"/>
          <w:u w:val="single"/>
        </w:rPr>
        <w:t xml:space="preserve">                  </w:t>
      </w:r>
      <w:r>
        <w:rPr>
          <w:rFonts w:hint="eastAsia" w:hAnsi="宋体"/>
          <w:bCs/>
          <w:color w:val="auto"/>
          <w:sz w:val="21"/>
          <w:highlight w:val="none"/>
        </w:rPr>
        <w:t xml:space="preserve">     </w:t>
      </w:r>
    </w:p>
    <w:p w14:paraId="22B66A32">
      <w:pPr>
        <w:pStyle w:val="27"/>
        <w:snapToGrid w:val="0"/>
        <w:spacing w:line="360" w:lineRule="exact"/>
        <w:ind w:firstLine="422" w:firstLineChars="200"/>
        <w:rPr>
          <w:rFonts w:hAnsi="宋体"/>
          <w:b/>
          <w:bCs/>
          <w:color w:val="auto"/>
          <w:sz w:val="21"/>
          <w:highlight w:val="none"/>
        </w:rPr>
      </w:pPr>
      <w:r>
        <w:rPr>
          <w:rFonts w:hint="eastAsia" w:hAnsi="宋体"/>
          <w:b/>
          <w:bCs/>
          <w:color w:val="auto"/>
          <w:sz w:val="21"/>
          <w:highlight w:val="none"/>
        </w:rPr>
        <w:t>二、质疑项目基本情况：</w:t>
      </w:r>
    </w:p>
    <w:p w14:paraId="4B14CD7D">
      <w:pPr>
        <w:pStyle w:val="27"/>
        <w:spacing w:line="360" w:lineRule="exact"/>
        <w:ind w:firstLine="413" w:firstLineChars="197"/>
        <w:rPr>
          <w:rFonts w:hAnsi="宋体"/>
          <w:color w:val="auto"/>
          <w:sz w:val="21"/>
          <w:highlight w:val="none"/>
        </w:rPr>
      </w:pPr>
      <w:r>
        <w:rPr>
          <w:rFonts w:hint="eastAsia" w:hAnsi="宋体"/>
          <w:bCs/>
          <w:color w:val="auto"/>
          <w:sz w:val="21"/>
          <w:highlight w:val="none"/>
        </w:rPr>
        <w:t>质疑</w:t>
      </w:r>
      <w:r>
        <w:rPr>
          <w:rFonts w:hint="eastAsia" w:hAnsi="宋体"/>
          <w:color w:val="auto"/>
          <w:sz w:val="21"/>
          <w:highlight w:val="none"/>
        </w:rPr>
        <w:t>项目的名称：</w:t>
      </w:r>
      <w:r>
        <w:rPr>
          <w:rFonts w:hint="eastAsia" w:hAnsi="宋体"/>
          <w:bCs/>
          <w:color w:val="auto"/>
          <w:sz w:val="21"/>
          <w:highlight w:val="none"/>
          <w:u w:val="single"/>
        </w:rPr>
        <w:t xml:space="preserve">                                     </w:t>
      </w:r>
    </w:p>
    <w:p w14:paraId="781C1FA1">
      <w:pPr>
        <w:pStyle w:val="27"/>
        <w:spacing w:line="360" w:lineRule="exact"/>
        <w:ind w:firstLine="413" w:firstLineChars="197"/>
        <w:rPr>
          <w:rFonts w:hAnsi="宋体"/>
          <w:color w:val="auto"/>
          <w:sz w:val="21"/>
          <w:highlight w:val="none"/>
        </w:rPr>
      </w:pPr>
      <w:r>
        <w:rPr>
          <w:rFonts w:hint="eastAsia" w:hAnsi="宋体"/>
          <w:bCs/>
          <w:color w:val="auto"/>
          <w:sz w:val="21"/>
          <w:highlight w:val="none"/>
        </w:rPr>
        <w:t>质疑</w:t>
      </w:r>
      <w:r>
        <w:rPr>
          <w:rFonts w:hint="eastAsia" w:hAnsi="宋体"/>
          <w:color w:val="auto"/>
          <w:sz w:val="21"/>
          <w:highlight w:val="none"/>
        </w:rPr>
        <w:t>项目的编号：</w:t>
      </w:r>
      <w:r>
        <w:rPr>
          <w:rFonts w:hint="eastAsia" w:hAnsi="宋体"/>
          <w:bCs/>
          <w:color w:val="auto"/>
          <w:sz w:val="21"/>
          <w:highlight w:val="none"/>
          <w:u w:val="single"/>
        </w:rPr>
        <w:t xml:space="preserve">                                     </w:t>
      </w:r>
    </w:p>
    <w:p w14:paraId="69F660EB">
      <w:pPr>
        <w:pStyle w:val="27"/>
        <w:spacing w:line="360" w:lineRule="exact"/>
        <w:ind w:firstLine="413" w:firstLineChars="197"/>
        <w:rPr>
          <w:rFonts w:hAnsi="宋体"/>
          <w:color w:val="auto"/>
          <w:sz w:val="21"/>
          <w:highlight w:val="none"/>
        </w:rPr>
      </w:pPr>
      <w:r>
        <w:rPr>
          <w:rFonts w:hint="eastAsia" w:hAnsi="宋体"/>
          <w:color w:val="auto"/>
          <w:sz w:val="21"/>
          <w:highlight w:val="none"/>
        </w:rPr>
        <w:t>采购人名称：</w:t>
      </w:r>
      <w:r>
        <w:rPr>
          <w:rFonts w:hint="eastAsia" w:hAnsi="宋体"/>
          <w:bCs/>
          <w:color w:val="auto"/>
          <w:sz w:val="21"/>
          <w:highlight w:val="none"/>
          <w:u w:val="single"/>
        </w:rPr>
        <w:t xml:space="preserve">                                         </w:t>
      </w:r>
    </w:p>
    <w:p w14:paraId="2BF0F3E9">
      <w:pPr>
        <w:pStyle w:val="27"/>
        <w:spacing w:line="360" w:lineRule="exact"/>
        <w:ind w:firstLine="413" w:firstLineChars="197"/>
        <w:rPr>
          <w:rFonts w:hAnsi="宋体"/>
          <w:color w:val="auto"/>
          <w:sz w:val="21"/>
          <w:highlight w:val="none"/>
        </w:rPr>
      </w:pPr>
      <w:r>
        <w:rPr>
          <w:rFonts w:hint="eastAsia" w:hAnsi="宋体"/>
          <w:color w:val="auto"/>
          <w:sz w:val="21"/>
          <w:highlight w:val="none"/>
        </w:rPr>
        <w:t>质疑事项：</w:t>
      </w:r>
    </w:p>
    <w:p w14:paraId="55C9F1A2">
      <w:pPr>
        <w:pStyle w:val="27"/>
        <w:spacing w:line="360" w:lineRule="exact"/>
        <w:ind w:firstLine="308" w:firstLineChars="147"/>
        <w:rPr>
          <w:rFonts w:hAnsi="宋体"/>
          <w:color w:val="auto"/>
          <w:sz w:val="21"/>
          <w:highlight w:val="none"/>
        </w:rPr>
      </w:pPr>
      <w:r>
        <w:rPr>
          <w:rFonts w:hint="eastAsia" w:hAnsi="宋体"/>
          <w:color w:val="auto"/>
          <w:sz w:val="21"/>
          <w:highlight w:val="none"/>
        </w:rPr>
        <w:t>□采购文件   采购文件获取日期：</w:t>
      </w:r>
      <w:r>
        <w:rPr>
          <w:rFonts w:hint="eastAsia" w:hAnsi="宋体"/>
          <w:bCs/>
          <w:color w:val="auto"/>
          <w:sz w:val="21"/>
          <w:highlight w:val="none"/>
          <w:u w:val="single"/>
        </w:rPr>
        <w:t xml:space="preserve">                                   </w:t>
      </w:r>
    </w:p>
    <w:p w14:paraId="3F47B256">
      <w:pPr>
        <w:pStyle w:val="27"/>
        <w:spacing w:line="360" w:lineRule="exact"/>
        <w:ind w:firstLine="308" w:firstLineChars="147"/>
        <w:rPr>
          <w:rFonts w:hAnsi="宋体"/>
          <w:color w:val="auto"/>
          <w:sz w:val="21"/>
          <w:highlight w:val="none"/>
        </w:rPr>
      </w:pPr>
      <w:r>
        <w:rPr>
          <w:rFonts w:hint="eastAsia" w:hAnsi="宋体"/>
          <w:color w:val="auto"/>
          <w:sz w:val="21"/>
          <w:highlight w:val="none"/>
        </w:rPr>
        <w:t xml:space="preserve">□采购过程   </w:t>
      </w:r>
    </w:p>
    <w:p w14:paraId="3C9168F4">
      <w:pPr>
        <w:pStyle w:val="27"/>
        <w:spacing w:line="360" w:lineRule="exact"/>
        <w:ind w:firstLine="308" w:firstLineChars="147"/>
        <w:rPr>
          <w:rFonts w:hAnsi="宋体"/>
          <w:bCs/>
          <w:color w:val="auto"/>
          <w:sz w:val="21"/>
          <w:highlight w:val="none"/>
          <w:u w:val="single"/>
        </w:rPr>
      </w:pPr>
      <w:r>
        <w:rPr>
          <w:rFonts w:hint="eastAsia" w:hAnsi="宋体"/>
          <w:color w:val="auto"/>
          <w:sz w:val="21"/>
          <w:highlight w:val="none"/>
        </w:rPr>
        <w:t xml:space="preserve">□采购结果   </w:t>
      </w:r>
    </w:p>
    <w:p w14:paraId="31743F12">
      <w:pPr>
        <w:pStyle w:val="27"/>
        <w:spacing w:line="360" w:lineRule="exact"/>
        <w:ind w:firstLine="413" w:firstLineChars="196"/>
        <w:rPr>
          <w:rFonts w:hAnsi="宋体"/>
          <w:b/>
          <w:color w:val="auto"/>
          <w:sz w:val="21"/>
          <w:highlight w:val="none"/>
        </w:rPr>
      </w:pPr>
      <w:r>
        <w:rPr>
          <w:rFonts w:hint="eastAsia" w:hAnsi="宋体"/>
          <w:b/>
          <w:color w:val="auto"/>
          <w:sz w:val="21"/>
          <w:highlight w:val="none"/>
        </w:rPr>
        <w:t>三、质疑事项具体内容</w:t>
      </w:r>
    </w:p>
    <w:p w14:paraId="53A454A1">
      <w:pPr>
        <w:pStyle w:val="27"/>
        <w:spacing w:line="360" w:lineRule="exact"/>
        <w:ind w:firstLine="413" w:firstLineChars="197"/>
        <w:rPr>
          <w:rFonts w:hAnsi="宋体"/>
          <w:color w:val="auto"/>
          <w:sz w:val="21"/>
          <w:highlight w:val="none"/>
        </w:rPr>
      </w:pPr>
      <w:r>
        <w:rPr>
          <w:rFonts w:hint="eastAsia" w:hAnsi="宋体"/>
          <w:color w:val="auto"/>
          <w:sz w:val="21"/>
          <w:highlight w:val="none"/>
        </w:rPr>
        <w:t>质疑事项1：</w:t>
      </w:r>
      <w:r>
        <w:rPr>
          <w:rFonts w:hint="eastAsia" w:hAnsi="宋体"/>
          <w:bCs/>
          <w:color w:val="auto"/>
          <w:sz w:val="21"/>
          <w:highlight w:val="none"/>
          <w:u w:val="single"/>
        </w:rPr>
        <w:t xml:space="preserve">                                                                    </w:t>
      </w:r>
    </w:p>
    <w:p w14:paraId="624F7C14">
      <w:pPr>
        <w:pStyle w:val="27"/>
        <w:spacing w:line="360" w:lineRule="exact"/>
        <w:ind w:firstLine="413" w:firstLineChars="197"/>
        <w:rPr>
          <w:rFonts w:hAnsi="宋体"/>
          <w:color w:val="auto"/>
          <w:sz w:val="21"/>
          <w:highlight w:val="none"/>
        </w:rPr>
      </w:pPr>
      <w:r>
        <w:rPr>
          <w:rFonts w:hint="eastAsia" w:hAnsi="宋体"/>
          <w:color w:val="auto"/>
          <w:sz w:val="21"/>
          <w:highlight w:val="none"/>
        </w:rPr>
        <w:t>事实依据：</w:t>
      </w:r>
      <w:r>
        <w:rPr>
          <w:rFonts w:hint="eastAsia" w:hAnsi="宋体"/>
          <w:bCs/>
          <w:color w:val="auto"/>
          <w:sz w:val="21"/>
          <w:highlight w:val="none"/>
          <w:u w:val="single"/>
        </w:rPr>
        <w:t xml:space="preserve">                                                                      </w:t>
      </w:r>
    </w:p>
    <w:p w14:paraId="1E57F212">
      <w:pPr>
        <w:pStyle w:val="27"/>
        <w:spacing w:line="360" w:lineRule="exact"/>
        <w:ind w:firstLine="413" w:firstLineChars="197"/>
        <w:rPr>
          <w:rFonts w:hAnsi="宋体"/>
          <w:color w:val="auto"/>
          <w:sz w:val="21"/>
          <w:highlight w:val="none"/>
        </w:rPr>
      </w:pPr>
      <w:r>
        <w:rPr>
          <w:rFonts w:hint="eastAsia" w:hAnsi="宋体"/>
          <w:color w:val="auto"/>
          <w:sz w:val="21"/>
          <w:highlight w:val="none"/>
        </w:rPr>
        <w:t>法律依据：</w:t>
      </w:r>
      <w:r>
        <w:rPr>
          <w:rFonts w:hint="eastAsia" w:hAnsi="宋体"/>
          <w:color w:val="auto"/>
          <w:sz w:val="21"/>
          <w:highlight w:val="none"/>
          <w:u w:val="single"/>
        </w:rPr>
        <w:t xml:space="preserve">                                                        </w:t>
      </w:r>
      <w:r>
        <w:rPr>
          <w:rFonts w:hint="eastAsia" w:hAnsi="宋体"/>
          <w:bCs/>
          <w:color w:val="auto"/>
          <w:sz w:val="21"/>
          <w:highlight w:val="none"/>
          <w:u w:val="single"/>
        </w:rPr>
        <w:t xml:space="preserve">               </w:t>
      </w:r>
    </w:p>
    <w:p w14:paraId="2EEE581C">
      <w:pPr>
        <w:pStyle w:val="27"/>
        <w:spacing w:line="360" w:lineRule="exact"/>
        <w:ind w:firstLine="413" w:firstLineChars="197"/>
        <w:rPr>
          <w:rFonts w:hAnsi="宋体"/>
          <w:color w:val="auto"/>
          <w:sz w:val="21"/>
          <w:highlight w:val="none"/>
        </w:rPr>
      </w:pPr>
      <w:r>
        <w:rPr>
          <w:rFonts w:hint="eastAsia" w:hAnsi="宋体"/>
          <w:color w:val="auto"/>
          <w:sz w:val="21"/>
          <w:highlight w:val="none"/>
        </w:rPr>
        <w:t>质疑事项2</w:t>
      </w:r>
    </w:p>
    <w:p w14:paraId="08B6ED29">
      <w:pPr>
        <w:pStyle w:val="27"/>
        <w:spacing w:line="360" w:lineRule="exact"/>
        <w:ind w:firstLine="413" w:firstLineChars="197"/>
        <w:rPr>
          <w:rFonts w:hAnsi="宋体"/>
          <w:color w:val="auto"/>
          <w:sz w:val="21"/>
          <w:highlight w:val="none"/>
        </w:rPr>
      </w:pPr>
      <w:r>
        <w:rPr>
          <w:rFonts w:hAnsi="宋体"/>
          <w:color w:val="auto"/>
          <w:sz w:val="21"/>
          <w:highlight w:val="none"/>
        </w:rPr>
        <w:t>……</w:t>
      </w:r>
    </w:p>
    <w:p w14:paraId="6CB50034">
      <w:pPr>
        <w:pStyle w:val="27"/>
        <w:spacing w:line="360" w:lineRule="exact"/>
        <w:ind w:firstLine="413" w:firstLineChars="197"/>
        <w:rPr>
          <w:rFonts w:hAnsi="宋体"/>
          <w:color w:val="auto"/>
          <w:sz w:val="21"/>
          <w:highlight w:val="none"/>
        </w:rPr>
      </w:pPr>
      <w:r>
        <w:rPr>
          <w:rFonts w:hint="eastAsia" w:hAnsi="宋体"/>
          <w:color w:val="auto"/>
          <w:sz w:val="21"/>
          <w:highlight w:val="none"/>
        </w:rPr>
        <w:t>四、与质疑事项相关的质疑请求：</w:t>
      </w:r>
    </w:p>
    <w:p w14:paraId="76D5C193">
      <w:pPr>
        <w:pStyle w:val="27"/>
        <w:spacing w:line="360" w:lineRule="exact"/>
        <w:ind w:firstLine="413" w:firstLineChars="197"/>
        <w:rPr>
          <w:rFonts w:hAnsi="宋体"/>
          <w:color w:val="auto"/>
          <w:sz w:val="21"/>
          <w:highlight w:val="none"/>
        </w:rPr>
      </w:pPr>
      <w:r>
        <w:rPr>
          <w:rFonts w:hint="eastAsia" w:hAnsi="宋体"/>
          <w:color w:val="auto"/>
          <w:sz w:val="21"/>
          <w:highlight w:val="none"/>
        </w:rPr>
        <w:t>请求：</w:t>
      </w:r>
      <w:r>
        <w:rPr>
          <w:rFonts w:hint="eastAsia" w:hAnsi="宋体"/>
          <w:bCs/>
          <w:color w:val="auto"/>
          <w:sz w:val="21"/>
          <w:highlight w:val="none"/>
          <w:u w:val="single"/>
        </w:rPr>
        <w:t xml:space="preserve">                                                                </w:t>
      </w:r>
    </w:p>
    <w:p w14:paraId="017019D2">
      <w:pPr>
        <w:pStyle w:val="27"/>
        <w:spacing w:line="360" w:lineRule="exact"/>
        <w:ind w:firstLine="413" w:firstLineChars="197"/>
        <w:rPr>
          <w:rFonts w:hAnsi="宋体"/>
          <w:color w:val="auto"/>
          <w:sz w:val="21"/>
          <w:highlight w:val="none"/>
        </w:rPr>
      </w:pPr>
      <w:r>
        <w:rPr>
          <w:rFonts w:hint="eastAsia" w:hAnsi="宋体"/>
          <w:color w:val="auto"/>
          <w:sz w:val="21"/>
          <w:highlight w:val="none"/>
        </w:rPr>
        <w:t>签字（签章）：                                       公章：</w:t>
      </w:r>
    </w:p>
    <w:p w14:paraId="449B32AE">
      <w:pPr>
        <w:pStyle w:val="27"/>
        <w:spacing w:line="360" w:lineRule="exact"/>
        <w:ind w:firstLine="413" w:firstLineChars="197"/>
        <w:rPr>
          <w:rFonts w:hAnsi="宋体"/>
          <w:b/>
          <w:color w:val="auto"/>
          <w:sz w:val="21"/>
          <w:highlight w:val="none"/>
        </w:rPr>
      </w:pPr>
      <w:r>
        <w:rPr>
          <w:rFonts w:hint="eastAsia" w:hAnsi="宋体"/>
          <w:color w:val="auto"/>
          <w:sz w:val="21"/>
          <w:highlight w:val="none"/>
        </w:rPr>
        <w:t>日期：</w:t>
      </w:r>
    </w:p>
    <w:p w14:paraId="10F40931">
      <w:pPr>
        <w:pStyle w:val="27"/>
        <w:snapToGrid w:val="0"/>
        <w:spacing w:line="360" w:lineRule="exact"/>
        <w:rPr>
          <w:rFonts w:hAnsi="宋体"/>
          <w:b/>
          <w:color w:val="auto"/>
          <w:sz w:val="21"/>
          <w:highlight w:val="none"/>
        </w:rPr>
      </w:pPr>
      <w:r>
        <w:rPr>
          <w:rFonts w:hint="eastAsia" w:hAnsi="宋体"/>
          <w:b/>
          <w:color w:val="auto"/>
          <w:sz w:val="21"/>
          <w:highlight w:val="none"/>
        </w:rPr>
        <w:t>说明：</w:t>
      </w:r>
    </w:p>
    <w:p w14:paraId="7D1162C8">
      <w:pPr>
        <w:pStyle w:val="27"/>
        <w:spacing w:line="360" w:lineRule="exact"/>
        <w:ind w:firstLine="310" w:firstLineChars="147"/>
        <w:rPr>
          <w:rFonts w:hAnsi="宋体"/>
          <w:b/>
          <w:bCs/>
          <w:color w:val="auto"/>
          <w:sz w:val="21"/>
          <w:highlight w:val="none"/>
        </w:rPr>
      </w:pPr>
      <w:r>
        <w:rPr>
          <w:rFonts w:hint="eastAsia" w:hAnsi="宋体"/>
          <w:b/>
          <w:color w:val="auto"/>
          <w:sz w:val="21"/>
          <w:highlight w:val="none"/>
        </w:rPr>
        <w:t>1.供应商提出质疑时，应提交质疑函和必要的证明材料</w:t>
      </w:r>
      <w:r>
        <w:rPr>
          <w:rFonts w:hint="eastAsia" w:hAnsi="宋体"/>
          <w:b/>
          <w:bCs/>
          <w:color w:val="auto"/>
          <w:sz w:val="21"/>
          <w:highlight w:val="none"/>
        </w:rPr>
        <w:t>。</w:t>
      </w:r>
    </w:p>
    <w:p w14:paraId="1F078586">
      <w:pPr>
        <w:pStyle w:val="27"/>
        <w:spacing w:line="360" w:lineRule="exact"/>
        <w:ind w:firstLine="310" w:firstLineChars="147"/>
        <w:rPr>
          <w:rFonts w:hAnsi="宋体"/>
          <w:b/>
          <w:color w:val="auto"/>
          <w:sz w:val="21"/>
          <w:highlight w:val="none"/>
        </w:rPr>
      </w:pPr>
      <w:r>
        <w:rPr>
          <w:rFonts w:hint="eastAsia" w:hAnsi="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E9A2AAF">
      <w:pPr>
        <w:pStyle w:val="27"/>
        <w:spacing w:line="360" w:lineRule="exact"/>
        <w:ind w:firstLine="310" w:firstLineChars="147"/>
        <w:rPr>
          <w:rFonts w:hAnsi="宋体"/>
          <w:b/>
          <w:color w:val="auto"/>
          <w:sz w:val="21"/>
          <w:highlight w:val="none"/>
        </w:rPr>
      </w:pPr>
      <w:r>
        <w:rPr>
          <w:rFonts w:hint="eastAsia" w:hAnsi="宋体"/>
          <w:b/>
          <w:color w:val="auto"/>
          <w:sz w:val="21"/>
          <w:highlight w:val="none"/>
        </w:rPr>
        <w:t>3.质疑函的质疑事项应具体、明确，并有必要的事实依据和法律依据。</w:t>
      </w:r>
    </w:p>
    <w:p w14:paraId="7B6486F0">
      <w:pPr>
        <w:pStyle w:val="27"/>
        <w:spacing w:line="360" w:lineRule="exact"/>
        <w:ind w:firstLine="310" w:firstLineChars="147"/>
        <w:rPr>
          <w:rFonts w:hAnsi="宋体"/>
          <w:b/>
          <w:color w:val="auto"/>
          <w:sz w:val="21"/>
          <w:highlight w:val="none"/>
        </w:rPr>
      </w:pPr>
      <w:r>
        <w:rPr>
          <w:rFonts w:hint="eastAsia" w:hAnsi="宋体"/>
          <w:b/>
          <w:color w:val="auto"/>
          <w:sz w:val="21"/>
          <w:highlight w:val="none"/>
        </w:rPr>
        <w:t>4.质疑函的质疑请求应与质疑事项相关。</w:t>
      </w:r>
    </w:p>
    <w:p w14:paraId="5A999FB2">
      <w:pPr>
        <w:pStyle w:val="27"/>
        <w:spacing w:line="360" w:lineRule="exact"/>
        <w:ind w:firstLine="310" w:firstLineChars="147"/>
        <w:rPr>
          <w:rFonts w:hAnsi="宋体"/>
          <w:b/>
          <w:color w:val="auto"/>
          <w:sz w:val="21"/>
          <w:highlight w:val="none"/>
        </w:rPr>
      </w:pPr>
      <w:r>
        <w:rPr>
          <w:rFonts w:hint="eastAsia" w:hAnsi="宋体"/>
          <w:b/>
          <w:color w:val="auto"/>
          <w:sz w:val="21"/>
          <w:highlight w:val="none"/>
        </w:rPr>
        <w:t>5.质疑供应商为法人或者其他组织的，质疑函应由法定代表人（或负责人）、主要负责人，或者其授权代表签字或者盖章，并加盖公章。</w:t>
      </w:r>
    </w:p>
    <w:sectPr>
      <w:headerReference r:id="rId9" w:type="default"/>
      <w:footerReference r:id="rId10" w:type="default"/>
      <w:footerReference r:id="rId11" w:type="even"/>
      <w:pgSz w:w="11906" w:h="16838"/>
      <w:pgMar w:top="1134" w:right="1332" w:bottom="1134" w:left="1332" w:header="851" w:footer="992"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003EB7B-4751-42DE-8E48-DA97BA18BDF4}"/>
  </w:font>
  <w:font w:name="黑体">
    <w:panose1 w:val="02010609060101010101"/>
    <w:charset w:val="86"/>
    <w:family w:val="auto"/>
    <w:pitch w:val="default"/>
    <w:sig w:usb0="800002BF" w:usb1="38CF7CFA" w:usb2="00000016" w:usb3="00000000" w:csb0="00040001" w:csb1="00000000"/>
    <w:embedRegular r:id="rId2" w:fontKey="{C9391BE9-6A0E-4ECA-A744-06487B55EABD}"/>
  </w:font>
  <w:font w:name="Courier New">
    <w:panose1 w:val="02070309020205020404"/>
    <w:charset w:val="01"/>
    <w:family w:val="modern"/>
    <w:pitch w:val="default"/>
    <w:sig w:usb0="E0002AFF" w:usb1="C0007843" w:usb2="00000009" w:usb3="00000000" w:csb0="400001FF" w:csb1="FFFF0000"/>
    <w:embedRegular r:id="rId3" w:fontKey="{26BA6F66-D7E2-42CA-B9C1-460F53AB7EA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37AD32D5-7C5A-4C9E-ACD4-F9CB9D64A0CF}"/>
  </w:font>
  <w:font w:name="Cambria">
    <w:panose1 w:val="02040503050406030204"/>
    <w:charset w:val="00"/>
    <w:family w:val="roman"/>
    <w:pitch w:val="default"/>
    <w:sig w:usb0="E00002FF" w:usb1="400004FF" w:usb2="00000000" w:usb3="00000000" w:csb0="2000019F" w:csb1="00000000"/>
  </w:font>
  <w:font w:name="_x000B__x000C_">
    <w:altName w:val="宋体"/>
    <w:panose1 w:val="00000000000000000000"/>
    <w:charset w:val="00"/>
    <w:family w:val="roman"/>
    <w:pitch w:val="default"/>
    <w:sig w:usb0="00000000" w:usb1="00000000" w:usb2="00000000" w:usb3="00000000" w:csb0="00040001" w:csb1="00000000"/>
  </w:font>
  <w:font w:name="Century">
    <w:altName w:val="Nyala"/>
    <w:panose1 w:val="02040604050505020304"/>
    <w:charset w:val="00"/>
    <w:family w:val="roman"/>
    <w:pitch w:val="default"/>
    <w:sig w:usb0="00000000"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Tahoma">
    <w:panose1 w:val="020B0604030504040204"/>
    <w:charset w:val="00"/>
    <w:family w:val="swiss"/>
    <w:pitch w:val="default"/>
    <w:sig w:usb0="E1002EFF" w:usb1="C000605B" w:usb2="00000029" w:usb3="00000000" w:csb0="200101FF" w:csb1="20280000"/>
    <w:embedRegular r:id="rId5" w:fontKey="{340592A9-97B5-4A50-9A2A-9508B801B052}"/>
  </w:font>
  <w:font w:name="Arial Unicode MS">
    <w:panose1 w:val="020B0604020202020204"/>
    <w:charset w:val="86"/>
    <w:family w:val="swiss"/>
    <w:pitch w:val="default"/>
    <w:sig w:usb0="FFFFFFFF" w:usb1="E9FFFFFF" w:usb2="0000003F" w:usb3="00000000" w:csb0="603F01FF" w:csb1="FFFF0000"/>
    <w:embedRegular r:id="rId6" w:fontKey="{E54AE55D-ED64-49A5-A192-9167EB264AA5}"/>
  </w:font>
  <w:font w:name="仿宋">
    <w:panose1 w:val="02010609060101010101"/>
    <w:charset w:val="86"/>
    <w:family w:val="modern"/>
    <w:pitch w:val="default"/>
    <w:sig w:usb0="800002BF" w:usb1="38CF7CFA" w:usb2="00000016" w:usb3="00000000" w:csb0="00040001" w:csb1="00000000"/>
    <w:embedRegular r:id="rId7" w:fontKey="{E97031C8-24B3-4329-81B5-34B02D3A9233}"/>
  </w:font>
  <w:font w:name="微软雅黑">
    <w:panose1 w:val="020B0503020204020204"/>
    <w:charset w:val="86"/>
    <w:family w:val="swiss"/>
    <w:pitch w:val="default"/>
    <w:sig w:usb0="80000287" w:usb1="280F3C52" w:usb2="00000016" w:usb3="00000000" w:csb0="0004001F" w:csb1="00000000"/>
    <w:embedRegular r:id="rId8" w:fontKey="{162488BF-7A2E-4138-9BEB-4950E2F79D8A}"/>
  </w:font>
  <w:font w:name="Segoe UI Symbol">
    <w:panose1 w:val="020B0502040204020203"/>
    <w:charset w:val="00"/>
    <w:family w:val="swiss"/>
    <w:pitch w:val="default"/>
    <w:sig w:usb0="8000006F" w:usb1="1200FBEF" w:usb2="0064C000" w:usb3="00000002" w:csb0="00000001" w:csb1="40000000"/>
    <w:embedRegular r:id="rId9" w:fontKey="{630391DE-BFA6-4DB7-AD54-307F194A5D54}"/>
  </w:font>
  <w:font w:name="Wingdings 2">
    <w:panose1 w:val="05020102010507070707"/>
    <w:charset w:val="02"/>
    <w:family w:val="roman"/>
    <w:pitch w:val="default"/>
    <w:sig w:usb0="00000000" w:usb1="00000000" w:usb2="00000000" w:usb3="00000000" w:csb0="80000000" w:csb1="00000000"/>
    <w:embedRegular r:id="rId10" w:fontKey="{5AC58188-1DF5-455B-A43C-1B5DBC41DD5D}"/>
  </w:font>
  <w:font w:name="Helvetica">
    <w:panose1 w:val="020B0604020202020204"/>
    <w:charset w:val="00"/>
    <w:family w:val="swiss"/>
    <w:pitch w:val="default"/>
    <w:sig w:usb0="00000000" w:usb1="00000000" w:usb2="00000000" w:usb3="00000000" w:csb0="00000000" w:csb1="00000000"/>
    <w:embedRegular r:id="rId11" w:fontKey="{3CC02FCC-1690-4F0D-ADE5-2F5C0A33A046}"/>
  </w:font>
  <w:font w:name="华文中宋">
    <w:panose1 w:val="02010600040101010101"/>
    <w:charset w:val="86"/>
    <w:family w:val="auto"/>
    <w:pitch w:val="default"/>
    <w:sig w:usb0="00000287" w:usb1="080F0000" w:usb2="00000000" w:usb3="00000000" w:csb0="0004009F" w:csb1="DFD70000"/>
    <w:embedRegular r:id="rId12" w:fontKey="{5657D2C1-17B8-483C-8A84-467175388F70}"/>
  </w:font>
  <w:font w:name="方正小标宋简体">
    <w:panose1 w:val="02000000000000000000"/>
    <w:charset w:val="86"/>
    <w:family w:val="script"/>
    <w:pitch w:val="default"/>
    <w:sig w:usb0="00000001" w:usb1="08000000" w:usb2="00000000" w:usb3="00000000" w:csb0="00040000" w:csb1="00000000"/>
    <w:embedRegular r:id="rId13" w:fontKey="{D73220DC-9989-4A1B-B569-2C482E4944E8}"/>
  </w:font>
  <w:font w:name="WPSEMBED8">
    <w:panose1 w:val="02010609030101010101"/>
    <w:charset w:val="86"/>
    <w:family w:val="auto"/>
    <w:pitch w:val="default"/>
    <w:sig w:usb0="00000001" w:usb1="080E0000" w:usb2="00000000" w:usb3="00000000" w:csb0="00040000" w:csb1="00000000"/>
  </w:font>
  <w:font w:name="WPSEMBED9">
    <w:panose1 w:val="020B0604020202020204"/>
    <w:charset w:val="86"/>
    <w:family w:val="auto"/>
    <w:pitch w:val="default"/>
    <w:sig w:usb0="FFFFFFFF" w:usb1="E9FFFFFF" w:usb2="0000003F" w:usb3="00000000" w:csb0="603F01FF" w:csb1="FFFF0000"/>
  </w:font>
  <w:font w:name="WPSEMBED10">
    <w:panose1 w:val="050201020105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embedRegular r:id="rId14" w:fontKey="{5131D428-F520-4B4E-8462-B8C77B5C26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9098E">
    <w:pPr>
      <w:pStyle w:val="33"/>
      <w:framePr w:wrap="around" w:vAnchor="text" w:hAnchor="margin" w:xAlign="center" w:y="1"/>
      <w:rPr>
        <w:rStyle w:val="55"/>
      </w:rPr>
    </w:pPr>
    <w:r>
      <w:fldChar w:fldCharType="begin"/>
    </w:r>
    <w:r>
      <w:rPr>
        <w:rStyle w:val="55"/>
      </w:rPr>
      <w:instrText xml:space="preserve">PAGE  </w:instrText>
    </w:r>
    <w:r>
      <w:fldChar w:fldCharType="end"/>
    </w:r>
  </w:p>
  <w:p w14:paraId="36209255">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7B541">
    <w:pPr>
      <w:pStyle w:val="33"/>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7171F">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CB64F">
    <w:pPr>
      <w:pStyle w:val="33"/>
      <w:jc w:val="center"/>
    </w:pPr>
    <w:r>
      <w:fldChar w:fldCharType="begin"/>
    </w:r>
    <w:r>
      <w:instrText xml:space="preserve">PAGE   \* MERGEFORMAT</w:instrText>
    </w:r>
    <w:r>
      <w:fldChar w:fldCharType="separate"/>
    </w:r>
    <w:r>
      <w:rPr>
        <w:lang w:val="zh-CN"/>
      </w:rPr>
      <w:t>74</w:t>
    </w:r>
    <w:r>
      <w:fldChar w:fldCharType="end"/>
    </w:r>
  </w:p>
  <w:p w14:paraId="42AACC71">
    <w:pPr>
      <w:pStyle w:val="33"/>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F044A">
    <w:pPr>
      <w:pStyle w:val="33"/>
      <w:jc w:val="center"/>
    </w:pPr>
    <w:r>
      <w:fldChar w:fldCharType="begin"/>
    </w:r>
    <w:r>
      <w:instrText xml:space="preserve"> PAGE   \* MERGEFORMAT </w:instrText>
    </w:r>
    <w:r>
      <w:fldChar w:fldCharType="separate"/>
    </w:r>
    <w:r>
      <w:rPr>
        <w:lang w:val="zh-CN"/>
      </w:rPr>
      <w:t>78</w:t>
    </w:r>
    <w:r>
      <w:fldChar w:fldCharType="end"/>
    </w:r>
  </w:p>
  <w:p w14:paraId="6C444E9E">
    <w:pPr>
      <w:pStyle w:val="3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7862D">
    <w:pPr>
      <w:pStyle w:val="33"/>
      <w:jc w:val="center"/>
    </w:pPr>
    <w:r>
      <w:fldChar w:fldCharType="begin"/>
    </w:r>
    <w:r>
      <w:instrText xml:space="preserve"> PAGE   \* MERGEFORMAT </w:instrText>
    </w:r>
    <w:r>
      <w:fldChar w:fldCharType="separate"/>
    </w:r>
    <w:r>
      <w:rPr>
        <w:lang w:val="zh-CN"/>
      </w:rPr>
      <w:t>121</w:t>
    </w:r>
    <w:r>
      <w:fldChar w:fldCharType="end"/>
    </w:r>
  </w:p>
  <w:p w14:paraId="0D632692">
    <w:pPr>
      <w:pStyle w:val="3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F34C6">
    <w:pPr>
      <w:pStyle w:val="33"/>
      <w:framePr w:wrap="around" w:vAnchor="text" w:hAnchor="margin" w:xAlign="center" w:y="1"/>
      <w:rPr>
        <w:rStyle w:val="55"/>
      </w:rPr>
    </w:pPr>
    <w:r>
      <w:fldChar w:fldCharType="begin"/>
    </w:r>
    <w:r>
      <w:rPr>
        <w:rStyle w:val="55"/>
      </w:rPr>
      <w:instrText xml:space="preserve">PAGE  </w:instrText>
    </w:r>
    <w:r>
      <w:fldChar w:fldCharType="end"/>
    </w:r>
  </w:p>
  <w:p w14:paraId="56D84713">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3CD7A">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73176">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pStyle w:val="23"/>
      <w:lvlText w:val="%1."/>
      <w:lvlJc w:val="left"/>
      <w:pPr>
        <w:tabs>
          <w:tab w:val="left" w:pos="1200"/>
        </w:tabs>
        <w:ind w:left="1200" w:hanging="360"/>
      </w:pPr>
    </w:lvl>
  </w:abstractNum>
  <w:abstractNum w:abstractNumId="1">
    <w:nsid w:val="00000002"/>
    <w:multiLevelType w:val="multilevel"/>
    <w:tmpl w:val="00000002"/>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9"/>
      <w:suff w:val="nothing"/>
      <w:lvlText w:val=""/>
      <w:lvlJc w:val="left"/>
      <w:pPr>
        <w:ind w:left="0" w:firstLine="0"/>
      </w:pPr>
      <w:rPr>
        <w:rFonts w:hint="eastAsia"/>
      </w:rPr>
    </w:lvl>
    <w:lvl w:ilvl="5" w:tentative="0">
      <w:start w:val="1"/>
      <w:numFmt w:val="none"/>
      <w:pStyle w:val="11"/>
      <w:suff w:val="nothing"/>
      <w:lvlText w:val=""/>
      <w:lvlJc w:val="left"/>
      <w:pPr>
        <w:ind w:left="0" w:firstLine="0"/>
      </w:pPr>
      <w:rPr>
        <w:rFonts w:hint="eastAsia"/>
      </w:rPr>
    </w:lvl>
    <w:lvl w:ilvl="6" w:tentative="0">
      <w:start w:val="1"/>
      <w:numFmt w:val="none"/>
      <w:pStyle w:val="12"/>
      <w:suff w:val="nothing"/>
      <w:lvlText w:val=""/>
      <w:lvlJc w:val="left"/>
      <w:pPr>
        <w:ind w:left="0" w:firstLine="0"/>
      </w:pPr>
      <w:rPr>
        <w:rFonts w:hint="eastAsia"/>
      </w:rPr>
    </w:lvl>
    <w:lvl w:ilvl="7" w:tentative="0">
      <w:start w:val="1"/>
      <w:numFmt w:val="none"/>
      <w:pStyle w:val="13"/>
      <w:suff w:val="nothing"/>
      <w:lvlText w:val=""/>
      <w:lvlJc w:val="left"/>
      <w:pPr>
        <w:ind w:left="0" w:firstLine="0"/>
      </w:pPr>
      <w:rPr>
        <w:rFonts w:hint="eastAsia"/>
      </w:rPr>
    </w:lvl>
    <w:lvl w:ilvl="8" w:tentative="0">
      <w:start w:val="1"/>
      <w:numFmt w:val="none"/>
      <w:pStyle w:val="14"/>
      <w:suff w:val="nothing"/>
      <w:lvlText w:val=""/>
      <w:lvlJc w:val="left"/>
      <w:pPr>
        <w:ind w:left="0" w:firstLine="0"/>
      </w:pPr>
      <w:rPr>
        <w:rFonts w:hint="eastAsia"/>
      </w:rPr>
    </w:lvl>
  </w:abstractNum>
  <w:abstractNum w:abstractNumId="2">
    <w:nsid w:val="00000003"/>
    <w:multiLevelType w:val="singleLevel"/>
    <w:tmpl w:val="00000003"/>
    <w:lvl w:ilvl="0" w:tentative="0">
      <w:start w:val="1"/>
      <w:numFmt w:val="decimal"/>
      <w:suff w:val="nothing"/>
      <w:lvlText w:val="（%1）"/>
      <w:lvlJc w:val="left"/>
      <w:pPr>
        <w:ind w:left="-2"/>
      </w:pPr>
    </w:lvl>
  </w:abstractNum>
  <w:abstractNum w:abstractNumId="3">
    <w:nsid w:val="00000004"/>
    <w:multiLevelType w:val="singleLevel"/>
    <w:tmpl w:val="00000004"/>
    <w:lvl w:ilvl="0" w:tentative="0">
      <w:start w:val="1"/>
      <w:numFmt w:val="decimal"/>
      <w:suff w:val="nothing"/>
      <w:lvlText w:val="（%1）"/>
      <w:lvlJc w:val="left"/>
    </w:lvl>
  </w:abstractNum>
  <w:abstractNum w:abstractNumId="4">
    <w:nsid w:val="00000005"/>
    <w:multiLevelType w:val="singleLevel"/>
    <w:tmpl w:val="00000005"/>
    <w:lvl w:ilvl="0" w:tentative="0">
      <w:start w:val="1"/>
      <w:numFmt w:val="decimal"/>
      <w:suff w:val="nothing"/>
      <w:lvlText w:val="%1."/>
      <w:lvlJc w:val="left"/>
    </w:lvl>
  </w:abstractNum>
  <w:abstractNum w:abstractNumId="5">
    <w:nsid w:val="0053208E"/>
    <w:multiLevelType w:val="multilevel"/>
    <w:tmpl w:val="0053208E"/>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suff w:val="space"/>
      <w:lvlText w:val="%3."/>
      <w:lvlJc w:val="left"/>
      <w:pPr>
        <w:ind w:left="502" w:hanging="360"/>
      </w:pPr>
      <w:rPr>
        <w:rFonts w:hint="eastAsia"/>
        <w:sz w:val="24"/>
        <w:szCs w:val="24"/>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dit="readOnly"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3F4"/>
    <w:rsid w:val="000B0E86"/>
    <w:rsid w:val="0013724C"/>
    <w:rsid w:val="001A1A30"/>
    <w:rsid w:val="001A3BC3"/>
    <w:rsid w:val="001E4D54"/>
    <w:rsid w:val="002001EA"/>
    <w:rsid w:val="0020552E"/>
    <w:rsid w:val="00257F4B"/>
    <w:rsid w:val="00457B5F"/>
    <w:rsid w:val="0047133D"/>
    <w:rsid w:val="004A3B27"/>
    <w:rsid w:val="005B3F35"/>
    <w:rsid w:val="00715BA9"/>
    <w:rsid w:val="00861E59"/>
    <w:rsid w:val="00906B56"/>
    <w:rsid w:val="00910752"/>
    <w:rsid w:val="00A435C0"/>
    <w:rsid w:val="00B24808"/>
    <w:rsid w:val="00BA2B4B"/>
    <w:rsid w:val="00C22EB7"/>
    <w:rsid w:val="00CA733E"/>
    <w:rsid w:val="00CE739F"/>
    <w:rsid w:val="00D8510E"/>
    <w:rsid w:val="00E044C8"/>
    <w:rsid w:val="00E5472D"/>
    <w:rsid w:val="00E713F4"/>
    <w:rsid w:val="00FD06F0"/>
    <w:rsid w:val="05301A5A"/>
    <w:rsid w:val="05812DB3"/>
    <w:rsid w:val="0CE45680"/>
    <w:rsid w:val="0D4F2081"/>
    <w:rsid w:val="0FD64A93"/>
    <w:rsid w:val="11F76DC5"/>
    <w:rsid w:val="12CF0206"/>
    <w:rsid w:val="15121C90"/>
    <w:rsid w:val="152E5CA5"/>
    <w:rsid w:val="18C54242"/>
    <w:rsid w:val="19906A1A"/>
    <w:rsid w:val="1A5474B0"/>
    <w:rsid w:val="1E0D0800"/>
    <w:rsid w:val="1ECD5AB2"/>
    <w:rsid w:val="207233B5"/>
    <w:rsid w:val="21D45E6D"/>
    <w:rsid w:val="252530F0"/>
    <w:rsid w:val="25302C43"/>
    <w:rsid w:val="295D05EB"/>
    <w:rsid w:val="2B8572CF"/>
    <w:rsid w:val="2B963E89"/>
    <w:rsid w:val="2CEE66EE"/>
    <w:rsid w:val="2D547614"/>
    <w:rsid w:val="2DDE3B0E"/>
    <w:rsid w:val="2F6076D4"/>
    <w:rsid w:val="33A45A9F"/>
    <w:rsid w:val="36671046"/>
    <w:rsid w:val="378D1ED4"/>
    <w:rsid w:val="3A203C9C"/>
    <w:rsid w:val="3A70525E"/>
    <w:rsid w:val="3F3E0D9F"/>
    <w:rsid w:val="3F6A2C81"/>
    <w:rsid w:val="49E6759C"/>
    <w:rsid w:val="4D6C5924"/>
    <w:rsid w:val="4F4B1E07"/>
    <w:rsid w:val="51C54A00"/>
    <w:rsid w:val="54F138AC"/>
    <w:rsid w:val="59302954"/>
    <w:rsid w:val="5BCF4310"/>
    <w:rsid w:val="5F72387B"/>
    <w:rsid w:val="60FD3BCA"/>
    <w:rsid w:val="61812AC2"/>
    <w:rsid w:val="61840B64"/>
    <w:rsid w:val="62367523"/>
    <w:rsid w:val="638E2FE5"/>
    <w:rsid w:val="647316C8"/>
    <w:rsid w:val="65FC142F"/>
    <w:rsid w:val="67642F3D"/>
    <w:rsid w:val="6D101680"/>
    <w:rsid w:val="6DF83796"/>
    <w:rsid w:val="6EFD04AE"/>
    <w:rsid w:val="70EE4366"/>
    <w:rsid w:val="71A445D7"/>
    <w:rsid w:val="741058C9"/>
    <w:rsid w:val="78CF3236"/>
    <w:rsid w:val="796B4037"/>
    <w:rsid w:val="7E7C69F3"/>
    <w:rsid w:val="7F083038"/>
    <w:rsid w:val="7F781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63"/>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64"/>
    <w:qFormat/>
    <w:uiPriority w:val="0"/>
    <w:pPr>
      <w:keepNext/>
      <w:keepLines/>
      <w:spacing w:before="260" w:after="260" w:line="416" w:lineRule="auto"/>
      <w:outlineLvl w:val="1"/>
    </w:pPr>
    <w:rPr>
      <w:rFonts w:ascii="Arial" w:hAnsi="Arial" w:eastAsia="黑体"/>
      <w:b/>
      <w:bCs/>
      <w:kern w:val="0"/>
      <w:sz w:val="32"/>
      <w:szCs w:val="32"/>
    </w:rPr>
  </w:style>
  <w:style w:type="paragraph" w:styleId="7">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8">
    <w:name w:val="heading 4"/>
    <w:basedOn w:val="1"/>
    <w:next w:val="1"/>
    <w:qFormat/>
    <w:uiPriority w:val="0"/>
    <w:pPr>
      <w:tabs>
        <w:tab w:val="left" w:pos="2155"/>
      </w:tabs>
      <w:spacing w:before="120" w:line="360" w:lineRule="auto"/>
      <w:ind w:left="2155" w:hanging="1078"/>
      <w:textAlignment w:val="baseline"/>
      <w:outlineLvl w:val="3"/>
    </w:pPr>
    <w:rPr>
      <w:rFonts w:ascii="Arial" w:eastAsia="黑体"/>
      <w:sz w:val="28"/>
      <w:szCs w:val="20"/>
    </w:rPr>
  </w:style>
  <w:style w:type="paragraph" w:styleId="9">
    <w:name w:val="heading 5"/>
    <w:basedOn w:val="1"/>
    <w:next w:val="10"/>
    <w:link w:val="66"/>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link w:val="67"/>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link w:val="68"/>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link w:val="69"/>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link w:val="70"/>
    <w:qFormat/>
    <w:uiPriority w:val="0"/>
    <w:pPr>
      <w:keepNext/>
      <w:keepLines/>
      <w:numPr>
        <w:ilvl w:val="8"/>
        <w:numId w:val="1"/>
      </w:numPr>
      <w:spacing w:before="240" w:after="64" w:line="320"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4"/>
    <w:qFormat/>
    <w:uiPriority w:val="99"/>
    <w:pPr>
      <w:spacing w:line="380" w:lineRule="exact"/>
    </w:pPr>
    <w:rPr>
      <w:kern w:val="0"/>
      <w:sz w:val="24"/>
    </w:rPr>
  </w:style>
  <w:style w:type="paragraph" w:customStyle="1" w:styleId="3">
    <w:name w:val="Default"/>
    <w:next w:val="4"/>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styleId="10">
    <w:name w:val="Normal Indent"/>
    <w:basedOn w:val="1"/>
    <w:qFormat/>
    <w:uiPriority w:val="0"/>
    <w:pPr>
      <w:ind w:firstLine="420"/>
    </w:pPr>
    <w:rPr>
      <w:szCs w:val="20"/>
    </w:rPr>
  </w:style>
  <w:style w:type="paragraph" w:styleId="15">
    <w:name w:val="toc 7"/>
    <w:basedOn w:val="1"/>
    <w:next w:val="1"/>
    <w:qFormat/>
    <w:uiPriority w:val="39"/>
    <w:pPr>
      <w:ind w:left="2520" w:leftChars="1200"/>
    </w:pPr>
    <w:rPr>
      <w:rFonts w:ascii="Calibri" w:hAnsi="Calibri"/>
      <w:szCs w:val="22"/>
    </w:rPr>
  </w:style>
  <w:style w:type="paragraph" w:styleId="16">
    <w:name w:val="index 8"/>
    <w:basedOn w:val="1"/>
    <w:next w:val="1"/>
    <w:qFormat/>
    <w:uiPriority w:val="0"/>
    <w:pPr>
      <w:ind w:left="2940"/>
    </w:pPr>
  </w:style>
  <w:style w:type="paragraph" w:styleId="17">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8">
    <w:name w:val="caption"/>
    <w:basedOn w:val="1"/>
    <w:next w:val="1"/>
    <w:qFormat/>
    <w:uiPriority w:val="0"/>
    <w:pPr>
      <w:spacing w:before="152" w:after="160"/>
    </w:pPr>
    <w:rPr>
      <w:rFonts w:ascii="Arial" w:hAnsi="Arial" w:eastAsia="黑体" w:cs="Arial"/>
      <w:sz w:val="20"/>
      <w:szCs w:val="20"/>
    </w:rPr>
  </w:style>
  <w:style w:type="paragraph" w:styleId="19">
    <w:name w:val="Document Map"/>
    <w:basedOn w:val="1"/>
    <w:link w:val="71"/>
    <w:qFormat/>
    <w:uiPriority w:val="0"/>
    <w:pPr>
      <w:shd w:val="clear" w:color="auto" w:fill="000080"/>
    </w:pPr>
    <w:rPr>
      <w:rFonts w:hint="eastAsia" w:ascii="宋体" w:hAnsi="宋体"/>
      <w:kern w:val="0"/>
      <w:sz w:val="20"/>
      <w:szCs w:val="20"/>
    </w:rPr>
  </w:style>
  <w:style w:type="paragraph" w:styleId="20">
    <w:name w:val="annotation text"/>
    <w:basedOn w:val="1"/>
    <w:link w:val="72"/>
    <w:qFormat/>
    <w:uiPriority w:val="0"/>
    <w:pPr>
      <w:jc w:val="left"/>
    </w:pPr>
  </w:style>
  <w:style w:type="paragraph" w:styleId="21">
    <w:name w:val="Body Text 3"/>
    <w:basedOn w:val="1"/>
    <w:link w:val="73"/>
    <w:qFormat/>
    <w:uiPriority w:val="0"/>
    <w:pPr>
      <w:spacing w:line="500" w:lineRule="exact"/>
    </w:pPr>
    <w:rPr>
      <w:b/>
      <w:bCs/>
      <w:kern w:val="0"/>
      <w:sz w:val="24"/>
    </w:rPr>
  </w:style>
  <w:style w:type="paragraph" w:styleId="22">
    <w:name w:val="Body Text Indent"/>
    <w:basedOn w:val="1"/>
    <w:link w:val="75"/>
    <w:qFormat/>
    <w:uiPriority w:val="0"/>
    <w:pPr>
      <w:ind w:firstLine="830" w:firstLineChars="352"/>
    </w:pPr>
    <w:rPr>
      <w:rFonts w:ascii="仿宋_GB2312" w:eastAsia="仿宋_GB2312"/>
      <w:kern w:val="0"/>
      <w:sz w:val="32"/>
      <w:szCs w:val="20"/>
    </w:rPr>
  </w:style>
  <w:style w:type="paragraph" w:styleId="23">
    <w:name w:val="List Number 3"/>
    <w:basedOn w:val="1"/>
    <w:qFormat/>
    <w:uiPriority w:val="0"/>
    <w:pPr>
      <w:numPr>
        <w:ilvl w:val="0"/>
        <w:numId w:val="2"/>
      </w:numPr>
    </w:pPr>
  </w:style>
  <w:style w:type="paragraph" w:styleId="24">
    <w:name w:val="List 2"/>
    <w:basedOn w:val="1"/>
    <w:qFormat/>
    <w:uiPriority w:val="0"/>
    <w:pPr>
      <w:ind w:left="100" w:leftChars="200" w:hanging="200" w:hangingChars="200"/>
    </w:pPr>
    <w:rPr>
      <w:sz w:val="28"/>
    </w:rPr>
  </w:style>
  <w:style w:type="paragraph" w:styleId="25">
    <w:name w:val="toc 5"/>
    <w:basedOn w:val="1"/>
    <w:next w:val="1"/>
    <w:qFormat/>
    <w:uiPriority w:val="39"/>
    <w:pPr>
      <w:ind w:left="1680" w:leftChars="800"/>
    </w:pPr>
    <w:rPr>
      <w:rFonts w:ascii="Calibri" w:hAnsi="Calibri"/>
      <w:szCs w:val="22"/>
    </w:rPr>
  </w:style>
  <w:style w:type="paragraph" w:styleId="26">
    <w:name w:val="toc 3"/>
    <w:basedOn w:val="1"/>
    <w:next w:val="1"/>
    <w:qFormat/>
    <w:uiPriority w:val="39"/>
    <w:pPr>
      <w:ind w:left="840" w:leftChars="400"/>
    </w:pPr>
    <w:rPr>
      <w:rFonts w:ascii="Calibri" w:hAnsi="Calibri"/>
      <w:szCs w:val="22"/>
    </w:rPr>
  </w:style>
  <w:style w:type="paragraph" w:styleId="27">
    <w:name w:val="Plain Text"/>
    <w:basedOn w:val="1"/>
    <w:link w:val="76"/>
    <w:qFormat/>
    <w:uiPriority w:val="0"/>
    <w:rPr>
      <w:rFonts w:ascii="宋体" w:hAnsi="Courier New"/>
      <w:kern w:val="0"/>
      <w:sz w:val="20"/>
      <w:szCs w:val="21"/>
    </w:rPr>
  </w:style>
  <w:style w:type="paragraph" w:styleId="28">
    <w:name w:val="toc 8"/>
    <w:basedOn w:val="1"/>
    <w:next w:val="1"/>
    <w:qFormat/>
    <w:uiPriority w:val="39"/>
    <w:pPr>
      <w:ind w:left="2940" w:leftChars="1400"/>
    </w:pPr>
    <w:rPr>
      <w:rFonts w:ascii="Calibri" w:hAnsi="Calibri"/>
      <w:szCs w:val="22"/>
    </w:rPr>
  </w:style>
  <w:style w:type="paragraph" w:styleId="29">
    <w:name w:val="Date"/>
    <w:basedOn w:val="1"/>
    <w:next w:val="1"/>
    <w:link w:val="77"/>
    <w:qFormat/>
    <w:uiPriority w:val="0"/>
    <w:pPr>
      <w:ind w:left="100" w:leftChars="2500"/>
    </w:pPr>
    <w:rPr>
      <w:rFonts w:ascii="宋体" w:hAnsi="Courier New"/>
      <w:kern w:val="0"/>
      <w:sz w:val="20"/>
      <w:szCs w:val="21"/>
    </w:rPr>
  </w:style>
  <w:style w:type="paragraph" w:styleId="30">
    <w:name w:val="Body Text Indent 2"/>
    <w:basedOn w:val="1"/>
    <w:link w:val="78"/>
    <w:qFormat/>
    <w:uiPriority w:val="0"/>
    <w:pPr>
      <w:ind w:firstLine="630"/>
    </w:pPr>
    <w:rPr>
      <w:kern w:val="0"/>
      <w:sz w:val="32"/>
      <w:szCs w:val="20"/>
    </w:rPr>
  </w:style>
  <w:style w:type="paragraph" w:styleId="31">
    <w:name w:val="endnote text"/>
    <w:basedOn w:val="1"/>
    <w:link w:val="79"/>
    <w:qFormat/>
    <w:uiPriority w:val="99"/>
    <w:pPr>
      <w:snapToGrid w:val="0"/>
      <w:jc w:val="left"/>
    </w:pPr>
  </w:style>
  <w:style w:type="paragraph" w:styleId="32">
    <w:name w:val="Balloon Text"/>
    <w:basedOn w:val="1"/>
    <w:link w:val="80"/>
    <w:qFormat/>
    <w:uiPriority w:val="0"/>
    <w:rPr>
      <w:kern w:val="0"/>
      <w:sz w:val="18"/>
      <w:szCs w:val="18"/>
    </w:rPr>
  </w:style>
  <w:style w:type="paragraph" w:styleId="33">
    <w:name w:val="footer"/>
    <w:basedOn w:val="1"/>
    <w:link w:val="62"/>
    <w:qFormat/>
    <w:uiPriority w:val="99"/>
    <w:pPr>
      <w:tabs>
        <w:tab w:val="center" w:pos="4153"/>
        <w:tab w:val="right" w:pos="8306"/>
      </w:tabs>
      <w:snapToGrid w:val="0"/>
      <w:jc w:val="left"/>
    </w:pPr>
    <w:rPr>
      <w:kern w:val="0"/>
      <w:sz w:val="18"/>
      <w:szCs w:val="18"/>
    </w:rPr>
  </w:style>
  <w:style w:type="paragraph" w:styleId="34">
    <w:name w:val="header"/>
    <w:basedOn w:val="1"/>
    <w:link w:val="81"/>
    <w:qFormat/>
    <w:uiPriority w:val="99"/>
    <w:pPr>
      <w:pBdr>
        <w:bottom w:val="single" w:color="auto" w:sz="6" w:space="1"/>
      </w:pBdr>
      <w:tabs>
        <w:tab w:val="center" w:pos="0"/>
        <w:tab w:val="left" w:pos="8306"/>
      </w:tabs>
      <w:snapToGrid w:val="0"/>
      <w:jc w:val="center"/>
    </w:pPr>
    <w:rPr>
      <w:sz w:val="18"/>
      <w:szCs w:val="18"/>
    </w:rPr>
  </w:style>
  <w:style w:type="paragraph" w:styleId="35">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6">
    <w:name w:val="toc 4"/>
    <w:basedOn w:val="1"/>
    <w:next w:val="1"/>
    <w:qFormat/>
    <w:uiPriority w:val="39"/>
    <w:pPr>
      <w:ind w:left="1260" w:leftChars="600"/>
    </w:pPr>
    <w:rPr>
      <w:rFonts w:ascii="Calibri" w:hAnsi="Calibri"/>
      <w:szCs w:val="22"/>
    </w:rPr>
  </w:style>
  <w:style w:type="paragraph" w:styleId="37">
    <w:name w:val="List"/>
    <w:basedOn w:val="1"/>
    <w:qFormat/>
    <w:uiPriority w:val="0"/>
    <w:pPr>
      <w:ind w:left="200" w:hanging="200" w:hangingChars="200"/>
    </w:pPr>
    <w:rPr>
      <w:sz w:val="28"/>
    </w:rPr>
  </w:style>
  <w:style w:type="paragraph" w:styleId="38">
    <w:name w:val="footnote text"/>
    <w:basedOn w:val="1"/>
    <w:link w:val="82"/>
    <w:qFormat/>
    <w:uiPriority w:val="99"/>
    <w:pPr>
      <w:snapToGrid w:val="0"/>
      <w:jc w:val="left"/>
    </w:pPr>
    <w:rPr>
      <w:sz w:val="18"/>
      <w:szCs w:val="18"/>
    </w:rPr>
  </w:style>
  <w:style w:type="paragraph" w:styleId="39">
    <w:name w:val="toc 6"/>
    <w:basedOn w:val="1"/>
    <w:next w:val="1"/>
    <w:qFormat/>
    <w:uiPriority w:val="39"/>
    <w:pPr>
      <w:ind w:left="2100" w:leftChars="1000"/>
    </w:pPr>
    <w:rPr>
      <w:rFonts w:ascii="Calibri" w:hAnsi="Calibri"/>
      <w:szCs w:val="22"/>
    </w:rPr>
  </w:style>
  <w:style w:type="paragraph" w:styleId="40">
    <w:name w:val="Body Text Indent 3"/>
    <w:basedOn w:val="1"/>
    <w:link w:val="83"/>
    <w:qFormat/>
    <w:uiPriority w:val="0"/>
    <w:pPr>
      <w:spacing w:after="120"/>
      <w:ind w:left="420" w:leftChars="200"/>
    </w:pPr>
    <w:rPr>
      <w:kern w:val="0"/>
      <w:sz w:val="16"/>
      <w:szCs w:val="16"/>
    </w:rPr>
  </w:style>
  <w:style w:type="paragraph" w:styleId="41">
    <w:name w:val="toc 2"/>
    <w:basedOn w:val="1"/>
    <w:next w:val="1"/>
    <w:qFormat/>
    <w:uiPriority w:val="39"/>
    <w:pPr>
      <w:ind w:left="420" w:leftChars="200"/>
    </w:pPr>
  </w:style>
  <w:style w:type="paragraph" w:styleId="42">
    <w:name w:val="toc 9"/>
    <w:basedOn w:val="1"/>
    <w:next w:val="1"/>
    <w:qFormat/>
    <w:uiPriority w:val="39"/>
    <w:pPr>
      <w:ind w:left="3360" w:leftChars="1600"/>
    </w:pPr>
    <w:rPr>
      <w:rFonts w:ascii="Calibri" w:hAnsi="Calibri"/>
      <w:szCs w:val="22"/>
    </w:rPr>
  </w:style>
  <w:style w:type="paragraph" w:styleId="43">
    <w:name w:val="Body Text 2"/>
    <w:basedOn w:val="1"/>
    <w:link w:val="84"/>
    <w:qFormat/>
    <w:uiPriority w:val="0"/>
    <w:pPr>
      <w:spacing w:after="120" w:line="480" w:lineRule="auto"/>
    </w:pPr>
    <w:rPr>
      <w:kern w:val="0"/>
      <w:sz w:val="20"/>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index 1"/>
    <w:basedOn w:val="1"/>
    <w:next w:val="1"/>
    <w:qFormat/>
    <w:uiPriority w:val="0"/>
    <w:pPr>
      <w:spacing w:line="400" w:lineRule="exact"/>
      <w:ind w:firstLine="420" w:firstLineChars="200"/>
    </w:pPr>
    <w:rPr>
      <w:rFonts w:ascii="宋体" w:hAnsi="Courier New"/>
      <w:b/>
      <w:szCs w:val="20"/>
    </w:rPr>
  </w:style>
  <w:style w:type="paragraph" w:styleId="46">
    <w:name w:val="Title"/>
    <w:basedOn w:val="1"/>
    <w:next w:val="1"/>
    <w:link w:val="85"/>
    <w:qFormat/>
    <w:uiPriority w:val="10"/>
    <w:pPr>
      <w:spacing w:before="240" w:after="60"/>
      <w:jc w:val="center"/>
      <w:outlineLvl w:val="0"/>
    </w:pPr>
    <w:rPr>
      <w:rFonts w:ascii="Cambria" w:hAnsi="Cambria"/>
      <w:b/>
      <w:bCs/>
      <w:sz w:val="32"/>
      <w:szCs w:val="32"/>
    </w:rPr>
  </w:style>
  <w:style w:type="paragraph" w:styleId="47">
    <w:name w:val="annotation subject"/>
    <w:basedOn w:val="20"/>
    <w:next w:val="20"/>
    <w:link w:val="86"/>
    <w:qFormat/>
    <w:uiPriority w:val="99"/>
    <w:rPr>
      <w:b/>
      <w:bCs/>
    </w:rPr>
  </w:style>
  <w:style w:type="paragraph" w:styleId="48">
    <w:name w:val="Body Text First Indent"/>
    <w:basedOn w:val="2"/>
    <w:qFormat/>
    <w:uiPriority w:val="0"/>
    <w:pPr>
      <w:tabs>
        <w:tab w:val="left" w:pos="987"/>
      </w:tabs>
      <w:spacing w:line="240" w:lineRule="auto"/>
      <w:ind w:firstLine="420" w:firstLineChars="100"/>
    </w:pPr>
    <w:rPr>
      <w:kern w:val="2"/>
      <w:sz w:val="21"/>
    </w:rPr>
  </w:style>
  <w:style w:type="paragraph" w:styleId="49">
    <w:name w:val="Body Text First Indent 2"/>
    <w:basedOn w:val="22"/>
    <w:next w:val="1"/>
    <w:qFormat/>
    <w:uiPriority w:val="0"/>
    <w:pPr>
      <w:ind w:firstLine="420" w:firstLineChars="200"/>
    </w:p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rPr>
  </w:style>
  <w:style w:type="character" w:styleId="54">
    <w:name w:val="endnote reference"/>
    <w:qFormat/>
    <w:uiPriority w:val="99"/>
    <w:rPr>
      <w:vertAlign w:val="superscript"/>
    </w:rPr>
  </w:style>
  <w:style w:type="character" w:styleId="55">
    <w:name w:val="page number"/>
    <w:qFormat/>
    <w:uiPriority w:val="0"/>
  </w:style>
  <w:style w:type="character" w:styleId="56">
    <w:name w:val="FollowedHyperlink"/>
    <w:qFormat/>
    <w:uiPriority w:val="0"/>
    <w:rPr>
      <w:color w:val="800080"/>
      <w:u w:val="single"/>
    </w:rPr>
  </w:style>
  <w:style w:type="character" w:styleId="57">
    <w:name w:val="Emphasis"/>
    <w:basedOn w:val="52"/>
    <w:qFormat/>
    <w:uiPriority w:val="20"/>
    <w:rPr>
      <w:i/>
    </w:rPr>
  </w:style>
  <w:style w:type="character" w:styleId="58">
    <w:name w:val="Hyperlink"/>
    <w:qFormat/>
    <w:uiPriority w:val="99"/>
    <w:rPr>
      <w:color w:val="0000FF"/>
      <w:u w:val="single"/>
    </w:rPr>
  </w:style>
  <w:style w:type="character" w:styleId="59">
    <w:name w:val="annotation reference"/>
    <w:basedOn w:val="52"/>
    <w:qFormat/>
    <w:uiPriority w:val="0"/>
    <w:rPr>
      <w:sz w:val="21"/>
      <w:szCs w:val="21"/>
    </w:rPr>
  </w:style>
  <w:style w:type="character" w:styleId="60">
    <w:name w:val="footnote reference"/>
    <w:qFormat/>
    <w:uiPriority w:val="99"/>
    <w:rPr>
      <w:vertAlign w:val="superscript"/>
    </w:rPr>
  </w:style>
  <w:style w:type="paragraph" w:customStyle="1" w:styleId="61">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2">
    <w:name w:val="页脚 字符1"/>
    <w:link w:val="33"/>
    <w:qFormat/>
    <w:uiPriority w:val="99"/>
    <w:rPr>
      <w:sz w:val="18"/>
      <w:szCs w:val="18"/>
    </w:rPr>
  </w:style>
  <w:style w:type="character" w:customStyle="1" w:styleId="63">
    <w:name w:val="标题 1 字符1"/>
    <w:link w:val="5"/>
    <w:qFormat/>
    <w:uiPriority w:val="0"/>
    <w:rPr>
      <w:rFonts w:ascii="Times New Roman" w:hAnsi="Times New Roman" w:eastAsia="宋体" w:cs="Times New Roman"/>
      <w:b/>
      <w:bCs/>
      <w:kern w:val="44"/>
      <w:sz w:val="44"/>
      <w:szCs w:val="44"/>
    </w:rPr>
  </w:style>
  <w:style w:type="character" w:customStyle="1" w:styleId="64">
    <w:name w:val="标题 2 字符"/>
    <w:link w:val="6"/>
    <w:qFormat/>
    <w:uiPriority w:val="0"/>
    <w:rPr>
      <w:rFonts w:ascii="Arial" w:hAnsi="Arial" w:eastAsia="黑体" w:cs="Times New Roman"/>
      <w:b/>
      <w:bCs/>
      <w:sz w:val="32"/>
      <w:szCs w:val="32"/>
    </w:rPr>
  </w:style>
  <w:style w:type="character" w:customStyle="1" w:styleId="65">
    <w:name w:val="标题 3 字符"/>
    <w:link w:val="7"/>
    <w:qFormat/>
    <w:uiPriority w:val="0"/>
    <w:rPr>
      <w:rFonts w:ascii="Times New Roman" w:hAnsi="Times New Roman" w:eastAsia="宋体" w:cs="Times New Roman"/>
      <w:b/>
      <w:bCs/>
      <w:sz w:val="32"/>
      <w:szCs w:val="32"/>
    </w:rPr>
  </w:style>
  <w:style w:type="character" w:customStyle="1" w:styleId="66">
    <w:name w:val="标题 5 字符"/>
    <w:link w:val="9"/>
    <w:qFormat/>
    <w:uiPriority w:val="0"/>
    <w:rPr>
      <w:b/>
      <w:kern w:val="2"/>
      <w:sz w:val="28"/>
      <w:szCs w:val="24"/>
    </w:rPr>
  </w:style>
  <w:style w:type="character" w:customStyle="1" w:styleId="67">
    <w:name w:val="标题 6 字符"/>
    <w:link w:val="11"/>
    <w:qFormat/>
    <w:uiPriority w:val="0"/>
    <w:rPr>
      <w:rFonts w:ascii="Arial" w:hAnsi="Arial" w:eastAsia="黑体"/>
      <w:b/>
      <w:kern w:val="2"/>
      <w:sz w:val="24"/>
      <w:szCs w:val="24"/>
    </w:rPr>
  </w:style>
  <w:style w:type="character" w:customStyle="1" w:styleId="68">
    <w:name w:val="标题 7 字符"/>
    <w:link w:val="12"/>
    <w:qFormat/>
    <w:uiPriority w:val="0"/>
    <w:rPr>
      <w:rFonts w:ascii="Times New Roman" w:hAnsi="Times New Roman"/>
      <w:b/>
      <w:kern w:val="2"/>
      <w:sz w:val="24"/>
      <w:szCs w:val="24"/>
    </w:rPr>
  </w:style>
  <w:style w:type="character" w:customStyle="1" w:styleId="69">
    <w:name w:val="标题 8 字符"/>
    <w:link w:val="13"/>
    <w:qFormat/>
    <w:uiPriority w:val="0"/>
    <w:rPr>
      <w:rFonts w:ascii="Arial" w:hAnsi="Arial" w:eastAsia="黑体"/>
      <w:kern w:val="2"/>
      <w:sz w:val="24"/>
      <w:szCs w:val="24"/>
    </w:rPr>
  </w:style>
  <w:style w:type="character" w:customStyle="1" w:styleId="70">
    <w:name w:val="标题 9 字符"/>
    <w:link w:val="14"/>
    <w:qFormat/>
    <w:uiPriority w:val="0"/>
    <w:rPr>
      <w:rFonts w:ascii="Arial" w:hAnsi="Arial" w:eastAsia="黑体"/>
      <w:kern w:val="2"/>
      <w:sz w:val="21"/>
      <w:szCs w:val="24"/>
    </w:rPr>
  </w:style>
  <w:style w:type="character" w:customStyle="1" w:styleId="71">
    <w:name w:val="文档结构图 字符"/>
    <w:link w:val="19"/>
    <w:qFormat/>
    <w:uiPriority w:val="0"/>
    <w:rPr>
      <w:rFonts w:hint="eastAsia" w:ascii="宋体" w:hAnsi="宋体" w:eastAsia="宋体" w:cs="宋体"/>
    </w:rPr>
  </w:style>
  <w:style w:type="character" w:customStyle="1" w:styleId="72">
    <w:name w:val="批注文字 字符2"/>
    <w:link w:val="20"/>
    <w:qFormat/>
    <w:uiPriority w:val="0"/>
    <w:rPr>
      <w:rFonts w:ascii="Times New Roman" w:hAnsi="Times New Roman"/>
      <w:kern w:val="2"/>
      <w:sz w:val="21"/>
      <w:szCs w:val="24"/>
    </w:rPr>
  </w:style>
  <w:style w:type="character" w:customStyle="1" w:styleId="73">
    <w:name w:val="正文文本 3 字符"/>
    <w:link w:val="21"/>
    <w:qFormat/>
    <w:uiPriority w:val="0"/>
    <w:rPr>
      <w:rFonts w:ascii="Times New Roman" w:hAnsi="Times New Roman" w:eastAsia="宋体" w:cs="Times New Roman"/>
      <w:b/>
      <w:bCs/>
      <w:sz w:val="24"/>
      <w:szCs w:val="24"/>
    </w:rPr>
  </w:style>
  <w:style w:type="character" w:customStyle="1" w:styleId="74">
    <w:name w:val="正文文本 字符"/>
    <w:link w:val="2"/>
    <w:qFormat/>
    <w:uiPriority w:val="99"/>
    <w:rPr>
      <w:rFonts w:ascii="Times New Roman" w:hAnsi="Times New Roman" w:eastAsia="宋体" w:cs="Times New Roman"/>
      <w:sz w:val="24"/>
      <w:szCs w:val="24"/>
    </w:rPr>
  </w:style>
  <w:style w:type="character" w:customStyle="1" w:styleId="75">
    <w:name w:val="正文文本缩进 字符1"/>
    <w:link w:val="22"/>
    <w:qFormat/>
    <w:uiPriority w:val="0"/>
    <w:rPr>
      <w:rFonts w:ascii="仿宋_GB2312" w:hAnsi="Times New Roman" w:eastAsia="仿宋_GB2312" w:cs="Times New Roman"/>
      <w:sz w:val="32"/>
      <w:szCs w:val="20"/>
    </w:rPr>
  </w:style>
  <w:style w:type="character" w:customStyle="1" w:styleId="76">
    <w:name w:val="纯文本 字符2"/>
    <w:link w:val="27"/>
    <w:qFormat/>
    <w:uiPriority w:val="0"/>
    <w:rPr>
      <w:rFonts w:ascii="宋体" w:hAnsi="Courier New" w:eastAsia="宋体" w:cs="Courier New"/>
      <w:szCs w:val="21"/>
    </w:rPr>
  </w:style>
  <w:style w:type="character" w:customStyle="1" w:styleId="77">
    <w:name w:val="日期 字符"/>
    <w:link w:val="29"/>
    <w:qFormat/>
    <w:uiPriority w:val="0"/>
    <w:rPr>
      <w:rFonts w:ascii="宋体" w:hAnsi="Courier New" w:eastAsia="宋体" w:cs="Courier New"/>
      <w:szCs w:val="21"/>
    </w:rPr>
  </w:style>
  <w:style w:type="character" w:customStyle="1" w:styleId="78">
    <w:name w:val="正文文本缩进 2 字符"/>
    <w:link w:val="30"/>
    <w:qFormat/>
    <w:uiPriority w:val="0"/>
    <w:rPr>
      <w:rFonts w:ascii="Times New Roman" w:hAnsi="Times New Roman" w:eastAsia="宋体" w:cs="Times New Roman"/>
      <w:sz w:val="32"/>
      <w:szCs w:val="20"/>
    </w:rPr>
  </w:style>
  <w:style w:type="character" w:customStyle="1" w:styleId="79">
    <w:name w:val="尾注文本 字符"/>
    <w:link w:val="31"/>
    <w:qFormat/>
    <w:uiPriority w:val="99"/>
    <w:rPr>
      <w:rFonts w:ascii="Times New Roman" w:hAnsi="Times New Roman"/>
      <w:kern w:val="2"/>
      <w:sz w:val="21"/>
      <w:szCs w:val="24"/>
    </w:rPr>
  </w:style>
  <w:style w:type="character" w:customStyle="1" w:styleId="80">
    <w:name w:val="批注框文本 字符"/>
    <w:link w:val="32"/>
    <w:qFormat/>
    <w:uiPriority w:val="0"/>
    <w:rPr>
      <w:rFonts w:ascii="Times New Roman" w:hAnsi="Times New Roman" w:eastAsia="宋体" w:cs="Times New Roman"/>
      <w:sz w:val="18"/>
      <w:szCs w:val="18"/>
    </w:rPr>
  </w:style>
  <w:style w:type="character" w:customStyle="1" w:styleId="81">
    <w:name w:val="页眉 字符"/>
    <w:link w:val="34"/>
    <w:qFormat/>
    <w:uiPriority w:val="99"/>
    <w:rPr>
      <w:rFonts w:ascii="Times New Roman" w:hAnsi="Times New Roman"/>
      <w:kern w:val="2"/>
      <w:sz w:val="18"/>
      <w:szCs w:val="18"/>
    </w:rPr>
  </w:style>
  <w:style w:type="character" w:customStyle="1" w:styleId="82">
    <w:name w:val="脚注文本 字符"/>
    <w:link w:val="38"/>
    <w:qFormat/>
    <w:uiPriority w:val="99"/>
    <w:rPr>
      <w:rFonts w:ascii="Times New Roman" w:hAnsi="Times New Roman"/>
      <w:kern w:val="2"/>
      <w:sz w:val="18"/>
      <w:szCs w:val="18"/>
    </w:rPr>
  </w:style>
  <w:style w:type="character" w:customStyle="1" w:styleId="83">
    <w:name w:val="正文文本缩进 3 字符"/>
    <w:link w:val="40"/>
    <w:qFormat/>
    <w:uiPriority w:val="0"/>
    <w:rPr>
      <w:rFonts w:ascii="Times New Roman" w:hAnsi="Times New Roman" w:eastAsia="宋体" w:cs="Times New Roman"/>
      <w:sz w:val="16"/>
      <w:szCs w:val="16"/>
    </w:rPr>
  </w:style>
  <w:style w:type="character" w:customStyle="1" w:styleId="84">
    <w:name w:val="正文文本 2 字符"/>
    <w:link w:val="43"/>
    <w:qFormat/>
    <w:uiPriority w:val="0"/>
    <w:rPr>
      <w:rFonts w:ascii="Times New Roman" w:hAnsi="Times New Roman" w:eastAsia="宋体" w:cs="Times New Roman"/>
      <w:szCs w:val="24"/>
    </w:rPr>
  </w:style>
  <w:style w:type="character" w:customStyle="1" w:styleId="85">
    <w:name w:val="标题 字符"/>
    <w:link w:val="46"/>
    <w:qFormat/>
    <w:uiPriority w:val="10"/>
    <w:rPr>
      <w:rFonts w:ascii="Cambria" w:hAnsi="Cambria" w:cs="Times New Roman"/>
      <w:b/>
      <w:bCs/>
      <w:kern w:val="2"/>
      <w:sz w:val="32"/>
      <w:szCs w:val="32"/>
    </w:rPr>
  </w:style>
  <w:style w:type="character" w:customStyle="1" w:styleId="86">
    <w:name w:val="批注主题 字符"/>
    <w:link w:val="47"/>
    <w:qFormat/>
    <w:uiPriority w:val="99"/>
    <w:rPr>
      <w:rFonts w:ascii="Times New Roman" w:hAnsi="Times New Roman"/>
      <w:b/>
      <w:bCs/>
      <w:kern w:val="2"/>
      <w:sz w:val="21"/>
      <w:szCs w:val="24"/>
    </w:rPr>
  </w:style>
  <w:style w:type="paragraph" w:customStyle="1" w:styleId="87">
    <w:name w:val="表格文字115"/>
    <w:basedOn w:val="1"/>
    <w:qFormat/>
    <w:uiPriority w:val="0"/>
    <w:pPr>
      <w:spacing w:before="25" w:after="25"/>
      <w:jc w:val="left"/>
    </w:pPr>
    <w:rPr>
      <w:bCs/>
      <w:spacing w:val="10"/>
      <w:kern w:val="0"/>
      <w:sz w:val="24"/>
    </w:rPr>
  </w:style>
  <w:style w:type="character" w:customStyle="1" w:styleId="88">
    <w:name w:val="页脚 字符"/>
    <w:qFormat/>
    <w:uiPriority w:val="99"/>
  </w:style>
  <w:style w:type="character" w:customStyle="1" w:styleId="89">
    <w:name w:val="纯文本 字符"/>
    <w:qFormat/>
    <w:uiPriority w:val="0"/>
    <w:rPr>
      <w:rFonts w:ascii="宋体" w:hAnsi="Courier New" w:eastAsia="宋体" w:cs="Courier New"/>
      <w:szCs w:val="21"/>
    </w:rPr>
  </w:style>
  <w:style w:type="character" w:customStyle="1" w:styleId="90">
    <w:name w:val="标题 1 字符"/>
    <w:qFormat/>
    <w:uiPriority w:val="9"/>
    <w:rPr>
      <w:rFonts w:ascii="Times New Roman" w:hAnsi="Times New Roman" w:eastAsia="宋体" w:cs="Times New Roman"/>
      <w:b/>
      <w:bCs/>
      <w:kern w:val="44"/>
      <w:sz w:val="44"/>
      <w:szCs w:val="44"/>
    </w:rPr>
  </w:style>
  <w:style w:type="character" w:customStyle="1" w:styleId="91">
    <w:name w:val="font41"/>
    <w:basedOn w:val="52"/>
    <w:qFormat/>
    <w:uiPriority w:val="0"/>
    <w:rPr>
      <w:rFonts w:hint="eastAsia" w:ascii="宋体" w:hAnsi="宋体" w:eastAsia="宋体" w:cs="宋体"/>
      <w:color w:val="000000"/>
      <w:sz w:val="20"/>
      <w:szCs w:val="20"/>
      <w:u w:val="none"/>
    </w:rPr>
  </w:style>
  <w:style w:type="character" w:customStyle="1" w:styleId="92">
    <w:name w:val="批注文字 字符1"/>
    <w:qFormat/>
    <w:uiPriority w:val="0"/>
    <w:rPr>
      <w:rFonts w:ascii="Times New Roman" w:hAnsi="Times New Roman"/>
      <w:kern w:val="2"/>
      <w:sz w:val="21"/>
      <w:szCs w:val="24"/>
    </w:rPr>
  </w:style>
  <w:style w:type="character" w:customStyle="1" w:styleId="93">
    <w:name w:val="批注文字 字符"/>
    <w:qFormat/>
    <w:uiPriority w:val="0"/>
    <w:rPr>
      <w:rFonts w:ascii="Times New Roman" w:hAnsi="Times New Roman"/>
      <w:kern w:val="2"/>
      <w:sz w:val="21"/>
      <w:szCs w:val="24"/>
    </w:rPr>
  </w:style>
  <w:style w:type="character" w:customStyle="1" w:styleId="94">
    <w:name w:val="case31"/>
    <w:qFormat/>
    <w:uiPriority w:val="0"/>
    <w:rPr>
      <w:rFonts w:hint="default" w:ascii="_x000B__x000C_" w:hAnsi="_x000B__x000C_"/>
      <w:sz w:val="21"/>
      <w:szCs w:val="21"/>
    </w:rPr>
  </w:style>
  <w:style w:type="character" w:customStyle="1" w:styleId="95">
    <w:name w:val="标题 5 Char"/>
    <w:qFormat/>
    <w:uiPriority w:val="0"/>
    <w:rPr>
      <w:b/>
      <w:kern w:val="2"/>
      <w:sz w:val="28"/>
      <w:szCs w:val="24"/>
    </w:rPr>
  </w:style>
  <w:style w:type="character" w:customStyle="1" w:styleId="96">
    <w:name w:val="正文2 Char Char"/>
    <w:link w:val="97"/>
    <w:qFormat/>
    <w:uiPriority w:val="0"/>
    <w:rPr>
      <w:kern w:val="2"/>
      <w:sz w:val="24"/>
    </w:rPr>
  </w:style>
  <w:style w:type="paragraph" w:customStyle="1" w:styleId="97">
    <w:name w:val="正文2"/>
    <w:basedOn w:val="1"/>
    <w:link w:val="96"/>
    <w:qFormat/>
    <w:uiPriority w:val="0"/>
    <w:pPr>
      <w:adjustRightInd w:val="0"/>
      <w:spacing w:before="156" w:line="360" w:lineRule="auto"/>
      <w:ind w:firstLine="510" w:firstLineChars="200"/>
    </w:pPr>
    <w:rPr>
      <w:sz w:val="24"/>
      <w:szCs w:val="20"/>
    </w:rPr>
  </w:style>
  <w:style w:type="character" w:customStyle="1" w:styleId="98">
    <w:name w:val="纯文本 字符1"/>
    <w:qFormat/>
    <w:uiPriority w:val="0"/>
    <w:rPr>
      <w:rFonts w:ascii="宋体" w:hAnsi="Courier New"/>
    </w:rPr>
  </w:style>
  <w:style w:type="character" w:customStyle="1" w:styleId="99">
    <w:name w:val="正文文本缩进 字符"/>
    <w:qFormat/>
    <w:uiPriority w:val="0"/>
    <w:rPr>
      <w:rFonts w:ascii="仿宋_GB2312" w:hAnsi="Times New Roman" w:eastAsia="仿宋_GB2312" w:cs="Times New Roman"/>
      <w:sz w:val="32"/>
      <w:szCs w:val="20"/>
    </w:rPr>
  </w:style>
  <w:style w:type="character" w:customStyle="1" w:styleId="100">
    <w:name w:val="批注文字 Char"/>
    <w:qFormat/>
    <w:uiPriority w:val="0"/>
    <w:rPr>
      <w:rFonts w:ascii="Times New Roman" w:hAnsi="Times New Roman"/>
      <w:kern w:val="2"/>
      <w:sz w:val="21"/>
      <w:szCs w:val="24"/>
    </w:rPr>
  </w:style>
  <w:style w:type="character" w:customStyle="1" w:styleId="101">
    <w:name w:val="批注文字 Char1"/>
    <w:qFormat/>
    <w:uiPriority w:val="0"/>
    <w:rPr>
      <w:rFonts w:ascii="Times New Roman" w:hAnsi="Times New Roman"/>
      <w:kern w:val="2"/>
      <w:sz w:val="21"/>
      <w:szCs w:val="24"/>
    </w:rPr>
  </w:style>
  <w:style w:type="character" w:customStyle="1" w:styleId="102">
    <w:name w:val="纯文本 Char3"/>
    <w:qFormat/>
    <w:uiPriority w:val="0"/>
    <w:rPr>
      <w:rFonts w:ascii="宋体" w:hAnsi="Courier New" w:eastAsia="宋体" w:cs="Courier New"/>
      <w:szCs w:val="21"/>
    </w:rPr>
  </w:style>
  <w:style w:type="character" w:customStyle="1" w:styleId="103">
    <w:name w:val="headline-content4"/>
    <w:qFormat/>
    <w:uiPriority w:val="0"/>
  </w:style>
  <w:style w:type="character" w:customStyle="1" w:styleId="104">
    <w:name w:val="普通文字 Char Char2"/>
    <w:qFormat/>
    <w:uiPriority w:val="0"/>
    <w:rPr>
      <w:rFonts w:ascii="宋体" w:hAnsi="Courier New" w:eastAsia="宋体"/>
      <w:kern w:val="2"/>
      <w:sz w:val="21"/>
      <w:lang w:val="en-US" w:eastAsia="zh-CN" w:bidi="ar-SA"/>
    </w:rPr>
  </w:style>
  <w:style w:type="character" w:customStyle="1" w:styleId="105">
    <w:name w:val="textcontents"/>
    <w:qFormat/>
    <w:uiPriority w:val="0"/>
  </w:style>
  <w:style w:type="character" w:customStyle="1" w:styleId="106">
    <w:name w:val="正文文本 Char1"/>
    <w:qFormat/>
    <w:uiPriority w:val="99"/>
    <w:rPr>
      <w:sz w:val="24"/>
      <w:szCs w:val="24"/>
    </w:rPr>
  </w:style>
  <w:style w:type="character" w:customStyle="1" w:styleId="107">
    <w:name w:val="纯文本 Char"/>
    <w:qFormat/>
    <w:uiPriority w:val="0"/>
    <w:rPr>
      <w:rFonts w:ascii="宋体" w:hAnsi="Courier New" w:eastAsia="宋体"/>
      <w:kern w:val="2"/>
      <w:sz w:val="21"/>
      <w:lang w:val="en-US" w:eastAsia="zh-CN" w:bidi="ar-SA"/>
    </w:rPr>
  </w:style>
  <w:style w:type="character" w:customStyle="1" w:styleId="108">
    <w:name w:val="apple-style-span"/>
    <w:qFormat/>
    <w:uiPriority w:val="0"/>
  </w:style>
  <w:style w:type="character" w:customStyle="1" w:styleId="10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0">
    <w:name w:val="font61"/>
    <w:basedOn w:val="52"/>
    <w:qFormat/>
    <w:uiPriority w:val="0"/>
    <w:rPr>
      <w:rFonts w:ascii="Arial" w:hAnsi="Arial" w:cs="Arial"/>
      <w:color w:val="000000"/>
      <w:sz w:val="20"/>
      <w:szCs w:val="20"/>
      <w:u w:val="none"/>
    </w:rPr>
  </w:style>
  <w:style w:type="character" w:customStyle="1" w:styleId="111">
    <w:name w:val="font71"/>
    <w:basedOn w:val="52"/>
    <w:qFormat/>
    <w:uiPriority w:val="0"/>
    <w:rPr>
      <w:rFonts w:hint="eastAsia" w:ascii="宋体" w:hAnsi="宋体" w:eastAsia="宋体" w:cs="宋体"/>
      <w:b/>
      <w:color w:val="000000"/>
      <w:sz w:val="20"/>
      <w:szCs w:val="20"/>
      <w:u w:val="none"/>
    </w:rPr>
  </w:style>
  <w:style w:type="paragraph" w:customStyle="1" w:styleId="112">
    <w:name w:val="标题3"/>
    <w:basedOn w:val="7"/>
    <w:next w:val="1"/>
    <w:qFormat/>
    <w:uiPriority w:val="0"/>
    <w:pPr>
      <w:spacing w:before="200" w:after="200" w:line="360" w:lineRule="auto"/>
    </w:pPr>
    <w:rPr>
      <w:rFonts w:ascii="黑体" w:hAnsi="黑体" w:eastAsia="黑体"/>
      <w:bCs w:val="0"/>
      <w:sz w:val="24"/>
      <w:szCs w:val="24"/>
    </w:rPr>
  </w:style>
  <w:style w:type="paragraph" w:customStyle="1" w:styleId="113">
    <w:name w:val="目录 81"/>
    <w:basedOn w:val="1"/>
    <w:next w:val="1"/>
    <w:qFormat/>
    <w:uiPriority w:val="0"/>
    <w:pPr>
      <w:ind w:left="1470"/>
    </w:pPr>
    <w:rPr>
      <w:sz w:val="18"/>
    </w:rPr>
  </w:style>
  <w:style w:type="paragraph" w:customStyle="1" w:styleId="11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5">
    <w:name w:val="正文首行缩进两字符"/>
    <w:basedOn w:val="1"/>
    <w:qFormat/>
    <w:uiPriority w:val="0"/>
    <w:pPr>
      <w:spacing w:line="360" w:lineRule="auto"/>
      <w:ind w:firstLine="200" w:firstLineChars="200"/>
    </w:pPr>
  </w:style>
  <w:style w:type="paragraph" w:customStyle="1" w:styleId="116">
    <w:name w:val="纯文本1"/>
    <w:basedOn w:val="1"/>
    <w:qFormat/>
    <w:uiPriority w:val="0"/>
    <w:rPr>
      <w:rFonts w:ascii="宋体" w:hAnsi="Courier New" w:cs="Century"/>
      <w:szCs w:val="21"/>
    </w:rPr>
  </w:style>
  <w:style w:type="paragraph" w:customStyle="1" w:styleId="117">
    <w:name w:val="默认段落字体 Para Char Char Char Char Char Char Char Char Char1 Char Char Char Char"/>
    <w:basedOn w:val="1"/>
    <w:qFormat/>
    <w:uiPriority w:val="0"/>
    <w:rPr>
      <w:rFonts w:ascii="Tahoma" w:hAnsi="Tahoma"/>
      <w:sz w:val="24"/>
      <w:szCs w:val="20"/>
    </w:rPr>
  </w:style>
  <w:style w:type="paragraph" w:customStyle="1" w:styleId="118">
    <w:name w:val="表格"/>
    <w:basedOn w:val="1"/>
    <w:qFormat/>
    <w:uiPriority w:val="0"/>
    <w:pPr>
      <w:spacing w:line="400" w:lineRule="exact"/>
    </w:pPr>
    <w:rPr>
      <w:sz w:val="24"/>
    </w:rPr>
  </w:style>
  <w:style w:type="paragraph" w:customStyle="1" w:styleId="119">
    <w:name w:val="样式 首行缩进:  2 字符"/>
    <w:basedOn w:val="1"/>
    <w:qFormat/>
    <w:uiPriority w:val="0"/>
    <w:pPr>
      <w:spacing w:line="400" w:lineRule="exact"/>
      <w:ind w:firstLine="200" w:firstLineChars="200"/>
    </w:pPr>
    <w:rPr>
      <w:rFonts w:cs="宋体"/>
      <w:sz w:val="24"/>
    </w:rPr>
  </w:style>
  <w:style w:type="paragraph" w:customStyle="1" w:styleId="120">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21">
    <w:name w:val="Char1"/>
    <w:basedOn w:val="1"/>
    <w:qFormat/>
    <w:uiPriority w:val="0"/>
    <w:rPr>
      <w:szCs w:val="21"/>
    </w:rPr>
  </w:style>
  <w:style w:type="paragraph" w:customStyle="1" w:styleId="122">
    <w:name w:val="Table Paragraph"/>
    <w:basedOn w:val="1"/>
    <w:qFormat/>
    <w:uiPriority w:val="1"/>
    <w:pPr>
      <w:jc w:val="left"/>
    </w:pPr>
    <w:rPr>
      <w:rFonts w:ascii="Calibri" w:hAnsi="Calibri"/>
      <w:kern w:val="0"/>
      <w:sz w:val="22"/>
      <w:szCs w:val="22"/>
      <w:lang w:eastAsia="en-US"/>
    </w:rPr>
  </w:style>
  <w:style w:type="paragraph" w:customStyle="1" w:styleId="123">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124">
    <w:name w:val="正文段"/>
    <w:basedOn w:val="1"/>
    <w:qFormat/>
    <w:uiPriority w:val="0"/>
    <w:pPr>
      <w:widowControl/>
      <w:snapToGrid w:val="0"/>
      <w:spacing w:after="50" w:afterLines="50"/>
      <w:ind w:firstLine="200" w:firstLineChars="200"/>
    </w:pPr>
    <w:rPr>
      <w:kern w:val="0"/>
      <w:sz w:val="24"/>
      <w:szCs w:val="20"/>
    </w:rPr>
  </w:style>
  <w:style w:type="paragraph" w:customStyle="1" w:styleId="125">
    <w:name w:val="表格文字"/>
    <w:basedOn w:val="1"/>
    <w:qFormat/>
    <w:uiPriority w:val="0"/>
    <w:pPr>
      <w:widowControl/>
      <w:adjustRightInd w:val="0"/>
      <w:spacing w:afterLines="50" w:line="360" w:lineRule="auto"/>
      <w:ind w:firstLine="200" w:firstLineChars="200"/>
      <w:jc w:val="left"/>
      <w:textAlignment w:val="baseline"/>
    </w:pPr>
    <w:rPr>
      <w:rFonts w:ascii="Arial" w:hAnsi="Arial"/>
      <w:kern w:val="0"/>
      <w:sz w:val="24"/>
      <w:szCs w:val="20"/>
    </w:rPr>
  </w:style>
  <w:style w:type="paragraph" w:customStyle="1" w:styleId="126">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paragraph" w:customStyle="1" w:styleId="127">
    <w:name w:val="列表段落1"/>
    <w:basedOn w:val="1"/>
    <w:qFormat/>
    <w:uiPriority w:val="34"/>
    <w:pPr>
      <w:ind w:firstLine="420" w:firstLineChars="200"/>
    </w:pPr>
  </w:style>
  <w:style w:type="paragraph" w:customStyle="1" w:styleId="128">
    <w:name w:val="_Style 121"/>
    <w:qFormat/>
    <w:uiPriority w:val="99"/>
    <w:rPr>
      <w:rFonts w:ascii="Times New Roman" w:hAnsi="Times New Roman" w:eastAsia="宋体" w:cs="Times New Roman"/>
      <w:kern w:val="2"/>
      <w:sz w:val="21"/>
      <w:szCs w:val="24"/>
      <w:lang w:val="en-US" w:eastAsia="zh-CN" w:bidi="ar-SA"/>
    </w:rPr>
  </w:style>
  <w:style w:type="paragraph" w:customStyle="1" w:styleId="129">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30">
    <w:name w:val="标题3（投标须知）"/>
    <w:basedOn w:val="112"/>
    <w:next w:val="131"/>
    <w:qFormat/>
    <w:uiPriority w:val="0"/>
    <w:pPr>
      <w:spacing w:line="240" w:lineRule="auto"/>
      <w:jc w:val="center"/>
    </w:pPr>
    <w:rPr>
      <w:bCs/>
      <w:sz w:val="30"/>
    </w:rPr>
  </w:style>
  <w:style w:type="paragraph" w:customStyle="1" w:styleId="131">
    <w:name w:val="标题4"/>
    <w:basedOn w:val="1"/>
    <w:next w:val="1"/>
    <w:qFormat/>
    <w:uiPriority w:val="0"/>
    <w:pPr>
      <w:ind w:firstLine="176" w:firstLineChars="176"/>
      <w:outlineLvl w:val="3"/>
    </w:pPr>
    <w:rPr>
      <w:rFonts w:ascii="黑体" w:hAnsi="黑体" w:eastAsia="黑体"/>
      <w:b/>
      <w:bCs/>
      <w:sz w:val="24"/>
    </w:rPr>
  </w:style>
  <w:style w:type="paragraph" w:customStyle="1" w:styleId="132">
    <w:name w:val="List Paragraph1"/>
    <w:basedOn w:val="1"/>
    <w:qFormat/>
    <w:uiPriority w:val="99"/>
    <w:rPr>
      <w:sz w:val="20"/>
    </w:rPr>
  </w:style>
  <w:style w:type="paragraph" w:customStyle="1" w:styleId="133">
    <w:name w:val="p15"/>
    <w:basedOn w:val="1"/>
    <w:qFormat/>
    <w:uiPriority w:val="0"/>
    <w:pPr>
      <w:widowControl/>
    </w:pPr>
    <w:rPr>
      <w:rFonts w:ascii="宋体" w:hAnsi="宋体" w:cs="宋体"/>
      <w:kern w:val="0"/>
      <w:szCs w:val="21"/>
    </w:rPr>
  </w:style>
  <w:style w:type="table" w:customStyle="1" w:styleId="134">
    <w:name w:val="Table Normal"/>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35">
    <w:name w:val="font51"/>
    <w:basedOn w:val="52"/>
    <w:qFormat/>
    <w:uiPriority w:val="0"/>
    <w:rPr>
      <w:rFonts w:hint="eastAsia" w:ascii="宋体" w:hAnsi="宋体" w:eastAsia="宋体" w:cs="宋体"/>
      <w:color w:val="000000"/>
      <w:sz w:val="20"/>
      <w:szCs w:val="20"/>
      <w:u w:val="none"/>
    </w:rPr>
  </w:style>
  <w:style w:type="character" w:customStyle="1" w:styleId="136">
    <w:name w:val="font101"/>
    <w:basedOn w:val="52"/>
    <w:qFormat/>
    <w:uiPriority w:val="0"/>
    <w:rPr>
      <w:rFonts w:hint="eastAsia" w:ascii="宋体" w:hAnsi="宋体" w:eastAsia="宋体" w:cs="宋体"/>
      <w:color w:val="000000"/>
      <w:sz w:val="18"/>
      <w:szCs w:val="18"/>
      <w:u w:val="none"/>
    </w:rPr>
  </w:style>
  <w:style w:type="character" w:customStyle="1" w:styleId="137">
    <w:name w:val="font11"/>
    <w:basedOn w:val="52"/>
    <w:qFormat/>
    <w:uiPriority w:val="0"/>
    <w:rPr>
      <w:rFonts w:hint="eastAsia" w:ascii="宋体" w:hAnsi="宋体" w:eastAsia="宋体" w:cs="宋体"/>
      <w:color w:val="000000"/>
      <w:sz w:val="20"/>
      <w:szCs w:val="20"/>
      <w:u w:val="none"/>
    </w:rPr>
  </w:style>
  <w:style w:type="character" w:customStyle="1" w:styleId="138">
    <w:name w:val="未处理的提及1"/>
    <w:basedOn w:val="52"/>
    <w:qFormat/>
    <w:uiPriority w:val="99"/>
    <w:rPr>
      <w:color w:val="605E5C"/>
      <w:shd w:val="clear" w:color="auto" w:fill="E1DFDD"/>
    </w:rPr>
  </w:style>
  <w:style w:type="character" w:customStyle="1" w:styleId="139">
    <w:name w:val="未处理的提及2"/>
    <w:basedOn w:val="52"/>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6" Type="http://schemas.openxmlformats.org/officeDocument/2006/relationships/fontTable" Target="fontTable.xml"/><Relationship Id="rId65" Type="http://schemas.openxmlformats.org/officeDocument/2006/relationships/customXml" Target="../customXml/item51.xml"/><Relationship Id="rId64" Type="http://schemas.openxmlformats.org/officeDocument/2006/relationships/customXml" Target="../customXml/item50.xml"/><Relationship Id="rId63" Type="http://schemas.openxmlformats.org/officeDocument/2006/relationships/customXml" Target="../customXml/item49.xml"/><Relationship Id="rId62" Type="http://schemas.openxmlformats.org/officeDocument/2006/relationships/customXml" Target="../customXml/item48.xml"/><Relationship Id="rId61" Type="http://schemas.openxmlformats.org/officeDocument/2006/relationships/customXml" Target="../customXml/item47.xml"/><Relationship Id="rId60" Type="http://schemas.openxmlformats.org/officeDocument/2006/relationships/customXml" Target="../customXml/item46.xml"/><Relationship Id="rId6" Type="http://schemas.openxmlformats.org/officeDocument/2006/relationships/footer" Target="footer3.xml"/><Relationship Id="rId59" Type="http://schemas.openxmlformats.org/officeDocument/2006/relationships/customXml" Target="../customXml/item45.xml"/><Relationship Id="rId58" Type="http://schemas.openxmlformats.org/officeDocument/2006/relationships/customXml" Target="../customXml/item44.xml"/><Relationship Id="rId57" Type="http://schemas.openxmlformats.org/officeDocument/2006/relationships/customXml" Target="../customXml/item43.xml"/><Relationship Id="rId56" Type="http://schemas.openxmlformats.org/officeDocument/2006/relationships/customXml" Target="../customXml/item42.xml"/><Relationship Id="rId55" Type="http://schemas.openxmlformats.org/officeDocument/2006/relationships/customXml" Target="../customXml/item41.xml"/><Relationship Id="rId54" Type="http://schemas.openxmlformats.org/officeDocument/2006/relationships/customXml" Target="../customXml/item40.xml"/><Relationship Id="rId53" Type="http://schemas.openxmlformats.org/officeDocument/2006/relationships/customXml" Target="../customXml/item39.xml"/><Relationship Id="rId52" Type="http://schemas.openxmlformats.org/officeDocument/2006/relationships/customXml" Target="../customXml/item38.xml"/><Relationship Id="rId51" Type="http://schemas.openxmlformats.org/officeDocument/2006/relationships/customXml" Target="../customXml/item37.xml"/><Relationship Id="rId50" Type="http://schemas.openxmlformats.org/officeDocument/2006/relationships/customXml" Target="../customXml/item36.xml"/><Relationship Id="rId5" Type="http://schemas.openxmlformats.org/officeDocument/2006/relationships/footer" Target="footer2.xml"/><Relationship Id="rId49" Type="http://schemas.openxmlformats.org/officeDocument/2006/relationships/customXml" Target="../customXml/item35.xml"/><Relationship Id="rId48" Type="http://schemas.openxmlformats.org/officeDocument/2006/relationships/customXml" Target="../customXml/item34.xml"/><Relationship Id="rId47" Type="http://schemas.openxmlformats.org/officeDocument/2006/relationships/customXml" Target="../customXml/item33.xml"/><Relationship Id="rId46" Type="http://schemas.openxmlformats.org/officeDocument/2006/relationships/customXml" Target="../customXml/item32.xml"/><Relationship Id="rId45" Type="http://schemas.openxmlformats.org/officeDocument/2006/relationships/customXml" Target="../customXml/item31.xml"/><Relationship Id="rId44" Type="http://schemas.openxmlformats.org/officeDocument/2006/relationships/customXml" Target="../customXml/item30.xml"/><Relationship Id="rId43" Type="http://schemas.openxmlformats.org/officeDocument/2006/relationships/customXml" Target="../customXml/item29.xml"/><Relationship Id="rId42" Type="http://schemas.openxmlformats.org/officeDocument/2006/relationships/customXml" Target="../customXml/item28.xml"/><Relationship Id="rId41" Type="http://schemas.openxmlformats.org/officeDocument/2006/relationships/customXml" Target="../customXml/item27.xml"/><Relationship Id="rId40" Type="http://schemas.openxmlformats.org/officeDocument/2006/relationships/customXml" Target="../customXml/item26.xml"/><Relationship Id="rId4" Type="http://schemas.openxmlformats.org/officeDocument/2006/relationships/footer" Target="footer1.xml"/><Relationship Id="rId39" Type="http://schemas.openxmlformats.org/officeDocument/2006/relationships/customXml" Target="../customXml/item25.xml"/><Relationship Id="rId38" Type="http://schemas.openxmlformats.org/officeDocument/2006/relationships/customXml" Target="../customXml/item24.xml"/><Relationship Id="rId37" Type="http://schemas.openxmlformats.org/officeDocument/2006/relationships/customXml" Target="../customXml/item23.xml"/><Relationship Id="rId36" Type="http://schemas.openxmlformats.org/officeDocument/2006/relationships/customXml" Target="../customXml/item22.xml"/><Relationship Id="rId35" Type="http://schemas.openxmlformats.org/officeDocument/2006/relationships/customXml" Target="../customXml/item21.xml"/><Relationship Id="rId34" Type="http://schemas.openxmlformats.org/officeDocument/2006/relationships/customXml" Target="../customXml/item20.xml"/><Relationship Id="rId33" Type="http://schemas.openxmlformats.org/officeDocument/2006/relationships/customXml" Target="../customXml/item19.xml"/><Relationship Id="rId32" Type="http://schemas.openxmlformats.org/officeDocument/2006/relationships/customXml" Target="../customXml/item18.xml"/><Relationship Id="rId31" Type="http://schemas.openxmlformats.org/officeDocument/2006/relationships/customXml" Target="../customXml/item17.xml"/><Relationship Id="rId30" Type="http://schemas.openxmlformats.org/officeDocument/2006/relationships/customXml" Target="../customXml/item16.xml"/><Relationship Id="rId3" Type="http://schemas.openxmlformats.org/officeDocument/2006/relationships/header" Target="header1.xml"/><Relationship Id="rId29" Type="http://schemas.openxmlformats.org/officeDocument/2006/relationships/customXml" Target="../customXml/item15.xml"/><Relationship Id="rId28" Type="http://schemas.openxmlformats.org/officeDocument/2006/relationships/customXml" Target="../customXml/item14.xml"/><Relationship Id="rId27" Type="http://schemas.openxmlformats.org/officeDocument/2006/relationships/customXml" Target="../customXml/item13.xml"/><Relationship Id="rId26" Type="http://schemas.openxmlformats.org/officeDocument/2006/relationships/customXml" Target="../customXml/item12.xml"/><Relationship Id="rId25" Type="http://schemas.openxmlformats.org/officeDocument/2006/relationships/customXml" Target="../customXml/item11.xml"/><Relationship Id="rId24" Type="http://schemas.openxmlformats.org/officeDocument/2006/relationships/customXml" Target="../customXml/item10.xml"/><Relationship Id="rId23" Type="http://schemas.openxmlformats.org/officeDocument/2006/relationships/customXml" Target="../customXml/item9.xml"/><Relationship Id="rId22" Type="http://schemas.openxmlformats.org/officeDocument/2006/relationships/customXml" Target="../customXml/item8.xml"/><Relationship Id="rId21" Type="http://schemas.openxmlformats.org/officeDocument/2006/relationships/customXml" Target="../customXml/item7.xml"/><Relationship Id="rId20" Type="http://schemas.openxmlformats.org/officeDocument/2006/relationships/customXml" Target="../customXml/item6.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46.xml><?xml version="1.0" encoding="utf-8"?>
<mcd:customData xmlns="http://www.wps.cn/android/officeDocument/2013/mofficeCustomData" xmlns:mcd="http://www.wps.cn/android/officeDocument/2013/mofficeCustomData" version="2">
  <mcd:comments/>
</mcd:customData>
</file>

<file path=customXml/item47.xml><?xml version="1.0" encoding="utf-8"?>
<mcd:customData xmlns="http://www.wps.cn/android/officeDocument/2013/mofficeCustomData" xmlns:mcd="http://www.wps.cn/android/officeDocument/2013/mofficeCustomData" version="2">
  <mcd:comments/>
</mcd:customData>
</file>

<file path=customXml/item48.xml><?xml version="1.0" encoding="utf-8"?>
<mcd:customData xmlns="http://www.wps.cn/android/officeDocument/2013/mofficeCustomData" xmlns:mcd="http://www.wps.cn/android/officeDocument/2013/mofficeCustomData" version="2">
  <mcd:comments/>
</mcd:customData>
</file>

<file path=customXml/item49.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50.xml><?xml version="1.0" encoding="utf-8"?>
<mcd:customData xmlns="http://www.wps.cn/android/officeDocument/2013/mofficeCustomData" xmlns:mcd="http://www.wps.cn/android/officeDocument/2013/mofficeCustomData" version="2">
  <mcd:comments/>
</mcd:customData>
</file>

<file path=customXml/item51.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7291CB4E-9317-442A-AE77-E3002BEBA70A}">
  <ds:schemaRefs/>
</ds:datastoreItem>
</file>

<file path=customXml/itemProps10.xml><?xml version="1.0" encoding="utf-8"?>
<ds:datastoreItem xmlns:ds="http://schemas.openxmlformats.org/officeDocument/2006/customXml" ds:itemID="{E63C0697-A034-498C-9731-93EB1CB0024D}">
  <ds:schemaRefs/>
</ds:datastoreItem>
</file>

<file path=customXml/itemProps11.xml><?xml version="1.0" encoding="utf-8"?>
<ds:datastoreItem xmlns:ds="http://schemas.openxmlformats.org/officeDocument/2006/customXml" ds:itemID="{C13CF95D-7205-4AD3-ACD0-5EDBEF818578}">
  <ds:schemaRefs/>
</ds:datastoreItem>
</file>

<file path=customXml/itemProps12.xml><?xml version="1.0" encoding="utf-8"?>
<ds:datastoreItem xmlns:ds="http://schemas.openxmlformats.org/officeDocument/2006/customXml" ds:itemID="{8FFCF1F3-6C78-48FD-8069-F5E13657D8D0}">
  <ds:schemaRefs/>
</ds:datastoreItem>
</file>

<file path=customXml/itemProps13.xml><?xml version="1.0" encoding="utf-8"?>
<ds:datastoreItem xmlns:ds="http://schemas.openxmlformats.org/officeDocument/2006/customXml" ds:itemID="{D320F6B6-A7CC-43E6-99C9-ACB9745AEF48}">
  <ds:schemaRefs/>
</ds:datastoreItem>
</file>

<file path=customXml/itemProps14.xml><?xml version="1.0" encoding="utf-8"?>
<ds:datastoreItem xmlns:ds="http://schemas.openxmlformats.org/officeDocument/2006/customXml" ds:itemID="{F7AC695D-EB2B-47B6-8E32-23A5A3D3A88B}">
  <ds:schemaRefs/>
</ds:datastoreItem>
</file>

<file path=customXml/itemProps15.xml><?xml version="1.0" encoding="utf-8"?>
<ds:datastoreItem xmlns:ds="http://schemas.openxmlformats.org/officeDocument/2006/customXml" ds:itemID="{B7864957-A0D2-4BA9-A6EE-026798D7BA86}">
  <ds:schemaRefs/>
</ds:datastoreItem>
</file>

<file path=customXml/itemProps16.xml><?xml version="1.0" encoding="utf-8"?>
<ds:datastoreItem xmlns:ds="http://schemas.openxmlformats.org/officeDocument/2006/customXml" ds:itemID="{5F3C8BA6-6AFF-421D-AF37-9C7DAFE44651}">
  <ds:schemaRefs/>
</ds:datastoreItem>
</file>

<file path=customXml/itemProps17.xml><?xml version="1.0" encoding="utf-8"?>
<ds:datastoreItem xmlns:ds="http://schemas.openxmlformats.org/officeDocument/2006/customXml" ds:itemID="{2057FF4C-F51F-47B1-9C46-F69F5D28FB93}">
  <ds:schemaRefs/>
</ds:datastoreItem>
</file>

<file path=customXml/itemProps18.xml><?xml version="1.0" encoding="utf-8"?>
<ds:datastoreItem xmlns:ds="http://schemas.openxmlformats.org/officeDocument/2006/customXml" ds:itemID="{3E5724CD-36C1-41EE-B235-142928EADCEC}">
  <ds:schemaRefs/>
</ds:datastoreItem>
</file>

<file path=customXml/itemProps19.xml><?xml version="1.0" encoding="utf-8"?>
<ds:datastoreItem xmlns:ds="http://schemas.openxmlformats.org/officeDocument/2006/customXml" ds:itemID="{81B0F44A-85FC-417B-952B-B25D3FD5D48D}">
  <ds:schemaRefs/>
</ds:datastoreItem>
</file>

<file path=customXml/itemProps2.xml><?xml version="1.0" encoding="utf-8"?>
<ds:datastoreItem xmlns:ds="http://schemas.openxmlformats.org/officeDocument/2006/customXml" ds:itemID="{EA3B1B29-E45B-4030-BED4-C3B654FAB957}">
  <ds:schemaRefs/>
</ds:datastoreItem>
</file>

<file path=customXml/itemProps20.xml><?xml version="1.0" encoding="utf-8"?>
<ds:datastoreItem xmlns:ds="http://schemas.openxmlformats.org/officeDocument/2006/customXml" ds:itemID="{5D2F2833-E348-4952-9340-20E351C75255}">
  <ds:schemaRefs/>
</ds:datastoreItem>
</file>

<file path=customXml/itemProps21.xml><?xml version="1.0" encoding="utf-8"?>
<ds:datastoreItem xmlns:ds="http://schemas.openxmlformats.org/officeDocument/2006/customXml" ds:itemID="{6BCB2847-22F8-4226-A0E5-ACC7A96B8288}">
  <ds:schemaRefs/>
</ds:datastoreItem>
</file>

<file path=customXml/itemProps22.xml><?xml version="1.0" encoding="utf-8"?>
<ds:datastoreItem xmlns:ds="http://schemas.openxmlformats.org/officeDocument/2006/customXml" ds:itemID="{2487E8CA-B46F-4E47-9A67-EA6AD2CE4433}">
  <ds:schemaRefs/>
</ds:datastoreItem>
</file>

<file path=customXml/itemProps23.xml><?xml version="1.0" encoding="utf-8"?>
<ds:datastoreItem xmlns:ds="http://schemas.openxmlformats.org/officeDocument/2006/customXml" ds:itemID="{C44A7FED-8861-411A-929C-B2FB12C80AB1}">
  <ds:schemaRefs/>
</ds:datastoreItem>
</file>

<file path=customXml/itemProps24.xml><?xml version="1.0" encoding="utf-8"?>
<ds:datastoreItem xmlns:ds="http://schemas.openxmlformats.org/officeDocument/2006/customXml" ds:itemID="{2593A81F-B7DA-45DB-BD5E-CF14E4D08AA7}">
  <ds:schemaRefs/>
</ds:datastoreItem>
</file>

<file path=customXml/itemProps25.xml><?xml version="1.0" encoding="utf-8"?>
<ds:datastoreItem xmlns:ds="http://schemas.openxmlformats.org/officeDocument/2006/customXml" ds:itemID="{C99BAB44-54EC-4745-9350-10E899CBE728}">
  <ds:schemaRefs/>
</ds:datastoreItem>
</file>

<file path=customXml/itemProps26.xml><?xml version="1.0" encoding="utf-8"?>
<ds:datastoreItem xmlns:ds="http://schemas.openxmlformats.org/officeDocument/2006/customXml" ds:itemID="{74B12394-B20D-452D-B69D-503F1E23422A}">
  <ds:schemaRefs/>
</ds:datastoreItem>
</file>

<file path=customXml/itemProps27.xml><?xml version="1.0" encoding="utf-8"?>
<ds:datastoreItem xmlns:ds="http://schemas.openxmlformats.org/officeDocument/2006/customXml" ds:itemID="{746EAE9C-02DD-424F-9571-4DD85DE3CBD1}">
  <ds:schemaRefs/>
</ds:datastoreItem>
</file>

<file path=customXml/itemProps28.xml><?xml version="1.0" encoding="utf-8"?>
<ds:datastoreItem xmlns:ds="http://schemas.openxmlformats.org/officeDocument/2006/customXml" ds:itemID="{DF650090-DB9F-4A72-97D7-567471FE9E07}">
  <ds:schemaRefs/>
</ds:datastoreItem>
</file>

<file path=customXml/itemProps29.xml><?xml version="1.0" encoding="utf-8"?>
<ds:datastoreItem xmlns:ds="http://schemas.openxmlformats.org/officeDocument/2006/customXml" ds:itemID="{E775AF29-6ED8-4A43-B8F9-15A86E7F929A}">
  <ds:schemaRefs/>
</ds:datastoreItem>
</file>

<file path=customXml/itemProps3.xml><?xml version="1.0" encoding="utf-8"?>
<ds:datastoreItem xmlns:ds="http://schemas.openxmlformats.org/officeDocument/2006/customXml" ds:itemID="{C14C82D8-83C8-4059-866E-5D8CCFDA78A1}">
  <ds:schemaRefs/>
</ds:datastoreItem>
</file>

<file path=customXml/itemProps30.xml><?xml version="1.0" encoding="utf-8"?>
<ds:datastoreItem xmlns:ds="http://schemas.openxmlformats.org/officeDocument/2006/customXml" ds:itemID="{271FAB0A-3DCC-4B6B-AFBE-BA7C379247B1}">
  <ds:schemaRefs/>
</ds:datastoreItem>
</file>

<file path=customXml/itemProps31.xml><?xml version="1.0" encoding="utf-8"?>
<ds:datastoreItem xmlns:ds="http://schemas.openxmlformats.org/officeDocument/2006/customXml" ds:itemID="{CDDDB97D-131F-4239-A6B6-D7258E8291A6}">
  <ds:schemaRefs/>
</ds:datastoreItem>
</file>

<file path=customXml/itemProps32.xml><?xml version="1.0" encoding="utf-8"?>
<ds:datastoreItem xmlns:ds="http://schemas.openxmlformats.org/officeDocument/2006/customXml" ds:itemID="{E75CB3B6-C95D-4F82-97B5-BE46305E0DD0}">
  <ds:schemaRefs/>
</ds:datastoreItem>
</file>

<file path=customXml/itemProps33.xml><?xml version="1.0" encoding="utf-8"?>
<ds:datastoreItem xmlns:ds="http://schemas.openxmlformats.org/officeDocument/2006/customXml" ds:itemID="{EB4BAD46-A2C6-4137-90A4-8901F2A20F85}">
  <ds:schemaRefs/>
</ds:datastoreItem>
</file>

<file path=customXml/itemProps34.xml><?xml version="1.0" encoding="utf-8"?>
<ds:datastoreItem xmlns:ds="http://schemas.openxmlformats.org/officeDocument/2006/customXml" ds:itemID="{BF0A2533-32C0-46F8-A9BF-690C1CE487E4}">
  <ds:schemaRefs/>
</ds:datastoreItem>
</file>

<file path=customXml/itemProps35.xml><?xml version="1.0" encoding="utf-8"?>
<ds:datastoreItem xmlns:ds="http://schemas.openxmlformats.org/officeDocument/2006/customXml" ds:itemID="{C48AD3C4-D850-4092-8BCF-068ACE666B50}">
  <ds:schemaRefs/>
</ds:datastoreItem>
</file>

<file path=customXml/itemProps36.xml><?xml version="1.0" encoding="utf-8"?>
<ds:datastoreItem xmlns:ds="http://schemas.openxmlformats.org/officeDocument/2006/customXml" ds:itemID="{09047413-6524-4909-838B-8102FAA943A6}">
  <ds:schemaRefs/>
</ds:datastoreItem>
</file>

<file path=customXml/itemProps37.xml><?xml version="1.0" encoding="utf-8"?>
<ds:datastoreItem xmlns:ds="http://schemas.openxmlformats.org/officeDocument/2006/customXml" ds:itemID="{E7E08421-23AF-4DE4-9CA6-8C727D4AC548}">
  <ds:schemaRefs/>
</ds:datastoreItem>
</file>

<file path=customXml/itemProps38.xml><?xml version="1.0" encoding="utf-8"?>
<ds:datastoreItem xmlns:ds="http://schemas.openxmlformats.org/officeDocument/2006/customXml" ds:itemID="{9240E5AB-B28D-4F4D-A685-5E3261153D3E}">
  <ds:schemaRefs/>
</ds:datastoreItem>
</file>

<file path=customXml/itemProps39.xml><?xml version="1.0" encoding="utf-8"?>
<ds:datastoreItem xmlns:ds="http://schemas.openxmlformats.org/officeDocument/2006/customXml" ds:itemID="{9F13E6C3-E322-43B8-9C31-6B7C6D15045E}">
  <ds:schemaRefs/>
</ds:datastoreItem>
</file>

<file path=customXml/itemProps4.xml><?xml version="1.0" encoding="utf-8"?>
<ds:datastoreItem xmlns:ds="http://schemas.openxmlformats.org/officeDocument/2006/customXml" ds:itemID="{C1BA93AB-27F5-4AF3-AE88-8831BAF61E40}">
  <ds:schemaRefs/>
</ds:datastoreItem>
</file>

<file path=customXml/itemProps40.xml><?xml version="1.0" encoding="utf-8"?>
<ds:datastoreItem xmlns:ds="http://schemas.openxmlformats.org/officeDocument/2006/customXml" ds:itemID="{8A47D644-578B-4528-BF0B-AA7D2693C3A7}">
  <ds:schemaRefs/>
</ds:datastoreItem>
</file>

<file path=customXml/itemProps41.xml><?xml version="1.0" encoding="utf-8"?>
<ds:datastoreItem xmlns:ds="http://schemas.openxmlformats.org/officeDocument/2006/customXml" ds:itemID="{F78473D3-59A6-4526-A5FB-5214D781FD2B}">
  <ds:schemaRefs/>
</ds:datastoreItem>
</file>

<file path=customXml/itemProps42.xml><?xml version="1.0" encoding="utf-8"?>
<ds:datastoreItem xmlns:ds="http://schemas.openxmlformats.org/officeDocument/2006/customXml" ds:itemID="{9009A626-5F8F-4452-B063-B614141935D4}">
  <ds:schemaRefs/>
</ds:datastoreItem>
</file>

<file path=customXml/itemProps43.xml><?xml version="1.0" encoding="utf-8"?>
<ds:datastoreItem xmlns:ds="http://schemas.openxmlformats.org/officeDocument/2006/customXml" ds:itemID="{00D68C04-8AB3-453D-AFAF-0A66FC7900E0}">
  <ds:schemaRefs/>
</ds:datastoreItem>
</file>

<file path=customXml/itemProps44.xml><?xml version="1.0" encoding="utf-8"?>
<ds:datastoreItem xmlns:ds="http://schemas.openxmlformats.org/officeDocument/2006/customXml" ds:itemID="{B4511DFA-4345-4010-A179-EF726E652085}">
  <ds:schemaRefs/>
</ds:datastoreItem>
</file>

<file path=customXml/itemProps45.xml><?xml version="1.0" encoding="utf-8"?>
<ds:datastoreItem xmlns:ds="http://schemas.openxmlformats.org/officeDocument/2006/customXml" ds:itemID="{DA9D18F8-68AB-43C5-8DB1-B5BC1A694608}">
  <ds:schemaRefs/>
</ds:datastoreItem>
</file>

<file path=customXml/itemProps46.xml><?xml version="1.0" encoding="utf-8"?>
<ds:datastoreItem xmlns:ds="http://schemas.openxmlformats.org/officeDocument/2006/customXml" ds:itemID="{948EC1E5-49DC-4D8C-BCF3-580295D1D9E2}">
  <ds:schemaRefs/>
</ds:datastoreItem>
</file>

<file path=customXml/itemProps47.xml><?xml version="1.0" encoding="utf-8"?>
<ds:datastoreItem xmlns:ds="http://schemas.openxmlformats.org/officeDocument/2006/customXml" ds:itemID="{0BC6A735-3A3C-4674-9150-CCFAAE4DB85C}">
  <ds:schemaRefs/>
</ds:datastoreItem>
</file>

<file path=customXml/itemProps48.xml><?xml version="1.0" encoding="utf-8"?>
<ds:datastoreItem xmlns:ds="http://schemas.openxmlformats.org/officeDocument/2006/customXml" ds:itemID="{6B74F92E-C6EF-47F6-B7B9-ED4A168DB397}">
  <ds:schemaRefs/>
</ds:datastoreItem>
</file>

<file path=customXml/itemProps49.xml><?xml version="1.0" encoding="utf-8"?>
<ds:datastoreItem xmlns:ds="http://schemas.openxmlformats.org/officeDocument/2006/customXml" ds:itemID="{CF46853F-2F17-439E-B773-1A91692CE939}">
  <ds:schemaRefs/>
</ds:datastoreItem>
</file>

<file path=customXml/itemProps5.xml><?xml version="1.0" encoding="utf-8"?>
<ds:datastoreItem xmlns:ds="http://schemas.openxmlformats.org/officeDocument/2006/customXml" ds:itemID="{10D68176-02F3-4778-ADA6-B84050907C01}">
  <ds:schemaRefs/>
</ds:datastoreItem>
</file>

<file path=customXml/itemProps50.xml><?xml version="1.0" encoding="utf-8"?>
<ds:datastoreItem xmlns:ds="http://schemas.openxmlformats.org/officeDocument/2006/customXml" ds:itemID="{13B87101-A783-4681-B39F-AE378A25EA76}">
  <ds:schemaRefs/>
</ds:datastoreItem>
</file>

<file path=customXml/itemProps51.xml><?xml version="1.0" encoding="utf-8"?>
<ds:datastoreItem xmlns:ds="http://schemas.openxmlformats.org/officeDocument/2006/customXml" ds:itemID="{D483517D-95A0-4F62-9F5A-B740582B485B}">
  <ds:schemaRefs/>
</ds:datastoreItem>
</file>

<file path=customXml/itemProps6.xml><?xml version="1.0" encoding="utf-8"?>
<ds:datastoreItem xmlns:ds="http://schemas.openxmlformats.org/officeDocument/2006/customXml" ds:itemID="{D16329C2-5C2A-4183-A762-5E4219DBCF77}">
  <ds:schemaRefs/>
</ds:datastoreItem>
</file>

<file path=customXml/itemProps7.xml><?xml version="1.0" encoding="utf-8"?>
<ds:datastoreItem xmlns:ds="http://schemas.openxmlformats.org/officeDocument/2006/customXml" ds:itemID="{D1D1961C-DE35-479D-8EA7-699DDCCCCBA6}">
  <ds:schemaRefs/>
</ds:datastoreItem>
</file>

<file path=customXml/itemProps8.xml><?xml version="1.0" encoding="utf-8"?>
<ds:datastoreItem xmlns:ds="http://schemas.openxmlformats.org/officeDocument/2006/customXml" ds:itemID="{06930DD7-0D5B-4FBD-82D3-04D067A1705A}">
  <ds:schemaRefs/>
</ds:datastoreItem>
</file>

<file path=customXml/itemProps9.xml><?xml version="1.0" encoding="utf-8"?>
<ds:datastoreItem xmlns:ds="http://schemas.openxmlformats.org/officeDocument/2006/customXml" ds:itemID="{56E616F4-E220-4C99-A462-69ACA89B76A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108</Pages>
  <Words>31479</Words>
  <Characters>33329</Characters>
  <Lines>602</Lines>
  <Paragraphs>169</Paragraphs>
  <TotalTime>152</TotalTime>
  <ScaleCrop>false</ScaleCrop>
  <LinksUpToDate>false</LinksUpToDate>
  <CharactersWithSpaces>33622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2026-01-24T10:51:00Z</dcterms:created>
  <dc:creator>thtf</dc:creator>
  <cp:lastModifiedBy>雨过天晴</cp:lastModifiedBy>
  <cp:lastPrinted>2025-01-23T07:14:00Z</cp:lastPrinted>
  <dcterms:modified xsi:type="dcterms:W3CDTF">2026-04-13T06:34:18Z</dcterms:modified>
  <dc:title>公开招标采购文件范本</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A4208432975B428FA141BE7DDACB3C4B_13</vt:lpwstr>
  </property>
  <property fmtid="{D5CDD505-2E9C-101B-9397-08002B2CF9AE}" pid="4" name="KSOTemplateDocerSaveRecord">
    <vt:lpwstr>eyJoZGlkIjoiN2NiMTI3MDRiZWJlZDRkZTA3NmY0MjY1ZjJiMjJkMzMiLCJ1c2VySWQiOiI3MDAxMTU0MTgifQ==</vt:lpwstr>
  </property>
</Properties>
</file>