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5E70ED">
      <w:pPr>
        <w:pStyle w:val="19"/>
        <w:tabs>
          <w:tab w:val="left" w:pos="5670"/>
        </w:tabs>
        <w:kinsoku w:val="0"/>
        <w:overflowPunct w:val="0"/>
        <w:rPr>
          <w:rFonts w:hint="eastAsia"/>
          <w:color w:val="auto"/>
          <w:highlight w:val="none"/>
        </w:rPr>
      </w:pPr>
      <w:bookmarkStart w:id="0" w:name="_Toc183682338"/>
      <w:bookmarkStart w:id="1" w:name="_Toc217446030"/>
    </w:p>
    <w:p w14:paraId="3114F97C">
      <w:pPr>
        <w:tabs>
          <w:tab w:val="left" w:pos="1710"/>
        </w:tabs>
        <w:rPr>
          <w:color w:val="auto"/>
          <w:highlight w:val="none"/>
        </w:rPr>
      </w:pPr>
    </w:p>
    <w:p w14:paraId="7461D23B">
      <w:pPr>
        <w:tabs>
          <w:tab w:val="left" w:pos="1710"/>
        </w:tabs>
        <w:rPr>
          <w:color w:val="auto"/>
          <w:highlight w:val="none"/>
        </w:rPr>
      </w:pPr>
    </w:p>
    <w:p w14:paraId="23AF642F">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64B5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9" w:hRule="atLeast"/>
          <w:jc w:val="center"/>
        </w:trPr>
        <w:tc>
          <w:tcPr>
            <w:tcW w:w="7197" w:type="dxa"/>
            <w:gridSpan w:val="2"/>
            <w:tcBorders>
              <w:top w:val="nil"/>
              <w:left w:val="nil"/>
              <w:right w:val="nil"/>
            </w:tcBorders>
            <w:noWrap w:val="0"/>
            <w:vAlign w:val="top"/>
          </w:tcPr>
          <w:p w14:paraId="63A050CD">
            <w:pPr>
              <w:snapToGrid w:val="0"/>
              <w:spacing w:line="240" w:lineRule="atLeast"/>
              <w:jc w:val="center"/>
              <w:rPr>
                <w:b/>
                <w:color w:val="auto"/>
                <w:sz w:val="60"/>
                <w:szCs w:val="60"/>
                <w:highlight w:val="none"/>
              </w:rPr>
            </w:pPr>
            <w:r>
              <w:rPr>
                <w:rFonts w:hint="eastAsia"/>
                <w:b/>
                <w:color w:val="auto"/>
                <w:sz w:val="60"/>
                <w:szCs w:val="60"/>
                <w:highlight w:val="none"/>
              </w:rPr>
              <w:t>征  集</w:t>
            </w:r>
            <w:r>
              <w:rPr>
                <w:b/>
                <w:color w:val="auto"/>
                <w:sz w:val="60"/>
                <w:szCs w:val="60"/>
                <w:highlight w:val="none"/>
              </w:rPr>
              <w:t xml:space="preserve">  文</w:t>
            </w:r>
            <w:r>
              <w:rPr>
                <w:rFonts w:hint="eastAsia"/>
                <w:b/>
                <w:color w:val="auto"/>
                <w:sz w:val="60"/>
                <w:szCs w:val="60"/>
                <w:highlight w:val="none"/>
              </w:rPr>
              <w:t xml:space="preserve"> </w:t>
            </w:r>
            <w:r>
              <w:rPr>
                <w:b/>
                <w:color w:val="auto"/>
                <w:sz w:val="60"/>
                <w:szCs w:val="60"/>
                <w:highlight w:val="none"/>
              </w:rPr>
              <w:t xml:space="preserve"> 件</w:t>
            </w:r>
          </w:p>
        </w:tc>
      </w:tr>
      <w:tr w14:paraId="0B53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9B21635">
            <w:pPr>
              <w:rPr>
                <w:b/>
                <w:color w:val="auto"/>
                <w:sz w:val="32"/>
                <w:szCs w:val="32"/>
                <w:highlight w:val="none"/>
              </w:rPr>
            </w:pPr>
            <w:r>
              <w:rPr>
                <w:b/>
                <w:color w:val="auto"/>
                <w:sz w:val="32"/>
                <w:szCs w:val="32"/>
                <w:highlight w:val="none"/>
              </w:rPr>
              <w:t>项目名称：</w:t>
            </w:r>
          </w:p>
        </w:tc>
        <w:tc>
          <w:tcPr>
            <w:tcW w:w="5433" w:type="dxa"/>
            <w:noWrap w:val="0"/>
            <w:vAlign w:val="center"/>
          </w:tcPr>
          <w:p w14:paraId="26EC786C">
            <w:pPr>
              <w:rPr>
                <w:rFonts w:hint="eastAsia"/>
                <w:b/>
                <w:color w:val="auto"/>
                <w:sz w:val="32"/>
                <w:szCs w:val="32"/>
                <w:highlight w:val="none"/>
              </w:rPr>
            </w:pPr>
            <w:r>
              <w:rPr>
                <w:rFonts w:hint="eastAsia"/>
                <w:b/>
                <w:color w:val="auto"/>
                <w:sz w:val="32"/>
                <w:szCs w:val="32"/>
                <w:highlight w:val="none"/>
              </w:rPr>
              <w:t>钟山县财政局2026～2028年度政府投资项目评审服务项目</w:t>
            </w:r>
          </w:p>
        </w:tc>
      </w:tr>
      <w:tr w14:paraId="672D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D057F7D">
            <w:pPr>
              <w:rPr>
                <w:b/>
                <w:color w:val="auto"/>
                <w:sz w:val="32"/>
                <w:szCs w:val="32"/>
                <w:highlight w:val="none"/>
              </w:rPr>
            </w:pPr>
            <w:r>
              <w:rPr>
                <w:b/>
                <w:color w:val="auto"/>
                <w:sz w:val="32"/>
                <w:szCs w:val="32"/>
                <w:highlight w:val="none"/>
              </w:rPr>
              <w:t>项目编号：</w:t>
            </w:r>
          </w:p>
        </w:tc>
        <w:tc>
          <w:tcPr>
            <w:tcW w:w="5433" w:type="dxa"/>
            <w:noWrap w:val="0"/>
            <w:vAlign w:val="center"/>
          </w:tcPr>
          <w:p w14:paraId="1A9007B4">
            <w:pPr>
              <w:rPr>
                <w:rFonts w:hint="eastAsia" w:eastAsia="宋体"/>
                <w:b/>
                <w:color w:val="auto"/>
                <w:sz w:val="32"/>
                <w:szCs w:val="32"/>
                <w:highlight w:val="none"/>
                <w:lang w:eastAsia="zh-CN"/>
              </w:rPr>
            </w:pPr>
            <w:r>
              <w:rPr>
                <w:rFonts w:hint="eastAsia"/>
                <w:b/>
                <w:color w:val="auto"/>
                <w:sz w:val="32"/>
                <w:szCs w:val="32"/>
                <w:highlight w:val="none"/>
                <w:lang w:eastAsia="zh-CN"/>
              </w:rPr>
              <w:t>HZZC2026-K3-220047-JDZB</w:t>
            </w:r>
          </w:p>
        </w:tc>
      </w:tr>
      <w:tr w14:paraId="1BF3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3E4D1EC">
            <w:pPr>
              <w:rPr>
                <w:b/>
                <w:color w:val="auto"/>
                <w:sz w:val="32"/>
                <w:szCs w:val="32"/>
                <w:highlight w:val="none"/>
              </w:rPr>
            </w:pPr>
            <w:r>
              <w:rPr>
                <w:b/>
                <w:color w:val="auto"/>
                <w:sz w:val="32"/>
                <w:szCs w:val="32"/>
                <w:highlight w:val="none"/>
              </w:rPr>
              <w:t>联系电话：</w:t>
            </w:r>
          </w:p>
        </w:tc>
        <w:tc>
          <w:tcPr>
            <w:tcW w:w="5433" w:type="dxa"/>
            <w:noWrap w:val="0"/>
            <w:vAlign w:val="center"/>
          </w:tcPr>
          <w:p w14:paraId="1B7DDF6E">
            <w:pPr>
              <w:rPr>
                <w:rFonts w:hint="eastAsia" w:eastAsia="宋体"/>
                <w:b/>
                <w:color w:val="auto"/>
                <w:sz w:val="32"/>
                <w:szCs w:val="32"/>
                <w:highlight w:val="none"/>
                <w:lang w:eastAsia="zh-CN"/>
              </w:rPr>
            </w:pPr>
            <w:r>
              <w:rPr>
                <w:b/>
                <w:color w:val="auto"/>
                <w:sz w:val="32"/>
                <w:szCs w:val="32"/>
                <w:highlight w:val="none"/>
              </w:rPr>
              <w:t>0771-</w:t>
            </w:r>
            <w:r>
              <w:rPr>
                <w:rFonts w:hint="eastAsia"/>
                <w:b/>
                <w:color w:val="auto"/>
                <w:sz w:val="32"/>
                <w:szCs w:val="32"/>
                <w:highlight w:val="none"/>
                <w:lang w:eastAsia="zh-CN"/>
              </w:rPr>
              <w:t>5782003</w:t>
            </w:r>
          </w:p>
        </w:tc>
      </w:tr>
    </w:tbl>
    <w:p w14:paraId="79137E53">
      <w:pPr>
        <w:tabs>
          <w:tab w:val="left" w:pos="1710"/>
        </w:tabs>
        <w:rPr>
          <w:color w:val="auto"/>
          <w:highlight w:val="none"/>
        </w:rPr>
      </w:pPr>
    </w:p>
    <w:p w14:paraId="525ADCF9">
      <w:pPr>
        <w:rPr>
          <w:color w:val="auto"/>
          <w:highlight w:val="none"/>
        </w:rPr>
      </w:pPr>
    </w:p>
    <w:p w14:paraId="0D858215">
      <w:pPr>
        <w:rPr>
          <w:color w:val="auto"/>
          <w:highlight w:val="none"/>
        </w:rPr>
      </w:pPr>
    </w:p>
    <w:p w14:paraId="7F92AE86">
      <w:pPr>
        <w:rPr>
          <w:color w:val="auto"/>
          <w:highlight w:val="none"/>
        </w:rPr>
      </w:pPr>
    </w:p>
    <w:p w14:paraId="2F0FC24F">
      <w:pPr>
        <w:rPr>
          <w:color w:val="auto"/>
          <w:highlight w:val="none"/>
        </w:rPr>
      </w:pPr>
    </w:p>
    <w:p w14:paraId="4D33B4D9">
      <w:pPr>
        <w:rPr>
          <w:color w:val="auto"/>
          <w:highlight w:val="none"/>
        </w:rPr>
      </w:pPr>
    </w:p>
    <w:p w14:paraId="6CE85A3E">
      <w:pPr>
        <w:rPr>
          <w:color w:val="auto"/>
          <w:highlight w:val="none"/>
        </w:rPr>
      </w:pPr>
    </w:p>
    <w:p w14:paraId="1131012C">
      <w:pPr>
        <w:rPr>
          <w:color w:val="auto"/>
          <w:highlight w:val="none"/>
        </w:rPr>
      </w:pPr>
    </w:p>
    <w:p w14:paraId="24664B4D">
      <w:pPr>
        <w:rPr>
          <w:color w:val="auto"/>
          <w:highlight w:val="none"/>
        </w:rPr>
      </w:pPr>
    </w:p>
    <w:p w14:paraId="78A8F9EB">
      <w:pPr>
        <w:rPr>
          <w:color w:val="auto"/>
          <w:highlight w:val="none"/>
        </w:rPr>
      </w:pPr>
    </w:p>
    <w:p w14:paraId="4670C837">
      <w:pPr>
        <w:rPr>
          <w:color w:val="auto"/>
          <w:highlight w:val="none"/>
        </w:rPr>
      </w:pPr>
    </w:p>
    <w:p w14:paraId="024E756D">
      <w:pPr>
        <w:rPr>
          <w:color w:val="auto"/>
          <w:highlight w:val="none"/>
        </w:rPr>
      </w:pPr>
    </w:p>
    <w:p w14:paraId="68A47AC9">
      <w:pPr>
        <w:rPr>
          <w:color w:val="auto"/>
          <w:highlight w:val="none"/>
        </w:rPr>
      </w:pPr>
    </w:p>
    <w:p w14:paraId="7B3EA404">
      <w:pPr>
        <w:rPr>
          <w:color w:val="auto"/>
          <w:highlight w:val="none"/>
        </w:rPr>
      </w:pPr>
    </w:p>
    <w:p w14:paraId="3CCE1969">
      <w:pPr>
        <w:rPr>
          <w:color w:val="auto"/>
          <w:highlight w:val="none"/>
        </w:rPr>
      </w:pPr>
    </w:p>
    <w:tbl>
      <w:tblPr>
        <w:tblStyle w:val="51"/>
        <w:tblW w:w="0" w:type="auto"/>
        <w:tblInd w:w="-593" w:type="dxa"/>
        <w:tblLayout w:type="fixed"/>
        <w:tblCellMar>
          <w:top w:w="0" w:type="dxa"/>
          <w:left w:w="108" w:type="dxa"/>
          <w:bottom w:w="0" w:type="dxa"/>
          <w:right w:w="108" w:type="dxa"/>
        </w:tblCellMar>
      </w:tblPr>
      <w:tblGrid>
        <w:gridCol w:w="2977"/>
        <w:gridCol w:w="6"/>
        <w:gridCol w:w="6127"/>
      </w:tblGrid>
      <w:tr w14:paraId="5779D380">
        <w:trPr>
          <w:trHeight w:val="723" w:hRule="atLeast"/>
        </w:trPr>
        <w:tc>
          <w:tcPr>
            <w:tcW w:w="2977" w:type="dxa"/>
            <w:noWrap w:val="0"/>
            <w:vAlign w:val="center"/>
          </w:tcPr>
          <w:p w14:paraId="3C0BC417">
            <w:pPr>
              <w:autoSpaceDE w:val="0"/>
              <w:autoSpaceDN w:val="0"/>
              <w:adjustRightInd w:val="0"/>
              <w:jc w:val="right"/>
              <w:rPr>
                <w:b/>
                <w:color w:val="auto"/>
                <w:sz w:val="32"/>
                <w:szCs w:val="32"/>
                <w:highlight w:val="none"/>
              </w:rPr>
            </w:pPr>
            <w:bookmarkStart w:id="2" w:name="_Hlk97503251"/>
            <w:r>
              <w:rPr>
                <w:b/>
                <w:color w:val="auto"/>
                <w:sz w:val="32"/>
                <w:szCs w:val="32"/>
                <w:highlight w:val="none"/>
              </w:rPr>
              <w:t xml:space="preserve">  征集人：</w:t>
            </w:r>
          </w:p>
        </w:tc>
        <w:tc>
          <w:tcPr>
            <w:tcW w:w="6133" w:type="dxa"/>
            <w:gridSpan w:val="2"/>
            <w:noWrap w:val="0"/>
            <w:vAlign w:val="center"/>
          </w:tcPr>
          <w:p w14:paraId="0133AA0C">
            <w:pPr>
              <w:autoSpaceDE w:val="0"/>
              <w:autoSpaceDN w:val="0"/>
              <w:adjustRightInd w:val="0"/>
              <w:jc w:val="left"/>
              <w:rPr>
                <w:b/>
                <w:color w:val="auto"/>
                <w:sz w:val="32"/>
                <w:szCs w:val="32"/>
                <w:highlight w:val="none"/>
              </w:rPr>
            </w:pPr>
            <w:r>
              <w:rPr>
                <w:rFonts w:hint="eastAsia"/>
                <w:b/>
                <w:color w:val="auto"/>
                <w:sz w:val="32"/>
                <w:szCs w:val="32"/>
                <w:highlight w:val="none"/>
              </w:rPr>
              <w:t>钟山县财政局</w:t>
            </w:r>
          </w:p>
        </w:tc>
      </w:tr>
      <w:bookmarkEnd w:id="2"/>
      <w:tr w14:paraId="2BFA802D">
        <w:tblPrEx>
          <w:tblCellMar>
            <w:top w:w="0" w:type="dxa"/>
            <w:left w:w="108" w:type="dxa"/>
            <w:bottom w:w="0" w:type="dxa"/>
            <w:right w:w="108" w:type="dxa"/>
          </w:tblCellMar>
        </w:tblPrEx>
        <w:trPr>
          <w:trHeight w:val="723" w:hRule="atLeast"/>
        </w:trPr>
        <w:tc>
          <w:tcPr>
            <w:tcW w:w="2983" w:type="dxa"/>
            <w:gridSpan w:val="2"/>
            <w:noWrap w:val="0"/>
            <w:vAlign w:val="top"/>
          </w:tcPr>
          <w:p w14:paraId="22C7AA05">
            <w:pPr>
              <w:wordWrap w:val="0"/>
              <w:autoSpaceDE w:val="0"/>
              <w:autoSpaceDN w:val="0"/>
              <w:adjustRightInd w:val="0"/>
              <w:jc w:val="right"/>
              <w:rPr>
                <w:b/>
                <w:color w:val="auto"/>
                <w:sz w:val="32"/>
                <w:szCs w:val="32"/>
                <w:highlight w:val="none"/>
              </w:rPr>
            </w:pPr>
            <w:r>
              <w:rPr>
                <w:rFonts w:hint="eastAsia"/>
                <w:b/>
                <w:color w:val="auto"/>
                <w:sz w:val="32"/>
                <w:szCs w:val="32"/>
                <w:highlight w:val="none"/>
              </w:rPr>
              <w:t xml:space="preserve">  </w:t>
            </w:r>
            <w:r>
              <w:rPr>
                <w:b/>
                <w:color w:val="auto"/>
                <w:sz w:val="32"/>
                <w:szCs w:val="32"/>
                <w:highlight w:val="none"/>
              </w:rPr>
              <w:t>采购代理机构：</w:t>
            </w:r>
          </w:p>
        </w:tc>
        <w:tc>
          <w:tcPr>
            <w:tcW w:w="6127" w:type="dxa"/>
            <w:noWrap w:val="0"/>
            <w:vAlign w:val="top"/>
          </w:tcPr>
          <w:p w14:paraId="7BE6F510">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08EB0449">
      <w:pPr>
        <w:rPr>
          <w:color w:val="auto"/>
          <w:highlight w:val="none"/>
        </w:rPr>
      </w:pPr>
    </w:p>
    <w:p w14:paraId="021AEE24">
      <w:pPr>
        <w:ind w:firstLine="321" w:firstLineChars="100"/>
        <w:jc w:val="center"/>
        <w:rPr>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3" w:name="_Toc32587"/>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5</w:t>
      </w:r>
      <w:r>
        <w:rPr>
          <w:b/>
          <w:color w:val="auto"/>
          <w:sz w:val="32"/>
          <w:szCs w:val="32"/>
          <w:highlight w:val="none"/>
        </w:rPr>
        <w:t>月</w:t>
      </w:r>
    </w:p>
    <w:p w14:paraId="28A15859">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4" w:name="_Toc97561713"/>
      <w:bookmarkStart w:id="5" w:name="_Toc29044"/>
      <w:r>
        <w:rPr>
          <w:rFonts w:ascii="Times New Roman" w:hAnsi="Times New Roman" w:cs="Times New Roman"/>
          <w:color w:val="auto"/>
          <w:sz w:val="32"/>
          <w:szCs w:val="32"/>
          <w:highlight w:val="none"/>
        </w:rPr>
        <w:t>目    录</w:t>
      </w:r>
      <w:bookmarkEnd w:id="3"/>
      <w:bookmarkEnd w:id="4"/>
      <w:bookmarkEnd w:id="5"/>
    </w:p>
    <w:p w14:paraId="539CCB3B">
      <w:pPr>
        <w:pStyle w:val="33"/>
        <w:tabs>
          <w:tab w:val="right" w:leader="dot" w:pos="9070"/>
          <w:tab w:val="clear" w:pos="8398"/>
        </w:tabs>
        <w:spacing w:line="360" w:lineRule="auto"/>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_Toc15598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 xml:space="preserve">第一章  </w:t>
      </w:r>
      <w:r>
        <w:rPr>
          <w:rFonts w:hint="eastAsia" w:ascii="Times New Roman" w:hAnsi="Times New Roman" w:cs="Times New Roman"/>
          <w:color w:val="auto"/>
          <w:szCs w:val="32"/>
          <w:highlight w:val="none"/>
        </w:rPr>
        <w:t>征集</w:t>
      </w:r>
      <w:r>
        <w:rPr>
          <w:rFonts w:ascii="Times New Roman" w:hAnsi="Times New Roman" w:cs="Times New Roman"/>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_Toc15598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706348F0">
      <w:pPr>
        <w:pStyle w:val="33"/>
        <w:tabs>
          <w:tab w:val="right" w:leader="dot" w:pos="9070"/>
          <w:tab w:val="clear" w:pos="8398"/>
        </w:tabs>
        <w:spacing w:line="360" w:lineRule="auto"/>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_Toc30896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_Toc30896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7B4DA692">
      <w:pPr>
        <w:pStyle w:val="33"/>
        <w:tabs>
          <w:tab w:val="right" w:leader="dot" w:pos="9070"/>
          <w:tab w:val="clear" w:pos="8398"/>
        </w:tabs>
        <w:spacing w:line="360" w:lineRule="auto"/>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_Toc966 </w:instrText>
      </w:r>
      <w:r>
        <w:rPr>
          <w:rFonts w:ascii="Times New Roman" w:hAnsi="Times New Roman"/>
          <w:color w:val="auto"/>
          <w:szCs w:val="28"/>
          <w:highlight w:val="none"/>
        </w:rPr>
        <w:fldChar w:fldCharType="separate"/>
      </w:r>
      <w:r>
        <w:rPr>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_Toc966 \h </w:instrText>
      </w:r>
      <w:r>
        <w:rPr>
          <w:color w:val="auto"/>
          <w:highlight w:val="none"/>
        </w:rPr>
        <w:fldChar w:fldCharType="separate"/>
      </w:r>
      <w:r>
        <w:rPr>
          <w:color w:val="auto"/>
          <w:highlight w:val="none"/>
        </w:rPr>
        <w:t>8</w:t>
      </w:r>
      <w:r>
        <w:rPr>
          <w:color w:val="auto"/>
          <w:highlight w:val="none"/>
        </w:rPr>
        <w:fldChar w:fldCharType="end"/>
      </w:r>
      <w:r>
        <w:rPr>
          <w:rFonts w:ascii="Times New Roman" w:hAnsi="Times New Roman"/>
          <w:color w:val="auto"/>
          <w:szCs w:val="28"/>
          <w:highlight w:val="none"/>
        </w:rPr>
        <w:fldChar w:fldCharType="end"/>
      </w:r>
    </w:p>
    <w:p w14:paraId="51BEA8CF">
      <w:pPr>
        <w:pStyle w:val="33"/>
        <w:tabs>
          <w:tab w:val="right" w:leader="dot" w:pos="9070"/>
          <w:tab w:val="clear" w:pos="8398"/>
        </w:tabs>
        <w:spacing w:line="360" w:lineRule="auto"/>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_Toc7330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_Toc7330 \h </w:instrText>
      </w:r>
      <w:r>
        <w:rPr>
          <w:color w:val="auto"/>
          <w:highlight w:val="none"/>
        </w:rPr>
        <w:fldChar w:fldCharType="separate"/>
      </w:r>
      <w:r>
        <w:rPr>
          <w:color w:val="auto"/>
          <w:highlight w:val="none"/>
        </w:rPr>
        <w:t>25</w:t>
      </w:r>
      <w:r>
        <w:rPr>
          <w:color w:val="auto"/>
          <w:highlight w:val="none"/>
        </w:rPr>
        <w:fldChar w:fldCharType="end"/>
      </w:r>
      <w:r>
        <w:rPr>
          <w:rFonts w:ascii="Times New Roman" w:hAnsi="Times New Roman"/>
          <w:color w:val="auto"/>
          <w:szCs w:val="28"/>
          <w:highlight w:val="none"/>
        </w:rPr>
        <w:fldChar w:fldCharType="end"/>
      </w:r>
    </w:p>
    <w:p w14:paraId="18A54B2B">
      <w:pPr>
        <w:pStyle w:val="33"/>
        <w:tabs>
          <w:tab w:val="right" w:leader="dot" w:pos="9070"/>
          <w:tab w:val="clear" w:pos="8398"/>
        </w:tabs>
        <w:spacing w:line="360" w:lineRule="auto"/>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_Toc1062 </w:instrText>
      </w:r>
      <w:r>
        <w:rPr>
          <w:rFonts w:ascii="Times New Roman" w:hAnsi="Times New Roman"/>
          <w:color w:val="auto"/>
          <w:szCs w:val="28"/>
          <w:highlight w:val="none"/>
        </w:rPr>
        <w:fldChar w:fldCharType="separate"/>
      </w:r>
      <w:r>
        <w:rPr>
          <w:color w:val="auto"/>
          <w:szCs w:val="32"/>
          <w:highlight w:val="none"/>
        </w:rPr>
        <w:t xml:space="preserve">第五章  </w:t>
      </w:r>
      <w:r>
        <w:rPr>
          <w:rFonts w:hint="eastAsia"/>
          <w:color w:val="auto"/>
          <w:szCs w:val="32"/>
          <w:highlight w:val="none"/>
        </w:rPr>
        <w:t>框架协议（格式）</w:t>
      </w:r>
      <w:r>
        <w:rPr>
          <w:color w:val="auto"/>
          <w:highlight w:val="none"/>
        </w:rPr>
        <w:tab/>
      </w:r>
      <w:r>
        <w:rPr>
          <w:color w:val="auto"/>
          <w:highlight w:val="none"/>
        </w:rPr>
        <w:fldChar w:fldCharType="begin"/>
      </w:r>
      <w:r>
        <w:rPr>
          <w:color w:val="auto"/>
          <w:highlight w:val="none"/>
        </w:rPr>
        <w:instrText xml:space="preserve"> PAGEREF _Toc1062 \h </w:instrText>
      </w:r>
      <w:r>
        <w:rPr>
          <w:color w:val="auto"/>
          <w:highlight w:val="none"/>
        </w:rPr>
        <w:fldChar w:fldCharType="separate"/>
      </w:r>
      <w:r>
        <w:rPr>
          <w:color w:val="auto"/>
          <w:highlight w:val="none"/>
        </w:rPr>
        <w:t>30</w:t>
      </w:r>
      <w:r>
        <w:rPr>
          <w:color w:val="auto"/>
          <w:highlight w:val="none"/>
        </w:rPr>
        <w:fldChar w:fldCharType="end"/>
      </w:r>
      <w:r>
        <w:rPr>
          <w:rFonts w:ascii="Times New Roman" w:hAnsi="Times New Roman"/>
          <w:color w:val="auto"/>
          <w:szCs w:val="28"/>
          <w:highlight w:val="none"/>
        </w:rPr>
        <w:fldChar w:fldCharType="end"/>
      </w:r>
    </w:p>
    <w:p w14:paraId="7B3998CF">
      <w:pPr>
        <w:pStyle w:val="33"/>
        <w:tabs>
          <w:tab w:val="right" w:leader="dot" w:pos="9070"/>
          <w:tab w:val="clear" w:pos="8398"/>
        </w:tabs>
        <w:spacing w:line="360" w:lineRule="auto"/>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_Toc22018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六</w:t>
      </w:r>
      <w:r>
        <w:rPr>
          <w:rFonts w:ascii="Times New Roman" w:hAnsi="Times New Roman" w:cs="Times New Roman"/>
          <w:color w:val="auto"/>
          <w:szCs w:val="32"/>
          <w:highlight w:val="none"/>
        </w:rPr>
        <w:t>章  合同主要条款格式</w:t>
      </w:r>
      <w:r>
        <w:rPr>
          <w:color w:val="auto"/>
          <w:highlight w:val="none"/>
        </w:rPr>
        <w:tab/>
      </w:r>
      <w:r>
        <w:rPr>
          <w:color w:val="auto"/>
          <w:highlight w:val="none"/>
        </w:rPr>
        <w:fldChar w:fldCharType="begin"/>
      </w:r>
      <w:r>
        <w:rPr>
          <w:color w:val="auto"/>
          <w:highlight w:val="none"/>
        </w:rPr>
        <w:instrText xml:space="preserve"> PAGEREF _Toc22018 \h </w:instrText>
      </w:r>
      <w:r>
        <w:rPr>
          <w:color w:val="auto"/>
          <w:highlight w:val="none"/>
        </w:rPr>
        <w:fldChar w:fldCharType="separate"/>
      </w:r>
      <w:r>
        <w:rPr>
          <w:color w:val="auto"/>
          <w:highlight w:val="none"/>
        </w:rPr>
        <w:t>42</w:t>
      </w:r>
      <w:r>
        <w:rPr>
          <w:color w:val="auto"/>
          <w:highlight w:val="none"/>
        </w:rPr>
        <w:fldChar w:fldCharType="end"/>
      </w:r>
      <w:r>
        <w:rPr>
          <w:rFonts w:ascii="Times New Roman" w:hAnsi="Times New Roman"/>
          <w:color w:val="auto"/>
          <w:szCs w:val="28"/>
          <w:highlight w:val="none"/>
        </w:rPr>
        <w:fldChar w:fldCharType="end"/>
      </w:r>
    </w:p>
    <w:p w14:paraId="028028B5">
      <w:pPr>
        <w:pStyle w:val="33"/>
        <w:tabs>
          <w:tab w:val="right" w:leader="dot" w:pos="9070"/>
          <w:tab w:val="clear" w:pos="8398"/>
        </w:tabs>
        <w:spacing w:line="360" w:lineRule="auto"/>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_Toc11046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七</w:t>
      </w:r>
      <w:r>
        <w:rPr>
          <w:rFonts w:ascii="Times New Roman" w:hAnsi="Times New Roman" w:cs="Times New Roman"/>
          <w:color w:val="auto"/>
          <w:szCs w:val="32"/>
          <w:highlight w:val="none"/>
        </w:rPr>
        <w:t>章  响应文件格式</w:t>
      </w:r>
      <w:r>
        <w:rPr>
          <w:color w:val="auto"/>
          <w:highlight w:val="none"/>
        </w:rPr>
        <w:tab/>
      </w:r>
      <w:r>
        <w:rPr>
          <w:color w:val="auto"/>
          <w:highlight w:val="none"/>
        </w:rPr>
        <w:fldChar w:fldCharType="begin"/>
      </w:r>
      <w:r>
        <w:rPr>
          <w:color w:val="auto"/>
          <w:highlight w:val="none"/>
        </w:rPr>
        <w:instrText xml:space="preserve"> PAGEREF _Toc11046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color w:val="auto"/>
          <w:szCs w:val="28"/>
          <w:highlight w:val="none"/>
        </w:rPr>
        <w:fldChar w:fldCharType="end"/>
      </w:r>
    </w:p>
    <w:p w14:paraId="462F99C6">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57A1E873">
      <w:pPr>
        <w:spacing w:before="120" w:beforeLines="50" w:line="480" w:lineRule="exact"/>
        <w:rPr>
          <w:color w:val="auto"/>
          <w:sz w:val="28"/>
          <w:szCs w:val="28"/>
          <w:highlight w:val="none"/>
        </w:rPr>
      </w:pPr>
    </w:p>
    <w:p w14:paraId="63198DC6">
      <w:pPr>
        <w:spacing w:before="120" w:beforeLines="50" w:line="480" w:lineRule="exact"/>
        <w:rPr>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13E444CD">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 w:name="_Toc254970489"/>
      <w:bookmarkStart w:id="7" w:name="_Toc254970630"/>
      <w:bookmarkStart w:id="8" w:name="_Toc15598"/>
      <w:r>
        <w:rPr>
          <w:rFonts w:ascii="Times New Roman" w:hAnsi="Times New Roman" w:cs="Times New Roman"/>
          <w:color w:val="auto"/>
          <w:sz w:val="32"/>
          <w:szCs w:val="32"/>
          <w:highlight w:val="none"/>
        </w:rPr>
        <w:t xml:space="preserve">第一章  </w:t>
      </w:r>
      <w:bookmarkEnd w:id="6"/>
      <w:bookmarkEnd w:id="7"/>
      <w:r>
        <w:rPr>
          <w:rFonts w:hint="eastAsia" w:ascii="Times New Roman" w:hAnsi="Times New Roman" w:cs="Times New Roman"/>
          <w:color w:val="auto"/>
          <w:sz w:val="32"/>
          <w:szCs w:val="32"/>
          <w:highlight w:val="none"/>
        </w:rPr>
        <w:t>征集</w:t>
      </w:r>
      <w:r>
        <w:rPr>
          <w:rFonts w:ascii="Times New Roman" w:hAnsi="Times New Roman" w:cs="Times New Roman"/>
          <w:color w:val="auto"/>
          <w:sz w:val="32"/>
          <w:szCs w:val="32"/>
          <w:highlight w:val="none"/>
        </w:rPr>
        <w:t>公告</w:t>
      </w:r>
      <w:bookmarkEnd w:id="8"/>
    </w:p>
    <w:p w14:paraId="4ED1EEF0">
      <w:pPr>
        <w:spacing w:line="400" w:lineRule="exact"/>
        <w:jc w:val="center"/>
        <w:rPr>
          <w:b/>
          <w:color w:val="auto"/>
          <w:sz w:val="24"/>
          <w:highlight w:val="none"/>
        </w:rPr>
      </w:pPr>
      <w:r>
        <w:rPr>
          <w:color w:val="auto"/>
          <w:kern w:val="0"/>
          <w:sz w:val="24"/>
          <w:highlight w:val="none"/>
        </w:rPr>
        <w:t>广西机电设备招标有限公司关于</w:t>
      </w:r>
      <w:r>
        <w:rPr>
          <w:rFonts w:hint="eastAsia"/>
          <w:color w:val="auto"/>
          <w:kern w:val="0"/>
          <w:sz w:val="24"/>
          <w:highlight w:val="none"/>
          <w:lang w:eastAsia="zh-CN"/>
        </w:rPr>
        <w:t>钟山县财政局2026～2028年度政府投资项目评审服务项目</w:t>
      </w:r>
      <w:r>
        <w:rPr>
          <w:color w:val="auto"/>
          <w:sz w:val="24"/>
          <w:highlight w:val="none"/>
        </w:rPr>
        <w:t>(</w:t>
      </w:r>
      <w:r>
        <w:rPr>
          <w:rFonts w:hint="eastAsia"/>
          <w:color w:val="auto"/>
          <w:sz w:val="24"/>
          <w:highlight w:val="none"/>
          <w:lang w:eastAsia="zh-CN"/>
        </w:rPr>
        <w:t>HZZC2026-K3-220047-JDZB</w:t>
      </w:r>
      <w:r>
        <w:rPr>
          <w:color w:val="auto"/>
          <w:sz w:val="24"/>
          <w:highlight w:val="none"/>
        </w:rPr>
        <w:t>)</w:t>
      </w:r>
      <w:r>
        <w:rPr>
          <w:rFonts w:hint="eastAsia"/>
          <w:color w:val="auto"/>
          <w:kern w:val="0"/>
          <w:sz w:val="24"/>
          <w:highlight w:val="none"/>
        </w:rPr>
        <w:t>征集</w:t>
      </w:r>
      <w:r>
        <w:rPr>
          <w:color w:val="auto"/>
          <w:kern w:val="0"/>
          <w:sz w:val="24"/>
          <w:highlight w:val="none"/>
        </w:rPr>
        <w:t>公告</w:t>
      </w:r>
    </w:p>
    <w:p w14:paraId="653E54C2">
      <w:pPr>
        <w:ind w:firstLine="409" w:firstLineChars="195"/>
        <w:jc w:val="left"/>
        <w:rPr>
          <w:color w:val="auto"/>
          <w:kern w:val="0"/>
          <w:szCs w:val="21"/>
          <w:highlight w:val="none"/>
        </w:rPr>
      </w:pPr>
    </w:p>
    <w:p w14:paraId="617A9116">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项目概况：</w:t>
      </w:r>
      <w:r>
        <w:rPr>
          <w:rFonts w:hint="eastAsia"/>
          <w:color w:val="auto"/>
          <w:kern w:val="0"/>
          <w:szCs w:val="21"/>
          <w:highlight w:val="none"/>
          <w:lang w:eastAsia="zh-CN"/>
        </w:rPr>
        <w:t>钟山县财政局2026～2028年度政府投资项目评审服务项目</w:t>
      </w:r>
      <w:r>
        <w:rPr>
          <w:rFonts w:hint="eastAsia"/>
          <w:color w:val="auto"/>
          <w:kern w:val="0"/>
          <w:szCs w:val="21"/>
          <w:highlight w:val="none"/>
        </w:rPr>
        <w:t>（</w:t>
      </w:r>
      <w:r>
        <w:rPr>
          <w:rFonts w:hint="eastAsia"/>
          <w:color w:val="auto"/>
          <w:kern w:val="0"/>
          <w:szCs w:val="21"/>
          <w:highlight w:val="none"/>
          <w:lang w:eastAsia="zh-CN"/>
        </w:rPr>
        <w:t>HZZC2026-K3-220047-JDZB</w:t>
      </w:r>
      <w:r>
        <w:rPr>
          <w:rFonts w:hint="eastAsia"/>
          <w:color w:val="auto"/>
          <w:kern w:val="0"/>
          <w:szCs w:val="21"/>
          <w:highlight w:val="none"/>
        </w:rPr>
        <w:t>）</w:t>
      </w:r>
      <w:r>
        <w:rPr>
          <w:rFonts w:hint="eastAsia"/>
          <w:color w:val="auto"/>
          <w:szCs w:val="21"/>
          <w:highlight w:val="none"/>
        </w:rPr>
        <w:t>的潜在供应商应在广西政府采购云平台（</w:t>
      </w:r>
      <w:r>
        <w:rPr>
          <w:color w:val="auto"/>
          <w:szCs w:val="21"/>
          <w:highlight w:val="none"/>
        </w:rPr>
        <w:t>https://www.gcy.zfcg.gxzf.gov.cn/</w:t>
      </w:r>
      <w:r>
        <w:rPr>
          <w:rFonts w:hint="eastAsia"/>
          <w:color w:val="auto"/>
          <w:szCs w:val="21"/>
          <w:highlight w:val="none"/>
        </w:rPr>
        <w:t>）获取（下载）征集文件，并于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9</w:t>
      </w:r>
      <w:r>
        <w:rPr>
          <w:rFonts w:hint="eastAsia"/>
          <w:color w:val="auto"/>
          <w:szCs w:val="21"/>
          <w:highlight w:val="none"/>
        </w:rPr>
        <w:t>日</w:t>
      </w:r>
      <w:r>
        <w:rPr>
          <w:rFonts w:hint="eastAsia"/>
          <w:color w:val="auto"/>
          <w:szCs w:val="21"/>
          <w:highlight w:val="none"/>
          <w:lang w:val="en-US" w:eastAsia="zh-CN"/>
        </w:rPr>
        <w:t>9</w:t>
      </w:r>
      <w:r>
        <w:rPr>
          <w:rFonts w:hint="eastAsia"/>
          <w:color w:val="auto"/>
          <w:szCs w:val="21"/>
          <w:highlight w:val="none"/>
        </w:rPr>
        <w:t>点</w:t>
      </w:r>
      <w:r>
        <w:rPr>
          <w:rFonts w:hint="eastAsia"/>
          <w:color w:val="auto"/>
          <w:szCs w:val="21"/>
          <w:highlight w:val="none"/>
          <w:lang w:val="en-US" w:eastAsia="zh-CN"/>
        </w:rPr>
        <w:t>00</w:t>
      </w:r>
      <w:r>
        <w:rPr>
          <w:rFonts w:hint="eastAsia"/>
          <w:color w:val="auto"/>
          <w:szCs w:val="21"/>
          <w:highlight w:val="none"/>
        </w:rPr>
        <w:t>分（北京时间）前递交响应</w:t>
      </w:r>
      <w:r>
        <w:rPr>
          <w:color w:val="auto"/>
          <w:szCs w:val="21"/>
          <w:highlight w:val="none"/>
        </w:rPr>
        <w:t>文件</w:t>
      </w:r>
      <w:r>
        <w:rPr>
          <w:rFonts w:hint="eastAsia"/>
          <w:color w:val="auto"/>
          <w:szCs w:val="21"/>
          <w:highlight w:val="none"/>
        </w:rPr>
        <w:t>。</w:t>
      </w:r>
    </w:p>
    <w:p w14:paraId="764F6A94">
      <w:pPr>
        <w:spacing w:line="312" w:lineRule="auto"/>
        <w:jc w:val="left"/>
        <w:rPr>
          <w:rFonts w:hint="eastAsia"/>
          <w:color w:val="auto"/>
          <w:kern w:val="0"/>
          <w:szCs w:val="21"/>
          <w:highlight w:val="none"/>
        </w:rPr>
      </w:pPr>
    </w:p>
    <w:p w14:paraId="2D46BB14">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3992F134">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项目编号：</w:t>
      </w:r>
      <w:r>
        <w:rPr>
          <w:rFonts w:hint="eastAsia"/>
          <w:color w:val="auto"/>
          <w:kern w:val="0"/>
          <w:szCs w:val="21"/>
          <w:highlight w:val="none"/>
          <w:lang w:eastAsia="zh-CN"/>
        </w:rPr>
        <w:t>HZZC2026-K3-220047-JDZB</w:t>
      </w:r>
    </w:p>
    <w:p w14:paraId="48581DA8">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2</w:t>
      </w:r>
      <w:r>
        <w:rPr>
          <w:rFonts w:hint="eastAsia"/>
          <w:color w:val="auto"/>
          <w:kern w:val="0"/>
          <w:szCs w:val="21"/>
          <w:highlight w:val="none"/>
        </w:rPr>
        <w:t>.</w:t>
      </w:r>
      <w:r>
        <w:rPr>
          <w:color w:val="auto"/>
          <w:kern w:val="0"/>
          <w:szCs w:val="21"/>
          <w:highlight w:val="none"/>
        </w:rPr>
        <w:t>项目名称：</w:t>
      </w:r>
      <w:r>
        <w:rPr>
          <w:rFonts w:hint="eastAsia"/>
          <w:color w:val="auto"/>
          <w:kern w:val="0"/>
          <w:szCs w:val="21"/>
          <w:highlight w:val="none"/>
          <w:lang w:eastAsia="zh-CN"/>
        </w:rPr>
        <w:t>钟山县财政局2026～2028年度政府投资项目评审服务项目</w:t>
      </w:r>
    </w:p>
    <w:p w14:paraId="2F5EC421">
      <w:pPr>
        <w:spacing w:line="312" w:lineRule="auto"/>
        <w:ind w:firstLine="420" w:firstLineChars="200"/>
        <w:jc w:val="left"/>
        <w:rPr>
          <w:color w:val="auto"/>
          <w:kern w:val="0"/>
          <w:szCs w:val="21"/>
          <w:highlight w:val="none"/>
        </w:rPr>
      </w:pPr>
      <w:r>
        <w:rPr>
          <w:rFonts w:hint="eastAsia"/>
          <w:color w:val="auto"/>
          <w:kern w:val="0"/>
          <w:szCs w:val="21"/>
          <w:highlight w:val="none"/>
        </w:rPr>
        <w:t>3.年度采购预算：经批准的年度部门预算安排的专项评审费，在低于最高限价的前提下以最终实际发生金额为准</w:t>
      </w:r>
    </w:p>
    <w:p w14:paraId="50FC5D30">
      <w:pPr>
        <w:spacing w:line="312" w:lineRule="auto"/>
        <w:ind w:firstLine="420" w:firstLineChars="200"/>
        <w:jc w:val="left"/>
        <w:rPr>
          <w:color w:val="auto"/>
          <w:kern w:val="0"/>
          <w:szCs w:val="21"/>
          <w:highlight w:val="none"/>
        </w:rPr>
      </w:pPr>
      <w:r>
        <w:rPr>
          <w:color w:val="auto"/>
          <w:kern w:val="0"/>
          <w:szCs w:val="21"/>
          <w:highlight w:val="none"/>
        </w:rPr>
        <w:t>4</w:t>
      </w:r>
      <w:r>
        <w:rPr>
          <w:rFonts w:hint="eastAsia"/>
          <w:color w:val="auto"/>
          <w:kern w:val="0"/>
          <w:szCs w:val="21"/>
          <w:highlight w:val="none"/>
        </w:rPr>
        <w:t>.</w:t>
      </w:r>
      <w:r>
        <w:rPr>
          <w:color w:val="auto"/>
          <w:kern w:val="0"/>
          <w:szCs w:val="21"/>
          <w:highlight w:val="none"/>
        </w:rPr>
        <w:t>最高</w:t>
      </w:r>
      <w:r>
        <w:rPr>
          <w:rFonts w:hint="eastAsia"/>
          <w:color w:val="auto"/>
          <w:kern w:val="0"/>
          <w:szCs w:val="21"/>
          <w:highlight w:val="none"/>
        </w:rPr>
        <w:t>限制单价</w:t>
      </w:r>
      <w:r>
        <w:rPr>
          <w:color w:val="auto"/>
          <w:kern w:val="0"/>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6"/>
        <w:gridCol w:w="7437"/>
      </w:tblGrid>
      <w:tr w14:paraId="369BE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07CE63E7">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标项</w:t>
            </w:r>
          </w:p>
        </w:tc>
        <w:tc>
          <w:tcPr>
            <w:tcW w:w="7437" w:type="dxa"/>
            <w:tcBorders>
              <w:top w:val="single" w:color="auto" w:sz="4" w:space="0"/>
              <w:left w:val="single" w:color="auto" w:sz="4" w:space="0"/>
              <w:bottom w:val="single" w:color="auto" w:sz="4" w:space="0"/>
              <w:right w:val="single" w:color="auto" w:sz="4" w:space="0"/>
            </w:tcBorders>
            <w:noWrap w:val="0"/>
            <w:vAlign w:val="center"/>
          </w:tcPr>
          <w:p w14:paraId="5C52E86E">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最高</w:t>
            </w:r>
            <w:r>
              <w:rPr>
                <w:rFonts w:hint="eastAsia" w:ascii="宋体" w:hAnsi="宋体" w:eastAsia="宋体" w:cs="宋体"/>
                <w:b/>
                <w:bCs/>
                <w:color w:val="auto"/>
                <w:szCs w:val="21"/>
                <w:highlight w:val="none"/>
              </w:rPr>
              <w:t>限价</w:t>
            </w:r>
          </w:p>
        </w:tc>
      </w:tr>
      <w:tr w14:paraId="0D419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70D8CDA8">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7437" w:type="dxa"/>
            <w:tcBorders>
              <w:top w:val="single" w:color="auto" w:sz="4" w:space="0"/>
              <w:left w:val="single" w:color="auto" w:sz="4" w:space="0"/>
              <w:bottom w:val="single" w:color="auto" w:sz="4" w:space="0"/>
              <w:right w:val="single" w:color="auto" w:sz="4" w:space="0"/>
            </w:tcBorders>
            <w:noWrap w:val="0"/>
            <w:vAlign w:val="center"/>
          </w:tcPr>
          <w:p w14:paraId="76BCCE09">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征集人将项目委托供应商</w:t>
            </w:r>
            <w:r>
              <w:rPr>
                <w:rFonts w:hint="eastAsia" w:ascii="宋体" w:hAnsi="宋体" w:eastAsia="宋体" w:cs="宋体"/>
                <w:color w:val="auto"/>
                <w:szCs w:val="21"/>
                <w:highlight w:val="none"/>
                <w:lang w:val="en-US" w:eastAsia="zh-CN"/>
              </w:rPr>
              <w:t>进行概（预）算、工程量清单和招标控制价</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时，按以下费率计算服务费用：</w:t>
            </w:r>
          </w:p>
          <w:p w14:paraId="78D9FC50">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审核工程概（预）算（含工程量清单、上限控制价），编审费按审查工程项目送审总造价1‰核定基本付费额。</w:t>
            </w:r>
          </w:p>
          <w:p w14:paraId="49B6CBCE">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审核工程概（预）算（含工程量清单、上限控制价），审减（增）费按审查定案净减（增）值的3%核定基本付费额。</w:t>
            </w:r>
          </w:p>
          <w:p w14:paraId="4D3288B3">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单个工程项目的评审服务费上限为80万元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单个工程项目评审服务费不足2500元的，按2500元付费；</w:t>
            </w:r>
          </w:p>
          <w:p w14:paraId="627D058F">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单个工程项目按上述两种费率合计计算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服务费的计算：评审服务费＝[编审费+审减（增）费]。</w:t>
            </w:r>
          </w:p>
          <w:p w14:paraId="43691F7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征集人将项目委托供应商进行结算评审服务时，按以下费率计算服务费用：</w:t>
            </w:r>
          </w:p>
          <w:p w14:paraId="160AB93E">
            <w:pPr>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编审费按审查工程项目送审总造价</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‰核定基本付费额。</w:t>
            </w:r>
          </w:p>
          <w:p w14:paraId="0D1FDD7A">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审减（增）费按审查定案净减（增）值的</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%核定基本付费额。</w:t>
            </w:r>
          </w:p>
          <w:p w14:paraId="4C967025">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单个工程项目评审服务费不足</w:t>
            </w:r>
            <w:r>
              <w:rPr>
                <w:rFonts w:hint="eastAsia" w:ascii="宋体" w:hAnsi="宋体" w:cs="宋体"/>
                <w:color w:val="auto"/>
                <w:szCs w:val="21"/>
                <w:highlight w:val="none"/>
                <w:lang w:val="en-US" w:eastAsia="zh-CN"/>
              </w:rPr>
              <w:t>2000</w:t>
            </w:r>
            <w:r>
              <w:rPr>
                <w:rFonts w:hint="eastAsia" w:ascii="宋体" w:hAnsi="宋体" w:eastAsia="宋体" w:cs="宋体"/>
                <w:color w:val="auto"/>
                <w:szCs w:val="21"/>
                <w:highlight w:val="none"/>
              </w:rPr>
              <w:t>元的，按</w:t>
            </w:r>
            <w:r>
              <w:rPr>
                <w:rFonts w:hint="eastAsia" w:ascii="宋体" w:hAnsi="宋体" w:cs="宋体"/>
                <w:color w:val="auto"/>
                <w:szCs w:val="21"/>
                <w:highlight w:val="none"/>
                <w:lang w:val="en-US" w:eastAsia="zh-CN"/>
              </w:rPr>
              <w:t>2000</w:t>
            </w:r>
            <w:r>
              <w:rPr>
                <w:rFonts w:hint="eastAsia" w:ascii="宋体" w:hAnsi="宋体" w:eastAsia="宋体" w:cs="宋体"/>
                <w:color w:val="auto"/>
                <w:szCs w:val="21"/>
                <w:highlight w:val="none"/>
              </w:rPr>
              <w:t>元付费，评审服务费无上限。</w:t>
            </w:r>
          </w:p>
          <w:p w14:paraId="77C37D87">
            <w:pPr>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.单个工程项目按上述两种费率合计计算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服务费的计算：评审服务费＝[编审费+审减（增）费]</w:t>
            </w:r>
            <w:r>
              <w:rPr>
                <w:rFonts w:hint="eastAsia" w:ascii="宋体" w:hAnsi="宋体" w:cs="宋体"/>
                <w:color w:val="auto"/>
                <w:szCs w:val="21"/>
                <w:highlight w:val="none"/>
                <w:lang w:eastAsia="zh-CN"/>
              </w:rPr>
              <w:t>。</w:t>
            </w:r>
          </w:p>
        </w:tc>
      </w:tr>
    </w:tbl>
    <w:p w14:paraId="4EF375C9">
      <w:pPr>
        <w:adjustRightInd w:val="0"/>
        <w:snapToGrid w:val="0"/>
        <w:spacing w:line="360" w:lineRule="exact"/>
        <w:ind w:firstLine="420" w:firstLineChars="200"/>
        <w:jc w:val="left"/>
        <w:rPr>
          <w:color w:val="auto"/>
          <w:kern w:val="0"/>
          <w:szCs w:val="21"/>
          <w:highlight w:val="none"/>
        </w:rPr>
      </w:pPr>
      <w:r>
        <w:rPr>
          <w:color w:val="auto"/>
          <w:kern w:val="0"/>
          <w:szCs w:val="21"/>
          <w:highlight w:val="none"/>
        </w:rPr>
        <w:t>5</w:t>
      </w:r>
      <w:r>
        <w:rPr>
          <w:rFonts w:hint="eastAsia"/>
          <w:color w:val="auto"/>
          <w:kern w:val="0"/>
          <w:szCs w:val="21"/>
          <w:highlight w:val="none"/>
        </w:rPr>
        <w:t>.采购需求</w:t>
      </w:r>
      <w:r>
        <w:rPr>
          <w:color w:val="auto"/>
          <w:kern w:val="0"/>
          <w:szCs w:val="21"/>
          <w:highlight w:val="none"/>
        </w:rPr>
        <w:t>：</w:t>
      </w:r>
    </w:p>
    <w:p w14:paraId="1B3CBF5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标项一</w:t>
      </w:r>
    </w:p>
    <w:p w14:paraId="016EA342">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标项名称：钟山县财政局2026～2028年度政府投资项目评审服务项目</w:t>
      </w:r>
    </w:p>
    <w:p w14:paraId="42347F33">
      <w:pPr>
        <w:adjustRightInd w:val="0"/>
        <w:snapToGrid w:val="0"/>
        <w:spacing w:line="360" w:lineRule="exact"/>
        <w:ind w:firstLine="420" w:firstLineChars="20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3163B566">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服务内容：为钟山县本级政府投资项目提供概（预）算、工程量清单和招标控制价、结算评审服务</w:t>
      </w:r>
    </w:p>
    <w:p w14:paraId="059859F6">
      <w:pPr>
        <w:adjustRightInd w:val="0"/>
        <w:snapToGrid w:val="0"/>
        <w:spacing w:line="360" w:lineRule="exact"/>
        <w:ind w:firstLine="420" w:firstLineChars="200"/>
        <w:jc w:val="left"/>
        <w:rPr>
          <w:rFonts w:hint="eastAsia" w:eastAsia="宋体"/>
          <w:color w:val="auto"/>
          <w:kern w:val="0"/>
          <w:szCs w:val="21"/>
          <w:highlight w:val="none"/>
          <w:lang w:val="en-US" w:eastAsia="zh-CN"/>
        </w:rPr>
      </w:pPr>
      <w:r>
        <w:rPr>
          <w:rFonts w:hint="eastAsia"/>
          <w:color w:val="auto"/>
          <w:kern w:val="0"/>
          <w:szCs w:val="21"/>
          <w:highlight w:val="none"/>
        </w:rPr>
        <w:t>备注：</w:t>
      </w:r>
      <w:r>
        <w:rPr>
          <w:rFonts w:hint="eastAsia"/>
          <w:color w:val="auto"/>
          <w:kern w:val="0"/>
          <w:szCs w:val="21"/>
          <w:highlight w:val="none"/>
          <w:lang w:val="en-US" w:eastAsia="zh-CN"/>
        </w:rPr>
        <w:t>/</w:t>
      </w:r>
    </w:p>
    <w:p w14:paraId="3F97DCE4">
      <w:pPr>
        <w:adjustRightInd w:val="0"/>
        <w:snapToGrid w:val="0"/>
        <w:spacing w:line="360" w:lineRule="exact"/>
        <w:ind w:firstLine="420" w:firstLineChars="200"/>
        <w:jc w:val="left"/>
        <w:rPr>
          <w:rFonts w:hint="default" w:eastAsia="宋体"/>
          <w:color w:val="auto"/>
          <w:kern w:val="0"/>
          <w:szCs w:val="21"/>
          <w:highlight w:val="none"/>
          <w:lang w:val="en-US" w:eastAsia="zh-CN"/>
        </w:rPr>
      </w:pPr>
      <w:r>
        <w:rPr>
          <w:rFonts w:hint="eastAsia"/>
          <w:color w:val="auto"/>
          <w:kern w:val="0"/>
          <w:szCs w:val="21"/>
          <w:highlight w:val="none"/>
        </w:rPr>
        <w:t>合同履行期限：</w:t>
      </w:r>
      <w:r>
        <w:rPr>
          <w:rFonts w:hint="eastAsia"/>
          <w:color w:val="auto"/>
          <w:kern w:val="0"/>
          <w:szCs w:val="21"/>
          <w:highlight w:val="none"/>
          <w:lang w:val="en-US" w:eastAsia="zh-CN"/>
        </w:rPr>
        <w:t>2年</w:t>
      </w:r>
    </w:p>
    <w:p w14:paraId="451DFD05">
      <w:pPr>
        <w:adjustRightInd w:val="0"/>
        <w:snapToGrid w:val="0"/>
        <w:spacing w:line="360" w:lineRule="exact"/>
        <w:ind w:firstLine="420" w:firstLineChars="200"/>
        <w:jc w:val="left"/>
        <w:rPr>
          <w:rFonts w:hint="eastAsia"/>
          <w:color w:val="auto"/>
          <w:kern w:val="0"/>
          <w:szCs w:val="21"/>
          <w:highlight w:val="none"/>
        </w:rPr>
      </w:pPr>
      <w:r>
        <w:rPr>
          <w:rFonts w:hint="eastAsia"/>
          <w:color w:val="auto"/>
          <w:kern w:val="0"/>
          <w:szCs w:val="21"/>
          <w:highlight w:val="none"/>
        </w:rPr>
        <w:t>本标项（</w:t>
      </w:r>
      <w:r>
        <w:rPr>
          <w:rFonts w:hint="eastAsia"/>
          <w:color w:val="auto"/>
          <w:highlight w:val="none"/>
          <w:u w:val="single"/>
        </w:rPr>
        <w:t>否</w:t>
      </w:r>
      <w:r>
        <w:rPr>
          <w:rFonts w:hint="eastAsia"/>
          <w:color w:val="auto"/>
          <w:kern w:val="0"/>
          <w:szCs w:val="21"/>
          <w:highlight w:val="none"/>
        </w:rPr>
        <w:t>）接受联合体响应</w:t>
      </w:r>
    </w:p>
    <w:p w14:paraId="0FF76728">
      <w:pPr>
        <w:adjustRightInd w:val="0"/>
        <w:snapToGrid w:val="0"/>
        <w:spacing w:line="360" w:lineRule="exact"/>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5409C5CD">
      <w:pPr>
        <w:adjustRightInd w:val="0"/>
        <w:snapToGrid w:val="0"/>
        <w:spacing w:line="360" w:lineRule="exact"/>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699FCF29">
      <w:pPr>
        <w:adjustRightInd w:val="0"/>
        <w:snapToGrid w:val="0"/>
        <w:spacing w:line="360" w:lineRule="exact"/>
        <w:ind w:firstLine="420" w:firstLineChars="200"/>
        <w:jc w:val="left"/>
        <w:rPr>
          <w:color w:val="auto"/>
          <w:szCs w:val="21"/>
          <w:highlight w:val="none"/>
        </w:rPr>
      </w:pPr>
      <w:r>
        <w:rPr>
          <w:rFonts w:hint="eastAsia"/>
          <w:color w:val="auto"/>
          <w:szCs w:val="21"/>
          <w:highlight w:val="none"/>
        </w:rPr>
        <w:t>2.落实政府采购政策需满足的资格要求：</w:t>
      </w:r>
      <w:r>
        <w:rPr>
          <w:rFonts w:hint="eastAsia"/>
          <w:color w:val="auto"/>
          <w:kern w:val="0"/>
          <w:szCs w:val="21"/>
          <w:highlight w:val="none"/>
        </w:rPr>
        <w:t>无。</w:t>
      </w:r>
    </w:p>
    <w:p w14:paraId="7DB0A57C">
      <w:pPr>
        <w:adjustRightInd w:val="0"/>
        <w:snapToGrid w:val="0"/>
        <w:spacing w:line="360" w:lineRule="exact"/>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p>
    <w:p w14:paraId="54B90EE9">
      <w:pPr>
        <w:adjustRightInd w:val="0"/>
        <w:snapToGrid w:val="0"/>
        <w:spacing w:line="360" w:lineRule="exact"/>
        <w:ind w:firstLine="420" w:firstLineChars="200"/>
        <w:rPr>
          <w:rFonts w:hint="eastAsia" w:eastAsia="宋体"/>
          <w:color w:val="auto"/>
          <w:kern w:val="0"/>
          <w:szCs w:val="21"/>
          <w:highlight w:val="none"/>
          <w:lang w:eastAsia="zh-CN"/>
        </w:rPr>
      </w:pPr>
      <w:r>
        <w:rPr>
          <w:color w:val="auto"/>
          <w:kern w:val="0"/>
          <w:szCs w:val="21"/>
          <w:highlight w:val="none"/>
        </w:rPr>
        <w:t>（1）资质要求：</w:t>
      </w:r>
      <w:r>
        <w:rPr>
          <w:rFonts w:hint="eastAsia"/>
          <w:color w:val="auto"/>
          <w:kern w:val="0"/>
          <w:szCs w:val="21"/>
          <w:highlight w:val="none"/>
          <w:lang w:eastAsia="zh-CN"/>
        </w:rPr>
        <w:t>无</w:t>
      </w:r>
    </w:p>
    <w:p w14:paraId="6C14955B">
      <w:pPr>
        <w:adjustRightInd w:val="0"/>
        <w:snapToGrid w:val="0"/>
        <w:spacing w:line="360" w:lineRule="exact"/>
        <w:ind w:firstLine="420" w:firstLineChars="200"/>
        <w:jc w:val="left"/>
        <w:rPr>
          <w:rFonts w:hint="eastAsia"/>
          <w:color w:val="auto"/>
          <w:kern w:val="0"/>
          <w:szCs w:val="21"/>
          <w:highlight w:val="none"/>
        </w:rPr>
      </w:pPr>
      <w:r>
        <w:rPr>
          <w:color w:val="auto"/>
          <w:kern w:val="0"/>
          <w:szCs w:val="21"/>
          <w:highlight w:val="none"/>
        </w:rPr>
        <w:t>（2）业绩要求：无。</w:t>
      </w:r>
    </w:p>
    <w:p w14:paraId="51639881">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0A4A6C5E">
      <w:pPr>
        <w:adjustRightInd w:val="0"/>
        <w:snapToGrid w:val="0"/>
        <w:spacing w:line="360" w:lineRule="exact"/>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0B1C621C">
      <w:pPr>
        <w:adjustRightInd w:val="0"/>
        <w:snapToGrid w:val="0"/>
        <w:spacing w:line="360" w:lineRule="exact"/>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5</w:t>
      </w:r>
      <w:r>
        <w:rPr>
          <w:rFonts w:hint="eastAsia"/>
          <w:color w:val="auto"/>
          <w:kern w:val="0"/>
          <w:szCs w:val="21"/>
          <w:highlight w:val="none"/>
        </w:rPr>
        <w:t>）</w:t>
      </w:r>
      <w:r>
        <w:rPr>
          <w:color w:val="auto"/>
          <w:kern w:val="0"/>
          <w:szCs w:val="21"/>
          <w:highlight w:val="none"/>
        </w:rPr>
        <w:t>按照</w:t>
      </w:r>
      <w:r>
        <w:rPr>
          <w:rFonts w:hint="eastAsia"/>
          <w:color w:val="auto"/>
          <w:kern w:val="0"/>
          <w:szCs w:val="21"/>
          <w:highlight w:val="none"/>
        </w:rPr>
        <w:t>征集</w:t>
      </w:r>
      <w:r>
        <w:rPr>
          <w:color w:val="auto"/>
          <w:kern w:val="0"/>
          <w:szCs w:val="21"/>
          <w:highlight w:val="none"/>
        </w:rPr>
        <w:t>公告的规定获得</w:t>
      </w:r>
      <w:r>
        <w:rPr>
          <w:rFonts w:hint="eastAsia"/>
          <w:color w:val="auto"/>
          <w:kern w:val="0"/>
          <w:szCs w:val="21"/>
          <w:highlight w:val="none"/>
        </w:rPr>
        <w:t>征集</w:t>
      </w:r>
      <w:r>
        <w:rPr>
          <w:color w:val="auto"/>
          <w:kern w:val="0"/>
          <w:szCs w:val="21"/>
          <w:highlight w:val="none"/>
        </w:rPr>
        <w:t>文件。</w:t>
      </w:r>
      <w:r>
        <w:rPr>
          <w:rFonts w:hint="eastAsia"/>
          <w:color w:val="auto"/>
          <w:kern w:val="0"/>
          <w:szCs w:val="21"/>
          <w:highlight w:val="none"/>
        </w:rPr>
        <w:t>征集文件有规定时按要求提交响应保证金。</w:t>
      </w:r>
    </w:p>
    <w:p w14:paraId="6D4ED938">
      <w:pPr>
        <w:adjustRightInd w:val="0"/>
        <w:snapToGrid w:val="0"/>
        <w:spacing w:line="360" w:lineRule="exact"/>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三、获取征集文件</w:t>
      </w:r>
    </w:p>
    <w:p w14:paraId="56239E4E">
      <w:pPr>
        <w:adjustRightInd w:val="0"/>
        <w:snapToGrid w:val="0"/>
        <w:spacing w:line="360" w:lineRule="exact"/>
        <w:ind w:firstLine="420" w:firstLineChars="200"/>
        <w:jc w:val="left"/>
        <w:rPr>
          <w:color w:val="auto"/>
          <w:highlight w:val="none"/>
        </w:rPr>
      </w:pPr>
      <w:r>
        <w:rPr>
          <w:rFonts w:hint="eastAsia"/>
          <w:color w:val="auto"/>
          <w:highlight w:val="none"/>
        </w:rPr>
        <w:t>时间：</w:t>
      </w:r>
      <w:r>
        <w:rPr>
          <w:rFonts w:hint="eastAsia"/>
          <w:color w:val="auto"/>
          <w:highlight w:val="none"/>
          <w:u w:val="single"/>
        </w:rPr>
        <w:t>2026年</w:t>
      </w:r>
      <w:r>
        <w:rPr>
          <w:rFonts w:hint="eastAsia"/>
          <w:color w:val="auto"/>
          <w:highlight w:val="none"/>
          <w:u w:val="single"/>
          <w:lang w:val="en-US" w:eastAsia="zh-CN"/>
        </w:rPr>
        <w:t>5</w:t>
      </w:r>
      <w:r>
        <w:rPr>
          <w:rFonts w:hint="eastAsia"/>
          <w:color w:val="auto"/>
          <w:highlight w:val="none"/>
          <w:u w:val="single"/>
        </w:rPr>
        <w:t>月</w:t>
      </w:r>
      <w:r>
        <w:rPr>
          <w:rFonts w:hint="eastAsia"/>
          <w:color w:val="auto"/>
          <w:highlight w:val="none"/>
          <w:u w:val="single"/>
          <w:lang w:val="en-US" w:eastAsia="zh-CN"/>
        </w:rPr>
        <w:t>18</w:t>
      </w:r>
      <w:r>
        <w:rPr>
          <w:rFonts w:hint="eastAsia"/>
          <w:color w:val="auto"/>
          <w:highlight w:val="none"/>
          <w:u w:val="single"/>
        </w:rPr>
        <w:t>日起至2026年</w:t>
      </w:r>
      <w:r>
        <w:rPr>
          <w:rFonts w:hint="eastAsia"/>
          <w:color w:val="auto"/>
          <w:highlight w:val="none"/>
          <w:u w:val="single"/>
          <w:lang w:val="en-US" w:eastAsia="zh-CN"/>
        </w:rPr>
        <w:t>5</w:t>
      </w:r>
      <w:r>
        <w:rPr>
          <w:rFonts w:hint="eastAsia"/>
          <w:color w:val="auto"/>
          <w:highlight w:val="none"/>
          <w:u w:val="single"/>
        </w:rPr>
        <w:t>月</w:t>
      </w:r>
      <w:r>
        <w:rPr>
          <w:rFonts w:hint="eastAsia"/>
          <w:color w:val="auto"/>
          <w:highlight w:val="none"/>
          <w:u w:val="single"/>
          <w:lang w:val="en-US" w:eastAsia="zh-CN"/>
        </w:rPr>
        <w:t>25</w:t>
      </w:r>
      <w:r>
        <w:rPr>
          <w:rFonts w:hint="eastAsia"/>
          <w:color w:val="auto"/>
          <w:highlight w:val="none"/>
          <w:u w:val="single"/>
        </w:rPr>
        <w:t>日</w:t>
      </w:r>
      <w:r>
        <w:rPr>
          <w:rFonts w:hint="eastAsia"/>
          <w:color w:val="auto"/>
          <w:highlight w:val="none"/>
        </w:rPr>
        <w:t>，每天上午</w:t>
      </w:r>
      <w:r>
        <w:rPr>
          <w:color w:val="auto"/>
          <w:highlight w:val="none"/>
          <w:u w:val="single"/>
        </w:rPr>
        <w:t>00</w:t>
      </w:r>
      <w:r>
        <w:rPr>
          <w:rFonts w:hint="eastAsia"/>
          <w:color w:val="auto"/>
          <w:highlight w:val="none"/>
          <w:u w:val="single"/>
        </w:rPr>
        <w:t>:</w:t>
      </w:r>
      <w:r>
        <w:rPr>
          <w:color w:val="auto"/>
          <w:highlight w:val="none"/>
          <w:u w:val="single"/>
        </w:rPr>
        <w:t>00</w:t>
      </w:r>
      <w:r>
        <w:rPr>
          <w:rFonts w:hint="eastAsia"/>
          <w:color w:val="auto"/>
          <w:highlight w:val="none"/>
          <w:u w:val="single"/>
        </w:rPr>
        <w:t>至</w:t>
      </w:r>
      <w:r>
        <w:rPr>
          <w:color w:val="auto"/>
          <w:highlight w:val="none"/>
          <w:u w:val="single"/>
        </w:rPr>
        <w:t>1</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u w:val="single"/>
          <w:lang w:val="en-US" w:eastAsia="zh-CN"/>
        </w:rPr>
        <w:t>59</w:t>
      </w:r>
      <w:r>
        <w:rPr>
          <w:rFonts w:hint="eastAsia"/>
          <w:color w:val="auto"/>
          <w:highlight w:val="none"/>
          <w:u w:val="single"/>
        </w:rPr>
        <w:t>:，下午</w:t>
      </w:r>
      <w:r>
        <w:rPr>
          <w:color w:val="auto"/>
          <w:highlight w:val="none"/>
          <w:u w:val="single"/>
        </w:rPr>
        <w:t>12</w:t>
      </w:r>
      <w:r>
        <w:rPr>
          <w:rFonts w:hint="eastAsia"/>
          <w:color w:val="auto"/>
          <w:highlight w:val="none"/>
          <w:u w:val="single"/>
        </w:rPr>
        <w:t>:</w:t>
      </w:r>
      <w:r>
        <w:rPr>
          <w:color w:val="auto"/>
          <w:highlight w:val="none"/>
          <w:u w:val="single"/>
        </w:rPr>
        <w:t>00</w:t>
      </w:r>
      <w:r>
        <w:rPr>
          <w:rFonts w:hint="eastAsia"/>
          <w:color w:val="auto"/>
          <w:highlight w:val="none"/>
          <w:u w:val="single"/>
        </w:rPr>
        <w:t>至</w:t>
      </w:r>
      <w:r>
        <w:rPr>
          <w:color w:val="auto"/>
          <w:highlight w:val="none"/>
          <w:u w:val="single"/>
        </w:rPr>
        <w:t>23</w:t>
      </w:r>
      <w:r>
        <w:rPr>
          <w:rFonts w:hint="eastAsia"/>
          <w:color w:val="auto"/>
          <w:highlight w:val="none"/>
          <w:u w:val="single"/>
        </w:rPr>
        <w:t>:</w:t>
      </w:r>
      <w:r>
        <w:rPr>
          <w:color w:val="auto"/>
          <w:highlight w:val="none"/>
          <w:u w:val="single"/>
        </w:rPr>
        <w:t>59</w:t>
      </w:r>
      <w:r>
        <w:rPr>
          <w:rFonts w:hint="eastAsia"/>
          <w:color w:val="auto"/>
          <w:highlight w:val="none"/>
        </w:rPr>
        <w:t>（北京时间，法定节假日除外）。</w:t>
      </w:r>
    </w:p>
    <w:p w14:paraId="04179856">
      <w:pPr>
        <w:adjustRightInd w:val="0"/>
        <w:snapToGrid w:val="0"/>
        <w:spacing w:line="360" w:lineRule="exact"/>
        <w:ind w:firstLine="420" w:firstLineChars="200"/>
        <w:jc w:val="left"/>
        <w:rPr>
          <w:color w:val="auto"/>
          <w:szCs w:val="21"/>
          <w:highlight w:val="none"/>
        </w:rPr>
      </w:pPr>
      <w:r>
        <w:rPr>
          <w:rFonts w:hint="eastAsia"/>
          <w:color w:val="auto"/>
          <w:highlight w:val="none"/>
        </w:rPr>
        <w:t>地点（网址）：</w:t>
      </w:r>
      <w:r>
        <w:rPr>
          <w:rFonts w:hint="eastAsia"/>
          <w:color w:val="auto"/>
          <w:szCs w:val="21"/>
          <w:highlight w:val="none"/>
        </w:rPr>
        <w:t>广西政府采购云平台（</w:t>
      </w:r>
      <w:r>
        <w:rPr>
          <w:color w:val="auto"/>
          <w:szCs w:val="21"/>
          <w:highlight w:val="none"/>
        </w:rPr>
        <w:fldChar w:fldCharType="begin"/>
      </w:r>
      <w:r>
        <w:rPr>
          <w:color w:val="auto"/>
          <w:szCs w:val="21"/>
          <w:highlight w:val="none"/>
        </w:rPr>
        <w:instrText xml:space="preserve"> HYPERLINK "https://www.gcy.zfcg.gxzf.gov.cn/" </w:instrText>
      </w:r>
      <w:r>
        <w:rPr>
          <w:color w:val="auto"/>
          <w:szCs w:val="21"/>
          <w:highlight w:val="none"/>
        </w:rPr>
        <w:fldChar w:fldCharType="separate"/>
      </w:r>
      <w:r>
        <w:rPr>
          <w:rStyle w:val="57"/>
          <w:color w:val="auto"/>
          <w:szCs w:val="21"/>
          <w:highlight w:val="none"/>
        </w:rPr>
        <w:t>https://www.gcy.zfcg.gxzf.gov.cn/</w:t>
      </w:r>
      <w:r>
        <w:rPr>
          <w:color w:val="auto"/>
          <w:szCs w:val="21"/>
          <w:highlight w:val="none"/>
        </w:rPr>
        <w:fldChar w:fldCharType="end"/>
      </w:r>
      <w:r>
        <w:rPr>
          <w:rFonts w:hint="eastAsia"/>
          <w:color w:val="auto"/>
          <w:szCs w:val="21"/>
          <w:highlight w:val="none"/>
        </w:rPr>
        <w:t>）</w:t>
      </w:r>
    </w:p>
    <w:p w14:paraId="7D377C0F">
      <w:pPr>
        <w:adjustRightInd w:val="0"/>
        <w:snapToGrid w:val="0"/>
        <w:spacing w:line="360" w:lineRule="exact"/>
        <w:ind w:firstLine="420" w:firstLineChars="200"/>
        <w:jc w:val="left"/>
        <w:rPr>
          <w:color w:val="auto"/>
          <w:highlight w:val="none"/>
        </w:rPr>
      </w:pPr>
      <w:r>
        <w:rPr>
          <w:rFonts w:hint="eastAsia"/>
          <w:color w:val="auto"/>
          <w:szCs w:val="21"/>
          <w:highlight w:val="none"/>
        </w:rPr>
        <w:t>方式：供应商登录广西政府采购云平台在线申请获取征集文件（进入“项目采购”应用，在获取征集文件菜单中选择项目，申请获取征集文件）</w:t>
      </w:r>
    </w:p>
    <w:p w14:paraId="02ED9649">
      <w:pPr>
        <w:adjustRightInd w:val="0"/>
        <w:snapToGrid w:val="0"/>
        <w:spacing w:line="360" w:lineRule="exact"/>
        <w:ind w:firstLine="420" w:firstLineChars="200"/>
        <w:jc w:val="left"/>
        <w:rPr>
          <w:color w:val="auto"/>
          <w:highlight w:val="none"/>
        </w:rPr>
      </w:pPr>
      <w:r>
        <w:rPr>
          <w:rFonts w:hint="eastAsia"/>
          <w:color w:val="auto"/>
          <w:highlight w:val="none"/>
        </w:rPr>
        <w:t>售价（元）：0</w:t>
      </w:r>
    </w:p>
    <w:p w14:paraId="05C25150">
      <w:pPr>
        <w:adjustRightInd w:val="0"/>
        <w:snapToGrid w:val="0"/>
        <w:spacing w:line="360" w:lineRule="exact"/>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08180B61">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截止时间：</w:t>
      </w:r>
      <w:r>
        <w:rPr>
          <w:rFonts w:hint="eastAsia"/>
          <w:color w:val="auto"/>
          <w:kern w:val="0"/>
          <w:szCs w:val="21"/>
          <w:highlight w:val="none"/>
          <w:u w:val="single"/>
        </w:rPr>
        <w:t>2026年6月9日9点00分</w:t>
      </w:r>
      <w:r>
        <w:rPr>
          <w:rFonts w:hint="eastAsia"/>
          <w:color w:val="auto"/>
          <w:kern w:val="0"/>
          <w:szCs w:val="21"/>
          <w:highlight w:val="none"/>
        </w:rPr>
        <w:t>（北京时间）</w:t>
      </w:r>
    </w:p>
    <w:p w14:paraId="74AEB4AA">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地点（网址）：</w:t>
      </w:r>
      <w:bookmarkStart w:id="9" w:name="_Hlk89170300"/>
      <w:r>
        <w:rPr>
          <w:rFonts w:hint="eastAsia"/>
          <w:color w:val="auto"/>
          <w:szCs w:val="21"/>
          <w:highlight w:val="none"/>
        </w:rPr>
        <w:t>本项目为全流程电子化项目，没有现场递交响应文件及现场截标环节，通过广西政府采购云平台（</w:t>
      </w:r>
      <w:r>
        <w:rPr>
          <w:color w:val="auto"/>
          <w:szCs w:val="21"/>
          <w:highlight w:val="none"/>
        </w:rPr>
        <w:t>https://www.gcy.zfcg.gxzf.gov.cn/</w:t>
      </w:r>
      <w:r>
        <w:rPr>
          <w:rFonts w:hint="eastAsia"/>
          <w:color w:val="auto"/>
          <w:szCs w:val="21"/>
          <w:highlight w:val="none"/>
        </w:rPr>
        <w:t>）实行在线电子响应，供应商应先安装广西政府采购云平台新版客户端（请自行前往广西政府采购网</w:t>
      </w:r>
      <w:r>
        <w:rPr>
          <w:color w:val="auto"/>
          <w:szCs w:val="21"/>
          <w:highlight w:val="none"/>
        </w:rPr>
        <w:t>-</w:t>
      </w:r>
      <w:r>
        <w:rPr>
          <w:rFonts w:hint="eastAsia"/>
          <w:color w:val="auto"/>
          <w:szCs w:val="21"/>
          <w:highlight w:val="none"/>
        </w:rPr>
        <w:t>办事服务</w:t>
      </w:r>
      <w:r>
        <w:rPr>
          <w:color w:val="auto"/>
          <w:szCs w:val="21"/>
          <w:highlight w:val="none"/>
        </w:rPr>
        <w:t>-</w:t>
      </w:r>
      <w:r>
        <w:rPr>
          <w:rFonts w:hint="eastAsia"/>
          <w:color w:val="auto"/>
          <w:szCs w:val="21"/>
          <w:highlight w:val="none"/>
        </w:rPr>
        <w:t>下载专区进行下载），并按照本项目征集文件和广西政府采购云平台的要求使用</w:t>
      </w:r>
      <w:r>
        <w:rPr>
          <w:color w:val="auto"/>
          <w:szCs w:val="21"/>
          <w:highlight w:val="none"/>
        </w:rPr>
        <w:t>CA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bookmarkEnd w:id="9"/>
    </w:p>
    <w:p w14:paraId="30082273">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178ED098">
      <w:pPr>
        <w:adjustRightInd w:val="0"/>
        <w:snapToGrid w:val="0"/>
        <w:spacing w:line="360" w:lineRule="exact"/>
        <w:ind w:firstLine="420" w:firstLineChars="200"/>
        <w:jc w:val="left"/>
        <w:rPr>
          <w:rFonts w:hint="eastAsia"/>
          <w:color w:val="auto"/>
          <w:kern w:val="0"/>
          <w:szCs w:val="21"/>
          <w:highlight w:val="none"/>
        </w:rPr>
      </w:pPr>
      <w:r>
        <w:rPr>
          <w:rFonts w:hint="eastAsia"/>
          <w:color w:val="auto"/>
          <w:kern w:val="0"/>
          <w:szCs w:val="21"/>
          <w:highlight w:val="none"/>
        </w:rPr>
        <w:t>开启方式：通过广西政府采购云平台开启</w:t>
      </w:r>
    </w:p>
    <w:p w14:paraId="426918A9">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时间：2026年6月9日9点00分（北京时间）</w:t>
      </w:r>
    </w:p>
    <w:p w14:paraId="67021587">
      <w:pPr>
        <w:adjustRightInd w:val="0"/>
        <w:snapToGrid w:val="0"/>
        <w:spacing w:line="360" w:lineRule="exact"/>
        <w:ind w:firstLine="420" w:firstLineChars="200"/>
        <w:jc w:val="left"/>
        <w:rPr>
          <w:rFonts w:hint="eastAsia"/>
          <w:b/>
          <w:bCs/>
          <w:color w:val="auto"/>
          <w:kern w:val="0"/>
          <w:sz w:val="22"/>
          <w:szCs w:val="22"/>
          <w:highlight w:val="none"/>
        </w:rPr>
      </w:pPr>
      <w:r>
        <w:rPr>
          <w:rFonts w:hint="eastAsia"/>
          <w:color w:val="auto"/>
          <w:kern w:val="0"/>
          <w:szCs w:val="21"/>
          <w:highlight w:val="none"/>
        </w:rPr>
        <w:t>地点：</w:t>
      </w:r>
      <w:r>
        <w:rPr>
          <w:rFonts w:hint="eastAsia"/>
          <w:color w:val="auto"/>
          <w:szCs w:val="21"/>
          <w:highlight w:val="none"/>
        </w:rPr>
        <w:t>供应商登录广西政府采购云平台电子截标大厅</w:t>
      </w:r>
    </w:p>
    <w:p w14:paraId="21DEC2EB">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158910F1">
      <w:pPr>
        <w:adjustRightInd w:val="0"/>
        <w:snapToGrid w:val="0"/>
        <w:spacing w:line="360" w:lineRule="exact"/>
        <w:ind w:firstLine="420" w:firstLineChars="200"/>
        <w:jc w:val="left"/>
        <w:rPr>
          <w:rFonts w:hint="eastAsia"/>
          <w:color w:val="auto"/>
          <w:kern w:val="0"/>
          <w:szCs w:val="21"/>
          <w:highlight w:val="none"/>
        </w:rPr>
      </w:pPr>
      <w:r>
        <w:rPr>
          <w:rFonts w:hint="eastAsia"/>
          <w:color w:val="auto"/>
          <w:kern w:val="0"/>
          <w:szCs w:val="21"/>
          <w:highlight w:val="none"/>
        </w:rPr>
        <w:t>自本公告发布之日起5个工作日。</w:t>
      </w:r>
    </w:p>
    <w:p w14:paraId="166FC7A7">
      <w:pPr>
        <w:adjustRightInd w:val="0"/>
        <w:snapToGrid w:val="0"/>
        <w:spacing w:line="36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403C1B4B">
      <w:pPr>
        <w:adjustRightInd w:val="0"/>
        <w:snapToGrid w:val="0"/>
        <w:spacing w:line="360" w:lineRule="exact"/>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1.公告发布媒体：广西壮族自治区政府采购网、中国政府采购网</w:t>
      </w:r>
      <w:r>
        <w:rPr>
          <w:rFonts w:hint="eastAsia"/>
          <w:color w:val="auto"/>
          <w:kern w:val="0"/>
          <w:szCs w:val="21"/>
          <w:highlight w:val="none"/>
          <w:lang w:eastAsia="zh-CN"/>
        </w:rPr>
        <w:t>、全国公共资源交易平台（广西·贺州）</w:t>
      </w:r>
    </w:p>
    <w:p w14:paraId="5F36E84B">
      <w:pPr>
        <w:adjustRightInd w:val="0"/>
        <w:snapToGrid w:val="0"/>
        <w:spacing w:line="360" w:lineRule="exact"/>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kern w:val="0"/>
          <w:szCs w:val="21"/>
          <w:highlight w:val="none"/>
        </w:rPr>
        <w:t>需落实的政府采购政策：</w:t>
      </w:r>
      <w:r>
        <w:rPr>
          <w:color w:val="auto"/>
          <w:kern w:val="0"/>
          <w:szCs w:val="21"/>
          <w:highlight w:val="none"/>
        </w:rPr>
        <w:t>本项目适用政府采购促进中小企业、监狱企业发展、促进残疾人就业</w:t>
      </w:r>
      <w:r>
        <w:rPr>
          <w:rFonts w:hint="eastAsia"/>
          <w:color w:val="auto"/>
          <w:kern w:val="0"/>
          <w:szCs w:val="21"/>
          <w:highlight w:val="none"/>
        </w:rPr>
        <w:t>、</w:t>
      </w:r>
      <w:r>
        <w:rPr>
          <w:color w:val="auto"/>
          <w:kern w:val="0"/>
          <w:szCs w:val="21"/>
          <w:highlight w:val="none"/>
        </w:rPr>
        <w:t>节能环保等有关政策，具体详见征集文件。</w:t>
      </w:r>
    </w:p>
    <w:p w14:paraId="645B185E">
      <w:pPr>
        <w:adjustRightInd w:val="0"/>
        <w:snapToGrid w:val="0"/>
        <w:spacing w:line="360" w:lineRule="exact"/>
        <w:ind w:firstLine="420" w:firstLineChars="200"/>
        <w:jc w:val="left"/>
        <w:rPr>
          <w:rFonts w:ascii="宋体" w:hAnsi="宋体" w:cs="Arial"/>
          <w:bCs/>
          <w:color w:val="auto"/>
          <w:szCs w:val="21"/>
          <w:highlight w:val="none"/>
          <w:u w:val="single"/>
        </w:rPr>
      </w:pPr>
      <w:r>
        <w:rPr>
          <w:rFonts w:hint="eastAsia"/>
          <w:color w:val="auto"/>
          <w:kern w:val="0"/>
          <w:szCs w:val="21"/>
          <w:highlight w:val="none"/>
        </w:rPr>
        <w:t>3</w:t>
      </w:r>
      <w:r>
        <w:rPr>
          <w:color w:val="auto"/>
          <w:kern w:val="0"/>
          <w:szCs w:val="21"/>
          <w:highlight w:val="none"/>
        </w:rPr>
        <w:t>.</w:t>
      </w:r>
      <w:bookmarkStart w:id="10" w:name="_Hlk97986689"/>
      <w:r>
        <w:rPr>
          <w:rFonts w:hint="eastAsia" w:ascii="宋体" w:hAnsi="宋体" w:cs="Arial"/>
          <w:bCs/>
          <w:color w:val="auto"/>
          <w:szCs w:val="21"/>
          <w:highlight w:val="none"/>
        </w:rPr>
        <w:t>适用框架协议的采购人</w:t>
      </w:r>
      <w:r>
        <w:rPr>
          <w:rFonts w:hint="eastAsia"/>
          <w:color w:val="auto"/>
          <w:highlight w:val="none"/>
        </w:rPr>
        <w:t>或服务对象范围</w:t>
      </w:r>
      <w:r>
        <w:rPr>
          <w:rFonts w:hint="eastAsia" w:ascii="宋体" w:hAnsi="宋体" w:cs="Arial"/>
          <w:bCs/>
          <w:color w:val="auto"/>
          <w:szCs w:val="21"/>
          <w:highlight w:val="none"/>
        </w:rPr>
        <w:t>：</w:t>
      </w:r>
      <w:bookmarkEnd w:id="10"/>
      <w:r>
        <w:rPr>
          <w:rFonts w:hint="eastAsia"/>
          <w:color w:val="auto"/>
          <w:szCs w:val="21"/>
          <w:highlight w:val="none"/>
          <w:u w:val="single"/>
        </w:rPr>
        <w:t>详见第五章框架协议</w:t>
      </w:r>
    </w:p>
    <w:p w14:paraId="16BDE2A6">
      <w:pPr>
        <w:adjustRightInd w:val="0"/>
        <w:snapToGrid w:val="0"/>
        <w:spacing w:line="360" w:lineRule="exact"/>
        <w:ind w:firstLine="420" w:firstLineChars="200"/>
        <w:jc w:val="left"/>
        <w:rPr>
          <w:color w:val="auto"/>
          <w:szCs w:val="21"/>
          <w:highlight w:val="none"/>
        </w:rPr>
      </w:pPr>
      <w:r>
        <w:rPr>
          <w:rFonts w:hint="eastAsia" w:ascii="宋体" w:hAnsi="宋体" w:cs="Arial"/>
          <w:bCs/>
          <w:color w:val="auto"/>
          <w:szCs w:val="21"/>
          <w:highlight w:val="none"/>
        </w:rPr>
        <w:t>4</w:t>
      </w:r>
      <w:r>
        <w:rPr>
          <w:rFonts w:ascii="宋体" w:hAnsi="宋体" w:cs="Arial"/>
          <w:bCs/>
          <w:color w:val="auto"/>
          <w:szCs w:val="21"/>
          <w:highlight w:val="none"/>
        </w:rPr>
        <w:t>.</w:t>
      </w:r>
      <w:r>
        <w:rPr>
          <w:rFonts w:hint="eastAsia" w:ascii="宋体" w:hAnsi="宋体" w:cs="Arial"/>
          <w:bCs/>
          <w:color w:val="auto"/>
          <w:szCs w:val="21"/>
          <w:highlight w:val="none"/>
        </w:rPr>
        <w:t>框架协议期限：</w:t>
      </w:r>
      <w:r>
        <w:rPr>
          <w:rFonts w:hint="eastAsia"/>
          <w:color w:val="auto"/>
          <w:szCs w:val="21"/>
          <w:highlight w:val="none"/>
          <w:u w:val="single"/>
        </w:rPr>
        <w:t>2年</w:t>
      </w:r>
    </w:p>
    <w:p w14:paraId="1254BB5F">
      <w:pPr>
        <w:adjustRightInd w:val="0"/>
        <w:snapToGrid w:val="0"/>
        <w:spacing w:line="360" w:lineRule="exact"/>
        <w:ind w:firstLine="420" w:firstLineChars="200"/>
        <w:rPr>
          <w:color w:val="auto"/>
          <w:kern w:val="0"/>
          <w:szCs w:val="21"/>
          <w:highlight w:val="none"/>
        </w:rPr>
      </w:pPr>
      <w:r>
        <w:rPr>
          <w:color w:val="auto"/>
          <w:kern w:val="0"/>
          <w:szCs w:val="21"/>
          <w:highlight w:val="none"/>
        </w:rPr>
        <w:t>5.</w:t>
      </w:r>
      <w:r>
        <w:rPr>
          <w:rFonts w:hint="eastAsia"/>
          <w:color w:val="auto"/>
          <w:kern w:val="0"/>
          <w:szCs w:val="21"/>
          <w:highlight w:val="none"/>
        </w:rPr>
        <w:t>注意事项：</w:t>
      </w:r>
    </w:p>
    <w:p w14:paraId="43C490E4">
      <w:pPr>
        <w:adjustRightInd w:val="0"/>
        <w:snapToGrid w:val="0"/>
        <w:spacing w:line="360" w:lineRule="exact"/>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379B73D0">
      <w:pPr>
        <w:adjustRightInd w:val="0"/>
        <w:snapToGrid w:val="0"/>
        <w:spacing w:line="360" w:lineRule="exact"/>
        <w:ind w:firstLine="420" w:firstLineChars="200"/>
        <w:rPr>
          <w:color w:val="auto"/>
          <w:kern w:val="0"/>
          <w:szCs w:val="21"/>
          <w:highlight w:val="none"/>
        </w:rPr>
      </w:pPr>
      <w:r>
        <w:rPr>
          <w:rFonts w:hint="eastAsia"/>
          <w:color w:val="auto"/>
          <w:szCs w:val="21"/>
          <w:highlight w:val="none"/>
        </w:rPr>
        <w:t>（2）为确保网上操作合法、有效和安全，请供应商确保在电子响应过程中能够对相关数据电文进行加密和使用电子签章，妥善保管CA数字证书并使用有效的CA数字证书参与整个采购活动。</w:t>
      </w:r>
    </w:p>
    <w:p w14:paraId="306CD05D">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7D0B5496">
      <w:pPr>
        <w:adjustRightInd w:val="0"/>
        <w:snapToGrid w:val="0"/>
        <w:spacing w:line="36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6.评标说明：本项目为远程异地全流程电子评标，评标主场地址：贺州市公共资源交易中心；评标副场地址：广西壮族自治区公共资源交易中心、武宣县公共资源交易中心。</w:t>
      </w:r>
      <w:bookmarkStart w:id="111" w:name="_GoBack"/>
      <w:bookmarkEnd w:id="111"/>
    </w:p>
    <w:p w14:paraId="7DFEA987">
      <w:pPr>
        <w:adjustRightInd w:val="0"/>
        <w:snapToGrid w:val="0"/>
        <w:spacing w:line="360" w:lineRule="exact"/>
        <w:ind w:firstLine="442" w:firstLineChars="200"/>
        <w:rPr>
          <w:rFonts w:hint="eastAsia"/>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0112BB9A">
      <w:pPr>
        <w:adjustRightInd w:val="0"/>
        <w:snapToGrid w:val="0"/>
        <w:spacing w:line="360" w:lineRule="exact"/>
        <w:ind w:firstLine="420" w:firstLineChars="200"/>
        <w:jc w:val="left"/>
        <w:rPr>
          <w:rFonts w:hint="eastAsia"/>
          <w:color w:val="auto"/>
          <w:kern w:val="0"/>
          <w:szCs w:val="21"/>
          <w:highlight w:val="none"/>
        </w:rPr>
      </w:pPr>
      <w:r>
        <w:rPr>
          <w:rFonts w:hint="eastAsia"/>
          <w:color w:val="auto"/>
          <w:kern w:val="0"/>
          <w:szCs w:val="21"/>
          <w:highlight w:val="none"/>
        </w:rPr>
        <w:t>1.征集人信息</w:t>
      </w:r>
    </w:p>
    <w:p w14:paraId="1477AF53">
      <w:pPr>
        <w:adjustRightInd w:val="0"/>
        <w:snapToGrid w:val="0"/>
        <w:spacing w:line="360" w:lineRule="exact"/>
        <w:ind w:firstLine="420" w:firstLineChars="200"/>
        <w:jc w:val="left"/>
        <w:rPr>
          <w:color w:val="auto"/>
          <w:kern w:val="0"/>
          <w:szCs w:val="21"/>
          <w:highlight w:val="none"/>
          <w:u w:val="single"/>
        </w:rPr>
      </w:pPr>
      <w:bookmarkStart w:id="11"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rPr>
        <w:t>钟山县财政局</w:t>
      </w:r>
    </w:p>
    <w:p w14:paraId="0CBE5C91">
      <w:pPr>
        <w:adjustRightInd w:val="0"/>
        <w:snapToGrid w:val="0"/>
        <w:spacing w:line="360" w:lineRule="exact"/>
        <w:ind w:firstLine="420" w:firstLineChars="200"/>
        <w:jc w:val="left"/>
        <w:rPr>
          <w:color w:val="auto"/>
          <w:kern w:val="0"/>
          <w:szCs w:val="21"/>
          <w:highlight w:val="none"/>
        </w:rPr>
      </w:pPr>
      <w:r>
        <w:rPr>
          <w:color w:val="auto"/>
          <w:kern w:val="0"/>
          <w:szCs w:val="21"/>
          <w:highlight w:val="none"/>
        </w:rPr>
        <w:t>地址：</w:t>
      </w:r>
      <w:r>
        <w:rPr>
          <w:rFonts w:hint="eastAsia"/>
          <w:color w:val="auto"/>
          <w:kern w:val="0"/>
          <w:szCs w:val="21"/>
          <w:highlight w:val="none"/>
          <w:u w:val="single"/>
        </w:rPr>
        <w:t>钟山县兴钟中路10号</w:t>
      </w:r>
      <w:r>
        <w:rPr>
          <w:rFonts w:hint="eastAsia"/>
          <w:color w:val="auto"/>
          <w:kern w:val="0"/>
          <w:szCs w:val="21"/>
          <w:highlight w:val="none"/>
        </w:rPr>
        <w:t xml:space="preserve"> </w:t>
      </w:r>
    </w:p>
    <w:p w14:paraId="49989131">
      <w:pPr>
        <w:adjustRightInd w:val="0"/>
        <w:snapToGrid w:val="0"/>
        <w:spacing w:line="360" w:lineRule="exact"/>
        <w:ind w:firstLine="420" w:firstLineChars="200"/>
        <w:jc w:val="left"/>
        <w:rPr>
          <w:rFonts w:hint="eastAsia" w:eastAsia="宋体"/>
          <w:color w:val="auto"/>
          <w:kern w:val="0"/>
          <w:szCs w:val="21"/>
          <w:highlight w:val="none"/>
          <w:u w:val="single"/>
          <w:lang w:val="en-US" w:eastAsia="zh-CN"/>
        </w:rPr>
      </w:pPr>
      <w:r>
        <w:rPr>
          <w:rFonts w:hint="eastAsia"/>
          <w:color w:val="auto"/>
          <w:kern w:val="0"/>
          <w:szCs w:val="21"/>
          <w:highlight w:val="none"/>
        </w:rPr>
        <w:t>项目联系人：</w:t>
      </w:r>
      <w:r>
        <w:rPr>
          <w:rFonts w:hint="eastAsia"/>
          <w:color w:val="auto"/>
          <w:kern w:val="0"/>
          <w:szCs w:val="21"/>
          <w:highlight w:val="none"/>
          <w:u w:val="single"/>
        </w:rPr>
        <w:t>杨</w:t>
      </w:r>
      <w:r>
        <w:rPr>
          <w:rFonts w:hint="eastAsia"/>
          <w:color w:val="auto"/>
          <w:kern w:val="0"/>
          <w:szCs w:val="21"/>
          <w:highlight w:val="none"/>
          <w:u w:val="single"/>
          <w:lang w:val="en-US" w:eastAsia="zh-CN"/>
        </w:rPr>
        <w:t>工</w:t>
      </w:r>
    </w:p>
    <w:p w14:paraId="690063CF">
      <w:pPr>
        <w:adjustRightInd w:val="0"/>
        <w:snapToGrid w:val="0"/>
        <w:spacing w:line="360" w:lineRule="exact"/>
        <w:ind w:firstLine="420" w:firstLineChars="200"/>
        <w:jc w:val="left"/>
        <w:rPr>
          <w:color w:val="auto"/>
          <w:kern w:val="0"/>
          <w:szCs w:val="21"/>
          <w:highlight w:val="none"/>
          <w:u w:val="singl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0774-8986108</w:t>
      </w:r>
    </w:p>
    <w:p w14:paraId="2CF999EE">
      <w:pPr>
        <w:adjustRightInd w:val="0"/>
        <w:snapToGrid w:val="0"/>
        <w:spacing w:line="360" w:lineRule="exact"/>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58CF0017">
      <w:pPr>
        <w:adjustRightInd w:val="0"/>
        <w:snapToGrid w:val="0"/>
        <w:spacing w:line="360" w:lineRule="exact"/>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20A5E161">
      <w:pPr>
        <w:adjustRightInd w:val="0"/>
        <w:snapToGrid w:val="0"/>
        <w:spacing w:line="360" w:lineRule="exact"/>
        <w:ind w:firstLine="420" w:firstLineChars="200"/>
        <w:jc w:val="left"/>
        <w:rPr>
          <w:rFonts w:hint="eastAsia"/>
          <w:color w:val="auto"/>
          <w:highlight w:val="none"/>
          <w:u w:val="single"/>
        </w:rPr>
      </w:pPr>
      <w:r>
        <w:rPr>
          <w:color w:val="auto"/>
          <w:kern w:val="0"/>
          <w:szCs w:val="21"/>
          <w:highlight w:val="none"/>
        </w:rPr>
        <w:t>地址：</w:t>
      </w:r>
      <w:bookmarkStart w:id="12" w:name="_Hlk43198245"/>
      <w:r>
        <w:rPr>
          <w:color w:val="auto"/>
          <w:highlight w:val="none"/>
          <w:u w:val="single"/>
        </w:rPr>
        <w:t>广西南宁市金湖路63号金源CBD现代城B座7层701</w:t>
      </w:r>
      <w:bookmarkEnd w:id="12"/>
    </w:p>
    <w:bookmarkEnd w:id="11"/>
    <w:p w14:paraId="0EB6E4EB">
      <w:pPr>
        <w:adjustRightInd w:val="0"/>
        <w:snapToGrid w:val="0"/>
        <w:spacing w:line="360" w:lineRule="exact"/>
        <w:ind w:firstLine="420" w:firstLineChars="200"/>
        <w:jc w:val="left"/>
        <w:rPr>
          <w:rFonts w:hint="eastAsia" w:eastAsia="宋体"/>
          <w:color w:val="auto"/>
          <w:kern w:val="0"/>
          <w:szCs w:val="21"/>
          <w:highlight w:val="none"/>
          <w:u w:val="single"/>
          <w:lang w:eastAsia="zh-CN"/>
        </w:rPr>
      </w:pPr>
      <w:r>
        <w:rPr>
          <w:color w:val="auto"/>
          <w:kern w:val="0"/>
          <w:szCs w:val="21"/>
          <w:highlight w:val="none"/>
        </w:rPr>
        <w:t>项目联系人：</w:t>
      </w:r>
      <w:r>
        <w:rPr>
          <w:rFonts w:hint="eastAsia"/>
          <w:color w:val="auto"/>
          <w:kern w:val="0"/>
          <w:szCs w:val="21"/>
          <w:highlight w:val="none"/>
          <w:u w:val="single"/>
          <w:lang w:val="en-US" w:eastAsia="zh-CN"/>
        </w:rPr>
        <w:t>宁静</w:t>
      </w:r>
    </w:p>
    <w:p w14:paraId="1908FF23">
      <w:pPr>
        <w:adjustRightInd w:val="0"/>
        <w:snapToGrid w:val="0"/>
        <w:spacing w:line="360" w:lineRule="exact"/>
        <w:ind w:firstLine="420" w:firstLineChars="200"/>
        <w:jc w:val="left"/>
        <w:rPr>
          <w:rFonts w:hint="default" w:eastAsia="宋体"/>
          <w:color w:val="auto"/>
          <w:kern w:val="0"/>
          <w:szCs w:val="21"/>
          <w:highlight w:val="none"/>
          <w:u w:val="single"/>
          <w:lang w:val="en-US" w:eastAsia="zh-CN"/>
        </w:rPr>
      </w:pPr>
      <w:r>
        <w:rPr>
          <w:rFonts w:hint="eastAsia"/>
          <w:color w:val="auto"/>
          <w:kern w:val="0"/>
          <w:szCs w:val="21"/>
          <w:highlight w:val="none"/>
        </w:rPr>
        <w:t>项目联系方式</w:t>
      </w:r>
      <w:r>
        <w:rPr>
          <w:color w:val="auto"/>
          <w:kern w:val="0"/>
          <w:szCs w:val="21"/>
          <w:highlight w:val="none"/>
          <w:u w:val="single"/>
        </w:rPr>
        <w:t>：</w:t>
      </w:r>
      <w:r>
        <w:rPr>
          <w:rFonts w:hint="eastAsia"/>
          <w:color w:val="auto"/>
          <w:kern w:val="0"/>
          <w:szCs w:val="21"/>
          <w:highlight w:val="none"/>
          <w:u w:val="single"/>
        </w:rPr>
        <w:t>0</w:t>
      </w:r>
      <w:r>
        <w:rPr>
          <w:color w:val="auto"/>
          <w:kern w:val="0"/>
          <w:szCs w:val="21"/>
          <w:highlight w:val="none"/>
          <w:u w:val="single"/>
        </w:rPr>
        <w:t>771-</w:t>
      </w:r>
      <w:r>
        <w:rPr>
          <w:rFonts w:hint="eastAsia"/>
          <w:color w:val="auto"/>
          <w:kern w:val="0"/>
          <w:szCs w:val="21"/>
          <w:highlight w:val="none"/>
          <w:u w:val="single"/>
          <w:lang w:val="en-US" w:eastAsia="zh-CN"/>
        </w:rPr>
        <w:t>5782003</w:t>
      </w:r>
    </w:p>
    <w:p w14:paraId="5B1AA286">
      <w:pPr>
        <w:adjustRightInd w:val="0"/>
        <w:snapToGrid w:val="0"/>
        <w:spacing w:line="360" w:lineRule="exact"/>
        <w:jc w:val="left"/>
        <w:rPr>
          <w:rFonts w:hint="eastAsia"/>
          <w:b/>
          <w:bCs/>
          <w:color w:val="auto"/>
          <w:kern w:val="0"/>
          <w:szCs w:val="21"/>
          <w:highlight w:val="none"/>
        </w:rPr>
      </w:pPr>
    </w:p>
    <w:p w14:paraId="3E585218">
      <w:pPr>
        <w:adjustRightInd w:val="0"/>
        <w:snapToGrid w:val="0"/>
        <w:spacing w:line="360" w:lineRule="exact"/>
        <w:ind w:firstLine="420" w:firstLineChars="200"/>
        <w:jc w:val="right"/>
        <w:rPr>
          <w:color w:val="auto"/>
          <w:kern w:val="0"/>
          <w:szCs w:val="21"/>
          <w:highlight w:val="none"/>
        </w:rPr>
      </w:pPr>
      <w:r>
        <w:rPr>
          <w:color w:val="auto"/>
          <w:kern w:val="0"/>
          <w:szCs w:val="21"/>
          <w:highlight w:val="none"/>
        </w:rPr>
        <w:t>广西机电设备招标有限公司</w:t>
      </w:r>
    </w:p>
    <w:p w14:paraId="142B1299">
      <w:pPr>
        <w:adjustRightInd w:val="0"/>
        <w:snapToGrid w:val="0"/>
        <w:spacing w:line="360" w:lineRule="exact"/>
        <w:ind w:firstLine="420" w:firstLineChars="200"/>
        <w:jc w:val="right"/>
        <w:rPr>
          <w:color w:val="auto"/>
          <w:kern w:val="0"/>
          <w:sz w:val="18"/>
          <w:szCs w:val="18"/>
          <w:highlight w:val="none"/>
        </w:rPr>
      </w:pPr>
      <w:r>
        <w:rPr>
          <w:rFonts w:hint="eastAsia"/>
          <w:color w:val="auto"/>
          <w:kern w:val="0"/>
          <w:szCs w:val="21"/>
          <w:highlight w:val="none"/>
          <w:lang w:val="en-US" w:eastAsia="zh-CN"/>
        </w:rPr>
        <w:t>2026</w:t>
      </w:r>
      <w:r>
        <w:rPr>
          <w:color w:val="auto"/>
          <w:kern w:val="0"/>
          <w:szCs w:val="21"/>
          <w:highlight w:val="none"/>
        </w:rPr>
        <w:t>年</w:t>
      </w:r>
      <w:r>
        <w:rPr>
          <w:rFonts w:hint="eastAsia"/>
          <w:color w:val="auto"/>
          <w:kern w:val="0"/>
          <w:szCs w:val="21"/>
          <w:highlight w:val="none"/>
          <w:lang w:val="en-US" w:eastAsia="zh-CN"/>
        </w:rPr>
        <w:t>5</w:t>
      </w:r>
      <w:r>
        <w:rPr>
          <w:color w:val="auto"/>
          <w:kern w:val="0"/>
          <w:szCs w:val="21"/>
          <w:highlight w:val="none"/>
        </w:rPr>
        <w:t>月</w:t>
      </w:r>
      <w:r>
        <w:rPr>
          <w:rFonts w:hint="eastAsia"/>
          <w:color w:val="auto"/>
          <w:kern w:val="0"/>
          <w:szCs w:val="21"/>
          <w:highlight w:val="none"/>
          <w:lang w:val="en-US" w:eastAsia="zh-CN"/>
        </w:rPr>
        <w:t>18</w:t>
      </w:r>
      <w:r>
        <w:rPr>
          <w:color w:val="auto"/>
          <w:kern w:val="0"/>
          <w:szCs w:val="21"/>
          <w:highlight w:val="none"/>
        </w:rPr>
        <w:t>日</w:t>
      </w:r>
    </w:p>
    <w:p w14:paraId="1A399DD9">
      <w:pPr>
        <w:pStyle w:val="26"/>
        <w:snapToGrid w:val="0"/>
        <w:spacing w:before="120" w:after="120" w:line="320" w:lineRule="exact"/>
        <w:jc w:val="center"/>
        <w:outlineLvl w:val="0"/>
        <w:rPr>
          <w:rFonts w:ascii="Times New Roman" w:hAnsi="Times New Roman" w:cs="Times New Roman"/>
          <w:color w:val="auto"/>
          <w:highlight w:val="none"/>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14:paraId="2A09AECB">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3" w:name="_Toc30896"/>
      <w:r>
        <w:rPr>
          <w:rFonts w:ascii="Times New Roman" w:hAnsi="Times New Roman" w:cs="Times New Roman"/>
          <w:color w:val="auto"/>
          <w:sz w:val="32"/>
          <w:szCs w:val="32"/>
          <w:highlight w:val="none"/>
        </w:rPr>
        <w:t>第二章  采购需求</w:t>
      </w:r>
      <w:bookmarkEnd w:id="13"/>
    </w:p>
    <w:p w14:paraId="41BA0A27">
      <w:pPr>
        <w:spacing w:before="120"/>
        <w:rPr>
          <w:rFonts w:ascii="宋体" w:hAnsi="宋体" w:cs="宋体"/>
          <w:b/>
          <w:bCs/>
          <w:color w:val="auto"/>
          <w:sz w:val="28"/>
          <w:szCs w:val="28"/>
          <w:highlight w:val="none"/>
        </w:rPr>
      </w:pPr>
    </w:p>
    <w:p w14:paraId="7099070B">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58A77AD8">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5164A09B">
      <w:pPr>
        <w:spacing w:line="360" w:lineRule="auto"/>
        <w:rPr>
          <w:color w:val="auto"/>
          <w:szCs w:val="21"/>
          <w:highlight w:val="none"/>
        </w:rPr>
      </w:pPr>
      <w:r>
        <w:rPr>
          <w:rFonts w:hint="eastAsia"/>
          <w:color w:val="auto"/>
          <w:szCs w:val="21"/>
          <w:highlight w:val="none"/>
        </w:rPr>
        <w:t>详见征集文件第四章“评审方法及标准”</w:t>
      </w:r>
      <w:r>
        <w:rPr>
          <w:color w:val="auto"/>
          <w:szCs w:val="21"/>
          <w:highlight w:val="none"/>
        </w:rPr>
        <w:t>政府采购政策应用说明</w:t>
      </w:r>
      <w:r>
        <w:rPr>
          <w:rFonts w:hint="eastAsia"/>
          <w:color w:val="auto"/>
          <w:szCs w:val="21"/>
          <w:highlight w:val="none"/>
        </w:rPr>
        <w:t>部分</w:t>
      </w:r>
      <w:r>
        <w:rPr>
          <w:color w:val="auto"/>
          <w:szCs w:val="21"/>
          <w:highlight w:val="none"/>
        </w:rPr>
        <w:t>。</w:t>
      </w:r>
    </w:p>
    <w:p w14:paraId="15476D9B">
      <w:pPr>
        <w:spacing w:line="360" w:lineRule="auto"/>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标的所属行业</w:t>
      </w:r>
    </w:p>
    <w:p w14:paraId="388BF2D7">
      <w:pPr>
        <w:spacing w:line="360" w:lineRule="auto"/>
        <w:rPr>
          <w:strike/>
          <w:color w:val="auto"/>
          <w:szCs w:val="21"/>
          <w:highlight w:val="none"/>
        </w:rPr>
      </w:pPr>
      <w:bookmarkStart w:id="14" w:name="_Hlk132815104"/>
      <w:r>
        <w:rPr>
          <w:rFonts w:hint="eastAsia"/>
          <w:strike w:val="0"/>
          <w:color w:val="auto"/>
          <w:sz w:val="21"/>
          <w:szCs w:val="21"/>
          <w:highlight w:val="none"/>
        </w:rPr>
        <w:t>其他未列明行业</w:t>
      </w:r>
    </w:p>
    <w:bookmarkEnd w:id="14"/>
    <w:p w14:paraId="7F5CCF80">
      <w:pPr>
        <w:spacing w:line="360" w:lineRule="auto"/>
        <w:rPr>
          <w:color w:val="auto"/>
          <w:szCs w:val="21"/>
          <w:highlight w:val="none"/>
        </w:rPr>
      </w:pPr>
      <w:r>
        <w:rPr>
          <w:color w:val="auto"/>
          <w:szCs w:val="21"/>
          <w:highlight w:val="none"/>
        </w:rPr>
        <w:t>3</w:t>
      </w:r>
      <w:r>
        <w:rPr>
          <w:rFonts w:hint="eastAsia"/>
          <w:color w:val="auto"/>
          <w:szCs w:val="21"/>
          <w:highlight w:val="none"/>
        </w:rPr>
        <w:t>采购需求未尽事宜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4457285C">
      <w:pPr>
        <w:spacing w:line="360" w:lineRule="auto"/>
        <w:rPr>
          <w:color w:val="auto"/>
          <w:szCs w:val="21"/>
          <w:highlight w:val="none"/>
        </w:rPr>
      </w:pPr>
      <w:bookmarkStart w:id="15" w:name="_Hlk105493164"/>
      <w:r>
        <w:rPr>
          <w:color w:val="auto"/>
          <w:szCs w:val="21"/>
          <w:highlight w:val="none"/>
        </w:rPr>
        <w:t>4</w:t>
      </w:r>
      <w:r>
        <w:rPr>
          <w:rFonts w:hint="eastAsia"/>
          <w:color w:val="auto"/>
          <w:szCs w:val="21"/>
          <w:highlight w:val="none"/>
        </w:rPr>
        <w:t>.采购需求必须满足，如存在负偏离将导致响应被否决。</w:t>
      </w:r>
    </w:p>
    <w:bookmarkEnd w:id="15"/>
    <w:p w14:paraId="33501AF1">
      <w:pPr>
        <w:spacing w:line="360" w:lineRule="auto"/>
        <w:rPr>
          <w:rFonts w:hint="eastAsia"/>
          <w:color w:val="auto"/>
          <w:szCs w:val="21"/>
          <w:highlight w:val="none"/>
        </w:rPr>
      </w:pPr>
    </w:p>
    <w:p w14:paraId="638B94F5">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19559411">
      <w:pPr>
        <w:spacing w:line="360" w:lineRule="auto"/>
        <w:rPr>
          <w:rFonts w:hint="eastAsia"/>
          <w:b/>
          <w:bCs/>
          <w:color w:val="auto"/>
          <w:szCs w:val="21"/>
          <w:highlight w:val="none"/>
        </w:rPr>
      </w:pPr>
      <w:r>
        <w:rPr>
          <w:rFonts w:hint="eastAsia"/>
          <w:b/>
          <w:bCs/>
          <w:color w:val="auto"/>
          <w:szCs w:val="21"/>
          <w:highlight w:val="none"/>
        </w:rPr>
        <w:t>（一）服务内容</w:t>
      </w:r>
    </w:p>
    <w:p w14:paraId="25536393">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钟山县财政局2026～2028年度政府投资项目评审服务采用封闭式框架协议采购方式采购，通过公开征集程序，确定第一阶段入围供应商并订立框架协议，采购人按照框架协议约定规则，在入围供应商范围内直接选定第二阶段成交供应商并按项目签订合同。</w:t>
      </w:r>
    </w:p>
    <w:p w14:paraId="4EE43CAB">
      <w:pPr>
        <w:spacing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适用框架协议的采购人：钟山县财政投资评审中心。</w:t>
      </w:r>
    </w:p>
    <w:p w14:paraId="75F8EE6D">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本项目选择不多于</w:t>
      </w:r>
      <w:r>
        <w:rPr>
          <w:rFonts w:hint="eastAsia" w:cs="Times New Roman"/>
          <w:color w:val="auto"/>
          <w:szCs w:val="21"/>
          <w:highlight w:val="none"/>
          <w:lang w:val="en-US" w:eastAsia="zh-CN"/>
        </w:rPr>
        <w:t>18</w:t>
      </w:r>
      <w:r>
        <w:rPr>
          <w:rFonts w:hint="eastAsia" w:ascii="Times New Roman" w:hAnsi="Times New Roman" w:eastAsia="宋体" w:cs="Times New Roman"/>
          <w:color w:val="auto"/>
          <w:szCs w:val="21"/>
          <w:highlight w:val="none"/>
        </w:rPr>
        <w:t>家工程造价咨询机构为钟山县政府投资项目提供概（预）算、工程量清单和招标控制价</w:t>
      </w:r>
      <w:r>
        <w:rPr>
          <w:rFonts w:hint="eastAsia" w:ascii="Times New Roman" w:hAnsi="Times New Roman" w:eastAsia="宋体" w:cs="Times New Roman"/>
          <w:color w:val="auto"/>
          <w:szCs w:val="21"/>
          <w:highlight w:val="none"/>
          <w:lang w:eastAsia="zh-CN"/>
        </w:rPr>
        <w:t>、结算</w:t>
      </w:r>
      <w:r>
        <w:rPr>
          <w:rFonts w:hint="eastAsia" w:ascii="Times New Roman" w:hAnsi="Times New Roman" w:eastAsia="宋体" w:cs="Times New Roman"/>
          <w:color w:val="auto"/>
          <w:szCs w:val="21"/>
          <w:highlight w:val="none"/>
        </w:rPr>
        <w:t>评审服务。</w:t>
      </w:r>
    </w:p>
    <w:p w14:paraId="2871E2D5">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.框架协议期限为2年（具体以框架协议签订为准）。</w:t>
      </w:r>
    </w:p>
    <w:p w14:paraId="08DD7B08">
      <w:pPr>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供应商可承接的钟山县政府投资项目评审服务具体数量及投资额以实际签订采购合同为准。</w:t>
      </w:r>
    </w:p>
    <w:p w14:paraId="29552051">
      <w:pPr>
        <w:spacing w:line="360" w:lineRule="auto"/>
        <w:ind w:firstLine="422" w:firstLineChars="200"/>
        <w:rPr>
          <w:rFonts w:ascii="Times New Roman" w:hAnsi="Times New Roman" w:eastAsia="宋体" w:cs="Times New Roman"/>
          <w:color w:val="auto"/>
          <w:szCs w:val="21"/>
          <w:highlight w:val="none"/>
        </w:rPr>
      </w:pPr>
      <w:r>
        <w:rPr>
          <w:rFonts w:ascii="Times New Roman" w:hAnsi="Times New Roman" w:eastAsia="宋体" w:cs="Times New Roman"/>
          <w:b/>
          <w:bCs/>
          <w:color w:val="auto"/>
          <w:szCs w:val="21"/>
          <w:highlight w:val="none"/>
        </w:rPr>
        <w:t>5.</w:t>
      </w:r>
      <w:r>
        <w:rPr>
          <w:rFonts w:hint="eastAsia" w:ascii="Times New Roman" w:hAnsi="Times New Roman" w:eastAsia="宋体" w:cs="Times New Roman"/>
          <w:b/>
          <w:bCs/>
          <w:color w:val="auto"/>
          <w:szCs w:val="21"/>
          <w:highlight w:val="none"/>
        </w:rPr>
        <w:t>回避原则：成交供应商及其控股股东参股企业（单位）不得参与经钟山县政府投资项目的施工、系统集成等相关业务。成交供应商及其控股股东参股企业（单位）不得参与所评审项目的咨询、设计等相关业务。成交供应商及其控股股东参股企业（单位）不得参与有长期合作关系的建设单位的项目评审工作。若有违反前述规定行为，一经发现，马上终止协议，且不能参与后续年度协审机构采购事项。</w:t>
      </w:r>
    </w:p>
    <w:p w14:paraId="2327288F">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6.采购人需要对钟山县内外单位进行财政专项资金使用情况专项检查时，成交供应商必须按采购人要求派人共同参与，费用另付。</w:t>
      </w:r>
    </w:p>
    <w:p w14:paraId="06AC149A">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7.成交供应商不得将采购人委托的评审工作转交或分包给第三方完成。</w:t>
      </w:r>
    </w:p>
    <w:p w14:paraId="74C12B4C">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入围供应商被采购人直接选定后，无正当理由不得拒绝采购人各类评审项目的委托。成交供应商接到项目通知后应按时响应并安排人员作资料接收等相关工作，应严格按国家有关标准提供相关评审服务，并在接收资料后按时递交成果文件。</w:t>
      </w:r>
    </w:p>
    <w:p w14:paraId="4536C0F6">
      <w:pPr>
        <w:spacing w:line="360" w:lineRule="auto"/>
        <w:ind w:firstLine="420" w:firstLineChars="200"/>
        <w:rPr>
          <w:rFonts w:hint="eastAsia"/>
          <w:color w:val="auto"/>
          <w:szCs w:val="21"/>
          <w:highlight w:val="none"/>
        </w:rPr>
      </w:pP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严格按照采购人提出的评审时限及评审工作流程细则要求，确保在对社会公开承诺和财政要求的时限内完成评审任务，按时按质将评审资料归档。</w:t>
      </w:r>
    </w:p>
    <w:p w14:paraId="132D080E">
      <w:pPr>
        <w:spacing w:line="360" w:lineRule="auto"/>
        <w:rPr>
          <w:rFonts w:hint="eastAsia"/>
          <w:b/>
          <w:bCs/>
          <w:color w:val="auto"/>
          <w:szCs w:val="21"/>
          <w:highlight w:val="none"/>
        </w:rPr>
      </w:pPr>
      <w:r>
        <w:rPr>
          <w:rFonts w:hint="eastAsia"/>
          <w:b/>
          <w:bCs/>
          <w:color w:val="auto"/>
          <w:szCs w:val="21"/>
          <w:highlight w:val="none"/>
        </w:rPr>
        <w:t>（二）服务标准以及所涉及的货物的质量标准</w:t>
      </w:r>
    </w:p>
    <w:p w14:paraId="23380914">
      <w:pPr>
        <w:spacing w:line="360" w:lineRule="auto"/>
        <w:ind w:firstLine="420" w:firstLineChars="200"/>
        <w:rPr>
          <w:rFonts w:ascii="Times New Roman" w:hAnsi="Times New Roman" w:eastAsia="宋体" w:cs="Times New Roman"/>
          <w:color w:val="auto"/>
          <w:szCs w:val="21"/>
          <w:highlight w:val="none"/>
        </w:rPr>
      </w:pPr>
      <w:bookmarkStart w:id="16" w:name="_Hlk99129611"/>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w:t>
      </w:r>
      <w:bookmarkStart w:id="17" w:name="_Hlk98852546"/>
      <w:r>
        <w:rPr>
          <w:rFonts w:hint="eastAsia" w:ascii="Times New Roman" w:hAnsi="Times New Roman" w:eastAsia="宋体" w:cs="Times New Roman"/>
          <w:color w:val="auto"/>
          <w:szCs w:val="21"/>
          <w:highlight w:val="none"/>
        </w:rPr>
        <w:t>供应商要严格遵守国家的法律、法规和有关规章制度，严格遵守行为准则和职业道德，按现行的财政投资项目评审操作规程及质量控制办法规定的执行。</w:t>
      </w:r>
      <w:bookmarkEnd w:id="17"/>
    </w:p>
    <w:p w14:paraId="39C39F65">
      <w:pPr>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严格按照现行的工程造价管理办法、工程结算编审规程等文件要求进行评审工作，依照相关依据发表专业意见出具成果文件，并对成果的真实性、完整性、准确性负责。</w:t>
      </w:r>
    </w:p>
    <w:p w14:paraId="37D5A993">
      <w:pPr>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评审人员在项目评审工程中，应该恪守客观公正、实事求是的原则，确保评审工作的真实完整和准确，保证评审质量。</w:t>
      </w:r>
    </w:p>
    <w:p w14:paraId="116A5EA9">
      <w:pPr>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.评审报告编制标准</w:t>
      </w:r>
    </w:p>
    <w:p w14:paraId="01F5F709">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bCs/>
          <w:color w:val="auto"/>
          <w:highlight w:val="none"/>
        </w:rPr>
        <w:t>评审内容完整、数据准确、依据充分，评审结论定性客观、定量准确、依据充分，核增核减原因定性准确、条理清晰，披露评审问题有理有据、分析透彻，提出评审建议措施具体、针对性强</w:t>
      </w:r>
      <w:r>
        <w:rPr>
          <w:rFonts w:hint="eastAsia" w:ascii="Times New Roman" w:hAnsi="Times New Roman" w:eastAsia="宋体" w:cs="Times New Roman"/>
          <w:color w:val="auto"/>
          <w:szCs w:val="21"/>
          <w:highlight w:val="none"/>
        </w:rPr>
        <w:t>。</w:t>
      </w:r>
    </w:p>
    <w:bookmarkEnd w:id="16"/>
    <w:p w14:paraId="6AA1797D">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highlight w:val="none"/>
        </w:rPr>
        <w:t xml:space="preserve"> </w:t>
      </w:r>
      <w:r>
        <w:rPr>
          <w:rFonts w:hint="eastAsia" w:ascii="Times New Roman" w:hAnsi="Times New Roman" w:eastAsia="宋体" w:cs="Times New Roman"/>
          <w:color w:val="auto"/>
          <w:szCs w:val="21"/>
          <w:highlight w:val="none"/>
        </w:rPr>
        <w:t>采购人将对成交供应商提交的评审报告和评审结论进行复审，复审结果发现因成交供应商存在严重质量问题时，采购人不支付该项目的评审费用，并做出相应的处理，成交供应商必须承担由此造成的全部经济损失和法律责任。</w:t>
      </w:r>
    </w:p>
    <w:p w14:paraId="3C972EF1">
      <w:pPr>
        <w:spacing w:line="360" w:lineRule="auto"/>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rPr>
        <w:t>供应商不得泄露采购人及所承接项目的任何商业机密，不得未经采购人同意擅自对外公开评审结论，一经发现，将由采购人作出相应处理。</w:t>
      </w:r>
    </w:p>
    <w:p w14:paraId="7C6ED6AB">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并列入黑名单。</w:t>
      </w:r>
    </w:p>
    <w:p w14:paraId="2EC3D518">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供应商必须严格遵守《工程造价咨询企业管理办法》(建设部2006年第149号令)、《财政性投资评审质量控制办法》(财建【2006】1065号）、《贺州市财政局关于印发贺州市本级财政投资评审实施办法(2023年修订)的通知》(贺财办[2024]2号)等有关规定，按要求选择具备工程造价审核专业知识、熟悉财政投资审核业务、履行审核程序的人员开展财政投资审核业务，保证取证资料、工作底稿的正确完整和规范。出具的审核报告、结论或意见客观公正，符合审核规范和钟山县财政投资评审中心的要求，对出具的审核报告承担法律责任。</w:t>
      </w:r>
    </w:p>
    <w:p w14:paraId="7810791C">
      <w:pPr>
        <w:spacing w:line="360" w:lineRule="auto"/>
        <w:ind w:firstLine="420" w:firstLineChars="200"/>
        <w:rPr>
          <w:color w:val="auto"/>
          <w:szCs w:val="21"/>
          <w:highlight w:val="none"/>
        </w:rPr>
      </w:pPr>
      <w:r>
        <w:rPr>
          <w:rFonts w:hint="eastAsia" w:ascii="Times New Roman" w:hAnsi="Times New Roman" w:eastAsia="宋体" w:cs="Times New Roman"/>
          <w:color w:val="auto"/>
          <w:highlight w:val="none"/>
        </w:rPr>
        <w:t>9.供应商须在每季度第一个月10日前向</w:t>
      </w:r>
      <w:r>
        <w:rPr>
          <w:rFonts w:hint="eastAsia" w:ascii="Times New Roman" w:hAnsi="Times New Roman" w:eastAsia="宋体" w:cs="Times New Roman"/>
          <w:color w:val="auto"/>
          <w:szCs w:val="21"/>
          <w:highlight w:val="none"/>
        </w:rPr>
        <w:t>钟山县财政投资评审中心</w:t>
      </w:r>
      <w:r>
        <w:rPr>
          <w:rFonts w:hint="eastAsia" w:ascii="Times New Roman" w:hAnsi="Times New Roman" w:eastAsia="宋体" w:cs="Times New Roman"/>
          <w:color w:val="auto"/>
          <w:highlight w:val="none"/>
        </w:rPr>
        <w:t>报送上一季度钟山县财政投资评审服务项目有关统计报表。</w:t>
      </w:r>
    </w:p>
    <w:p w14:paraId="21ABD716">
      <w:pPr>
        <w:spacing w:line="360" w:lineRule="auto"/>
        <w:rPr>
          <w:b/>
          <w:bCs/>
          <w:color w:val="auto"/>
          <w:szCs w:val="21"/>
          <w:highlight w:val="none"/>
        </w:rPr>
      </w:pPr>
      <w:r>
        <w:rPr>
          <w:rFonts w:hint="eastAsia"/>
          <w:b/>
          <w:bCs/>
          <w:color w:val="auto"/>
          <w:szCs w:val="21"/>
          <w:highlight w:val="none"/>
        </w:rPr>
        <w:t>（三）服务人员组成</w:t>
      </w:r>
    </w:p>
    <w:p w14:paraId="012D5206">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en"/>
        </w:rPr>
        <w:t>1</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框架协议技术负责人要求</w:t>
      </w:r>
    </w:p>
    <w:p w14:paraId="1E1C3A0E">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成交供应商应至少拟派一名框架协议技术负责人（必须具有二级及以上的造价师或造价员资格证书）</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负责与采购人及相关单位进行有效沟通，随时向采购人汇报工作，跟进项目进度，确保审核质量并承担相应责任。组织相关评审工作，能够就评审中的重大技术问题、重大争议与纠纷提出处理建议，按规定提交采购人要求的各项意见和审核报告。</w:t>
      </w:r>
    </w:p>
    <w:p w14:paraId="28C7C292">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2.项目主审和协审人员要求</w:t>
      </w:r>
    </w:p>
    <w:p w14:paraId="0D56A760">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主审人员：业务能力和沟通能力强，计划执行能力强，工作效率高，具备团队领导能力，熟悉政府评审工作流程，能独立完成项目主审职责（项目评审</w:t>
      </w:r>
      <w:r>
        <w:rPr>
          <w:rFonts w:hint="eastAsia" w:ascii="Times New Roman" w:hAnsi="Times New Roman" w:eastAsia="宋体" w:cs="Times New Roman"/>
          <w:color w:val="auto"/>
          <w:highlight w:val="none"/>
        </w:rPr>
        <w:t>对接、组织、综合复核、进度控制、质量控制及评审报告的拟写</w:t>
      </w:r>
      <w:r>
        <w:rPr>
          <w:rFonts w:hint="eastAsia" w:ascii="Times New Roman" w:hAnsi="Times New Roman" w:eastAsia="宋体" w:cs="Times New Roman"/>
          <w:color w:val="auto"/>
          <w:szCs w:val="21"/>
          <w:highlight w:val="none"/>
        </w:rPr>
        <w:t>），至少具备二级造价师或造价员资格证书。</w:t>
      </w:r>
    </w:p>
    <w:p w14:paraId="152FFBB3">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协审人员：</w:t>
      </w:r>
      <w:r>
        <w:rPr>
          <w:rFonts w:hint="eastAsia" w:ascii="Times New Roman" w:hAnsi="Times New Roman" w:eastAsia="宋体" w:cs="Times New Roman"/>
          <w:color w:val="auto"/>
          <w:highlight w:val="none"/>
        </w:rPr>
        <w:t>具有良好的沟通能力和团队精神，具备岗位匹配专业技术，可配合项目主审做好评审工作。</w:t>
      </w:r>
    </w:p>
    <w:p w14:paraId="2AA2886E">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3.拟投入的评审人员替换规则</w:t>
      </w:r>
    </w:p>
    <w:p w14:paraId="0BABF51C">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征集人对入围供应商拟投入的评审人员（包括主审、协审人员）实行登记备案管理。入围后，须将本单位拟投入所有专职评审人员（包括主审、协审人员）的名单（附上通讯方式）以及个人详细资料（附身份证、学历、社保、资格证明文件的复印件，原件备查）通过书面和电子文档形式报征集人登记备案。在项目服务过程中，入围供应商如果发生人员变动情况，要及时进行申报备案。征集人将不定期地对成交供应商拟投入的评审人员在岗情况进行检查，经查实成交供应商擅自变更评审人员数量达到总人数20%的，或实际评审人员配备达不到承诺拟投入的人数时，采购人有权不对其委派项目。</w:t>
      </w:r>
    </w:p>
    <w:p w14:paraId="37025BC9">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成交供应商拟投入的评审人员（包括主审、协审人员），必须与响应时拟投入参加项目评审承诺的人员一致。成交供应商在评审采购人委托评审的项目时，必须从拟投入的评审人员名单中安排。</w:t>
      </w:r>
    </w:p>
    <w:p w14:paraId="05C668DD">
      <w:pPr>
        <w:spacing w:line="360" w:lineRule="auto"/>
        <w:rPr>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如果成交供应商需要更换框架协议技术负责人和评审人员时，必须向采购人提出申请并得到采购人的同意。采购人认为成交供应商实际投入的评审人员不足以满足任务需要或认为评审人员不称职时，可向成交供应商发出要求增加或更换评审人员的通知，成交供应商应及时增加或更换符合采购人需求的评审人员，由此产生的费用由成交供应商自行承担。</w:t>
      </w:r>
    </w:p>
    <w:p w14:paraId="554AA282">
      <w:pPr>
        <w:spacing w:line="360" w:lineRule="auto"/>
        <w:rPr>
          <w:color w:val="auto"/>
          <w:szCs w:val="21"/>
          <w:highlight w:val="none"/>
        </w:rPr>
      </w:pPr>
      <w:r>
        <w:rPr>
          <w:rFonts w:hint="eastAsia"/>
          <w:b/>
          <w:bCs/>
          <w:color w:val="auto"/>
          <w:szCs w:val="21"/>
          <w:highlight w:val="none"/>
        </w:rPr>
        <w:t>（四）服务工作量的计量方式</w:t>
      </w:r>
    </w:p>
    <w:p w14:paraId="0E7AD117">
      <w:pPr>
        <w:spacing w:line="312"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1</w:t>
      </w:r>
      <w:r>
        <w:rPr>
          <w:rFonts w:ascii="Times New Roman" w:hAnsi="Times New Roman" w:eastAsia="宋体" w:cs="Times New Roman"/>
          <w:color w:val="auto"/>
          <w:kern w:val="0"/>
          <w:szCs w:val="21"/>
          <w:highlight w:val="none"/>
        </w:rPr>
        <w:t>.最高</w:t>
      </w:r>
      <w:r>
        <w:rPr>
          <w:rFonts w:hint="eastAsia" w:ascii="Times New Roman" w:hAnsi="Times New Roman" w:eastAsia="宋体" w:cs="Times New Roman"/>
          <w:color w:val="auto"/>
          <w:kern w:val="0"/>
          <w:szCs w:val="21"/>
          <w:highlight w:val="none"/>
        </w:rPr>
        <w:t>限制单价</w:t>
      </w:r>
    </w:p>
    <w:p w14:paraId="4722991A">
      <w:pPr>
        <w:spacing w:line="312" w:lineRule="auto"/>
        <w:ind w:firstLine="420" w:firstLineChars="200"/>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最高限制单价是供应商第一阶段响应报价的最高限价。入围供应商第一阶段响应报价是采购人确定第二阶段成交供应商的最高限价。具体要求详见第五章“框架协议（格式）”。</w:t>
      </w:r>
    </w:p>
    <w:p w14:paraId="22E09A63">
      <w:pPr>
        <w:spacing w:line="312" w:lineRule="auto"/>
        <w:ind w:firstLine="420" w:firstLineChars="200"/>
        <w:jc w:val="left"/>
        <w:rPr>
          <w:color w:val="auto"/>
          <w:szCs w:val="21"/>
          <w:highlight w:val="none"/>
        </w:rPr>
      </w:pP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rPr>
        <w:t>付费额的计算公式及审核费调整详见第五章“框架协议（格式）”。</w:t>
      </w:r>
    </w:p>
    <w:p w14:paraId="20E4A78E">
      <w:pPr>
        <w:spacing w:line="360" w:lineRule="auto"/>
        <w:rPr>
          <w:b/>
          <w:bCs/>
          <w:color w:val="auto"/>
          <w:szCs w:val="21"/>
          <w:highlight w:val="none"/>
        </w:rPr>
      </w:pPr>
      <w:r>
        <w:rPr>
          <w:rFonts w:hint="eastAsia"/>
          <w:b/>
          <w:bCs/>
          <w:color w:val="auto"/>
          <w:szCs w:val="21"/>
          <w:highlight w:val="none"/>
        </w:rPr>
        <w:t>（五）服务交付</w:t>
      </w:r>
    </w:p>
    <w:p w14:paraId="3034464B">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限时办结的能力。</w:t>
      </w:r>
    </w:p>
    <w:p w14:paraId="69DD4879">
      <w:pPr>
        <w:spacing w:line="36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szCs w:val="21"/>
          <w:highlight w:val="none"/>
        </w:rPr>
        <w:t>项目评审实行限时办结制度，成交供应商与采购人签订项目合同后，应严格遵守项目评审时限要求，合理安排人员在合同规定的时间内完成项目工作，并向采购人提交合同规定质量数量的成果文件及电子文档，且提交的成果文件必须已完成内部审核程序。</w:t>
      </w:r>
    </w:p>
    <w:p w14:paraId="40AC9EFA">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提供概（预）算、工程量清单和招标控制价评审服务：供应商自接到征集人提交完整评审项目资料当日起应按以下要求提交评审初步结论：评审项目金额1000万元（含）以下8天内完成；评审项目金额1000万以上至3000万元（含）以下9天内完成；评审项目金额3000万以上至5000万元（含）以下10天内完成；评审项目金额5000万以上至8000万元（含）以下11天内完成；评审项目金额8000万以上12天内完成。</w:t>
      </w:r>
    </w:p>
    <w:p w14:paraId="74E6F751">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提供结算评审服务：供应商自接到征集人提交完整评审项目资料当日起应按以下要求提交评审初步结论：评审项目金额500万元（含）以下的，20天内完成；评审项目金额500万以上至2000万元（含）以下30天内完成；评审项目金额2000万以上至5000万元（含）以下45天内完成；评审项目金额5000万以上60天内完成。</w:t>
      </w:r>
    </w:p>
    <w:p w14:paraId="0722AD25">
      <w:pPr>
        <w:spacing w:line="360" w:lineRule="auto"/>
        <w:ind w:firstLine="420" w:firstLineChars="200"/>
        <w:rPr>
          <w:rFonts w:hint="eastAsia"/>
          <w:color w:val="auto"/>
          <w:szCs w:val="21"/>
          <w:highlight w:val="none"/>
        </w:rPr>
      </w:pPr>
      <w:r>
        <w:rPr>
          <w:rFonts w:hint="eastAsia" w:ascii="Times New Roman" w:hAnsi="Times New Roman" w:eastAsia="宋体" w:cs="Times New Roman"/>
          <w:color w:val="auto"/>
          <w:highlight w:val="none"/>
        </w:rPr>
        <w:t>供应商无故超出上述评审规定时间50%以上、累计出现三次以上（含三次），钟山县财政局将供应商列入财政评审项目评审黑名单，取消其为期2年的评审资格。如遇政府对项目评审时间的特殊要求，供应商则应无条件服从征集人的时间安排。</w:t>
      </w:r>
    </w:p>
    <w:p w14:paraId="071AF9D7">
      <w:pPr>
        <w:spacing w:line="360" w:lineRule="auto"/>
        <w:rPr>
          <w:color w:val="auto"/>
          <w:szCs w:val="21"/>
          <w:highlight w:val="none"/>
        </w:rPr>
      </w:pPr>
      <w:r>
        <w:rPr>
          <w:rFonts w:hint="eastAsia"/>
          <w:b/>
          <w:bCs/>
          <w:color w:val="auto"/>
          <w:szCs w:val="21"/>
          <w:highlight w:val="none"/>
        </w:rPr>
        <w:t>（六）技术保障</w:t>
      </w:r>
    </w:p>
    <w:p w14:paraId="1053433D">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为保障项目评审工作正常进行，供应商应基于</w:t>
      </w:r>
      <w:r>
        <w:rPr>
          <w:rFonts w:ascii="Times New Roman" w:hAnsi="Times New Roman" w:eastAsia="宋体" w:cs="Times New Roman"/>
          <w:color w:val="auto"/>
          <w:szCs w:val="21"/>
          <w:highlight w:val="none"/>
        </w:rPr>
        <w:t>审慎原则，保障及时</w:t>
      </w:r>
      <w:r>
        <w:rPr>
          <w:rFonts w:hint="eastAsia" w:ascii="Times New Roman" w:hAnsi="Times New Roman" w:eastAsia="宋体" w:cs="Times New Roman"/>
          <w:color w:val="auto"/>
          <w:szCs w:val="21"/>
          <w:highlight w:val="none"/>
        </w:rPr>
        <w:t>响应、</w:t>
      </w:r>
      <w:r>
        <w:rPr>
          <w:rFonts w:ascii="Times New Roman" w:hAnsi="Times New Roman" w:eastAsia="宋体" w:cs="Times New Roman"/>
          <w:color w:val="auto"/>
          <w:szCs w:val="21"/>
          <w:highlight w:val="none"/>
        </w:rPr>
        <w:t>人力资源充足</w:t>
      </w:r>
      <w:r>
        <w:rPr>
          <w:rFonts w:hint="eastAsia" w:ascii="Times New Roman" w:hAnsi="Times New Roman" w:eastAsia="宋体" w:cs="Times New Roman"/>
          <w:color w:val="auto"/>
          <w:szCs w:val="21"/>
          <w:highlight w:val="none"/>
        </w:rPr>
        <w:t>、专业能力</w:t>
      </w:r>
      <w:r>
        <w:rPr>
          <w:rFonts w:ascii="Times New Roman" w:hAnsi="Times New Roman" w:eastAsia="宋体" w:cs="Times New Roman"/>
          <w:color w:val="auto"/>
          <w:szCs w:val="21"/>
          <w:highlight w:val="none"/>
        </w:rPr>
        <w:t>匹配，</w:t>
      </w:r>
      <w:r>
        <w:rPr>
          <w:rFonts w:hint="eastAsia" w:ascii="Times New Roman" w:hAnsi="Times New Roman" w:eastAsia="宋体" w:cs="Times New Roman"/>
          <w:color w:val="auto"/>
          <w:szCs w:val="21"/>
          <w:highlight w:val="none"/>
        </w:rPr>
        <w:t>具备以下能力：</w:t>
      </w:r>
    </w:p>
    <w:p w14:paraId="4D87F2B9">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1.提供本地服务的能力。</w:t>
      </w:r>
    </w:p>
    <w:p w14:paraId="1C6A9028">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1.1项目评审过程中，供应商拟投入评审人员需到项目地配合采购人完成承接核验资料、项目对数、现场踏勘、复核争议、项目归档等相关工作。</w:t>
      </w:r>
    </w:p>
    <w:p w14:paraId="13DACF2A">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1.2拟投入评审人员需有本地化办公能力且常驻贺州市或钟山县，可根据采购人要求配合出差。</w:t>
      </w:r>
    </w:p>
    <w:p w14:paraId="5172DC15">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 .3拟投入评审人员需熟悉广西壮族自治区内造价信息及造价依据规则等。</w:t>
      </w:r>
    </w:p>
    <w:p w14:paraId="790240AE">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本地化范围为钟山县内，拟投入评审人员应熟悉钟山县工程造价市场情况。</w:t>
      </w:r>
    </w:p>
    <w:p w14:paraId="171C9300">
      <w:pPr>
        <w:spacing w:line="360" w:lineRule="auto"/>
        <w:ind w:firstLine="420" w:firstLineChars="200"/>
        <w:rPr>
          <w:rFonts w:ascii="黑体" w:hAnsi="黑体" w:eastAsia="黑体" w:cs="Arial"/>
          <w:b/>
          <w:color w:val="auto"/>
          <w:kern w:val="0"/>
          <w:sz w:val="28"/>
          <w:szCs w:val="28"/>
          <w:highlight w:val="none"/>
        </w:rPr>
      </w:pPr>
      <w:r>
        <w:rPr>
          <w:rFonts w:hint="eastAsia" w:ascii="Times New Roman" w:hAnsi="Times New Roman" w:eastAsia="宋体" w:cs="Times New Roman"/>
          <w:color w:val="auto"/>
          <w:szCs w:val="21"/>
          <w:highlight w:val="none"/>
        </w:rPr>
        <w:t>2.承担重大、复杂项目的能力。钟山县财政评审项目具有较为复杂的特点，供应商需提供人员充足、经验丰富的团队承担重大、复杂的项目评审工作。</w:t>
      </w:r>
    </w:p>
    <w:p w14:paraId="4530E9E7">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5E143667">
      <w:pPr>
        <w:spacing w:line="360" w:lineRule="auto"/>
        <w:rPr>
          <w:color w:val="auto"/>
          <w:szCs w:val="21"/>
          <w:highlight w:val="none"/>
        </w:rPr>
      </w:pPr>
      <w:r>
        <w:rPr>
          <w:rFonts w:hint="eastAsia"/>
          <w:color w:val="auto"/>
          <w:szCs w:val="21"/>
          <w:highlight w:val="none"/>
        </w:rPr>
        <w:t>1．报价要求</w:t>
      </w:r>
    </w:p>
    <w:p w14:paraId="1E0CBDE2">
      <w:pPr>
        <w:spacing w:line="360" w:lineRule="auto"/>
        <w:rPr>
          <w:rFonts w:hint="eastAsia"/>
          <w:color w:val="auto"/>
          <w:szCs w:val="21"/>
          <w:highlight w:val="none"/>
        </w:rPr>
      </w:pPr>
      <w:r>
        <w:rPr>
          <w:color w:val="auto"/>
          <w:szCs w:val="21"/>
          <w:highlight w:val="none"/>
        </w:rPr>
        <w:sym w:font="Wingdings 2" w:char="F052"/>
      </w:r>
      <w:r>
        <w:rPr>
          <w:rFonts w:hint="eastAsia"/>
          <w:color w:val="auto"/>
          <w:szCs w:val="21"/>
          <w:highlight w:val="none"/>
        </w:rPr>
        <w:t>本项目执行政府定价或政府指导价，供应商不需要提供报价，最高限价单价即作为供应商统一报价，供应商如在制作响应文件或广西政府采购云系统中需要填写报价的，一律按报价</w:t>
      </w:r>
      <w:r>
        <w:rPr>
          <w:rFonts w:hint="eastAsia"/>
          <w:color w:val="auto"/>
          <w:szCs w:val="21"/>
          <w:highlight w:val="none"/>
          <w:lang w:val="en-US" w:eastAsia="zh-CN"/>
        </w:rPr>
        <w:t>1</w:t>
      </w:r>
      <w:r>
        <w:rPr>
          <w:rFonts w:hint="eastAsia"/>
          <w:color w:val="auto"/>
          <w:szCs w:val="21"/>
          <w:highlight w:val="none"/>
        </w:rPr>
        <w:t>元填写。</w:t>
      </w:r>
    </w:p>
    <w:p w14:paraId="442121A7">
      <w:pPr>
        <w:spacing w:line="360" w:lineRule="auto"/>
        <w:rPr>
          <w:rFonts w:hint="eastAsia"/>
          <w:color w:val="auto"/>
          <w:szCs w:val="21"/>
          <w:highlight w:val="none"/>
        </w:rPr>
      </w:pPr>
      <w:r>
        <w:rPr>
          <w:rFonts w:hint="eastAsia"/>
          <w:color w:val="auto"/>
          <w:szCs w:val="21"/>
          <w:highlight w:val="none"/>
        </w:rPr>
        <w:t>□本项目供应商需要提供报价，报价不计入实际评分，仅作为确定第二阶段成交供应商的最高限价，本次报价须为人民币报价，包含人员费、技术服务费、交通、通讯、办公场地、管理费、税费和利润等费用。对于本文件中明确列明必须报价的服务，供应商应分别报价。对于本文件中未列明，而供应商认为必需的费用也需列入总报价。在合同实施时，采购人将不予支付成交供应商没有列入的项目费用，并认为此项目的费用已包括在响应总报价中。</w:t>
      </w:r>
    </w:p>
    <w:p w14:paraId="644180F0">
      <w:pPr>
        <w:spacing w:line="360" w:lineRule="auto"/>
        <w:rPr>
          <w:rFonts w:hint="eastAsia"/>
          <w:color w:val="auto"/>
          <w:szCs w:val="21"/>
          <w:highlight w:val="none"/>
        </w:rPr>
      </w:pPr>
      <w:r>
        <w:rPr>
          <w:rFonts w:hint="eastAsia"/>
          <w:color w:val="auto"/>
          <w:szCs w:val="21"/>
          <w:highlight w:val="none"/>
        </w:rPr>
        <w:t>2.框架协议签订期限</w:t>
      </w:r>
    </w:p>
    <w:p w14:paraId="611300DD">
      <w:pPr>
        <w:spacing w:line="360" w:lineRule="auto"/>
        <w:rPr>
          <w:color w:val="auto"/>
          <w:szCs w:val="21"/>
          <w:highlight w:val="none"/>
        </w:rPr>
      </w:pPr>
      <w:r>
        <w:rPr>
          <w:rFonts w:hint="eastAsia"/>
          <w:color w:val="auto"/>
          <w:szCs w:val="21"/>
          <w:highlight w:val="none"/>
        </w:rPr>
        <w:t>入围通知书发出后</w:t>
      </w:r>
      <w:r>
        <w:rPr>
          <w:rFonts w:hint="eastAsia"/>
          <w:color w:val="auto"/>
          <w:szCs w:val="21"/>
          <w:highlight w:val="none"/>
          <w:lang w:val="en-US" w:eastAsia="zh-CN"/>
        </w:rPr>
        <w:t>25</w:t>
      </w:r>
      <w:r>
        <w:rPr>
          <w:rFonts w:hint="eastAsia"/>
          <w:color w:val="auto"/>
          <w:szCs w:val="21"/>
          <w:highlight w:val="none"/>
        </w:rPr>
        <w:t>日内。</w:t>
      </w:r>
    </w:p>
    <w:p w14:paraId="077F422F">
      <w:pPr>
        <w:spacing w:line="360" w:lineRule="auto"/>
        <w:rPr>
          <w:color w:val="auto"/>
          <w:szCs w:val="21"/>
          <w:highlight w:val="none"/>
        </w:rPr>
      </w:pPr>
      <w:r>
        <w:rPr>
          <w:color w:val="auto"/>
          <w:szCs w:val="21"/>
          <w:highlight w:val="none"/>
        </w:rPr>
        <w:t>3</w:t>
      </w:r>
      <w:r>
        <w:rPr>
          <w:rFonts w:hint="eastAsia"/>
          <w:color w:val="auto"/>
          <w:szCs w:val="21"/>
          <w:highlight w:val="none"/>
        </w:rPr>
        <w:t>.</w:t>
      </w:r>
      <w:r>
        <w:rPr>
          <w:rFonts w:hint="eastAsia"/>
          <w:color w:val="auto"/>
          <w:highlight w:val="none"/>
        </w:rPr>
        <w:t>服务交付或者实施的地域范围</w:t>
      </w:r>
    </w:p>
    <w:p w14:paraId="358319FE">
      <w:pPr>
        <w:spacing w:line="360" w:lineRule="auto"/>
        <w:rPr>
          <w:rFonts w:hint="eastAsia"/>
          <w:color w:val="auto"/>
          <w:highlight w:val="none"/>
        </w:rPr>
      </w:pPr>
      <w:r>
        <w:rPr>
          <w:rFonts w:hint="eastAsia"/>
          <w:color w:val="auto"/>
          <w:highlight w:val="none"/>
        </w:rPr>
        <w:t>钟山县（采购人指定地点）</w:t>
      </w:r>
    </w:p>
    <w:p w14:paraId="75930387">
      <w:pPr>
        <w:spacing w:line="360" w:lineRule="auto"/>
        <w:rPr>
          <w:color w:val="auto"/>
          <w:szCs w:val="21"/>
          <w:highlight w:val="none"/>
        </w:rPr>
      </w:pPr>
      <w:r>
        <w:rPr>
          <w:color w:val="auto"/>
          <w:szCs w:val="21"/>
          <w:highlight w:val="none"/>
        </w:rPr>
        <w:t>4</w:t>
      </w:r>
      <w:r>
        <w:rPr>
          <w:rFonts w:hint="eastAsia"/>
          <w:color w:val="auto"/>
          <w:szCs w:val="21"/>
          <w:highlight w:val="none"/>
        </w:rPr>
        <w:t>.采购资金的支付方式、时间及条件</w:t>
      </w:r>
    </w:p>
    <w:p w14:paraId="1E265FEE">
      <w:pPr>
        <w:spacing w:line="360" w:lineRule="auto"/>
        <w:rPr>
          <w:rFonts w:hint="eastAsia"/>
          <w:color w:val="auto"/>
          <w:szCs w:val="21"/>
          <w:highlight w:val="none"/>
        </w:rPr>
      </w:pPr>
      <w:r>
        <w:rPr>
          <w:rFonts w:hint="eastAsia"/>
          <w:color w:val="auto"/>
          <w:szCs w:val="21"/>
          <w:highlight w:val="none"/>
        </w:rPr>
        <w:t>详见第五章框架协议</w:t>
      </w:r>
    </w:p>
    <w:p w14:paraId="286BF79E">
      <w:pPr>
        <w:spacing w:line="360" w:lineRule="auto"/>
        <w:rPr>
          <w:color w:val="auto"/>
          <w:szCs w:val="21"/>
          <w:highlight w:val="none"/>
        </w:rPr>
      </w:pPr>
      <w:r>
        <w:rPr>
          <w:color w:val="auto"/>
          <w:szCs w:val="21"/>
          <w:highlight w:val="none"/>
        </w:rPr>
        <w:t>5</w:t>
      </w:r>
      <w:r>
        <w:rPr>
          <w:rFonts w:hint="eastAsia"/>
          <w:color w:val="auto"/>
          <w:szCs w:val="21"/>
          <w:highlight w:val="none"/>
        </w:rPr>
        <w:t>.履约保证金</w:t>
      </w:r>
    </w:p>
    <w:p w14:paraId="43645EA3">
      <w:pPr>
        <w:spacing w:line="360" w:lineRule="auto"/>
        <w:rPr>
          <w:rFonts w:hint="eastAsia"/>
          <w:color w:val="auto"/>
          <w:szCs w:val="21"/>
          <w:highlight w:val="none"/>
        </w:rPr>
      </w:pPr>
      <w:bookmarkStart w:id="18" w:name="_Hlk98854135"/>
      <w:r>
        <w:rPr>
          <w:rFonts w:hint="eastAsia"/>
          <w:color w:val="auto"/>
          <w:szCs w:val="21"/>
          <w:highlight w:val="none"/>
        </w:rPr>
        <w:t>无。</w:t>
      </w:r>
    </w:p>
    <w:bookmarkEnd w:id="18"/>
    <w:p w14:paraId="2356D5BE">
      <w:pPr>
        <w:spacing w:line="360" w:lineRule="auto"/>
        <w:rPr>
          <w:rFonts w:hint="eastAsia"/>
          <w:color w:val="auto"/>
          <w:szCs w:val="21"/>
          <w:highlight w:val="none"/>
        </w:rPr>
      </w:pPr>
    </w:p>
    <w:p w14:paraId="73B9D98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5D609B3E">
      <w:pPr>
        <w:spacing w:line="360" w:lineRule="auto"/>
        <w:rPr>
          <w:rFonts w:hint="eastAsia"/>
          <w:color w:val="auto"/>
          <w:szCs w:val="21"/>
          <w:highlight w:val="none"/>
        </w:rPr>
      </w:pPr>
      <w:r>
        <w:rPr>
          <w:rFonts w:hint="eastAsia"/>
          <w:color w:val="auto"/>
          <w:szCs w:val="21"/>
          <w:highlight w:val="none"/>
        </w:rPr>
        <w:t>无。</w:t>
      </w:r>
    </w:p>
    <w:p w14:paraId="433BD285">
      <w:pPr>
        <w:spacing w:line="360" w:lineRule="auto"/>
        <w:jc w:val="center"/>
        <w:outlineLvl w:val="0"/>
        <w:rPr>
          <w:color w:val="auto"/>
          <w:sz w:val="32"/>
          <w:szCs w:val="32"/>
          <w:highlight w:val="none"/>
        </w:rPr>
      </w:pPr>
      <w:r>
        <w:rPr>
          <w:color w:val="auto"/>
          <w:szCs w:val="21"/>
          <w:highlight w:val="none"/>
        </w:rPr>
        <w:br w:type="page"/>
      </w:r>
      <w:bookmarkStart w:id="19" w:name="_Toc966"/>
      <w:r>
        <w:rPr>
          <w:color w:val="auto"/>
          <w:sz w:val="32"/>
          <w:szCs w:val="32"/>
          <w:highlight w:val="none"/>
        </w:rPr>
        <w:t>第三章  供应商须知</w:t>
      </w:r>
      <w:bookmarkEnd w:id="19"/>
      <w:bookmarkStart w:id="20" w:name="_Toc254970526"/>
      <w:bookmarkStart w:id="21" w:name="_Toc254970667"/>
    </w:p>
    <w:p w14:paraId="5D33A6F6">
      <w:pPr>
        <w:pStyle w:val="3"/>
        <w:spacing w:before="40" w:after="40"/>
        <w:jc w:val="center"/>
        <w:rPr>
          <w:rFonts w:ascii="Times New Roman" w:hAnsi="Times New Roman" w:eastAsia="宋体"/>
          <w:color w:val="auto"/>
          <w:sz w:val="24"/>
          <w:szCs w:val="24"/>
          <w:highlight w:val="none"/>
        </w:rPr>
      </w:pPr>
      <w:bookmarkStart w:id="22" w:name="_投标人须知前附表"/>
      <w:bookmarkEnd w:id="22"/>
      <w:bookmarkStart w:id="23" w:name="_Hlk89163557"/>
      <w:r>
        <w:rPr>
          <w:rFonts w:ascii="Times New Roman" w:hAnsi="Times New Roman" w:eastAsia="宋体"/>
          <w:color w:val="auto"/>
          <w:sz w:val="24"/>
          <w:szCs w:val="24"/>
          <w:highlight w:val="none"/>
        </w:rPr>
        <w:t>供应商须知前附表</w:t>
      </w:r>
      <w:bookmarkEnd w:id="20"/>
      <w:bookmarkEnd w:id="21"/>
    </w:p>
    <w:bookmarkEnd w:id="23"/>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134"/>
        <w:gridCol w:w="7229"/>
      </w:tblGrid>
      <w:tr w14:paraId="46B34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A6B9684">
            <w:pPr>
              <w:jc w:val="center"/>
              <w:rPr>
                <w:b/>
                <w:color w:val="auto"/>
                <w:szCs w:val="21"/>
                <w:highlight w:val="none"/>
              </w:rPr>
            </w:pPr>
            <w:r>
              <w:rPr>
                <w:b/>
                <w:color w:val="auto"/>
                <w:szCs w:val="21"/>
                <w:highlight w:val="none"/>
              </w:rPr>
              <w:t>条款号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9842F6">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229372">
            <w:pPr>
              <w:jc w:val="center"/>
              <w:rPr>
                <w:b/>
                <w:color w:val="auto"/>
                <w:szCs w:val="21"/>
                <w:highlight w:val="none"/>
              </w:rPr>
            </w:pPr>
            <w:r>
              <w:rPr>
                <w:b/>
                <w:color w:val="auto"/>
                <w:szCs w:val="21"/>
                <w:highlight w:val="none"/>
              </w:rPr>
              <w:t>内容、要求</w:t>
            </w:r>
          </w:p>
        </w:tc>
      </w:tr>
      <w:tr w14:paraId="449DA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B55835E">
            <w:pPr>
              <w:spacing w:line="300" w:lineRule="exact"/>
              <w:jc w:val="center"/>
              <w:rPr>
                <w:b/>
                <w:color w:val="auto"/>
                <w:szCs w:val="21"/>
                <w:highlight w:val="none"/>
              </w:rPr>
            </w:pPr>
            <w:r>
              <w:rPr>
                <w:b/>
                <w:color w:val="auto"/>
                <w:szCs w:val="21"/>
                <w:highlight w:val="none"/>
              </w:rPr>
              <w:t>1.3.1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0A112D">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F5A930">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钟山县财政局2026～2028年度政府投资项目评审服务项目</w:t>
            </w:r>
          </w:p>
          <w:p w14:paraId="6950309D">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HZZC2026-K3-220047-JDZB</w:t>
            </w:r>
          </w:p>
          <w:p w14:paraId="48B28022">
            <w:pPr>
              <w:spacing w:line="300" w:lineRule="exact"/>
              <w:jc w:val="left"/>
              <w:rPr>
                <w:rFonts w:hint="eastAsia" w:eastAsia="宋体"/>
                <w:color w:val="auto"/>
                <w:szCs w:val="21"/>
                <w:highlight w:val="none"/>
                <w:lang w:val="en-US" w:eastAsia="zh-CN"/>
              </w:rPr>
            </w:pPr>
            <w:r>
              <w:rPr>
                <w:rFonts w:hint="eastAsia"/>
                <w:color w:val="auto"/>
                <w:szCs w:val="21"/>
                <w:highlight w:val="none"/>
              </w:rPr>
              <w:t>采购计划号：</w:t>
            </w:r>
            <w:r>
              <w:rPr>
                <w:rFonts w:hint="eastAsia"/>
                <w:color w:val="auto"/>
                <w:szCs w:val="21"/>
                <w:highlight w:val="none"/>
                <w:lang w:val="en-US" w:eastAsia="zh-CN"/>
              </w:rPr>
              <w:t>/</w:t>
            </w:r>
          </w:p>
        </w:tc>
      </w:tr>
      <w:tr w14:paraId="6C911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C1D22B2">
            <w:pPr>
              <w:spacing w:line="300" w:lineRule="exact"/>
              <w:jc w:val="center"/>
              <w:rPr>
                <w:b/>
                <w:color w:val="auto"/>
                <w:szCs w:val="21"/>
                <w:highlight w:val="none"/>
              </w:rPr>
            </w:pPr>
            <w:r>
              <w:rPr>
                <w:b/>
                <w:color w:val="auto"/>
                <w:szCs w:val="21"/>
                <w:highlight w:val="none"/>
              </w:rPr>
              <w:t>1.3.2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9BA821">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AE1D6D">
            <w:pPr>
              <w:spacing w:line="300" w:lineRule="exact"/>
              <w:jc w:val="left"/>
              <w:rPr>
                <w:rFonts w:hint="eastAsia"/>
                <w:color w:val="auto"/>
                <w:szCs w:val="21"/>
                <w:highlight w:val="none"/>
              </w:rPr>
            </w:pPr>
            <w:r>
              <w:rPr>
                <w:rFonts w:hint="eastAsia"/>
                <w:color w:val="auto"/>
                <w:szCs w:val="21"/>
                <w:highlight w:val="none"/>
              </w:rPr>
              <w:t>封闭式框架协议采购</w:t>
            </w:r>
          </w:p>
        </w:tc>
      </w:tr>
      <w:tr w14:paraId="7B03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18F81F19">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6273DD">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BE77E96">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4B32A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23AA4336">
            <w:pPr>
              <w:spacing w:line="300" w:lineRule="exact"/>
              <w:jc w:val="center"/>
              <w:rPr>
                <w:b/>
                <w:color w:val="auto"/>
                <w:szCs w:val="21"/>
                <w:highlight w:val="none"/>
              </w:rPr>
            </w:pPr>
            <w:r>
              <w:rPr>
                <w:b/>
                <w:color w:val="auto"/>
                <w:szCs w:val="21"/>
                <w:highlight w:val="none"/>
              </w:rPr>
              <w:t>1.5.1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E22A8C">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F1C574">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征集</w:t>
            </w:r>
            <w:r>
              <w:rPr>
                <w:color w:val="auto"/>
                <w:szCs w:val="21"/>
                <w:highlight w:val="none"/>
              </w:rPr>
              <w:t>公告</w:t>
            </w:r>
          </w:p>
        </w:tc>
      </w:tr>
      <w:tr w14:paraId="7FF2A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51" w:type="dxa"/>
            <w:tcBorders>
              <w:top w:val="single" w:color="auto" w:sz="4" w:space="0"/>
              <w:left w:val="single" w:color="auto" w:sz="4" w:space="0"/>
              <w:right w:val="single" w:color="auto" w:sz="4" w:space="0"/>
            </w:tcBorders>
            <w:noWrap w:val="0"/>
            <w:vAlign w:val="center"/>
          </w:tcPr>
          <w:p w14:paraId="7A8A07B9">
            <w:pPr>
              <w:spacing w:line="300" w:lineRule="exact"/>
              <w:jc w:val="center"/>
              <w:rPr>
                <w:b/>
                <w:color w:val="auto"/>
                <w:szCs w:val="21"/>
                <w:highlight w:val="none"/>
              </w:rPr>
            </w:pPr>
            <w:bookmarkStart w:id="24" w:name="_Hlk85555568"/>
            <w:r>
              <w:rPr>
                <w:b/>
                <w:color w:val="auto"/>
                <w:szCs w:val="21"/>
                <w:highlight w:val="none"/>
              </w:rPr>
              <w:t>1.5.3</w:t>
            </w:r>
          </w:p>
        </w:tc>
        <w:tc>
          <w:tcPr>
            <w:tcW w:w="1134" w:type="dxa"/>
            <w:tcBorders>
              <w:top w:val="single" w:color="auto" w:sz="4" w:space="0"/>
              <w:left w:val="single" w:color="auto" w:sz="4" w:space="0"/>
              <w:right w:val="single" w:color="auto" w:sz="4" w:space="0"/>
            </w:tcBorders>
            <w:noWrap w:val="0"/>
            <w:vAlign w:val="center"/>
          </w:tcPr>
          <w:p w14:paraId="7FAFB023">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9810D58">
            <w:pPr>
              <w:spacing w:line="300" w:lineRule="exact"/>
              <w:jc w:val="left"/>
              <w:rPr>
                <w:color w:val="auto"/>
                <w:szCs w:val="21"/>
                <w:highlight w:val="none"/>
              </w:rPr>
            </w:pPr>
            <w:r>
              <w:rPr>
                <w:rFonts w:hint="eastAsia"/>
                <w:color w:val="auto"/>
                <w:szCs w:val="21"/>
                <w:highlight w:val="none"/>
              </w:rPr>
              <w:t>详见征集公告</w:t>
            </w:r>
          </w:p>
        </w:tc>
      </w:tr>
      <w:bookmarkEnd w:id="24"/>
      <w:tr w14:paraId="5E9FA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5D99E1D0">
            <w:pPr>
              <w:spacing w:line="300" w:lineRule="exact"/>
              <w:jc w:val="center"/>
              <w:rPr>
                <w:b/>
                <w:color w:val="auto"/>
                <w:szCs w:val="21"/>
                <w:highlight w:val="none"/>
              </w:rPr>
            </w:pPr>
            <w:r>
              <w:rPr>
                <w:b/>
                <w:color w:val="auto"/>
                <w:szCs w:val="21"/>
                <w:highlight w:val="none"/>
              </w:rPr>
              <w:t>1.6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4D60AA">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B9DFB9B">
            <w:pPr>
              <w:spacing w:line="300" w:lineRule="exact"/>
              <w:jc w:val="left"/>
              <w:rPr>
                <w:color w:val="auto"/>
                <w:szCs w:val="21"/>
                <w:highlight w:val="none"/>
              </w:rPr>
            </w:pPr>
            <w:r>
              <w:rPr>
                <w:color w:val="auto"/>
                <w:szCs w:val="21"/>
                <w:highlight w:val="none"/>
              </w:rPr>
              <w:sym w:font="Wingdings 2" w:char="F052"/>
            </w:r>
            <w:r>
              <w:rPr>
                <w:rFonts w:hint="eastAsia"/>
                <w:color w:val="auto"/>
                <w:szCs w:val="21"/>
                <w:highlight w:val="none"/>
              </w:rPr>
              <w:t>否   □是</w:t>
            </w:r>
          </w:p>
          <w:p w14:paraId="10732E92">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w:t>
            </w:r>
          </w:p>
          <w:p w14:paraId="616D4936">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p>
          <w:p w14:paraId="68BA0063">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rFonts w:hint="eastAsia"/>
                <w:color w:val="auto"/>
                <w:szCs w:val="21"/>
                <w:highlight w:val="none"/>
              </w:rPr>
              <w:t xml:space="preserve">    </w:t>
            </w:r>
          </w:p>
        </w:tc>
      </w:tr>
      <w:tr w14:paraId="576EE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07ECD54F">
            <w:pPr>
              <w:spacing w:line="300" w:lineRule="exact"/>
              <w:jc w:val="center"/>
              <w:rPr>
                <w:b/>
                <w:color w:val="auto"/>
                <w:szCs w:val="21"/>
                <w:highlight w:val="none"/>
              </w:rPr>
            </w:pPr>
            <w:r>
              <w:rPr>
                <w:b/>
                <w:color w:val="auto"/>
                <w:szCs w:val="21"/>
                <w:highlight w:val="none"/>
              </w:rPr>
              <w:t>1.7.1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35B0D1">
            <w:pPr>
              <w:spacing w:line="300" w:lineRule="exact"/>
              <w:jc w:val="center"/>
              <w:rPr>
                <w:color w:val="auto"/>
                <w:szCs w:val="21"/>
                <w:highlight w:val="none"/>
              </w:rPr>
            </w:pPr>
            <w:r>
              <w:rPr>
                <w:color w:val="auto"/>
                <w:szCs w:val="21"/>
                <w:highlight w:val="none"/>
              </w:rPr>
              <w:t>转包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9A99A3D">
            <w:pPr>
              <w:spacing w:line="300" w:lineRule="exact"/>
              <w:jc w:val="left"/>
              <w:rPr>
                <w:color w:val="auto"/>
                <w:szCs w:val="21"/>
                <w:highlight w:val="none"/>
              </w:rPr>
            </w:pPr>
            <w:r>
              <w:rPr>
                <w:color w:val="auto"/>
                <w:szCs w:val="21"/>
                <w:highlight w:val="none"/>
              </w:rPr>
              <w:t>本项目不允许转包</w:t>
            </w:r>
            <w:r>
              <w:rPr>
                <w:rFonts w:hint="eastAsia"/>
                <w:color w:val="auto"/>
                <w:szCs w:val="21"/>
                <w:highlight w:val="none"/>
              </w:rPr>
              <w:t>。</w:t>
            </w:r>
          </w:p>
        </w:tc>
      </w:tr>
      <w:tr w14:paraId="39EE5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20680763">
            <w:pPr>
              <w:spacing w:line="300" w:lineRule="exact"/>
              <w:jc w:val="center"/>
              <w:rPr>
                <w:b/>
                <w:color w:val="auto"/>
                <w:szCs w:val="21"/>
                <w:highlight w:val="none"/>
              </w:rPr>
            </w:pPr>
            <w:r>
              <w:rPr>
                <w:b/>
                <w:color w:val="auto"/>
                <w:szCs w:val="21"/>
                <w:highlight w:val="none"/>
              </w:rPr>
              <w:t>1.7.2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C90C50">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DF4FA27">
            <w:pPr>
              <w:spacing w:line="300" w:lineRule="exact"/>
              <w:jc w:val="left"/>
              <w:rPr>
                <w:color w:val="auto"/>
                <w:kern w:val="0"/>
                <w:szCs w:val="21"/>
                <w:highlight w:val="none"/>
              </w:rPr>
            </w:pPr>
            <w:r>
              <w:rPr>
                <w:color w:val="auto"/>
                <w:szCs w:val="21"/>
                <w:highlight w:val="none"/>
              </w:rPr>
              <w:sym w:font="Wingdings 2" w:char="F052"/>
            </w:r>
            <w:r>
              <w:rPr>
                <w:rFonts w:hint="eastAsia"/>
                <w:color w:val="auto"/>
                <w:kern w:val="0"/>
                <w:szCs w:val="21"/>
                <w:highlight w:val="none"/>
              </w:rPr>
              <w:t>不允许分包</w:t>
            </w:r>
          </w:p>
          <w:p w14:paraId="28F188B2">
            <w:pPr>
              <w:spacing w:line="300" w:lineRule="exact"/>
              <w:jc w:val="left"/>
              <w:rPr>
                <w:rFonts w:hint="eastAsia"/>
                <w:color w:val="auto"/>
                <w:szCs w:val="21"/>
                <w:highlight w:val="none"/>
              </w:rPr>
            </w:pPr>
            <w:r>
              <w:rPr>
                <w:color w:val="auto"/>
                <w:szCs w:val="21"/>
                <w:highlight w:val="none"/>
              </w:rPr>
              <w:sym w:font="Wingdings 2" w:char="F0A3"/>
            </w:r>
            <w:r>
              <w:rPr>
                <w:rFonts w:hint="eastAsia"/>
                <w:color w:val="auto"/>
                <w:szCs w:val="21"/>
                <w:highlight w:val="none"/>
              </w:rPr>
              <w:t>允许分包</w:t>
            </w:r>
          </w:p>
        </w:tc>
      </w:tr>
      <w:tr w14:paraId="48E9B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62E7C629">
            <w:pPr>
              <w:spacing w:line="300" w:lineRule="exact"/>
              <w:jc w:val="center"/>
              <w:rPr>
                <w:b/>
                <w:color w:val="auto"/>
                <w:szCs w:val="21"/>
                <w:highlight w:val="none"/>
              </w:rPr>
            </w:pPr>
            <w:r>
              <w:rPr>
                <w:b/>
                <w:color w:val="auto"/>
                <w:szCs w:val="21"/>
                <w:highlight w:val="none"/>
              </w:rPr>
              <w:t>2.1.3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CB45DA">
            <w:pPr>
              <w:spacing w:line="300" w:lineRule="exact"/>
              <w:jc w:val="center"/>
              <w:rPr>
                <w:color w:val="auto"/>
                <w:szCs w:val="21"/>
                <w:highlight w:val="none"/>
              </w:rPr>
            </w:pPr>
            <w:r>
              <w:rPr>
                <w:color w:val="auto"/>
                <w:szCs w:val="21"/>
                <w:highlight w:val="none"/>
              </w:rPr>
              <w:t>征集文件澄清、修改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280901">
            <w:pPr>
              <w:spacing w:line="300" w:lineRule="exact"/>
              <w:jc w:val="left"/>
              <w:rPr>
                <w:color w:val="auto"/>
                <w:szCs w:val="21"/>
                <w:highlight w:val="none"/>
              </w:rPr>
            </w:pPr>
            <w:r>
              <w:rPr>
                <w:color w:val="auto"/>
                <w:szCs w:val="21"/>
                <w:highlight w:val="none"/>
              </w:rPr>
              <w:t>在征集公告发布媒介发布</w:t>
            </w:r>
            <w:r>
              <w:rPr>
                <w:rFonts w:hint="eastAsia"/>
                <w:color w:val="auto"/>
                <w:szCs w:val="21"/>
                <w:highlight w:val="none"/>
              </w:rPr>
              <w:t>。</w:t>
            </w:r>
          </w:p>
        </w:tc>
      </w:tr>
      <w:tr w14:paraId="5F278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5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58369E7">
            <w:pPr>
              <w:spacing w:line="300" w:lineRule="exact"/>
              <w:jc w:val="center"/>
              <w:rPr>
                <w:b/>
                <w:color w:val="auto"/>
                <w:szCs w:val="21"/>
                <w:highlight w:val="none"/>
              </w:rPr>
            </w:pPr>
            <w:r>
              <w:rPr>
                <w:b/>
                <w:color w:val="auto"/>
                <w:szCs w:val="21"/>
                <w:highlight w:val="none"/>
              </w:rPr>
              <w:t>2.1.3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47AA10">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5CA5927">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自征集公告</w:t>
            </w:r>
            <w:r>
              <w:rPr>
                <w:color w:val="auto"/>
                <w:szCs w:val="21"/>
                <w:highlight w:val="none"/>
              </w:rPr>
              <w:t>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征集公告</w:t>
            </w:r>
            <w:r>
              <w:rPr>
                <w:color w:val="auto"/>
                <w:szCs w:val="21"/>
                <w:highlight w:val="none"/>
              </w:rPr>
              <w:t>发布媒</w:t>
            </w:r>
            <w:r>
              <w:rPr>
                <w:rFonts w:hint="eastAsia"/>
                <w:color w:val="auto"/>
                <w:szCs w:val="21"/>
                <w:highlight w:val="none"/>
              </w:rPr>
              <w:t>体</w:t>
            </w:r>
            <w:r>
              <w:rPr>
                <w:color w:val="auto"/>
                <w:szCs w:val="21"/>
                <w:highlight w:val="none"/>
              </w:rPr>
              <w:t>造成的损失，由供应商自行负责。</w:t>
            </w:r>
          </w:p>
        </w:tc>
      </w:tr>
      <w:tr w14:paraId="6DDC1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454F373">
            <w:pPr>
              <w:spacing w:line="300" w:lineRule="exact"/>
              <w:jc w:val="center"/>
              <w:rPr>
                <w:b/>
                <w:color w:val="auto"/>
                <w:szCs w:val="21"/>
                <w:highlight w:val="none"/>
              </w:rPr>
            </w:pPr>
            <w:r>
              <w:rPr>
                <w:b/>
                <w:color w:val="auto"/>
                <w:szCs w:val="21"/>
                <w:highlight w:val="none"/>
              </w:rPr>
              <w:t>2.2.4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D3B07E">
            <w:pPr>
              <w:spacing w:line="300" w:lineRule="exact"/>
              <w:jc w:val="center"/>
              <w:rPr>
                <w:color w:val="auto"/>
                <w:szCs w:val="21"/>
                <w:highlight w:val="none"/>
              </w:rPr>
            </w:pPr>
            <w:r>
              <w:rPr>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B500621">
            <w:pPr>
              <w:spacing w:line="300" w:lineRule="exact"/>
              <w:jc w:val="left"/>
              <w:rPr>
                <w:color w:val="auto"/>
                <w:szCs w:val="21"/>
                <w:highlight w:val="none"/>
              </w:rPr>
            </w:pPr>
            <w:r>
              <w:rPr>
                <w:color w:val="auto"/>
                <w:szCs w:val="21"/>
                <w:highlight w:val="none"/>
              </w:rPr>
              <w:t>响应截止之日起90天。</w:t>
            </w:r>
          </w:p>
        </w:tc>
      </w:tr>
      <w:tr w14:paraId="3A9F2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3ABDFFCC">
            <w:pPr>
              <w:spacing w:line="300" w:lineRule="exact"/>
              <w:jc w:val="center"/>
              <w:rPr>
                <w:b/>
                <w:color w:val="auto"/>
                <w:szCs w:val="21"/>
                <w:highlight w:val="none"/>
              </w:rPr>
            </w:pPr>
            <w:r>
              <w:rPr>
                <w:b/>
                <w:color w:val="auto"/>
                <w:szCs w:val="21"/>
                <w:highlight w:val="none"/>
              </w:rPr>
              <w:t>2.2.5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9D64CE">
            <w:pPr>
              <w:spacing w:line="300" w:lineRule="exact"/>
              <w:jc w:val="center"/>
              <w:rPr>
                <w:color w:val="auto"/>
                <w:szCs w:val="21"/>
                <w:highlight w:val="none"/>
              </w:rPr>
            </w:pPr>
            <w:r>
              <w:rPr>
                <w:color w:val="auto"/>
                <w:szCs w:val="21"/>
                <w:highlight w:val="none"/>
              </w:rPr>
              <w:t>响应保证金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F2109DA">
            <w:pPr>
              <w:spacing w:line="312" w:lineRule="auto"/>
              <w:jc w:val="left"/>
              <w:rPr>
                <w:rFonts w:hint="eastAsia"/>
                <w:color w:val="auto"/>
                <w:kern w:val="0"/>
                <w:szCs w:val="21"/>
                <w:highlight w:val="none"/>
              </w:rPr>
            </w:pPr>
            <w:r>
              <w:rPr>
                <w:color w:val="auto"/>
                <w:szCs w:val="21"/>
                <w:highlight w:val="none"/>
              </w:rPr>
              <w:t>响应保证金</w:t>
            </w:r>
            <w:r>
              <w:rPr>
                <w:rFonts w:hint="eastAsia"/>
                <w:color w:val="auto"/>
                <w:szCs w:val="21"/>
                <w:highlight w:val="none"/>
              </w:rPr>
              <w:t>金额：人民币捌仟元整（¥8,000.00）</w:t>
            </w:r>
          </w:p>
          <w:p w14:paraId="2CA32D0D">
            <w:pPr>
              <w:spacing w:line="300" w:lineRule="exact"/>
              <w:jc w:val="left"/>
              <w:rPr>
                <w:color w:val="auto"/>
                <w:szCs w:val="21"/>
                <w:highlight w:val="none"/>
              </w:rPr>
            </w:pPr>
            <w:r>
              <w:rPr>
                <w:rFonts w:hint="eastAsia"/>
                <w:color w:val="auto"/>
                <w:szCs w:val="21"/>
                <w:highlight w:val="none"/>
              </w:rPr>
              <w:t>1、缴纳方式一：</w:t>
            </w:r>
          </w:p>
          <w:p w14:paraId="1A0578D5">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时间前将响应保证金以电汇、转账形式从供应商账户一次性足额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）对应的专用虚拟账号，所交纳的响应保证金仅限当次项目（</w:t>
            </w:r>
            <w:r>
              <w:rPr>
                <w:rFonts w:hint="eastAsia"/>
                <w:color w:val="auto"/>
                <w:szCs w:val="21"/>
                <w:highlight w:val="none"/>
              </w:rPr>
              <w:t>分标</w:t>
            </w:r>
            <w:r>
              <w:rPr>
                <w:color w:val="auto"/>
                <w:szCs w:val="21"/>
                <w:highlight w:val="none"/>
              </w:rPr>
              <w:t>）有效，不得重复替代使用。本项目响应保证金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25A30518">
            <w:pPr>
              <w:spacing w:line="300" w:lineRule="exact"/>
              <w:jc w:val="left"/>
              <w:rPr>
                <w:rFonts w:hint="eastAsia"/>
                <w:color w:val="auto"/>
                <w:szCs w:val="21"/>
                <w:highlight w:val="none"/>
              </w:rPr>
            </w:pPr>
            <w:r>
              <w:rPr>
                <w:rFonts w:hint="eastAsia"/>
                <w:color w:val="auto"/>
                <w:szCs w:val="21"/>
                <w:highlight w:val="none"/>
              </w:rPr>
              <w:t>开户银行：平安银行南宁分行营业部</w:t>
            </w:r>
          </w:p>
          <w:p w14:paraId="48269960">
            <w:pPr>
              <w:spacing w:line="300" w:lineRule="exact"/>
              <w:jc w:val="left"/>
              <w:rPr>
                <w:rFonts w:hint="eastAsia"/>
                <w:color w:val="auto"/>
                <w:szCs w:val="21"/>
                <w:highlight w:val="none"/>
              </w:rPr>
            </w:pPr>
            <w:r>
              <w:rPr>
                <w:rFonts w:hint="eastAsia"/>
                <w:color w:val="auto"/>
                <w:szCs w:val="21"/>
                <w:highlight w:val="none"/>
              </w:rPr>
              <w:t>开户名称：广西机电设备招标有限公司</w:t>
            </w:r>
          </w:p>
          <w:p w14:paraId="7187292C">
            <w:pPr>
              <w:spacing w:line="300" w:lineRule="exact"/>
              <w:jc w:val="left"/>
              <w:rPr>
                <w:rFonts w:hint="eastAsia"/>
                <w:color w:val="auto"/>
                <w:szCs w:val="21"/>
                <w:highlight w:val="none"/>
              </w:rPr>
            </w:pPr>
            <w:r>
              <w:rPr>
                <w:rFonts w:hint="eastAsia"/>
                <w:color w:val="auto"/>
                <w:szCs w:val="21"/>
                <w:highlight w:val="none"/>
              </w:rPr>
              <w:t>开户账户：30210485122580</w:t>
            </w:r>
          </w:p>
          <w:p w14:paraId="057CBAB2">
            <w:pPr>
              <w:spacing w:line="300" w:lineRule="exact"/>
              <w:jc w:val="left"/>
              <w:rPr>
                <w:color w:val="auto"/>
                <w:szCs w:val="21"/>
                <w:highlight w:val="none"/>
              </w:rPr>
            </w:pPr>
            <w:r>
              <w:rPr>
                <w:color w:val="auto"/>
                <w:szCs w:val="21"/>
                <w:highlight w:val="none"/>
              </w:rPr>
              <w:t>特别说明：本项目保证金采用虚拟账号，为保证响应保证金与项目一一对应，供应商如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响应保证金。</w:t>
            </w:r>
          </w:p>
          <w:p w14:paraId="4BD1E8CC">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响应保证金币种应与响应报价币种相同。</w:t>
            </w:r>
            <w:r>
              <w:rPr>
                <w:rFonts w:hint="eastAsia"/>
                <w:color w:val="auto"/>
                <w:szCs w:val="21"/>
                <w:highlight w:val="none"/>
              </w:rPr>
              <w:t>响应保证金缴纳后无需开具收据，供应商应在响应文件中放入转账底单或电汇凭证的复印件，必须在响应截止时间之前到达指定账号，其到账时间以银行确认的到账时间为准。</w:t>
            </w:r>
          </w:p>
          <w:p w14:paraId="780794ED">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征集文件</w:t>
            </w:r>
            <w:r>
              <w:rPr>
                <w:color w:val="auto"/>
                <w:szCs w:val="21"/>
                <w:highlight w:val="none"/>
              </w:rPr>
              <w:t>规定不予退还保证金的情形外，</w:t>
            </w:r>
            <w:r>
              <w:rPr>
                <w:rFonts w:hint="eastAsia"/>
                <w:color w:val="auto"/>
                <w:szCs w:val="21"/>
                <w:highlight w:val="none"/>
              </w:rPr>
              <w:t>征集人在法定时间内通过银行原路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交纳保证金后未参加响应活动或响应保证金缴纳错误而</w:t>
            </w:r>
            <w:r>
              <w:rPr>
                <w:color w:val="auto"/>
                <w:szCs w:val="21"/>
                <w:highlight w:val="none"/>
              </w:rPr>
              <w:t>导致</w:t>
            </w:r>
            <w:r>
              <w:rPr>
                <w:rFonts w:hint="eastAsia"/>
                <w:color w:val="auto"/>
                <w:szCs w:val="21"/>
                <w:highlight w:val="none"/>
              </w:rPr>
              <w:t>响应保证金</w:t>
            </w:r>
            <w:r>
              <w:rPr>
                <w:color w:val="auto"/>
                <w:szCs w:val="21"/>
                <w:highlight w:val="none"/>
              </w:rPr>
              <w:t>无法及时退还的责任</w:t>
            </w:r>
            <w:r>
              <w:rPr>
                <w:rFonts w:hint="eastAsia"/>
                <w:color w:val="auto"/>
                <w:szCs w:val="21"/>
                <w:highlight w:val="none"/>
              </w:rPr>
              <w:t>。</w:t>
            </w:r>
          </w:p>
          <w:p w14:paraId="30B93AC5">
            <w:pPr>
              <w:spacing w:line="300" w:lineRule="exact"/>
              <w:jc w:val="left"/>
              <w:rPr>
                <w:color w:val="auto"/>
                <w:szCs w:val="21"/>
                <w:highlight w:val="none"/>
              </w:rPr>
            </w:pPr>
            <w:r>
              <w:rPr>
                <w:rFonts w:hint="eastAsia"/>
                <w:color w:val="auto"/>
                <w:szCs w:val="21"/>
                <w:highlight w:val="none"/>
              </w:rPr>
              <w:t>2、缴纳方式二：</w:t>
            </w:r>
          </w:p>
          <w:p w14:paraId="241B4CDD">
            <w:pPr>
              <w:spacing w:line="300" w:lineRule="exact"/>
              <w:jc w:val="left"/>
              <w:rPr>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征集公告。</w:t>
            </w:r>
          </w:p>
          <w:p w14:paraId="4706E1B6">
            <w:pPr>
              <w:spacing w:line="300" w:lineRule="exact"/>
              <w:jc w:val="left"/>
              <w:rPr>
                <w:color w:val="auto"/>
                <w:szCs w:val="21"/>
                <w:highlight w:val="none"/>
              </w:rPr>
            </w:pPr>
            <w:r>
              <w:rPr>
                <w:color w:val="auto"/>
                <w:szCs w:val="21"/>
                <w:highlight w:val="none"/>
              </w:rPr>
              <w:t>3</w:t>
            </w:r>
            <w:r>
              <w:rPr>
                <w:rFonts w:hint="eastAsia"/>
                <w:color w:val="auto"/>
                <w:szCs w:val="21"/>
                <w:highlight w:val="none"/>
              </w:rPr>
              <w:t>、响应保证金有下列情形之一的，视为保证金无效：</w:t>
            </w:r>
          </w:p>
          <w:p w14:paraId="413B4DB3">
            <w:pPr>
              <w:spacing w:line="300" w:lineRule="exact"/>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）保证金在响应截止时间后提交的，或者不按规定交纳方式交纳的，或者未足额交纳的（包含保函额度不足的）的；</w:t>
            </w:r>
          </w:p>
          <w:p w14:paraId="718D48FC">
            <w:pPr>
              <w:spacing w:line="300" w:lineRule="exact"/>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）支票、汇票或者本票出现无效或者背书情形的；</w:t>
            </w:r>
          </w:p>
          <w:p w14:paraId="038B1959">
            <w:pPr>
              <w:spacing w:line="30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）保函有效期低于响应有效期的；</w:t>
            </w:r>
          </w:p>
          <w:p w14:paraId="1C18FF92">
            <w:pPr>
              <w:spacing w:line="300" w:lineRule="exact"/>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）非金融机构、担保机构出具保函的、非无条件保函的。</w:t>
            </w:r>
          </w:p>
          <w:p w14:paraId="305F580B">
            <w:pPr>
              <w:spacing w:line="300" w:lineRule="exact"/>
              <w:jc w:val="left"/>
              <w:rPr>
                <w:color w:val="auto"/>
                <w:szCs w:val="21"/>
                <w:highlight w:val="none"/>
              </w:rPr>
            </w:pPr>
            <w:r>
              <w:rPr>
                <w:color w:val="auto"/>
                <w:szCs w:val="21"/>
                <w:highlight w:val="none"/>
              </w:rPr>
              <w:t>4</w:t>
            </w:r>
            <w:r>
              <w:rPr>
                <w:rFonts w:hint="eastAsia"/>
                <w:color w:val="auto"/>
                <w:szCs w:val="21"/>
                <w:highlight w:val="none"/>
              </w:rPr>
              <w:t>、财务部联系电话：</w:t>
            </w:r>
            <w:r>
              <w:rPr>
                <w:color w:val="auto"/>
                <w:szCs w:val="21"/>
                <w:highlight w:val="none"/>
              </w:rPr>
              <w:t>0771-2821398</w:t>
            </w:r>
          </w:p>
          <w:p w14:paraId="5C0D4ABD">
            <w:pPr>
              <w:spacing w:line="300" w:lineRule="exact"/>
              <w:jc w:val="left"/>
              <w:rPr>
                <w:b/>
                <w:bCs/>
                <w:color w:val="auto"/>
                <w:szCs w:val="21"/>
                <w:highlight w:val="none"/>
              </w:rPr>
            </w:pPr>
            <w:r>
              <w:rPr>
                <w:rFonts w:hint="eastAsia"/>
                <w:b/>
                <w:bCs/>
                <w:color w:val="auto"/>
                <w:szCs w:val="21"/>
                <w:highlight w:val="none"/>
              </w:rPr>
              <w:t>注：为保证响应保证金退还的及时性与便利性，鼓励优先采用方式一递交响应保证金。</w:t>
            </w:r>
          </w:p>
        </w:tc>
      </w:tr>
      <w:tr w14:paraId="0C23B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51" w:type="dxa"/>
            <w:tcBorders>
              <w:left w:val="single" w:color="auto" w:sz="4" w:space="0"/>
              <w:right w:val="single" w:color="auto" w:sz="4" w:space="0"/>
            </w:tcBorders>
            <w:noWrap w:val="0"/>
            <w:vAlign w:val="center"/>
          </w:tcPr>
          <w:p w14:paraId="67055ED6">
            <w:pPr>
              <w:spacing w:line="300" w:lineRule="exact"/>
              <w:jc w:val="center"/>
              <w:rPr>
                <w:b/>
                <w:color w:val="auto"/>
                <w:szCs w:val="21"/>
                <w:highlight w:val="none"/>
              </w:rPr>
            </w:pPr>
            <w:r>
              <w:rPr>
                <w:b/>
                <w:color w:val="auto"/>
                <w:szCs w:val="21"/>
                <w:highlight w:val="none"/>
              </w:rPr>
              <w:t>2.2.6</w:t>
            </w:r>
          </w:p>
        </w:tc>
        <w:tc>
          <w:tcPr>
            <w:tcW w:w="1134" w:type="dxa"/>
            <w:tcBorders>
              <w:top w:val="single" w:color="auto" w:sz="4" w:space="0"/>
              <w:left w:val="single" w:color="auto" w:sz="4" w:space="0"/>
              <w:right w:val="single" w:color="auto" w:sz="4" w:space="0"/>
            </w:tcBorders>
            <w:noWrap w:val="0"/>
            <w:vAlign w:val="center"/>
          </w:tcPr>
          <w:p w14:paraId="57640C2B">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531446A8">
            <w:pPr>
              <w:spacing w:line="300" w:lineRule="exact"/>
              <w:jc w:val="left"/>
              <w:rPr>
                <w:color w:val="auto"/>
                <w:szCs w:val="21"/>
                <w:highlight w:val="none"/>
              </w:rPr>
            </w:pPr>
            <w:r>
              <w:rPr>
                <w:rFonts w:hint="eastAsia" w:hAnsi="宋体"/>
                <w:color w:val="auto"/>
                <w:szCs w:val="21"/>
                <w:highlight w:val="none"/>
              </w:rPr>
              <w:t>响应文件应按第七章响应文件格式分别编制并使用下载的广西政府采购云平台新版客户端制作并上传。</w:t>
            </w:r>
          </w:p>
        </w:tc>
      </w:tr>
      <w:tr w14:paraId="448F1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6FD7436">
            <w:pPr>
              <w:spacing w:line="300" w:lineRule="exact"/>
              <w:jc w:val="center"/>
              <w:rPr>
                <w:b/>
                <w:color w:val="auto"/>
                <w:szCs w:val="21"/>
                <w:highlight w:val="none"/>
              </w:rPr>
            </w:pPr>
            <w:r>
              <w:rPr>
                <w:b/>
                <w:color w:val="auto"/>
                <w:szCs w:val="21"/>
                <w:highlight w:val="none"/>
              </w:rPr>
              <w:t>2.2.7</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E92498">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9902F0">
            <w:pPr>
              <w:spacing w:line="300" w:lineRule="exact"/>
              <w:jc w:val="left"/>
              <w:rPr>
                <w:color w:val="auto"/>
                <w:szCs w:val="21"/>
                <w:highlight w:val="none"/>
              </w:rPr>
            </w:pPr>
            <w:r>
              <w:rPr>
                <w:rFonts w:hint="eastAsia"/>
                <w:color w:val="auto"/>
                <w:kern w:val="0"/>
                <w:szCs w:val="21"/>
                <w:highlight w:val="none"/>
              </w:rPr>
              <w:t>见征集公告要求</w:t>
            </w:r>
            <w:r>
              <w:rPr>
                <w:rFonts w:hint="eastAsia"/>
                <w:color w:val="auto"/>
                <w:szCs w:val="21"/>
                <w:highlight w:val="none"/>
              </w:rPr>
              <w:t>。</w:t>
            </w:r>
          </w:p>
        </w:tc>
      </w:tr>
      <w:tr w14:paraId="7559E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2BD7B7D">
            <w:pPr>
              <w:spacing w:line="300" w:lineRule="exact"/>
              <w:jc w:val="center"/>
              <w:rPr>
                <w:b/>
                <w:color w:val="auto"/>
                <w:szCs w:val="21"/>
                <w:highlight w:val="none"/>
              </w:rPr>
            </w:pPr>
            <w:r>
              <w:rPr>
                <w:b/>
                <w:color w:val="auto"/>
                <w:szCs w:val="21"/>
                <w:highlight w:val="none"/>
              </w:rPr>
              <w:t>2.3.2.3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0456C6">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AC25896">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备份响应文件</w:t>
            </w:r>
          </w:p>
          <w:p w14:paraId="7A1A9395">
            <w:pPr>
              <w:spacing w:line="276" w:lineRule="auto"/>
              <w:rPr>
                <w:rFonts w:hint="eastAsia"/>
                <w:color w:val="auto"/>
                <w:sz w:val="22"/>
                <w:szCs w:val="22"/>
                <w:highlight w:val="none"/>
              </w:rPr>
            </w:pPr>
            <w:r>
              <w:rPr>
                <w:rFonts w:hint="eastAsia" w:ascii="宋体" w:hAnsi="宋体"/>
                <w:color w:val="auto"/>
                <w:szCs w:val="21"/>
                <w:highlight w:val="none"/>
              </w:rPr>
              <w:t>以广西政府采购云自动生成的备份文件为依据，当项目允许接受备份响应文件时，供应商才可以按规定上传备份响应文件。</w:t>
            </w:r>
          </w:p>
        </w:tc>
      </w:tr>
      <w:tr w14:paraId="181C0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7B29D3B">
            <w:pPr>
              <w:spacing w:line="300" w:lineRule="exact"/>
              <w:jc w:val="center"/>
              <w:rPr>
                <w:b/>
                <w:color w:val="auto"/>
                <w:szCs w:val="21"/>
                <w:highlight w:val="none"/>
              </w:rPr>
            </w:pPr>
            <w:r>
              <w:rPr>
                <w:b/>
                <w:color w:val="auto"/>
                <w:szCs w:val="21"/>
                <w:highlight w:val="none"/>
              </w:rPr>
              <w:t>2.3.3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3D0C4F">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15AC72A">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506FCDA1">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0B7D3A5D">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55A6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A6BAAA1">
            <w:pPr>
              <w:spacing w:line="300" w:lineRule="exact"/>
              <w:jc w:val="center"/>
              <w:rPr>
                <w:b/>
                <w:color w:val="auto"/>
                <w:szCs w:val="21"/>
                <w:highlight w:val="none"/>
              </w:rPr>
            </w:pPr>
            <w:r>
              <w:rPr>
                <w:b/>
                <w:color w:val="auto"/>
                <w:szCs w:val="21"/>
                <w:highlight w:val="none"/>
              </w:rPr>
              <w:t>2.5.5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344B8B">
            <w:pPr>
              <w:spacing w:line="300" w:lineRule="exact"/>
              <w:jc w:val="center"/>
              <w:rPr>
                <w:color w:val="auto"/>
                <w:szCs w:val="21"/>
                <w:highlight w:val="none"/>
              </w:rPr>
            </w:pPr>
            <w:r>
              <w:rPr>
                <w:rFonts w:hint="eastAsia"/>
                <w:color w:val="auto"/>
                <w:szCs w:val="21"/>
                <w:highlight w:val="none"/>
              </w:rPr>
              <w:t>入围结果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F61DBC1">
            <w:pPr>
              <w:spacing w:line="300" w:lineRule="exact"/>
              <w:jc w:val="left"/>
              <w:rPr>
                <w:color w:val="auto"/>
                <w:szCs w:val="21"/>
                <w:highlight w:val="none"/>
              </w:rPr>
            </w:pPr>
            <w:r>
              <w:rPr>
                <w:rFonts w:hint="eastAsia"/>
                <w:color w:val="auto"/>
                <w:szCs w:val="21"/>
                <w:highlight w:val="none"/>
              </w:rPr>
              <w:t>采购代理机构在采购人</w:t>
            </w:r>
            <w:r>
              <w:rPr>
                <w:color w:val="auto"/>
                <w:szCs w:val="21"/>
                <w:highlight w:val="none"/>
              </w:rPr>
              <w:t>依法确认</w:t>
            </w:r>
            <w:r>
              <w:rPr>
                <w:rFonts w:hint="eastAsia"/>
                <w:color w:val="auto"/>
                <w:szCs w:val="21"/>
                <w:highlight w:val="none"/>
              </w:rPr>
              <w:t>入围供应商</w:t>
            </w:r>
            <w:r>
              <w:rPr>
                <w:color w:val="auto"/>
                <w:szCs w:val="21"/>
                <w:highlight w:val="none"/>
              </w:rPr>
              <w:t>后2个工作日内在征集公告发布的媒体上发布</w:t>
            </w:r>
            <w:r>
              <w:rPr>
                <w:rFonts w:hint="eastAsia"/>
                <w:color w:val="auto"/>
                <w:szCs w:val="21"/>
                <w:highlight w:val="none"/>
              </w:rPr>
              <w:t>入围结果</w:t>
            </w:r>
            <w:r>
              <w:rPr>
                <w:color w:val="auto"/>
                <w:szCs w:val="21"/>
                <w:highlight w:val="none"/>
              </w:rPr>
              <w:t>公告</w:t>
            </w:r>
            <w:r>
              <w:rPr>
                <w:rFonts w:hint="eastAsia"/>
                <w:color w:val="auto"/>
                <w:szCs w:val="21"/>
                <w:highlight w:val="none"/>
              </w:rPr>
              <w:t>。</w:t>
            </w:r>
          </w:p>
        </w:tc>
      </w:tr>
      <w:tr w14:paraId="5FB93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F757C98">
            <w:pPr>
              <w:spacing w:line="300" w:lineRule="exact"/>
              <w:jc w:val="center"/>
              <w:rPr>
                <w:b/>
                <w:color w:val="auto"/>
                <w:szCs w:val="21"/>
                <w:highlight w:val="none"/>
              </w:rPr>
            </w:pPr>
            <w:r>
              <w:rPr>
                <w:b/>
                <w:color w:val="auto"/>
                <w:szCs w:val="21"/>
                <w:highlight w:val="none"/>
              </w:rPr>
              <w:t>2.5.5.2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1E4AC7">
            <w:pPr>
              <w:spacing w:line="300" w:lineRule="exact"/>
              <w:jc w:val="center"/>
              <w:rPr>
                <w:color w:val="auto"/>
                <w:szCs w:val="21"/>
                <w:highlight w:val="none"/>
              </w:rPr>
            </w:pPr>
            <w:r>
              <w:rPr>
                <w:rFonts w:hint="eastAsia"/>
                <w:color w:val="auto"/>
                <w:szCs w:val="21"/>
                <w:highlight w:val="none"/>
              </w:rPr>
              <w:t>入围通知书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5E58C21">
            <w:pPr>
              <w:spacing w:line="300" w:lineRule="exact"/>
              <w:jc w:val="left"/>
              <w:rPr>
                <w:color w:val="auto"/>
                <w:szCs w:val="21"/>
                <w:highlight w:val="none"/>
              </w:rPr>
            </w:pPr>
            <w:r>
              <w:rPr>
                <w:rFonts w:hint="eastAsia"/>
                <w:color w:val="auto"/>
                <w:szCs w:val="21"/>
                <w:highlight w:val="none"/>
              </w:rPr>
              <w:t>采购代理机构通过广西政府采购云平台发出入围</w:t>
            </w:r>
            <w:r>
              <w:rPr>
                <w:color w:val="auto"/>
                <w:szCs w:val="21"/>
                <w:highlight w:val="none"/>
              </w:rPr>
              <w:t>通知书</w:t>
            </w:r>
            <w:r>
              <w:rPr>
                <w:rFonts w:hint="eastAsia"/>
                <w:color w:val="auto"/>
                <w:szCs w:val="21"/>
                <w:highlight w:val="none"/>
              </w:rPr>
              <w:t>，入围通知书即成交通知书。</w:t>
            </w:r>
          </w:p>
          <w:p w14:paraId="3D9E6705">
            <w:pPr>
              <w:spacing w:line="300" w:lineRule="exact"/>
              <w:jc w:val="left"/>
              <w:rPr>
                <w:color w:val="auto"/>
                <w:szCs w:val="21"/>
                <w:highlight w:val="none"/>
              </w:rPr>
            </w:pPr>
            <w:r>
              <w:rPr>
                <w:rFonts w:hint="eastAsia"/>
                <w:color w:val="auto"/>
                <w:szCs w:val="21"/>
                <w:highlight w:val="none"/>
              </w:rPr>
              <w:t>入围通知书在广西政府采购云平台推送之日起，视为入围供应商已收到，入围供应商自行承担未及时查收的后果。</w:t>
            </w:r>
          </w:p>
        </w:tc>
      </w:tr>
      <w:tr w14:paraId="5BD48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04D23EA">
            <w:pPr>
              <w:spacing w:line="300" w:lineRule="exact"/>
              <w:jc w:val="center"/>
              <w:rPr>
                <w:b/>
                <w:color w:val="auto"/>
                <w:szCs w:val="21"/>
                <w:highlight w:val="none"/>
              </w:rPr>
            </w:pPr>
            <w:r>
              <w:rPr>
                <w:b/>
                <w:color w:val="auto"/>
                <w:szCs w:val="21"/>
                <w:highlight w:val="none"/>
              </w:rPr>
              <w:t>2.9</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4A8008">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D445C8C">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征集文件</w:t>
            </w:r>
            <w:r>
              <w:rPr>
                <w:color w:val="auto"/>
                <w:szCs w:val="21"/>
                <w:highlight w:val="none"/>
              </w:rPr>
              <w:t>、</w:t>
            </w:r>
            <w:r>
              <w:rPr>
                <w:rFonts w:hint="eastAsia"/>
                <w:color w:val="auto"/>
                <w:szCs w:val="21"/>
                <w:highlight w:val="none"/>
              </w:rPr>
              <w:t>征集</w:t>
            </w:r>
            <w:r>
              <w:rPr>
                <w:color w:val="auto"/>
                <w:szCs w:val="21"/>
                <w:highlight w:val="none"/>
              </w:rPr>
              <w:t>过程、</w:t>
            </w:r>
            <w:r>
              <w:rPr>
                <w:rFonts w:hint="eastAsia"/>
                <w:color w:val="auto"/>
                <w:szCs w:val="21"/>
                <w:highlight w:val="none"/>
              </w:rPr>
              <w:t>入围</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w:t>
            </w:r>
            <w:r>
              <w:rPr>
                <w:rFonts w:hint="eastAsia"/>
                <w:color w:val="auto"/>
                <w:szCs w:val="21"/>
                <w:highlight w:val="none"/>
              </w:rPr>
              <w:t>采购代理机构</w:t>
            </w:r>
            <w:r>
              <w:rPr>
                <w:color w:val="auto"/>
                <w:szCs w:val="21"/>
                <w:highlight w:val="none"/>
              </w:rPr>
              <w:t>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4F795722">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，供应商可通过现场或邮寄方式递交书面质疑材料。供应商应于质疑有效期内将质疑函原件递交或邮寄至征集公告中采购代理机构信息中的联系人。</w:t>
            </w:r>
          </w:p>
        </w:tc>
      </w:tr>
      <w:tr w14:paraId="00817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0CBE77E">
            <w:pPr>
              <w:spacing w:line="300" w:lineRule="exact"/>
              <w:jc w:val="center"/>
              <w:rPr>
                <w:b/>
                <w:color w:val="auto"/>
                <w:szCs w:val="21"/>
                <w:highlight w:val="none"/>
              </w:rPr>
            </w:pPr>
            <w:r>
              <w:rPr>
                <w:b/>
                <w:color w:val="auto"/>
                <w:szCs w:val="21"/>
                <w:highlight w:val="none"/>
              </w:rPr>
              <w:t>4.1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2462B0">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3318171">
            <w:pPr>
              <w:rPr>
                <w:color w:val="auto"/>
                <w:szCs w:val="21"/>
                <w:highlight w:val="none"/>
              </w:rPr>
            </w:pPr>
            <w:r>
              <w:rPr>
                <w:color w:val="auto"/>
                <w:szCs w:val="21"/>
                <w:highlight w:val="none"/>
              </w:rPr>
              <w:t>（1）</w:t>
            </w:r>
            <w:r>
              <w:rPr>
                <w:color w:val="auto"/>
                <w:szCs w:val="20"/>
                <w:highlight w:val="none"/>
              </w:rPr>
              <w:t>代理服务费</w:t>
            </w:r>
          </w:p>
          <w:p w14:paraId="290534DC">
            <w:pPr>
              <w:spacing w:line="300" w:lineRule="exact"/>
              <w:jc w:val="left"/>
              <w:rPr>
                <w:color w:val="auto"/>
                <w:szCs w:val="20"/>
                <w:highlight w:val="none"/>
              </w:rPr>
            </w:pPr>
            <w:r>
              <w:rPr>
                <w:color w:val="auto"/>
                <w:szCs w:val="21"/>
                <w:highlight w:val="none"/>
              </w:rPr>
              <w:t>采购代理机构</w:t>
            </w:r>
            <w:r>
              <w:rPr>
                <w:color w:val="auto"/>
                <w:szCs w:val="20"/>
                <w:highlight w:val="none"/>
              </w:rPr>
              <w:t>向入围供应商收取代理服务费</w:t>
            </w:r>
            <w:r>
              <w:rPr>
                <w:rFonts w:hint="eastAsia"/>
                <w:color w:val="auto"/>
                <w:szCs w:val="20"/>
                <w:highlight w:val="none"/>
              </w:rPr>
              <w:t>，仅为收取本项目框架协议采购活动采购咨询服务费用，不确保入围供应商会被选定为成交供应商并获得承接一定规模数量项目。代理服务费</w:t>
            </w:r>
            <w:r>
              <w:rPr>
                <w:color w:val="auto"/>
                <w:szCs w:val="20"/>
                <w:highlight w:val="none"/>
              </w:rPr>
              <w:t>具体金额为</w:t>
            </w:r>
            <w:r>
              <w:rPr>
                <w:rFonts w:hint="eastAsia"/>
                <w:color w:val="auto"/>
                <w:szCs w:val="20"/>
                <w:highlight w:val="none"/>
                <w:u w:val="single"/>
              </w:rPr>
              <w:t>每个入围供应商分别缴纳人民币捌仟元整（¥8,000.00）</w:t>
            </w:r>
            <w:r>
              <w:rPr>
                <w:rFonts w:hint="eastAsia"/>
                <w:color w:val="auto"/>
                <w:szCs w:val="20"/>
                <w:highlight w:val="none"/>
              </w:rPr>
              <w:t>。</w:t>
            </w:r>
          </w:p>
          <w:p w14:paraId="644F788D">
            <w:pPr>
              <w:spacing w:line="300" w:lineRule="exact"/>
              <w:jc w:val="left"/>
              <w:rPr>
                <w:color w:val="auto"/>
                <w:szCs w:val="21"/>
                <w:highlight w:val="none"/>
              </w:rPr>
            </w:pPr>
            <w:r>
              <w:rPr>
                <w:color w:val="auto"/>
                <w:szCs w:val="21"/>
                <w:highlight w:val="none"/>
              </w:rPr>
              <w:t>（2）入围供应商</w:t>
            </w:r>
            <w:r>
              <w:rPr>
                <w:rFonts w:hint="eastAsia"/>
                <w:color w:val="auto"/>
                <w:szCs w:val="21"/>
                <w:highlight w:val="none"/>
              </w:rPr>
              <w:t>在入围结果公告发布后5个工作日内</w:t>
            </w:r>
            <w:r>
              <w:rPr>
                <w:color w:val="auto"/>
                <w:szCs w:val="21"/>
                <w:highlight w:val="none"/>
              </w:rPr>
              <w:t>以银行转账或现金形式支付代理服务费；采购代理机构也可以从入围供应商的响应保证金中扣除上述金额的代理服务费，余款按供应商所汇入响应保证金的账户原路退回，如无法原路返回，则按《代理服务费承诺书》列明的账户退回。</w:t>
            </w:r>
          </w:p>
          <w:p w14:paraId="75D5C5EC">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4060FABD">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789D2972">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3166BEB0">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4AB5F636">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50377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1C870BF">
            <w:pPr>
              <w:spacing w:line="300" w:lineRule="exact"/>
              <w:jc w:val="center"/>
              <w:rPr>
                <w:b/>
                <w:color w:val="auto"/>
                <w:szCs w:val="21"/>
                <w:highlight w:val="none"/>
              </w:rPr>
            </w:pPr>
            <w:r>
              <w:rPr>
                <w:b/>
                <w:color w:val="auto"/>
                <w:szCs w:val="21"/>
                <w:highlight w:val="none"/>
              </w:rPr>
              <w:t>4.3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8610FB">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E2A310F">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8D5F2A7">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75F5D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C06DA99">
            <w:pPr>
              <w:spacing w:line="300" w:lineRule="exact"/>
              <w:jc w:val="center"/>
              <w:rPr>
                <w:b/>
                <w:color w:val="auto"/>
                <w:szCs w:val="21"/>
                <w:highlight w:val="none"/>
              </w:rPr>
            </w:pPr>
            <w:r>
              <w:rPr>
                <w:b/>
                <w:color w:val="auto"/>
                <w:szCs w:val="21"/>
                <w:highlight w:val="none"/>
              </w:rPr>
              <w:t>4.3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1FAC0F">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AB90C4B">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F6FE687">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2DD43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44DDFCA">
            <w:pPr>
              <w:spacing w:line="300" w:lineRule="exact"/>
              <w:jc w:val="center"/>
              <w:rPr>
                <w:b/>
                <w:color w:val="auto"/>
                <w:szCs w:val="21"/>
                <w:highlight w:val="none"/>
              </w:rPr>
            </w:pPr>
            <w:r>
              <w:rPr>
                <w:b/>
                <w:color w:val="auto"/>
                <w:szCs w:val="21"/>
                <w:highlight w:val="none"/>
              </w:rPr>
              <w:t>4.4</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52081F">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42A1DE1">
            <w:pPr>
              <w:spacing w:line="300" w:lineRule="exact"/>
              <w:rPr>
                <w:color w:val="auto"/>
                <w:szCs w:val="20"/>
                <w:highlight w:val="none"/>
              </w:rPr>
            </w:pPr>
            <w:r>
              <w:rPr>
                <w:rFonts w:hint="eastAsia"/>
                <w:color w:val="auto"/>
                <w:szCs w:val="20"/>
                <w:highlight w:val="none"/>
              </w:rPr>
              <w:t>构成本征集文件的各个组成文件应互为解释，互为说明：</w:t>
            </w:r>
          </w:p>
          <w:p w14:paraId="7479F202">
            <w:pPr>
              <w:spacing w:line="300" w:lineRule="exact"/>
              <w:rPr>
                <w:color w:val="auto"/>
                <w:sz w:val="24"/>
                <w:highlight w:val="none"/>
              </w:rPr>
            </w:pPr>
            <w:r>
              <w:rPr>
                <w:rFonts w:hint="eastAsia"/>
                <w:color w:val="auto"/>
                <w:szCs w:val="20"/>
                <w:highlight w:val="none"/>
              </w:rPr>
              <w:t>除征集文件中有特别规定外，仅适用于征集阶段的规定，按更正公告（澄清公告）、征集公告、采购需求、供应商须知、评审方法及标准、框架协议格式、合同条款格式、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由采购人或者采购代理机构负责解释。</w:t>
            </w:r>
          </w:p>
        </w:tc>
      </w:tr>
    </w:tbl>
    <w:p w14:paraId="6C91D509">
      <w:pPr>
        <w:spacing w:before="120" w:line="320" w:lineRule="atLeast"/>
        <w:outlineLvl w:val="1"/>
        <w:rPr>
          <w:rFonts w:hint="eastAsia"/>
          <w:bCs/>
          <w:color w:val="auto"/>
          <w:kern w:val="0"/>
          <w:sz w:val="28"/>
          <w:szCs w:val="28"/>
          <w:highlight w:val="none"/>
        </w:rPr>
        <w:sectPr>
          <w:headerReference r:id="rId12" w:type="first"/>
          <w:headerReference r:id="rId11" w:type="default"/>
          <w:pgSz w:w="11906" w:h="16838"/>
          <w:pgMar w:top="993" w:right="1133" w:bottom="1246" w:left="1418" w:header="851" w:footer="992" w:gutter="0"/>
          <w:cols w:space="720" w:num="1"/>
          <w:titlePg/>
          <w:docGrid w:linePitch="312" w:charSpace="0"/>
        </w:sectPr>
      </w:pPr>
    </w:p>
    <w:p w14:paraId="7F34C3A7">
      <w:pPr>
        <w:spacing w:before="120" w:line="320" w:lineRule="atLeast"/>
        <w:outlineLvl w:val="1"/>
        <w:rPr>
          <w:b/>
          <w:bCs/>
          <w:color w:val="auto"/>
          <w:kern w:val="0"/>
          <w:szCs w:val="21"/>
          <w:highlight w:val="none"/>
        </w:rPr>
      </w:pPr>
      <w:bookmarkStart w:id="25" w:name="_Toc254970549"/>
      <w:bookmarkStart w:id="26" w:name="_Toc254970690"/>
      <w:r>
        <w:rPr>
          <w:color w:val="auto"/>
          <w:sz w:val="32"/>
          <w:szCs w:val="32"/>
          <w:highlight w:val="none"/>
        </w:rPr>
        <w:tab/>
      </w:r>
      <w:bookmarkStart w:id="27" w:name="_Hlk88949215"/>
      <w:r>
        <w:rPr>
          <w:b/>
          <w:bCs/>
          <w:color w:val="auto"/>
          <w:kern w:val="0"/>
          <w:szCs w:val="21"/>
          <w:highlight w:val="none"/>
        </w:rPr>
        <w:t>1．总则</w:t>
      </w:r>
    </w:p>
    <w:p w14:paraId="2531B92B">
      <w:pPr>
        <w:spacing w:before="120" w:line="320" w:lineRule="atLeast"/>
        <w:ind w:firstLine="422" w:firstLineChars="200"/>
        <w:outlineLvl w:val="2"/>
        <w:rPr>
          <w:b/>
          <w:bCs/>
          <w:color w:val="auto"/>
          <w:kern w:val="0"/>
          <w:szCs w:val="21"/>
          <w:highlight w:val="none"/>
        </w:rPr>
      </w:pPr>
      <w:bookmarkStart w:id="28" w:name="_Toc254970527"/>
      <w:bookmarkStart w:id="29" w:name="_Toc254970668"/>
      <w:r>
        <w:rPr>
          <w:b/>
          <w:bCs/>
          <w:color w:val="auto"/>
          <w:kern w:val="0"/>
          <w:szCs w:val="21"/>
          <w:highlight w:val="none"/>
        </w:rPr>
        <w:t>1.1适用范围</w:t>
      </w:r>
      <w:bookmarkEnd w:id="28"/>
      <w:bookmarkEnd w:id="29"/>
    </w:p>
    <w:p w14:paraId="68010624">
      <w:pPr>
        <w:spacing w:before="120" w:line="320" w:lineRule="atLeast"/>
        <w:ind w:firstLine="420" w:firstLineChars="200"/>
        <w:rPr>
          <w:color w:val="auto"/>
          <w:szCs w:val="21"/>
          <w:highlight w:val="none"/>
        </w:rPr>
      </w:pPr>
      <w:r>
        <w:rPr>
          <w:rFonts w:hint="eastAsia"/>
          <w:color w:val="auto"/>
          <w:szCs w:val="21"/>
          <w:highlight w:val="none"/>
        </w:rPr>
        <w:t>本项目为框架协议采购，是指征集人通过公开征集程序，确定第一阶段入围供应商并订立框架协议，采购人按照框架协议约定规则，在入围供应商范围内确定第二阶段成交供应商并订立采购合同的采购方式。</w:t>
      </w:r>
    </w:p>
    <w:p w14:paraId="0AFAF59D">
      <w:pPr>
        <w:spacing w:before="120" w:line="320" w:lineRule="atLeast"/>
        <w:ind w:firstLine="420" w:firstLineChars="200"/>
        <w:rPr>
          <w:rFonts w:hint="eastAsia"/>
          <w:color w:val="auto"/>
          <w:szCs w:val="21"/>
          <w:highlight w:val="none"/>
        </w:rPr>
      </w:pPr>
      <w:r>
        <w:rPr>
          <w:rFonts w:hint="eastAsia"/>
          <w:color w:val="auto"/>
          <w:szCs w:val="21"/>
          <w:highlight w:val="none"/>
        </w:rPr>
        <w:t>本文如无特别说明，文件中第一阶段即指征集阶段，第二阶段即指确定成交阶段。</w:t>
      </w:r>
      <w:r>
        <w:rPr>
          <w:color w:val="auto"/>
          <w:szCs w:val="21"/>
          <w:highlight w:val="none"/>
        </w:rPr>
        <w:t>本征集文件适用于</w:t>
      </w:r>
      <w:r>
        <w:rPr>
          <w:rFonts w:hint="eastAsia"/>
          <w:color w:val="auto"/>
          <w:szCs w:val="21"/>
          <w:highlight w:val="none"/>
        </w:rPr>
        <w:t>第一阶段的征集活动。</w:t>
      </w:r>
    </w:p>
    <w:p w14:paraId="49906C20">
      <w:pPr>
        <w:spacing w:before="120" w:line="320" w:lineRule="atLeast"/>
        <w:ind w:firstLine="422" w:firstLineChars="200"/>
        <w:outlineLvl w:val="2"/>
        <w:rPr>
          <w:b/>
          <w:bCs/>
          <w:color w:val="auto"/>
          <w:kern w:val="0"/>
          <w:szCs w:val="21"/>
          <w:highlight w:val="none"/>
        </w:rPr>
      </w:pPr>
      <w:bookmarkStart w:id="30" w:name="_Toc254970669"/>
      <w:bookmarkStart w:id="31" w:name="_Toc254970528"/>
      <w:r>
        <w:rPr>
          <w:b/>
          <w:bCs/>
          <w:color w:val="auto"/>
          <w:kern w:val="0"/>
          <w:szCs w:val="21"/>
          <w:highlight w:val="none"/>
        </w:rPr>
        <w:t>1.2定义</w:t>
      </w:r>
      <w:bookmarkEnd w:id="30"/>
      <w:bookmarkEnd w:id="31"/>
    </w:p>
    <w:p w14:paraId="56AB980E">
      <w:pPr>
        <w:spacing w:before="120" w:line="320" w:lineRule="atLeast"/>
        <w:ind w:firstLine="420" w:firstLineChars="200"/>
        <w:rPr>
          <w:rFonts w:hint="eastAsia"/>
          <w:color w:val="auto"/>
          <w:szCs w:val="21"/>
          <w:highlight w:val="none"/>
        </w:rPr>
      </w:pPr>
      <w:r>
        <w:rPr>
          <w:color w:val="auto"/>
          <w:szCs w:val="21"/>
          <w:highlight w:val="none"/>
        </w:rPr>
        <w:t>1.2.1</w:t>
      </w:r>
      <w:r>
        <w:rPr>
          <w:rFonts w:hint="eastAsia"/>
          <w:color w:val="auto"/>
          <w:szCs w:val="21"/>
          <w:highlight w:val="none"/>
        </w:rPr>
        <w:t>“征集人”系指第一阶段主管预算单位及其委托的采购代理机构、集中采购机构的统称。</w:t>
      </w:r>
    </w:p>
    <w:p w14:paraId="2D534405">
      <w:pPr>
        <w:spacing w:before="120" w:line="320" w:lineRule="atLeast"/>
        <w:ind w:firstLine="420" w:firstLineChars="200"/>
        <w:rPr>
          <w:rFonts w:hint="eastAsia"/>
          <w:color w:val="auto"/>
          <w:szCs w:val="21"/>
          <w:highlight w:val="none"/>
        </w:rPr>
      </w:pPr>
      <w:r>
        <w:rPr>
          <w:color w:val="auto"/>
          <w:szCs w:val="21"/>
          <w:highlight w:val="none"/>
        </w:rPr>
        <w:t>1.2.2</w:t>
      </w:r>
      <w:r>
        <w:rPr>
          <w:rFonts w:hint="eastAsia"/>
          <w:color w:val="auto"/>
          <w:szCs w:val="21"/>
          <w:highlight w:val="none"/>
        </w:rPr>
        <w:t>“采购人”</w:t>
      </w:r>
      <w:r>
        <w:rPr>
          <w:color w:val="auto"/>
          <w:szCs w:val="21"/>
          <w:highlight w:val="none"/>
        </w:rPr>
        <w:t>系指</w:t>
      </w:r>
      <w:r>
        <w:rPr>
          <w:rFonts w:hint="eastAsia"/>
          <w:color w:val="auto"/>
          <w:szCs w:val="21"/>
          <w:highlight w:val="none"/>
        </w:rPr>
        <w:t>第二阶段实际需要采购服务或货物的单位。</w:t>
      </w:r>
    </w:p>
    <w:p w14:paraId="37A07873">
      <w:pPr>
        <w:spacing w:before="120" w:line="320" w:lineRule="atLeast"/>
        <w:ind w:firstLine="420" w:firstLineChars="200"/>
        <w:rPr>
          <w:rFonts w:hint="eastAsia"/>
          <w:color w:val="auto"/>
          <w:szCs w:val="21"/>
          <w:highlight w:val="none"/>
        </w:rPr>
      </w:pPr>
      <w:r>
        <w:rPr>
          <w:color w:val="auto"/>
          <w:szCs w:val="21"/>
          <w:highlight w:val="none"/>
        </w:rPr>
        <w:t>1.2.3“</w:t>
      </w:r>
      <w:r>
        <w:rPr>
          <w:rFonts w:hint="eastAsia"/>
          <w:color w:val="auto"/>
          <w:szCs w:val="21"/>
          <w:highlight w:val="none"/>
        </w:rPr>
        <w:t>入围</w:t>
      </w:r>
      <w:r>
        <w:rPr>
          <w:color w:val="auto"/>
          <w:szCs w:val="21"/>
          <w:highlight w:val="none"/>
        </w:rPr>
        <w:t>供应商”系</w:t>
      </w:r>
      <w:r>
        <w:rPr>
          <w:color w:val="auto"/>
          <w:highlight w:val="none"/>
        </w:rPr>
        <w:t>指</w:t>
      </w:r>
      <w:r>
        <w:rPr>
          <w:rFonts w:hint="eastAsia"/>
          <w:color w:val="auto"/>
          <w:highlight w:val="none"/>
        </w:rPr>
        <w:t>参与第一阶段征集活动并入围</w:t>
      </w:r>
      <w:r>
        <w:rPr>
          <w:color w:val="auto"/>
          <w:highlight w:val="none"/>
        </w:rPr>
        <w:t>的法人、其他组织或者自然人</w:t>
      </w:r>
      <w:r>
        <w:rPr>
          <w:color w:val="auto"/>
          <w:szCs w:val="21"/>
          <w:highlight w:val="none"/>
        </w:rPr>
        <w:t>。</w:t>
      </w:r>
      <w:r>
        <w:rPr>
          <w:rFonts w:hint="eastAsia"/>
          <w:color w:val="auto"/>
          <w:szCs w:val="21"/>
          <w:highlight w:val="none"/>
        </w:rPr>
        <w:t>“成交供应商”系指在第一阶段入围并在第二阶段被选定与采购人签订合同的入围供应商。</w:t>
      </w:r>
    </w:p>
    <w:p w14:paraId="781C839E">
      <w:pPr>
        <w:spacing w:before="120" w:line="360" w:lineRule="auto"/>
        <w:ind w:firstLine="420" w:firstLineChars="200"/>
        <w:rPr>
          <w:color w:val="auto"/>
          <w:highlight w:val="none"/>
        </w:rPr>
      </w:pPr>
      <w:r>
        <w:rPr>
          <w:rFonts w:hint="eastAsia"/>
          <w:color w:val="auto"/>
          <w:highlight w:val="none"/>
        </w:rPr>
        <w:t>1.2.</w:t>
      </w:r>
      <w:r>
        <w:rPr>
          <w:color w:val="auto"/>
          <w:highlight w:val="none"/>
        </w:rPr>
        <w:t>4本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w:t>
      </w:r>
      <w:r>
        <w:rPr>
          <w:color w:val="auto"/>
          <w:highlight w:val="none"/>
        </w:rPr>
        <w:t>5</w:t>
      </w:r>
      <w:r>
        <w:rPr>
          <w:rFonts w:hint="eastAsia"/>
          <w:color w:val="auto"/>
          <w:highlight w:val="none"/>
        </w:rPr>
        <w:t>本文件中的“公章”是指根据我国对公章的管理规定，用供应商法定主体行为名称制作的印章，除本文件有特殊规定外，供应商的财务章、部门章、分公司章、工会章、合同章、响应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7611464">
      <w:pPr>
        <w:widowControl/>
        <w:spacing w:line="360" w:lineRule="auto"/>
        <w:ind w:firstLine="420" w:firstLineChars="200"/>
        <w:jc w:val="left"/>
        <w:rPr>
          <w:color w:val="auto"/>
          <w:szCs w:val="21"/>
          <w:highlight w:val="none"/>
        </w:rPr>
      </w:pPr>
      <w:r>
        <w:rPr>
          <w:color w:val="auto"/>
          <w:szCs w:val="21"/>
          <w:highlight w:val="none"/>
        </w:rPr>
        <w:t>1.2.6“书面形式”如无特殊规定，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征集文件如有特殊规定，以征集文件规定为准。 </w:t>
      </w:r>
    </w:p>
    <w:p w14:paraId="5997D103">
      <w:pPr>
        <w:spacing w:before="120" w:line="320" w:lineRule="atLeast"/>
        <w:ind w:firstLine="420" w:firstLineChars="200"/>
        <w:rPr>
          <w:color w:val="auto"/>
          <w:szCs w:val="21"/>
          <w:highlight w:val="none"/>
        </w:rPr>
      </w:pPr>
      <w:r>
        <w:rPr>
          <w:color w:val="auto"/>
          <w:szCs w:val="21"/>
          <w:highlight w:val="none"/>
        </w:rPr>
        <w:t>1.2.7</w:t>
      </w:r>
      <w:r>
        <w:rPr>
          <w:rFonts w:hint="eastAsia"/>
          <w:color w:val="auto"/>
          <w:szCs w:val="21"/>
          <w:highlight w:val="none"/>
        </w:rPr>
        <w:t xml:space="preserve"> 本</w:t>
      </w:r>
      <w:r>
        <w:rPr>
          <w:color w:val="auto"/>
          <w:szCs w:val="21"/>
          <w:highlight w:val="none"/>
        </w:rPr>
        <w:t>征集文件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41E69C90">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是指以数据电文形式在线完成采购活动的信息平台，本征集文件中也称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2BD518B0">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49CF4799">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0B9C230C">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78D062EE">
      <w:pPr>
        <w:spacing w:before="120" w:line="320" w:lineRule="atLeast"/>
        <w:ind w:firstLine="422" w:firstLineChars="200"/>
        <w:outlineLvl w:val="2"/>
        <w:rPr>
          <w:b/>
          <w:bCs/>
          <w:color w:val="auto"/>
          <w:kern w:val="0"/>
          <w:szCs w:val="21"/>
          <w:highlight w:val="none"/>
        </w:rPr>
      </w:pPr>
      <w:bookmarkStart w:id="32" w:name="_Hlk132812137"/>
      <w:bookmarkStart w:id="33" w:name="_Hlk139297194"/>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03A6DA5D">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7A5B7ECB">
      <w:pPr>
        <w:spacing w:before="120" w:line="320" w:lineRule="atLeast"/>
        <w:ind w:left="2" w:leftChars="1" w:firstLine="420" w:firstLineChars="200"/>
        <w:rPr>
          <w:color w:val="auto"/>
          <w:szCs w:val="21"/>
          <w:highlight w:val="none"/>
        </w:rPr>
      </w:pPr>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Start w:id="34" w:name="_Hlk92205820"/>
      <w:r>
        <w:rPr>
          <w:rFonts w:hint="eastAsia"/>
          <w:color w:val="auto"/>
          <w:szCs w:val="21"/>
          <w:highlight w:val="none"/>
        </w:rPr>
        <w:t>价格扣除比例在第四章评审方法及标准中规定，对小型企业和微型企业同等对待，不作区分。</w:t>
      </w:r>
    </w:p>
    <w:p w14:paraId="6F71312A">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2BDD5B03">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07C9B97">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268DDCC8">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23586C78">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610BB2A7">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618E9B25">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3F0732B9">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34546D2E">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符合条件的货物制造商、工程施工单位、服务承接单位为中小企业的，应按征集文件规定在响应文件中提供声明函。</w:t>
      </w:r>
    </w:p>
    <w:p w14:paraId="142D451F">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5CC0E9E6">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0350A58B">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ABAA6A5">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0323E2C">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符合条件的货物制造商、工程施工单位、服务承接单位为监狱企业或残疾人福利性单位的，应按征集文件规定在响应文件中提供相关证明文件。</w:t>
      </w:r>
      <w:bookmarkEnd w:id="32"/>
      <w:bookmarkEnd w:id="34"/>
    </w:p>
    <w:bookmarkEnd w:id="33"/>
    <w:p w14:paraId="29A0DAEB">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0C72D2EE">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5716C690">
      <w:pPr>
        <w:spacing w:before="120" w:line="320" w:lineRule="atLeast"/>
        <w:ind w:firstLine="420" w:firstLineChars="200"/>
        <w:rPr>
          <w:color w:val="auto"/>
          <w:szCs w:val="21"/>
          <w:highlight w:val="none"/>
        </w:rPr>
      </w:pPr>
      <w:r>
        <w:rPr>
          <w:color w:val="auto"/>
          <w:szCs w:val="21"/>
          <w:highlight w:val="none"/>
        </w:rPr>
        <w:t>1.5.2按照征集公告的规定获得征集文件。</w:t>
      </w:r>
    </w:p>
    <w:p w14:paraId="4188A18E">
      <w:pPr>
        <w:spacing w:before="120" w:line="320" w:lineRule="atLeast"/>
        <w:ind w:firstLine="420" w:firstLineChars="200"/>
        <w:rPr>
          <w:color w:val="auto"/>
          <w:szCs w:val="21"/>
          <w:highlight w:val="none"/>
        </w:rPr>
      </w:pPr>
      <w:r>
        <w:rPr>
          <w:color w:val="auto"/>
          <w:szCs w:val="21"/>
          <w:highlight w:val="none"/>
        </w:rPr>
        <w:t>1.5.3本项目是否接受联合体响应，</w:t>
      </w:r>
      <w:r>
        <w:rPr>
          <w:rFonts w:hint="eastAsia"/>
          <w:color w:val="auto"/>
          <w:szCs w:val="21"/>
          <w:highlight w:val="none"/>
        </w:rPr>
        <w:t>详</w:t>
      </w:r>
      <w:r>
        <w:rPr>
          <w:color w:val="auto"/>
          <w:szCs w:val="21"/>
          <w:highlight w:val="none"/>
        </w:rPr>
        <w:t>见供应商须知前附表规定。</w:t>
      </w:r>
    </w:p>
    <w:p w14:paraId="3A47C1AA">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4981132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）供应商可以组成一个响应联合体，以一个供应商的身份共同参加响应。联合体响应的，须提供《联合体协议书》（格式后附）</w:t>
      </w:r>
    </w:p>
    <w:p w14:paraId="3EF74824">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征集文件规定的特定条件。</w:t>
      </w:r>
    </w:p>
    <w:p w14:paraId="59A54D77">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E0C4AC5">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4D3B8428">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19A520DD">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（6）联合体响应业绩、履约能力按照联合体各方其中较高的一方认定并计算（征集文件其他章节另有规定的除外）。</w:t>
      </w:r>
    </w:p>
    <w:p w14:paraId="33B710D6">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（7）供应商为联合体的，可以由联合体中的一方或者多方共同交纳响应保证金，其交纳的保证金对联合体各方均具有约束力。</w:t>
      </w:r>
    </w:p>
    <w:p w14:paraId="5B5D32A3">
      <w:pPr>
        <w:spacing w:before="120" w:line="320" w:lineRule="atLeast"/>
        <w:ind w:firstLine="420" w:firstLineChars="200"/>
        <w:rPr>
          <w:color w:val="auto"/>
          <w:szCs w:val="21"/>
          <w:highlight w:val="none"/>
        </w:rPr>
      </w:pPr>
      <w:r>
        <w:rPr>
          <w:rFonts w:hint="eastAsia"/>
          <w:color w:val="auto"/>
          <w:szCs w:val="21"/>
          <w:highlight w:val="none"/>
        </w:rPr>
        <w:t>（8）联合体各方均应按照征集文件的规定提交资格证明文件。</w:t>
      </w:r>
    </w:p>
    <w:p w14:paraId="4C1E1715">
      <w:pPr>
        <w:spacing w:before="120" w:line="320" w:lineRule="atLeast"/>
        <w:ind w:firstLine="422" w:firstLineChars="200"/>
        <w:outlineLvl w:val="2"/>
        <w:rPr>
          <w:b/>
          <w:bCs/>
          <w:color w:val="auto"/>
          <w:kern w:val="0"/>
          <w:szCs w:val="21"/>
          <w:highlight w:val="none"/>
        </w:rPr>
      </w:pPr>
      <w:bookmarkStart w:id="35" w:name="_Toc254970531"/>
      <w:bookmarkStart w:id="36" w:name="_Toc254970672"/>
      <w:r>
        <w:rPr>
          <w:b/>
          <w:bCs/>
          <w:color w:val="auto"/>
          <w:kern w:val="0"/>
          <w:szCs w:val="21"/>
          <w:highlight w:val="none"/>
        </w:rPr>
        <w:t>1.6现场踏勘及响应费用</w:t>
      </w:r>
      <w:bookmarkEnd w:id="35"/>
      <w:bookmarkEnd w:id="36"/>
    </w:p>
    <w:p w14:paraId="4DFD433F">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2BDD9620">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1.6.2供应商均应自行承担所有与响应有关的全部费用（征集文件有相关的规定除外）。</w:t>
      </w:r>
    </w:p>
    <w:p w14:paraId="4E1BFCFC">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460CC85F">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征集文件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AA947AB">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征集文件的规定和采购项目的实际情况，拟在入围后将入围项目的非主体、非关键性工作分包的，应当在响应文件中载明分包承担主体，分包承担主体应当具备相应资质条件且不得再次分包。</w:t>
      </w:r>
    </w:p>
    <w:p w14:paraId="78A336D9">
      <w:pPr>
        <w:spacing w:before="120" w:line="276" w:lineRule="auto"/>
        <w:ind w:firstLine="422" w:firstLineChars="200"/>
        <w:outlineLvl w:val="2"/>
        <w:rPr>
          <w:b/>
          <w:bCs/>
          <w:color w:val="auto"/>
          <w:kern w:val="0"/>
          <w:szCs w:val="21"/>
          <w:highlight w:val="none"/>
        </w:rPr>
      </w:pPr>
      <w:bookmarkStart w:id="37" w:name="_Toc254970673"/>
      <w:bookmarkStart w:id="38" w:name="_Toc254970532"/>
      <w:r>
        <w:rPr>
          <w:b/>
          <w:bCs/>
          <w:color w:val="auto"/>
          <w:kern w:val="0"/>
          <w:szCs w:val="21"/>
          <w:highlight w:val="none"/>
        </w:rPr>
        <w:t>1.8特别说明</w:t>
      </w:r>
      <w:bookmarkEnd w:id="37"/>
      <w:bookmarkEnd w:id="38"/>
    </w:p>
    <w:p w14:paraId="04FA7556">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w:t>
      </w:r>
      <w:r>
        <w:rPr>
          <w:rFonts w:hint="eastAsia"/>
          <w:color w:val="auto"/>
          <w:szCs w:val="21"/>
          <w:highlight w:val="none"/>
        </w:rPr>
        <w:t>征集人</w:t>
      </w:r>
      <w:r>
        <w:rPr>
          <w:color w:val="auto"/>
          <w:szCs w:val="21"/>
          <w:highlight w:val="none"/>
        </w:rPr>
        <w:t>不承担由此引起的一切后果。</w:t>
      </w:r>
    </w:p>
    <w:p w14:paraId="224D6B89">
      <w:pPr>
        <w:spacing w:before="120" w:line="320" w:lineRule="atLeast"/>
        <w:ind w:firstLine="420" w:firstLineChars="200"/>
        <w:rPr>
          <w:color w:val="auto"/>
          <w:szCs w:val="21"/>
          <w:highlight w:val="none"/>
        </w:rPr>
      </w:pPr>
      <w:r>
        <w:rPr>
          <w:color w:val="auto"/>
          <w:szCs w:val="21"/>
          <w:highlight w:val="none"/>
        </w:rPr>
        <w:t>1.8.2供应商应仔细阅读征集文件的所有内容，按照征集文件的要求提交响应文件，并对所提供的全部资料的真实性</w:t>
      </w:r>
      <w:r>
        <w:rPr>
          <w:rFonts w:hint="eastAsia"/>
          <w:color w:val="auto"/>
          <w:szCs w:val="21"/>
          <w:highlight w:val="none"/>
        </w:rPr>
        <w:t>和合法性</w:t>
      </w:r>
      <w:r>
        <w:rPr>
          <w:color w:val="auto"/>
          <w:szCs w:val="21"/>
          <w:highlight w:val="none"/>
        </w:rPr>
        <w:t>承担法律责任。</w:t>
      </w:r>
    </w:p>
    <w:p w14:paraId="7747C1DD">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报监管部门查处</w:t>
      </w:r>
      <w:r>
        <w:rPr>
          <w:rFonts w:hint="eastAsia"/>
          <w:color w:val="auto"/>
          <w:szCs w:val="21"/>
          <w:highlight w:val="none"/>
        </w:rPr>
        <w:t>。</w:t>
      </w:r>
      <w:r>
        <w:rPr>
          <w:color w:val="auto"/>
          <w:szCs w:val="21"/>
          <w:highlight w:val="none"/>
        </w:rPr>
        <w:t xml:space="preserve"> </w:t>
      </w:r>
    </w:p>
    <w:p w14:paraId="4BCD2A1F">
      <w:pPr>
        <w:spacing w:before="120" w:line="320" w:lineRule="atLeast"/>
        <w:ind w:left="2" w:leftChars="1" w:firstLine="422" w:firstLineChars="200"/>
        <w:outlineLvl w:val="1"/>
        <w:rPr>
          <w:rFonts w:hint="eastAsia"/>
          <w:b/>
          <w:bCs/>
          <w:color w:val="auto"/>
          <w:kern w:val="0"/>
          <w:szCs w:val="21"/>
          <w:highlight w:val="none"/>
        </w:rPr>
      </w:pPr>
      <w:r>
        <w:rPr>
          <w:rFonts w:hint="eastAsia"/>
          <w:b/>
          <w:bCs/>
          <w:color w:val="auto"/>
          <w:kern w:val="0"/>
          <w:szCs w:val="21"/>
          <w:highlight w:val="none"/>
        </w:rPr>
        <w:t>2．第一阶段（征集阶段）</w:t>
      </w:r>
    </w:p>
    <w:p w14:paraId="5365F4BC">
      <w:pPr>
        <w:spacing w:before="120" w:line="320" w:lineRule="atLeast"/>
        <w:ind w:left="2" w:leftChars="1" w:firstLine="422" w:firstLineChars="200"/>
        <w:outlineLvl w:val="2"/>
        <w:rPr>
          <w:b/>
          <w:bCs/>
          <w:color w:val="auto"/>
          <w:kern w:val="0"/>
          <w:szCs w:val="21"/>
          <w:highlight w:val="none"/>
        </w:rPr>
      </w:pPr>
      <w:bookmarkStart w:id="39" w:name="_Toc254970534"/>
      <w:bookmarkStart w:id="40" w:name="_Toc254970675"/>
      <w:r>
        <w:rPr>
          <w:rFonts w:hint="eastAsia"/>
          <w:b/>
          <w:bCs/>
          <w:color w:val="auto"/>
          <w:kern w:val="0"/>
          <w:szCs w:val="21"/>
          <w:highlight w:val="none"/>
        </w:rPr>
        <w:t>2.1</w:t>
      </w:r>
      <w:r>
        <w:rPr>
          <w:b/>
          <w:bCs/>
          <w:color w:val="auto"/>
          <w:kern w:val="0"/>
          <w:szCs w:val="21"/>
          <w:highlight w:val="none"/>
        </w:rPr>
        <w:t>征集文件</w:t>
      </w:r>
      <w:bookmarkEnd w:id="39"/>
      <w:bookmarkEnd w:id="40"/>
    </w:p>
    <w:p w14:paraId="6A7B6548">
      <w:pPr>
        <w:spacing w:before="120" w:line="320" w:lineRule="atLeast"/>
        <w:ind w:firstLine="422" w:firstLineChars="200"/>
        <w:outlineLvl w:val="3"/>
        <w:rPr>
          <w:b/>
          <w:bCs/>
          <w:color w:val="auto"/>
          <w:kern w:val="0"/>
          <w:szCs w:val="21"/>
          <w:highlight w:val="none"/>
        </w:rPr>
      </w:pPr>
      <w:r>
        <w:rPr>
          <w:b/>
          <w:bCs/>
          <w:color w:val="auto"/>
          <w:kern w:val="0"/>
          <w:szCs w:val="21"/>
          <w:highlight w:val="none"/>
        </w:rPr>
        <w:t>2.1</w:t>
      </w:r>
      <w:r>
        <w:rPr>
          <w:rFonts w:hint="eastAsia"/>
          <w:b/>
          <w:bCs/>
          <w:color w:val="auto"/>
          <w:kern w:val="0"/>
          <w:szCs w:val="21"/>
          <w:highlight w:val="none"/>
        </w:rPr>
        <w:t>.1</w:t>
      </w:r>
      <w:r>
        <w:rPr>
          <w:b/>
          <w:bCs/>
          <w:color w:val="auto"/>
          <w:kern w:val="0"/>
          <w:szCs w:val="21"/>
          <w:highlight w:val="none"/>
        </w:rPr>
        <w:t>征集文件的构成</w:t>
      </w:r>
    </w:p>
    <w:p w14:paraId="1CF9533F">
      <w:pPr>
        <w:spacing w:before="120" w:line="320" w:lineRule="atLeast"/>
        <w:ind w:firstLine="420" w:firstLineChars="200"/>
        <w:rPr>
          <w:color w:val="auto"/>
          <w:szCs w:val="21"/>
          <w:highlight w:val="none"/>
        </w:rPr>
      </w:pPr>
      <w:r>
        <w:rPr>
          <w:color w:val="auto"/>
          <w:szCs w:val="21"/>
          <w:highlight w:val="none"/>
        </w:rPr>
        <w:t>第一章 征集公告</w:t>
      </w:r>
    </w:p>
    <w:p w14:paraId="6BDD11C5">
      <w:pPr>
        <w:spacing w:before="120" w:line="320" w:lineRule="atLeast"/>
        <w:ind w:firstLine="420" w:firstLineChars="200"/>
        <w:rPr>
          <w:color w:val="auto"/>
          <w:szCs w:val="21"/>
          <w:highlight w:val="none"/>
        </w:rPr>
      </w:pPr>
      <w:r>
        <w:rPr>
          <w:color w:val="auto"/>
          <w:szCs w:val="21"/>
          <w:highlight w:val="none"/>
        </w:rPr>
        <w:t>第二章 采购需求</w:t>
      </w:r>
    </w:p>
    <w:p w14:paraId="1799BA08">
      <w:pPr>
        <w:spacing w:before="120" w:line="320" w:lineRule="atLeast"/>
        <w:ind w:firstLine="420" w:firstLineChars="200"/>
        <w:rPr>
          <w:color w:val="auto"/>
          <w:szCs w:val="21"/>
          <w:highlight w:val="none"/>
        </w:rPr>
      </w:pPr>
      <w:r>
        <w:rPr>
          <w:color w:val="auto"/>
          <w:szCs w:val="21"/>
          <w:highlight w:val="none"/>
        </w:rPr>
        <w:t>第三章 供应商须知</w:t>
      </w:r>
    </w:p>
    <w:p w14:paraId="5DD6EB8E">
      <w:pPr>
        <w:spacing w:before="120" w:line="320" w:lineRule="atLeast"/>
        <w:ind w:firstLine="420" w:firstLineChars="200"/>
        <w:rPr>
          <w:color w:val="auto"/>
          <w:szCs w:val="21"/>
          <w:highlight w:val="none"/>
        </w:rPr>
      </w:pPr>
      <w:r>
        <w:rPr>
          <w:color w:val="auto"/>
          <w:szCs w:val="21"/>
          <w:highlight w:val="none"/>
        </w:rPr>
        <w:t>第四章 评审方法及标准</w:t>
      </w:r>
    </w:p>
    <w:p w14:paraId="541A6EE1">
      <w:pPr>
        <w:spacing w:before="120" w:line="320" w:lineRule="atLeast"/>
        <w:ind w:firstLine="420" w:firstLineChars="200"/>
        <w:rPr>
          <w:rFonts w:hint="eastAsia"/>
          <w:color w:val="auto"/>
          <w:szCs w:val="21"/>
          <w:highlight w:val="none"/>
        </w:rPr>
      </w:pPr>
      <w:r>
        <w:rPr>
          <w:rFonts w:hint="eastAsia"/>
          <w:color w:val="auto"/>
          <w:szCs w:val="21"/>
          <w:highlight w:val="none"/>
        </w:rPr>
        <w:t>第五章 框架协议格式</w:t>
      </w:r>
    </w:p>
    <w:p w14:paraId="20F4CF0D">
      <w:pPr>
        <w:spacing w:before="120" w:line="320" w:lineRule="atLeast"/>
        <w:ind w:firstLine="420" w:firstLineChars="200"/>
        <w:rPr>
          <w:color w:val="auto"/>
          <w:szCs w:val="21"/>
          <w:highlight w:val="none"/>
        </w:rPr>
      </w:pPr>
      <w:r>
        <w:rPr>
          <w:color w:val="auto"/>
          <w:szCs w:val="21"/>
          <w:highlight w:val="none"/>
        </w:rPr>
        <w:t>第</w:t>
      </w:r>
      <w:r>
        <w:rPr>
          <w:rFonts w:hint="eastAsia"/>
          <w:color w:val="auto"/>
          <w:szCs w:val="21"/>
          <w:highlight w:val="none"/>
        </w:rPr>
        <w:t>六</w:t>
      </w:r>
      <w:r>
        <w:rPr>
          <w:color w:val="auto"/>
          <w:szCs w:val="21"/>
          <w:highlight w:val="none"/>
        </w:rPr>
        <w:t>章 合同主要条款格式</w:t>
      </w:r>
    </w:p>
    <w:p w14:paraId="65B0B71D">
      <w:pPr>
        <w:spacing w:before="120" w:line="320" w:lineRule="atLeast"/>
        <w:ind w:firstLine="420" w:firstLineChars="200"/>
        <w:rPr>
          <w:color w:val="auto"/>
          <w:szCs w:val="21"/>
          <w:highlight w:val="none"/>
        </w:rPr>
      </w:pPr>
      <w:r>
        <w:rPr>
          <w:color w:val="auto"/>
          <w:szCs w:val="21"/>
          <w:highlight w:val="none"/>
        </w:rPr>
        <w:t>第</w:t>
      </w:r>
      <w:r>
        <w:rPr>
          <w:rFonts w:hint="eastAsia"/>
          <w:color w:val="auto"/>
          <w:szCs w:val="21"/>
          <w:highlight w:val="none"/>
        </w:rPr>
        <w:t>七</w:t>
      </w:r>
      <w:r>
        <w:rPr>
          <w:color w:val="auto"/>
          <w:szCs w:val="21"/>
          <w:highlight w:val="none"/>
        </w:rPr>
        <w:t>章 响应文件格式</w:t>
      </w:r>
    </w:p>
    <w:p w14:paraId="62DFDD16">
      <w:pPr>
        <w:spacing w:before="120" w:line="320" w:lineRule="atLeast"/>
        <w:ind w:firstLine="422" w:firstLineChars="200"/>
        <w:outlineLvl w:val="3"/>
        <w:rPr>
          <w:b/>
          <w:bCs/>
          <w:color w:val="auto"/>
          <w:kern w:val="0"/>
          <w:szCs w:val="21"/>
          <w:highlight w:val="none"/>
        </w:rPr>
      </w:pPr>
      <w:r>
        <w:rPr>
          <w:b/>
          <w:bCs/>
          <w:color w:val="auto"/>
          <w:kern w:val="0"/>
          <w:szCs w:val="21"/>
          <w:highlight w:val="none"/>
        </w:rPr>
        <w:t>2.</w:t>
      </w:r>
      <w:r>
        <w:rPr>
          <w:rFonts w:hint="eastAsia"/>
          <w:b/>
          <w:bCs/>
          <w:color w:val="auto"/>
          <w:kern w:val="0"/>
          <w:szCs w:val="21"/>
          <w:highlight w:val="none"/>
        </w:rPr>
        <w:t>1.2</w:t>
      </w:r>
      <w:r>
        <w:rPr>
          <w:b/>
          <w:bCs/>
          <w:color w:val="auto"/>
          <w:kern w:val="0"/>
          <w:szCs w:val="21"/>
          <w:highlight w:val="none"/>
        </w:rPr>
        <w:t>供应商的风险</w:t>
      </w:r>
    </w:p>
    <w:p w14:paraId="460E59BA">
      <w:pPr>
        <w:spacing w:before="120" w:line="320" w:lineRule="atLeast"/>
        <w:ind w:firstLine="420" w:firstLineChars="200"/>
        <w:rPr>
          <w:color w:val="auto"/>
          <w:szCs w:val="21"/>
          <w:highlight w:val="none"/>
        </w:rPr>
      </w:pPr>
      <w:r>
        <w:rPr>
          <w:color w:val="auto"/>
          <w:szCs w:val="21"/>
          <w:highlight w:val="none"/>
        </w:rPr>
        <w:t>供应商没有按照征集文件要求提供全部资料，或者供应商没有对征集文件在各方面作出实质性响应是供应商的风险，并可能导致其响应被否决。</w:t>
      </w:r>
    </w:p>
    <w:p w14:paraId="2AACAEC2">
      <w:pPr>
        <w:spacing w:before="120" w:line="320" w:lineRule="atLeast"/>
        <w:ind w:firstLine="422" w:firstLineChars="200"/>
        <w:outlineLvl w:val="3"/>
        <w:rPr>
          <w:b/>
          <w:color w:val="auto"/>
          <w:szCs w:val="21"/>
          <w:highlight w:val="none"/>
        </w:rPr>
      </w:pPr>
      <w:r>
        <w:rPr>
          <w:b/>
          <w:bCs/>
          <w:color w:val="auto"/>
          <w:kern w:val="0"/>
          <w:szCs w:val="21"/>
          <w:highlight w:val="none"/>
        </w:rPr>
        <w:t>2.</w:t>
      </w:r>
      <w:r>
        <w:rPr>
          <w:rFonts w:hint="eastAsia"/>
          <w:b/>
          <w:bCs/>
          <w:color w:val="auto"/>
          <w:kern w:val="0"/>
          <w:szCs w:val="21"/>
          <w:highlight w:val="none"/>
        </w:rPr>
        <w:t>1.3</w:t>
      </w:r>
      <w:r>
        <w:rPr>
          <w:b/>
          <w:bCs/>
          <w:color w:val="auto"/>
          <w:kern w:val="0"/>
          <w:szCs w:val="21"/>
          <w:highlight w:val="none"/>
        </w:rPr>
        <w:t>征集文件的澄清与修改</w:t>
      </w:r>
    </w:p>
    <w:p w14:paraId="5CFAB254">
      <w:pPr>
        <w:spacing w:before="120" w:line="320" w:lineRule="atLeast"/>
        <w:ind w:firstLine="420" w:firstLineChars="200"/>
        <w:rPr>
          <w:color w:val="auto"/>
          <w:szCs w:val="21"/>
          <w:highlight w:val="none"/>
        </w:rPr>
      </w:pPr>
      <w:r>
        <w:rPr>
          <w:color w:val="auto"/>
          <w:szCs w:val="21"/>
          <w:highlight w:val="none"/>
        </w:rPr>
        <w:t>2.1.3.1</w:t>
      </w:r>
      <w:r>
        <w:rPr>
          <w:rFonts w:hint="eastAsia"/>
          <w:color w:val="auto"/>
          <w:szCs w:val="21"/>
          <w:highlight w:val="none"/>
        </w:rPr>
        <w:t>任何已获得征集文件的潜在供应商，均可</w:t>
      </w:r>
      <w:r>
        <w:rPr>
          <w:color w:val="auto"/>
          <w:szCs w:val="21"/>
          <w:highlight w:val="none"/>
        </w:rPr>
        <w:t>以书面形式要求</w:t>
      </w:r>
      <w:r>
        <w:rPr>
          <w:rFonts w:hint="eastAsia"/>
          <w:color w:val="auto"/>
          <w:szCs w:val="21"/>
          <w:highlight w:val="none"/>
        </w:rPr>
        <w:t>征集人</w:t>
      </w:r>
      <w:r>
        <w:rPr>
          <w:color w:val="auto"/>
          <w:szCs w:val="21"/>
          <w:highlight w:val="none"/>
        </w:rPr>
        <w:t>作出书面解释、澄清</w:t>
      </w:r>
      <w:r>
        <w:rPr>
          <w:rFonts w:hint="eastAsia"/>
          <w:color w:val="auto"/>
          <w:szCs w:val="21"/>
          <w:highlight w:val="none"/>
        </w:rPr>
        <w:t>。</w:t>
      </w:r>
    </w:p>
    <w:p w14:paraId="7497E7A0">
      <w:pPr>
        <w:spacing w:before="120" w:line="320" w:lineRule="atLeast"/>
        <w:ind w:firstLine="420" w:firstLineChars="200"/>
        <w:rPr>
          <w:color w:val="auto"/>
          <w:szCs w:val="21"/>
          <w:highlight w:val="none"/>
        </w:rPr>
      </w:pPr>
      <w:bookmarkStart w:id="41" w:name="_Hlk139297254"/>
      <w:r>
        <w:rPr>
          <w:color w:val="auto"/>
          <w:szCs w:val="21"/>
          <w:highlight w:val="none"/>
        </w:rPr>
        <w:t>2.1.3.2</w:t>
      </w:r>
      <w:r>
        <w:rPr>
          <w:rFonts w:hint="eastAsia"/>
          <w:color w:val="auto"/>
          <w:szCs w:val="21"/>
          <w:highlight w:val="none"/>
        </w:rPr>
        <w:t>征集人可以对已发出的征集文件进行必要的澄清或者修改。澄清或者修改的内容可能影响响应文件编制的，征集人应当在投标截止时间至少15日前，</w:t>
      </w:r>
      <w:bookmarkStart w:id="42" w:name="_Hlk132790706"/>
      <w:r>
        <w:rPr>
          <w:rFonts w:hint="eastAsia"/>
          <w:color w:val="auto"/>
          <w:szCs w:val="21"/>
          <w:highlight w:val="none"/>
        </w:rPr>
        <w:t>在供应商须知前附表规定的方式通知所有获取征集文件的潜在</w:t>
      </w:r>
      <w:bookmarkEnd w:id="42"/>
      <w:r>
        <w:rPr>
          <w:rFonts w:hint="eastAsia"/>
          <w:color w:val="auto"/>
          <w:szCs w:val="21"/>
          <w:highlight w:val="none"/>
        </w:rPr>
        <w:t>供应商；不足15日的，征集人应当顺延提交投标文件的截止时间。</w:t>
      </w:r>
    </w:p>
    <w:bookmarkEnd w:id="41"/>
    <w:p w14:paraId="125633BD">
      <w:pPr>
        <w:spacing w:before="120" w:line="320" w:lineRule="atLeast"/>
        <w:ind w:firstLine="420" w:firstLineChars="200"/>
        <w:rPr>
          <w:color w:val="auto"/>
          <w:szCs w:val="21"/>
          <w:highlight w:val="none"/>
        </w:rPr>
      </w:pPr>
      <w:r>
        <w:rPr>
          <w:color w:val="auto"/>
          <w:szCs w:val="21"/>
          <w:highlight w:val="none"/>
        </w:rPr>
        <w:t>2.1.3.3征集文件澄清、答复、修改、补充的内容为征集文件的组成部分。当征集文件与征集文件的答复、澄清、修改、补充通知就同一内容的表述不一致时，以最后发出的公告或书面文件为准。</w:t>
      </w:r>
    </w:p>
    <w:p w14:paraId="23C0914E">
      <w:pPr>
        <w:spacing w:before="120" w:line="320" w:lineRule="atLeast"/>
        <w:ind w:left="2" w:leftChars="1" w:firstLine="422" w:firstLineChars="200"/>
        <w:outlineLvl w:val="2"/>
        <w:rPr>
          <w:b/>
          <w:bCs/>
          <w:color w:val="auto"/>
          <w:kern w:val="0"/>
          <w:szCs w:val="21"/>
          <w:highlight w:val="none"/>
        </w:rPr>
      </w:pPr>
      <w:bookmarkStart w:id="43" w:name="_Toc254970676"/>
      <w:bookmarkStart w:id="44" w:name="_Toc254970535"/>
      <w:r>
        <w:rPr>
          <w:rFonts w:hint="eastAsia"/>
          <w:b/>
          <w:bCs/>
          <w:color w:val="auto"/>
          <w:kern w:val="0"/>
          <w:szCs w:val="21"/>
          <w:highlight w:val="none"/>
        </w:rPr>
        <w:t>2.2</w:t>
      </w:r>
      <w:r>
        <w:rPr>
          <w:b/>
          <w:bCs/>
          <w:color w:val="auto"/>
          <w:kern w:val="0"/>
          <w:szCs w:val="21"/>
          <w:highlight w:val="none"/>
        </w:rPr>
        <w:t>响应文件</w:t>
      </w:r>
      <w:bookmarkEnd w:id="43"/>
      <w:bookmarkEnd w:id="44"/>
    </w:p>
    <w:p w14:paraId="5AB99E15">
      <w:pPr>
        <w:spacing w:before="120" w:line="320" w:lineRule="atLeast"/>
        <w:ind w:firstLine="422" w:firstLineChars="200"/>
        <w:outlineLvl w:val="3"/>
        <w:rPr>
          <w:b/>
          <w:bCs/>
          <w:color w:val="auto"/>
          <w:kern w:val="0"/>
          <w:szCs w:val="21"/>
          <w:highlight w:val="none"/>
        </w:rPr>
      </w:pPr>
      <w:bookmarkStart w:id="45" w:name="_Toc254970536"/>
      <w:bookmarkStart w:id="46" w:name="_Toc254970677"/>
      <w:r>
        <w:rPr>
          <w:rFonts w:hint="eastAsia"/>
          <w:b/>
          <w:bCs/>
          <w:color w:val="auto"/>
          <w:kern w:val="0"/>
          <w:szCs w:val="21"/>
          <w:highlight w:val="none"/>
        </w:rPr>
        <w:t>2.2.1</w:t>
      </w:r>
      <w:r>
        <w:rPr>
          <w:b/>
          <w:bCs/>
          <w:color w:val="auto"/>
          <w:kern w:val="0"/>
          <w:szCs w:val="21"/>
          <w:highlight w:val="none"/>
        </w:rPr>
        <w:t>响应文件的组成</w:t>
      </w:r>
      <w:bookmarkEnd w:id="45"/>
      <w:bookmarkEnd w:id="46"/>
    </w:p>
    <w:p w14:paraId="738B8B28">
      <w:pPr>
        <w:spacing w:before="120" w:line="320" w:lineRule="atLeast"/>
        <w:ind w:firstLine="420" w:firstLineChars="200"/>
        <w:rPr>
          <w:color w:val="auto"/>
          <w:szCs w:val="21"/>
          <w:highlight w:val="none"/>
        </w:rPr>
      </w:pPr>
      <w:r>
        <w:rPr>
          <w:color w:val="auto"/>
          <w:szCs w:val="21"/>
          <w:highlight w:val="none"/>
        </w:rPr>
        <w:t>响应文件由第</w:t>
      </w:r>
      <w:r>
        <w:rPr>
          <w:rFonts w:hint="eastAsia"/>
          <w:color w:val="auto"/>
          <w:szCs w:val="21"/>
          <w:highlight w:val="none"/>
        </w:rPr>
        <w:t>七</w:t>
      </w:r>
      <w:r>
        <w:rPr>
          <w:color w:val="auto"/>
          <w:szCs w:val="21"/>
          <w:highlight w:val="none"/>
        </w:rPr>
        <w:t>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493D8749">
      <w:pPr>
        <w:spacing w:before="120" w:line="320" w:lineRule="atLeast"/>
        <w:ind w:firstLine="422" w:firstLineChars="200"/>
        <w:outlineLvl w:val="3"/>
        <w:rPr>
          <w:b/>
          <w:bCs/>
          <w:color w:val="auto"/>
          <w:kern w:val="0"/>
          <w:szCs w:val="21"/>
          <w:highlight w:val="none"/>
        </w:rPr>
      </w:pPr>
      <w:bookmarkStart w:id="47" w:name="_Toc254970678"/>
      <w:bookmarkStart w:id="48" w:name="_Toc254970537"/>
      <w:r>
        <w:rPr>
          <w:rFonts w:hint="eastAsia"/>
          <w:b/>
          <w:color w:val="auto"/>
          <w:szCs w:val="21"/>
          <w:highlight w:val="none"/>
        </w:rPr>
        <w:t>2.2.2</w:t>
      </w:r>
      <w:r>
        <w:rPr>
          <w:b/>
          <w:bCs/>
          <w:color w:val="auto"/>
          <w:kern w:val="0"/>
          <w:szCs w:val="21"/>
          <w:highlight w:val="none"/>
        </w:rPr>
        <w:t>响应文件的语言及计量</w:t>
      </w:r>
      <w:bookmarkEnd w:id="47"/>
      <w:bookmarkEnd w:id="48"/>
    </w:p>
    <w:p w14:paraId="1AEBF094">
      <w:pPr>
        <w:spacing w:before="120" w:line="320" w:lineRule="atLeast"/>
        <w:ind w:firstLine="420" w:firstLineChars="200"/>
        <w:rPr>
          <w:color w:val="auto"/>
          <w:szCs w:val="21"/>
          <w:highlight w:val="none"/>
        </w:rPr>
      </w:pPr>
      <w:r>
        <w:rPr>
          <w:rFonts w:hint="eastAsia"/>
          <w:color w:val="auto"/>
          <w:szCs w:val="21"/>
          <w:highlight w:val="none"/>
        </w:rPr>
        <w:t>2.2.2.1响应文件以及供应商与征集人就有关响应事宜的所有来往函电，均应以中文书写（除专用术语外，与采购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520EC93">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.2.2</w:t>
      </w:r>
      <w:r>
        <w:rPr>
          <w:rFonts w:hint="eastAsia"/>
          <w:color w:val="auto"/>
          <w:szCs w:val="21"/>
          <w:highlight w:val="none"/>
        </w:rPr>
        <w:t>.2</w:t>
      </w:r>
      <w:r>
        <w:rPr>
          <w:color w:val="auto"/>
          <w:szCs w:val="21"/>
          <w:highlight w:val="none"/>
        </w:rPr>
        <w:t>计量单位征集文件已有明确规定的，响应使用征集文件规定的计量单位；征集文件没有规定的，应采用中华人民共和国法定计量单位。</w:t>
      </w:r>
    </w:p>
    <w:p w14:paraId="14A99D23">
      <w:pPr>
        <w:spacing w:before="120" w:line="320" w:lineRule="atLeast"/>
        <w:ind w:firstLine="422" w:firstLineChars="200"/>
        <w:outlineLvl w:val="3"/>
        <w:rPr>
          <w:b/>
          <w:bCs/>
          <w:color w:val="auto"/>
          <w:kern w:val="0"/>
          <w:szCs w:val="21"/>
          <w:highlight w:val="none"/>
        </w:rPr>
      </w:pPr>
      <w:bookmarkStart w:id="49" w:name="_Toc254970538"/>
      <w:bookmarkStart w:id="50" w:name="_Toc254970679"/>
      <w:r>
        <w:rPr>
          <w:rFonts w:hint="eastAsia"/>
          <w:b/>
          <w:bCs/>
          <w:color w:val="auto"/>
          <w:kern w:val="0"/>
          <w:szCs w:val="21"/>
          <w:highlight w:val="none"/>
        </w:rPr>
        <w:t>2</w:t>
      </w:r>
      <w:r>
        <w:rPr>
          <w:b/>
          <w:bCs/>
          <w:color w:val="auto"/>
          <w:kern w:val="0"/>
          <w:szCs w:val="21"/>
          <w:highlight w:val="none"/>
        </w:rPr>
        <w:t>.</w:t>
      </w:r>
      <w:r>
        <w:rPr>
          <w:rFonts w:hint="eastAsia"/>
          <w:b/>
          <w:bCs/>
          <w:color w:val="auto"/>
          <w:kern w:val="0"/>
          <w:szCs w:val="21"/>
          <w:highlight w:val="none"/>
        </w:rPr>
        <w:t>2.</w:t>
      </w:r>
      <w:r>
        <w:rPr>
          <w:b/>
          <w:bCs/>
          <w:color w:val="auto"/>
          <w:kern w:val="0"/>
          <w:szCs w:val="21"/>
          <w:highlight w:val="none"/>
        </w:rPr>
        <w:t>3</w:t>
      </w:r>
      <w:r>
        <w:rPr>
          <w:rFonts w:hint="eastAsia"/>
          <w:b/>
          <w:bCs/>
          <w:color w:val="auto"/>
          <w:kern w:val="0"/>
          <w:szCs w:val="21"/>
          <w:highlight w:val="none"/>
        </w:rPr>
        <w:t>响应</w:t>
      </w:r>
      <w:r>
        <w:rPr>
          <w:b/>
          <w:bCs/>
          <w:color w:val="auto"/>
          <w:kern w:val="0"/>
          <w:szCs w:val="21"/>
          <w:highlight w:val="none"/>
        </w:rPr>
        <w:t>报价</w:t>
      </w:r>
      <w:bookmarkEnd w:id="49"/>
      <w:bookmarkEnd w:id="50"/>
      <w:r>
        <w:rPr>
          <w:rFonts w:hint="eastAsia"/>
          <w:b/>
          <w:bCs/>
          <w:color w:val="auto"/>
          <w:kern w:val="0"/>
          <w:szCs w:val="21"/>
          <w:highlight w:val="none"/>
        </w:rPr>
        <w:t>（如本项目需要报价时）</w:t>
      </w:r>
    </w:p>
    <w:p w14:paraId="13484182">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2.</w:t>
      </w:r>
      <w:r>
        <w:rPr>
          <w:color w:val="auto"/>
          <w:szCs w:val="21"/>
          <w:highlight w:val="none"/>
        </w:rPr>
        <w:t>3.1</w:t>
      </w:r>
      <w:r>
        <w:rPr>
          <w:rFonts w:hint="eastAsia"/>
          <w:color w:val="auto"/>
          <w:szCs w:val="21"/>
          <w:highlight w:val="none"/>
        </w:rPr>
        <w:t>响应</w:t>
      </w:r>
      <w:r>
        <w:rPr>
          <w:color w:val="auto"/>
          <w:szCs w:val="21"/>
          <w:highlight w:val="none"/>
        </w:rPr>
        <w:t>报价应按征集文件中相关附表格式填写。</w:t>
      </w:r>
    </w:p>
    <w:p w14:paraId="4AB3DBDF">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2.</w:t>
      </w:r>
      <w:r>
        <w:rPr>
          <w:color w:val="auto"/>
          <w:szCs w:val="21"/>
          <w:highlight w:val="none"/>
        </w:rPr>
        <w:t>3.2响应文件只允许有一个报价，有选择的或有条件的报价将不予接受。</w:t>
      </w:r>
    </w:p>
    <w:p w14:paraId="60197E5C">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2.2.</w:t>
      </w:r>
      <w:r>
        <w:rPr>
          <w:color w:val="auto"/>
          <w:kern w:val="1"/>
          <w:szCs w:val="21"/>
          <w:highlight w:val="none"/>
        </w:rPr>
        <w:t>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3512A7B6">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2</w:t>
      </w:r>
      <w:r>
        <w:rPr>
          <w:color w:val="auto"/>
          <w:kern w:val="1"/>
          <w:szCs w:val="21"/>
          <w:highlight w:val="none"/>
        </w:rPr>
        <w:t>.</w:t>
      </w:r>
      <w:r>
        <w:rPr>
          <w:rFonts w:hint="eastAsia"/>
          <w:color w:val="auto"/>
          <w:kern w:val="1"/>
          <w:szCs w:val="21"/>
          <w:highlight w:val="none"/>
        </w:rPr>
        <w:t>2.</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4B8EFDB0">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w:t>
      </w:r>
      <w:r>
        <w:rPr>
          <w:b/>
          <w:bCs/>
          <w:color w:val="auto"/>
          <w:kern w:val="0"/>
          <w:szCs w:val="21"/>
          <w:highlight w:val="none"/>
        </w:rPr>
        <w:t>.</w:t>
      </w:r>
      <w:r>
        <w:rPr>
          <w:rFonts w:hint="eastAsia"/>
          <w:b/>
          <w:bCs/>
          <w:color w:val="auto"/>
          <w:kern w:val="0"/>
          <w:szCs w:val="21"/>
          <w:highlight w:val="none"/>
        </w:rPr>
        <w:t>2.</w:t>
      </w:r>
      <w:r>
        <w:rPr>
          <w:b/>
          <w:bCs/>
          <w:color w:val="auto"/>
          <w:kern w:val="0"/>
          <w:szCs w:val="21"/>
          <w:highlight w:val="none"/>
        </w:rPr>
        <w:t>4</w:t>
      </w:r>
      <w:r>
        <w:rPr>
          <w:rFonts w:hint="eastAsia"/>
          <w:b/>
          <w:bCs/>
          <w:color w:val="auto"/>
          <w:kern w:val="0"/>
          <w:szCs w:val="21"/>
          <w:highlight w:val="none"/>
        </w:rPr>
        <w:t>响应</w:t>
      </w:r>
      <w:r>
        <w:rPr>
          <w:b/>
          <w:bCs/>
          <w:color w:val="auto"/>
          <w:kern w:val="0"/>
          <w:szCs w:val="21"/>
          <w:highlight w:val="none"/>
        </w:rPr>
        <w:t>有效期</w:t>
      </w:r>
    </w:p>
    <w:p w14:paraId="7FCFA963">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.2.4.1如征集文件其他地方无特别规定</w:t>
      </w:r>
      <w:r>
        <w:rPr>
          <w:rFonts w:hint="eastAsia"/>
          <w:color w:val="auto"/>
          <w:szCs w:val="21"/>
          <w:highlight w:val="none"/>
        </w:rPr>
        <w:t>，响应</w:t>
      </w:r>
      <w:r>
        <w:rPr>
          <w:color w:val="auto"/>
          <w:szCs w:val="21"/>
          <w:highlight w:val="none"/>
        </w:rPr>
        <w:t>有效期则为响应截止之日起90天</w:t>
      </w:r>
      <w:r>
        <w:rPr>
          <w:rFonts w:hint="eastAsia"/>
          <w:color w:val="auto"/>
          <w:szCs w:val="21"/>
          <w:highlight w:val="none"/>
        </w:rPr>
        <w:t>。</w:t>
      </w:r>
      <w:r>
        <w:rPr>
          <w:color w:val="auto"/>
          <w:szCs w:val="21"/>
          <w:highlight w:val="none"/>
        </w:rPr>
        <w:t>在</w:t>
      </w:r>
      <w:r>
        <w:rPr>
          <w:rFonts w:hint="eastAsia"/>
          <w:color w:val="auto"/>
          <w:szCs w:val="21"/>
          <w:highlight w:val="none"/>
        </w:rPr>
        <w:t>响应</w:t>
      </w:r>
      <w:r>
        <w:rPr>
          <w:color w:val="auto"/>
          <w:szCs w:val="21"/>
          <w:highlight w:val="none"/>
        </w:rPr>
        <w:t>有效期内响应文件应保持有效。</w:t>
      </w:r>
      <w:r>
        <w:rPr>
          <w:b/>
          <w:bCs/>
          <w:color w:val="auto"/>
          <w:szCs w:val="21"/>
          <w:highlight w:val="none"/>
        </w:rPr>
        <w:t>有效期不足的响应文件将被否决</w:t>
      </w:r>
      <w:r>
        <w:rPr>
          <w:color w:val="auto"/>
          <w:szCs w:val="21"/>
          <w:highlight w:val="none"/>
        </w:rPr>
        <w:t>。</w:t>
      </w:r>
    </w:p>
    <w:p w14:paraId="50A57E0B">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.2.4.2在特殊情况下，</w:t>
      </w:r>
      <w:r>
        <w:rPr>
          <w:rFonts w:hint="eastAsia"/>
          <w:color w:val="auto"/>
          <w:szCs w:val="21"/>
          <w:highlight w:val="none"/>
        </w:rPr>
        <w:t>征集人</w:t>
      </w:r>
      <w:r>
        <w:rPr>
          <w:color w:val="auto"/>
          <w:szCs w:val="21"/>
          <w:highlight w:val="none"/>
        </w:rPr>
        <w:t>可与供应商协商延长响应文件的有效期，这种要求和答复均以书面形式进行。</w:t>
      </w:r>
    </w:p>
    <w:p w14:paraId="0ADBE30D">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.2.4.3</w:t>
      </w:r>
      <w:r>
        <w:rPr>
          <w:rFonts w:hint="eastAsia"/>
          <w:color w:val="auto"/>
          <w:szCs w:val="21"/>
          <w:highlight w:val="none"/>
        </w:rPr>
        <w:t>供应商同意延长的响应有效期的，如本项目要求提交保证金则应相应延长其响应保证金的有效期，但不得要求或被允许修改或撤销其响应文件；供应商拒绝延长的，其响应无效，但供应商有权收回其响应保证金。</w:t>
      </w:r>
    </w:p>
    <w:p w14:paraId="4F03DC33">
      <w:pPr>
        <w:spacing w:before="120" w:line="320" w:lineRule="atLeast"/>
        <w:ind w:firstLine="422" w:firstLineChars="200"/>
        <w:outlineLvl w:val="3"/>
        <w:rPr>
          <w:b/>
          <w:bCs/>
          <w:color w:val="auto"/>
          <w:kern w:val="0"/>
          <w:szCs w:val="21"/>
          <w:highlight w:val="none"/>
        </w:rPr>
      </w:pPr>
      <w:bookmarkStart w:id="51" w:name="_Toc254970541"/>
      <w:bookmarkStart w:id="52" w:name="_Toc254970682"/>
      <w:r>
        <w:rPr>
          <w:rFonts w:hint="eastAsia"/>
          <w:b/>
          <w:bCs/>
          <w:color w:val="auto"/>
          <w:kern w:val="0"/>
          <w:szCs w:val="21"/>
          <w:highlight w:val="none"/>
        </w:rPr>
        <w:t>2</w:t>
      </w:r>
      <w:r>
        <w:rPr>
          <w:b/>
          <w:bCs/>
          <w:color w:val="auto"/>
          <w:kern w:val="0"/>
          <w:szCs w:val="21"/>
          <w:highlight w:val="none"/>
        </w:rPr>
        <w:t>.2.5</w:t>
      </w:r>
      <w:r>
        <w:rPr>
          <w:rFonts w:hint="eastAsia"/>
          <w:b/>
          <w:bCs/>
          <w:color w:val="auto"/>
          <w:kern w:val="0"/>
          <w:szCs w:val="21"/>
          <w:highlight w:val="none"/>
        </w:rPr>
        <w:t>响应保证金</w:t>
      </w:r>
      <w:bookmarkEnd w:id="51"/>
      <w:bookmarkEnd w:id="52"/>
    </w:p>
    <w:p w14:paraId="3D86EAC1">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.2.5.1供应商须按须知前附表规定提交</w:t>
      </w:r>
      <w:r>
        <w:rPr>
          <w:rFonts w:hint="eastAsia"/>
          <w:color w:val="auto"/>
          <w:szCs w:val="21"/>
          <w:highlight w:val="none"/>
        </w:rPr>
        <w:t>响应保证金</w:t>
      </w:r>
      <w:r>
        <w:rPr>
          <w:color w:val="auto"/>
          <w:szCs w:val="21"/>
          <w:highlight w:val="none"/>
        </w:rPr>
        <w:t>，</w:t>
      </w:r>
      <w:r>
        <w:rPr>
          <w:b/>
          <w:bCs/>
          <w:color w:val="auto"/>
          <w:szCs w:val="21"/>
          <w:highlight w:val="none"/>
        </w:rPr>
        <w:t>否则其响应将被否决</w:t>
      </w:r>
      <w:r>
        <w:rPr>
          <w:color w:val="auto"/>
          <w:szCs w:val="21"/>
          <w:highlight w:val="none"/>
        </w:rPr>
        <w:t>。除征集文件规定不予退还保证金的情形外，</w:t>
      </w:r>
      <w:r>
        <w:rPr>
          <w:rFonts w:hint="eastAsia"/>
          <w:color w:val="auto"/>
          <w:szCs w:val="21"/>
          <w:highlight w:val="none"/>
        </w:rPr>
        <w:t>采购代理机构</w:t>
      </w:r>
      <w:r>
        <w:rPr>
          <w:color w:val="auto"/>
          <w:szCs w:val="21"/>
          <w:highlight w:val="none"/>
        </w:rPr>
        <w:t>在规定时间内退回供应商的</w:t>
      </w:r>
      <w:r>
        <w:rPr>
          <w:rFonts w:hint="eastAsia"/>
          <w:color w:val="auto"/>
          <w:szCs w:val="21"/>
          <w:highlight w:val="none"/>
        </w:rPr>
        <w:t>响应保证金</w:t>
      </w:r>
      <w:r>
        <w:rPr>
          <w:color w:val="auto"/>
          <w:szCs w:val="21"/>
          <w:highlight w:val="none"/>
        </w:rPr>
        <w:t>（供应商自行承担因未按供应商须知前附表要求交纳导致</w:t>
      </w:r>
      <w:r>
        <w:rPr>
          <w:rFonts w:hint="eastAsia"/>
          <w:color w:val="auto"/>
          <w:szCs w:val="21"/>
          <w:highlight w:val="none"/>
        </w:rPr>
        <w:t>响应保证金</w:t>
      </w:r>
      <w:r>
        <w:rPr>
          <w:color w:val="auto"/>
          <w:szCs w:val="21"/>
          <w:highlight w:val="none"/>
        </w:rPr>
        <w:t>无法及时退还的责任）。</w:t>
      </w:r>
    </w:p>
    <w:p w14:paraId="2A2A8C5B">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.2.5.2</w:t>
      </w:r>
      <w:r>
        <w:rPr>
          <w:rFonts w:hint="eastAsia"/>
          <w:color w:val="auto"/>
          <w:szCs w:val="21"/>
          <w:highlight w:val="none"/>
        </w:rPr>
        <w:t>响应保证金</w:t>
      </w:r>
      <w:r>
        <w:rPr>
          <w:color w:val="auto"/>
          <w:szCs w:val="21"/>
          <w:highlight w:val="none"/>
        </w:rPr>
        <w:t>币种应与</w:t>
      </w:r>
      <w:r>
        <w:rPr>
          <w:rFonts w:hint="eastAsia"/>
          <w:color w:val="auto"/>
          <w:szCs w:val="21"/>
          <w:highlight w:val="none"/>
        </w:rPr>
        <w:t>响应</w:t>
      </w:r>
      <w:r>
        <w:rPr>
          <w:color w:val="auto"/>
          <w:szCs w:val="21"/>
          <w:highlight w:val="none"/>
        </w:rPr>
        <w:t>报价币种相同。</w:t>
      </w:r>
    </w:p>
    <w:p w14:paraId="61B0C632">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.2.5.3</w:t>
      </w:r>
      <w:r>
        <w:rPr>
          <w:rFonts w:hint="eastAsia"/>
          <w:color w:val="auto"/>
          <w:szCs w:val="21"/>
          <w:highlight w:val="none"/>
        </w:rPr>
        <w:t>非入围供应商</w:t>
      </w:r>
      <w:r>
        <w:rPr>
          <w:color w:val="auto"/>
          <w:szCs w:val="21"/>
          <w:highlight w:val="none"/>
        </w:rPr>
        <w:t>的</w:t>
      </w:r>
      <w:r>
        <w:rPr>
          <w:rFonts w:hint="eastAsia"/>
          <w:color w:val="auto"/>
          <w:szCs w:val="21"/>
          <w:highlight w:val="none"/>
        </w:rPr>
        <w:t>响应保证金</w:t>
      </w:r>
      <w:r>
        <w:rPr>
          <w:color w:val="auto"/>
          <w:szCs w:val="21"/>
          <w:highlight w:val="none"/>
        </w:rPr>
        <w:t>在</w:t>
      </w:r>
      <w:r>
        <w:rPr>
          <w:rFonts w:hint="eastAsia"/>
          <w:color w:val="auto"/>
          <w:szCs w:val="21"/>
          <w:highlight w:val="none"/>
        </w:rPr>
        <w:t>入围</w:t>
      </w:r>
      <w:r>
        <w:rPr>
          <w:color w:val="auto"/>
          <w:szCs w:val="21"/>
          <w:highlight w:val="none"/>
        </w:rPr>
        <w:t>通知书发出后5个工作日内退还。</w:t>
      </w:r>
      <w:r>
        <w:rPr>
          <w:rFonts w:hint="eastAsia"/>
          <w:color w:val="auto"/>
          <w:szCs w:val="21"/>
          <w:highlight w:val="none"/>
        </w:rPr>
        <w:t>入围供应商</w:t>
      </w:r>
      <w:r>
        <w:rPr>
          <w:color w:val="auto"/>
          <w:szCs w:val="21"/>
          <w:highlight w:val="none"/>
        </w:rPr>
        <w:t>的</w:t>
      </w:r>
      <w:r>
        <w:rPr>
          <w:rFonts w:hint="eastAsia"/>
          <w:color w:val="auto"/>
          <w:szCs w:val="21"/>
          <w:highlight w:val="none"/>
        </w:rPr>
        <w:t>响应保证金</w:t>
      </w:r>
      <w:r>
        <w:rPr>
          <w:color w:val="auto"/>
          <w:szCs w:val="21"/>
          <w:highlight w:val="none"/>
        </w:rPr>
        <w:t>在</w:t>
      </w:r>
      <w:r>
        <w:rPr>
          <w:rFonts w:hint="eastAsia"/>
          <w:color w:val="auto"/>
          <w:szCs w:val="21"/>
          <w:highlight w:val="none"/>
        </w:rPr>
        <w:t>框架协议</w:t>
      </w:r>
      <w:r>
        <w:rPr>
          <w:color w:val="auto"/>
          <w:szCs w:val="21"/>
          <w:highlight w:val="none"/>
        </w:rPr>
        <w:t>签订后5个工作日内退还</w:t>
      </w:r>
      <w:r>
        <w:rPr>
          <w:rFonts w:hint="eastAsia"/>
          <w:color w:val="auto"/>
          <w:szCs w:val="21"/>
          <w:highlight w:val="none"/>
        </w:rPr>
        <w:t>。</w:t>
      </w:r>
    </w:p>
    <w:p w14:paraId="58303916">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.2.5.4供应商有下列情形之一的，响应保证金将不予退还：</w:t>
      </w:r>
    </w:p>
    <w:p w14:paraId="089B9ED0">
      <w:pPr>
        <w:numPr>
          <w:ilvl w:val="0"/>
          <w:numId w:val="1"/>
        </w:numPr>
        <w:spacing w:before="120" w:line="320" w:lineRule="atLeast"/>
        <w:rPr>
          <w:color w:val="auto"/>
          <w:szCs w:val="21"/>
          <w:highlight w:val="none"/>
        </w:rPr>
      </w:pPr>
      <w:r>
        <w:rPr>
          <w:color w:val="auto"/>
          <w:szCs w:val="21"/>
          <w:highlight w:val="none"/>
        </w:rPr>
        <w:t>供应商在</w:t>
      </w:r>
      <w:r>
        <w:rPr>
          <w:rFonts w:hint="eastAsia"/>
          <w:color w:val="auto"/>
          <w:szCs w:val="21"/>
          <w:highlight w:val="none"/>
        </w:rPr>
        <w:t>响应</w:t>
      </w:r>
      <w:r>
        <w:rPr>
          <w:color w:val="auto"/>
          <w:szCs w:val="21"/>
          <w:highlight w:val="none"/>
        </w:rPr>
        <w:t>有效期内撤销响应文件的；</w:t>
      </w:r>
    </w:p>
    <w:p w14:paraId="4744752A">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4AB797A7">
      <w:pPr>
        <w:numPr>
          <w:ilvl w:val="0"/>
          <w:numId w:val="1"/>
        </w:numPr>
        <w:spacing w:before="120" w:line="320" w:lineRule="atLeast"/>
        <w:rPr>
          <w:color w:val="auto"/>
          <w:szCs w:val="21"/>
          <w:highlight w:val="none"/>
        </w:rPr>
      </w:pPr>
      <w:r>
        <w:rPr>
          <w:color w:val="auto"/>
          <w:szCs w:val="21"/>
          <w:highlight w:val="none"/>
        </w:rPr>
        <w:t>供应商无正当理由不与</w:t>
      </w:r>
      <w:r>
        <w:rPr>
          <w:rFonts w:hint="eastAsia"/>
          <w:color w:val="auto"/>
          <w:szCs w:val="21"/>
          <w:highlight w:val="none"/>
        </w:rPr>
        <w:t>征集人</w:t>
      </w:r>
      <w:r>
        <w:rPr>
          <w:color w:val="auto"/>
          <w:szCs w:val="21"/>
          <w:highlight w:val="none"/>
        </w:rPr>
        <w:t>签订</w:t>
      </w:r>
      <w:r>
        <w:rPr>
          <w:rFonts w:hint="eastAsia"/>
          <w:color w:val="auto"/>
          <w:szCs w:val="21"/>
          <w:highlight w:val="none"/>
        </w:rPr>
        <w:t>框架协议</w:t>
      </w:r>
      <w:r>
        <w:rPr>
          <w:color w:val="auto"/>
          <w:szCs w:val="21"/>
          <w:highlight w:val="none"/>
        </w:rPr>
        <w:t>的；</w:t>
      </w:r>
    </w:p>
    <w:p w14:paraId="118679C4">
      <w:pPr>
        <w:numPr>
          <w:ilvl w:val="0"/>
          <w:numId w:val="1"/>
        </w:numPr>
        <w:spacing w:before="120" w:line="320" w:lineRule="atLeast"/>
        <w:rPr>
          <w:color w:val="auto"/>
          <w:szCs w:val="21"/>
          <w:highlight w:val="none"/>
        </w:rPr>
      </w:pPr>
      <w:r>
        <w:rPr>
          <w:color w:val="auto"/>
          <w:szCs w:val="21"/>
          <w:highlight w:val="none"/>
        </w:rPr>
        <w:t>将入围项目转让给他人或者在响应文件中未说明且未经采购人同意，将入围项目分包给他人的；</w:t>
      </w:r>
    </w:p>
    <w:p w14:paraId="3DE9E5DD">
      <w:pPr>
        <w:numPr>
          <w:ilvl w:val="0"/>
          <w:numId w:val="1"/>
        </w:numPr>
        <w:rPr>
          <w:rFonts w:hint="eastAsia"/>
          <w:color w:val="auto"/>
          <w:szCs w:val="21"/>
          <w:highlight w:val="none"/>
        </w:rPr>
      </w:pPr>
      <w:r>
        <w:rPr>
          <w:rFonts w:hint="eastAsia"/>
          <w:color w:val="auto"/>
          <w:szCs w:val="21"/>
          <w:highlight w:val="none"/>
        </w:rPr>
        <w:t>退出框架协议或拒绝授予合同的；</w:t>
      </w:r>
    </w:p>
    <w:p w14:paraId="7C0F6886">
      <w:pPr>
        <w:numPr>
          <w:ilvl w:val="0"/>
          <w:numId w:val="1"/>
        </w:numPr>
        <w:spacing w:before="120" w:line="320" w:lineRule="atLeast"/>
        <w:rPr>
          <w:color w:val="auto"/>
          <w:szCs w:val="21"/>
          <w:highlight w:val="none"/>
        </w:rPr>
      </w:pPr>
      <w:r>
        <w:rPr>
          <w:color w:val="auto"/>
          <w:szCs w:val="21"/>
          <w:highlight w:val="none"/>
        </w:rPr>
        <w:t>其他严重扰乱</w:t>
      </w:r>
      <w:r>
        <w:rPr>
          <w:rFonts w:hint="eastAsia"/>
          <w:color w:val="auto"/>
          <w:szCs w:val="21"/>
          <w:highlight w:val="none"/>
        </w:rPr>
        <w:t>征集活动</w:t>
      </w:r>
      <w:r>
        <w:rPr>
          <w:color w:val="auto"/>
          <w:szCs w:val="21"/>
          <w:highlight w:val="none"/>
        </w:rPr>
        <w:t>的</w:t>
      </w:r>
      <w:r>
        <w:rPr>
          <w:rFonts w:hint="eastAsia"/>
          <w:color w:val="auto"/>
          <w:szCs w:val="21"/>
          <w:highlight w:val="none"/>
        </w:rPr>
        <w:t>。</w:t>
      </w:r>
    </w:p>
    <w:p w14:paraId="2159A146">
      <w:pPr>
        <w:spacing w:before="120" w:line="320" w:lineRule="atLeast"/>
        <w:ind w:firstLine="422" w:firstLineChars="200"/>
        <w:outlineLvl w:val="3"/>
        <w:rPr>
          <w:b/>
          <w:bCs/>
          <w:color w:val="auto"/>
          <w:kern w:val="0"/>
          <w:szCs w:val="21"/>
          <w:highlight w:val="none"/>
        </w:rPr>
      </w:pPr>
      <w:bookmarkStart w:id="53" w:name="_Toc254970683"/>
      <w:bookmarkStart w:id="54" w:name="_Toc254970542"/>
      <w:r>
        <w:rPr>
          <w:rFonts w:hint="eastAsia"/>
          <w:b/>
          <w:bCs/>
          <w:color w:val="auto"/>
          <w:kern w:val="0"/>
          <w:szCs w:val="21"/>
          <w:highlight w:val="none"/>
        </w:rPr>
        <w:t>2</w:t>
      </w:r>
      <w:r>
        <w:rPr>
          <w:b/>
          <w:bCs/>
          <w:color w:val="auto"/>
          <w:kern w:val="0"/>
          <w:szCs w:val="21"/>
          <w:highlight w:val="none"/>
        </w:rPr>
        <w:t>.2.6响应文件的</w:t>
      </w:r>
      <w:bookmarkEnd w:id="53"/>
      <w:bookmarkEnd w:id="54"/>
      <w:r>
        <w:rPr>
          <w:b/>
          <w:bCs/>
          <w:color w:val="auto"/>
          <w:kern w:val="0"/>
          <w:szCs w:val="21"/>
          <w:highlight w:val="none"/>
        </w:rPr>
        <w:t>编制要求</w:t>
      </w:r>
    </w:p>
    <w:p w14:paraId="04A55ACA">
      <w:pPr>
        <w:spacing w:before="120" w:line="320" w:lineRule="atLeast"/>
        <w:ind w:firstLine="420" w:firstLineChars="200"/>
        <w:rPr>
          <w:b/>
          <w:bCs/>
          <w:color w:val="auto"/>
          <w:kern w:val="0"/>
          <w:szCs w:val="21"/>
          <w:highlight w:val="none"/>
        </w:rPr>
      </w:pPr>
      <w:r>
        <w:rPr>
          <w:rFonts w:hint="eastAsia"/>
          <w:color w:val="auto"/>
          <w:kern w:val="0"/>
          <w:szCs w:val="21"/>
          <w:highlight w:val="none"/>
        </w:rPr>
        <w:t>2</w:t>
      </w:r>
      <w:r>
        <w:rPr>
          <w:color w:val="auto"/>
          <w:kern w:val="0"/>
          <w:szCs w:val="21"/>
          <w:highlight w:val="none"/>
        </w:rPr>
        <w:t>.2.6.1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34491F32">
      <w:pPr>
        <w:spacing w:before="120" w:line="320" w:lineRule="atLeast"/>
        <w:ind w:firstLine="420" w:firstLineChars="200"/>
        <w:rPr>
          <w:color w:val="auto"/>
          <w:szCs w:val="21"/>
          <w:highlight w:val="none"/>
        </w:rPr>
      </w:pPr>
      <w:bookmarkStart w:id="55" w:name="_Hlk139297273"/>
      <w:r>
        <w:rPr>
          <w:rFonts w:hint="eastAsia"/>
          <w:color w:val="auto"/>
          <w:szCs w:val="21"/>
          <w:highlight w:val="none"/>
        </w:rPr>
        <w:t>2</w:t>
      </w:r>
      <w:r>
        <w:rPr>
          <w:color w:val="auto"/>
          <w:szCs w:val="21"/>
          <w:highlight w:val="none"/>
        </w:rPr>
        <w:t>.2.6.2供应商应按本</w:t>
      </w:r>
      <w:r>
        <w:rPr>
          <w:rFonts w:hint="eastAsia"/>
          <w:color w:val="auto"/>
          <w:szCs w:val="21"/>
          <w:highlight w:val="none"/>
        </w:rPr>
        <w:t>征集</w:t>
      </w:r>
      <w:r>
        <w:rPr>
          <w:color w:val="auto"/>
          <w:szCs w:val="21"/>
          <w:highlight w:val="none"/>
        </w:rPr>
        <w:t>文件规定的格式和顺序编制</w:t>
      </w:r>
      <w:r>
        <w:rPr>
          <w:rFonts w:hint="eastAsia"/>
          <w:color w:val="auto"/>
          <w:szCs w:val="21"/>
          <w:highlight w:val="none"/>
        </w:rPr>
        <w:t>响应</w:t>
      </w:r>
      <w:r>
        <w:rPr>
          <w:color w:val="auto"/>
          <w:szCs w:val="21"/>
          <w:highlight w:val="none"/>
        </w:rPr>
        <w:t>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评审委员会在评审时，点击评分项可直接定位到该评分项内容。如对征集文件的某项要求，供应商的响应文件未能关联定位提供相应的内容与其对应，则评审委员会在评审时如做出对供应商不利的评审由供应商自行承担。响应文件如内容不完整、编排混乱导致响应文件被误读、漏读，或者在按征集文件规定的部位查找不到相关内容的，由供应商自行承担。</w:t>
      </w:r>
    </w:p>
    <w:bookmarkEnd w:id="55"/>
    <w:p w14:paraId="4F053A01">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.2.6.3</w:t>
      </w:r>
      <w:r>
        <w:rPr>
          <w:rFonts w:hint="eastAsia"/>
          <w:color w:val="auto"/>
          <w:szCs w:val="21"/>
          <w:highlight w:val="none"/>
        </w:rPr>
        <w:t>为确保网上操作合法、有效和安全，供应商应当在响应文件递交截止时间前完成在“广西政府采购云”平台的身份认证，确保在电子响应过程中能够对相关数据电文进行加密和使用电子签名。</w:t>
      </w:r>
    </w:p>
    <w:p w14:paraId="64A59C4C">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.2.6.4</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284CF985">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w:t>
      </w:r>
      <w:r>
        <w:rPr>
          <w:b/>
          <w:bCs/>
          <w:color w:val="auto"/>
          <w:kern w:val="0"/>
          <w:szCs w:val="21"/>
          <w:highlight w:val="none"/>
        </w:rPr>
        <w:t>.2.7响应文件的递交、修改和撤回</w:t>
      </w:r>
    </w:p>
    <w:p w14:paraId="65E3A757">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.2.7.1</w:t>
      </w:r>
      <w:r>
        <w:rPr>
          <w:rFonts w:hint="eastAsia"/>
          <w:color w:val="auto"/>
          <w:szCs w:val="21"/>
          <w:highlight w:val="none"/>
        </w:rPr>
        <w:t xml:space="preserve">供应商必须在供应商须知前附表规定的响应文件截标时间和截标地点提交电子版响应文件。电子响应文件应在制作完成后，在响应文件提交截止时间前通过有效数字证书（CA认证锁）进行电子签章、加密，然后通过网络将加密的电子响应文件递交至广西政府采购云平台。 </w:t>
      </w:r>
    </w:p>
    <w:p w14:paraId="22A26F00">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.2.7.2</w:t>
      </w:r>
      <w:r>
        <w:rPr>
          <w:rFonts w:hint="eastAsia"/>
          <w:color w:val="auto"/>
          <w:szCs w:val="21"/>
          <w:highlight w:val="none"/>
        </w:rPr>
        <w:t xml:space="preserve">未在规定时间内提交或者未按照征集文件要求签章、加密的电子响应文件，广西政府采购云平台将拒收。 </w:t>
      </w:r>
    </w:p>
    <w:p w14:paraId="41E11EBC">
      <w:pPr>
        <w:spacing w:before="120" w:line="320" w:lineRule="atLeast"/>
        <w:ind w:left="2" w:leftChars="1" w:firstLine="420" w:firstLineChars="200"/>
        <w:rPr>
          <w:color w:val="auto"/>
          <w:szCs w:val="21"/>
          <w:highlight w:val="none"/>
        </w:rPr>
      </w:pPr>
      <w:bookmarkStart w:id="56" w:name="_Toc254970685"/>
      <w:bookmarkStart w:id="57" w:name="_Toc254970544"/>
      <w:r>
        <w:rPr>
          <w:color w:val="auto"/>
          <w:szCs w:val="21"/>
          <w:highlight w:val="none"/>
        </w:rPr>
        <w:t>2.2.7.3</w:t>
      </w:r>
      <w:r>
        <w:rPr>
          <w:rFonts w:hint="eastAsia"/>
          <w:color w:val="auto"/>
          <w:szCs w:val="21"/>
          <w:highlight w:val="none"/>
        </w:rPr>
        <w:t>供应商应当在响应文件提交截止时间前完成响应文件的传输递交，并可以补充、修改或者撤回响应文件。补充或者修改响应文件的，应当先行撤回原文件，补充、修改后重新传输递交。响应文件提交截止时间前未完成传输的，视为撤回响应文件。响应文件提交截止时间后递交的响应文件，广西政府采购云平台将拒收。</w:t>
      </w:r>
    </w:p>
    <w:p w14:paraId="082A720A">
      <w:pPr>
        <w:spacing w:before="120" w:line="320" w:lineRule="atLeast"/>
        <w:ind w:left="2" w:leftChars="1" w:firstLine="420" w:firstLineChars="200"/>
        <w:rPr>
          <w:color w:val="auto"/>
          <w:szCs w:val="21"/>
          <w:highlight w:val="none"/>
        </w:rPr>
      </w:pPr>
      <w:r>
        <w:rPr>
          <w:color w:val="auto"/>
          <w:szCs w:val="21"/>
          <w:highlight w:val="none"/>
        </w:rPr>
        <w:t>2.2.7.4</w:t>
      </w:r>
      <w:r>
        <w:rPr>
          <w:rFonts w:hint="eastAsia"/>
          <w:color w:val="auto"/>
          <w:szCs w:val="21"/>
          <w:highlight w:val="none"/>
        </w:rPr>
        <w:t>在响应文件提交截止时间前，除供应商补充、修改或者撤回响应文件外，任何单位和个人不得解密或提取响应文件。</w:t>
      </w:r>
    </w:p>
    <w:p w14:paraId="6B6287E0">
      <w:pPr>
        <w:spacing w:before="120" w:line="320" w:lineRule="atLeast"/>
        <w:ind w:left="2" w:leftChars="1" w:firstLine="420" w:firstLineChars="200"/>
        <w:rPr>
          <w:color w:val="auto"/>
          <w:szCs w:val="21"/>
          <w:highlight w:val="none"/>
        </w:rPr>
      </w:pPr>
      <w:r>
        <w:rPr>
          <w:color w:val="auto"/>
          <w:szCs w:val="21"/>
          <w:highlight w:val="none"/>
        </w:rPr>
        <w:t>2.2.7.5</w:t>
      </w:r>
      <w:r>
        <w:rPr>
          <w:rFonts w:hint="eastAsia"/>
          <w:color w:val="auto"/>
          <w:szCs w:val="21"/>
          <w:highlight w:val="none"/>
        </w:rPr>
        <w:t>在响应文件提交截止时间止提交电子版响应文件的供应商不足</w:t>
      </w:r>
      <w:r>
        <w:rPr>
          <w:color w:val="auto"/>
          <w:szCs w:val="21"/>
          <w:highlight w:val="none"/>
        </w:rPr>
        <w:t>2</w:t>
      </w:r>
      <w:r>
        <w:rPr>
          <w:rFonts w:hint="eastAsia"/>
          <w:color w:val="auto"/>
          <w:szCs w:val="21"/>
          <w:highlight w:val="none"/>
        </w:rPr>
        <w:t>家时，电子版响应文件由征集人在广西政府采购云平台操作退回，除此之外征集人对已提交的响应文件概不退回。</w:t>
      </w:r>
    </w:p>
    <w:p w14:paraId="3C319091">
      <w:pPr>
        <w:spacing w:before="120" w:line="320" w:lineRule="atLeast"/>
        <w:ind w:left="2" w:leftChars="1" w:firstLine="420" w:firstLineChars="200"/>
        <w:rPr>
          <w:rFonts w:hint="eastAsia"/>
          <w:color w:val="auto"/>
          <w:szCs w:val="21"/>
          <w:highlight w:val="none"/>
        </w:rPr>
      </w:pPr>
      <w:r>
        <w:rPr>
          <w:color w:val="auto"/>
          <w:szCs w:val="21"/>
          <w:highlight w:val="none"/>
        </w:rPr>
        <w:t>2.2.7.6</w:t>
      </w:r>
      <w:r>
        <w:rPr>
          <w:rFonts w:hint="eastAsia"/>
          <w:color w:val="auto"/>
          <w:szCs w:val="21"/>
          <w:highlight w:val="none"/>
        </w:rPr>
        <w:t>征集文件</w:t>
      </w:r>
      <w:bookmarkStart w:id="58"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8"/>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p>
    <w:p w14:paraId="467C4537">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2.3截标</w:t>
      </w:r>
      <w:bookmarkEnd w:id="56"/>
      <w:bookmarkEnd w:id="57"/>
    </w:p>
    <w:p w14:paraId="6B736D51">
      <w:pPr>
        <w:spacing w:before="120" w:line="320" w:lineRule="atLeast"/>
        <w:ind w:firstLine="422" w:firstLineChars="200"/>
        <w:outlineLvl w:val="3"/>
        <w:rPr>
          <w:b/>
          <w:bCs/>
          <w:color w:val="auto"/>
          <w:kern w:val="0"/>
          <w:szCs w:val="21"/>
          <w:highlight w:val="none"/>
        </w:rPr>
      </w:pPr>
      <w:r>
        <w:rPr>
          <w:b/>
          <w:bCs/>
          <w:color w:val="auto"/>
          <w:kern w:val="0"/>
          <w:szCs w:val="21"/>
          <w:highlight w:val="none"/>
        </w:rPr>
        <w:t>2.3.1截标准备</w:t>
      </w:r>
    </w:p>
    <w:p w14:paraId="6DB075F1">
      <w:pPr>
        <w:spacing w:before="120" w:line="276" w:lineRule="auto"/>
        <w:ind w:firstLine="420" w:firstLineChars="200"/>
        <w:rPr>
          <w:color w:val="auto"/>
          <w:szCs w:val="21"/>
          <w:highlight w:val="none"/>
        </w:rPr>
      </w:pPr>
      <w:r>
        <w:rPr>
          <w:color w:val="auto"/>
          <w:szCs w:val="21"/>
          <w:highlight w:val="none"/>
        </w:rPr>
        <w:t>本项目</w:t>
      </w:r>
      <w:r>
        <w:rPr>
          <w:rFonts w:hint="eastAsia"/>
          <w:color w:val="auto"/>
          <w:szCs w:val="21"/>
          <w:highlight w:val="none"/>
        </w:rPr>
        <w:t>响应文件提交</w:t>
      </w:r>
      <w:r>
        <w:rPr>
          <w:color w:val="auto"/>
          <w:szCs w:val="21"/>
          <w:highlight w:val="none"/>
        </w:rPr>
        <w:t>截止时间及地点见供应商须知前附表规定。</w:t>
      </w:r>
    </w:p>
    <w:p w14:paraId="7CA858E3">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全流程电子化项目没有现场递交响应文件及现场截标环节。征集人将按照征集文件规定的时间通过广西政府采购云平台组织线上截标活动、开启响应文件，所有供应商均应当准时在线参加。供应商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393C705">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如供应商成功解密响应文件，但未在广西政府采购云平台电子截标大厅参加截标的，视同认可截标过程和结果，由此产生的后果由供应商自行负责。 </w:t>
      </w:r>
    </w:p>
    <w:p w14:paraId="2CD0F56D">
      <w:pPr>
        <w:spacing w:before="120" w:line="320" w:lineRule="atLeast"/>
        <w:ind w:firstLine="422" w:firstLineChars="200"/>
        <w:outlineLvl w:val="3"/>
        <w:rPr>
          <w:b/>
          <w:bCs/>
          <w:color w:val="auto"/>
          <w:kern w:val="0"/>
          <w:szCs w:val="21"/>
          <w:highlight w:val="none"/>
        </w:rPr>
      </w:pPr>
      <w:r>
        <w:rPr>
          <w:b/>
          <w:bCs/>
          <w:color w:val="auto"/>
          <w:kern w:val="0"/>
          <w:szCs w:val="21"/>
          <w:highlight w:val="none"/>
        </w:rPr>
        <w:t>2.3.2截标程序</w:t>
      </w:r>
    </w:p>
    <w:p w14:paraId="2FBEC237">
      <w:pPr>
        <w:spacing w:before="120" w:line="320" w:lineRule="atLeast"/>
        <w:ind w:firstLine="420" w:firstLineChars="200"/>
        <w:rPr>
          <w:color w:val="auto"/>
          <w:szCs w:val="21"/>
          <w:highlight w:val="none"/>
        </w:rPr>
      </w:pPr>
      <w:r>
        <w:rPr>
          <w:color w:val="auto"/>
          <w:szCs w:val="21"/>
          <w:highlight w:val="none"/>
        </w:rPr>
        <w:t>2.3.2.1</w:t>
      </w:r>
      <w:r>
        <w:rPr>
          <w:rFonts w:hint="eastAsia"/>
          <w:color w:val="auto"/>
          <w:szCs w:val="21"/>
          <w:highlight w:val="none"/>
        </w:rPr>
        <w:t>供应商登录广西政府采购云平台进入截标大厅签到。</w:t>
      </w:r>
    </w:p>
    <w:p w14:paraId="593E3B9A">
      <w:pPr>
        <w:spacing w:before="120" w:line="320" w:lineRule="atLeast"/>
        <w:ind w:firstLine="420" w:firstLineChars="200"/>
        <w:rPr>
          <w:color w:val="auto"/>
          <w:szCs w:val="21"/>
          <w:highlight w:val="none"/>
        </w:rPr>
      </w:pPr>
      <w:r>
        <w:rPr>
          <w:color w:val="auto"/>
          <w:szCs w:val="21"/>
          <w:highlight w:val="none"/>
        </w:rPr>
        <w:t>2.3.2.2</w:t>
      </w:r>
      <w:r>
        <w:rPr>
          <w:rFonts w:hint="eastAsia"/>
          <w:color w:val="auto"/>
          <w:szCs w:val="21"/>
          <w:highlight w:val="none"/>
        </w:rPr>
        <w:t>解密电子响应文件。广西政府采购云平台按截标时间自动提取所有响应文件。征集人在广西政府采购云平台向各供应商发出电子加密响应文件开始解密通知，由供应商平台设置时间内自行进行响应文件解密。供应商须使用加密时所用的CA锁准时登录到广西政府采购云平台电子截标大厅签到并对电子响应文件解密。截标后供应商未及时进行解密的，征集人可通知供应商。</w:t>
      </w:r>
      <w:r>
        <w:rPr>
          <w:rFonts w:hint="eastAsia"/>
          <w:color w:val="auto"/>
          <w:highlight w:val="none"/>
        </w:rPr>
        <w:t>通知后供应商仍未在上述规定时间内解密响应文件</w:t>
      </w:r>
      <w:r>
        <w:rPr>
          <w:rFonts w:hint="eastAsia"/>
          <w:color w:val="auto"/>
          <w:szCs w:val="21"/>
          <w:highlight w:val="none"/>
        </w:rPr>
        <w:t>，或者供应商没预留联系方式或预留联系方式无效导致征集人无法联系到供应商的，均视为无效响应。</w:t>
      </w:r>
    </w:p>
    <w:p w14:paraId="65972E0C">
      <w:pPr>
        <w:spacing w:before="120" w:line="320" w:lineRule="atLeast"/>
        <w:ind w:firstLine="420" w:firstLineChars="200"/>
        <w:rPr>
          <w:rFonts w:hint="eastAsia"/>
          <w:color w:val="auto"/>
          <w:szCs w:val="21"/>
          <w:highlight w:val="none"/>
        </w:rPr>
      </w:pPr>
      <w:r>
        <w:rPr>
          <w:color w:val="auto"/>
          <w:szCs w:val="21"/>
          <w:highlight w:val="none"/>
        </w:rPr>
        <w:t>2.3.2.3</w:t>
      </w:r>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征集人（代理机构），由代理机构上传备份响应文件后自动解密从而避免被视为无效响应。是否接受备份响应文件详见供应商须知前附表，如接受备份文件，供应商未在规定时间内发送备份响应文件的将视为无效响应。</w:t>
      </w:r>
    </w:p>
    <w:p w14:paraId="30B343F5">
      <w:pPr>
        <w:spacing w:before="120" w:line="320" w:lineRule="atLeast"/>
        <w:ind w:firstLine="420" w:firstLineChars="200"/>
        <w:rPr>
          <w:rFonts w:hint="eastAsia"/>
          <w:color w:val="auto"/>
          <w:szCs w:val="21"/>
          <w:highlight w:val="none"/>
        </w:rPr>
      </w:pPr>
      <w:r>
        <w:rPr>
          <w:rFonts w:hint="eastAsia"/>
          <w:color w:val="auto"/>
          <w:szCs w:val="21"/>
          <w:highlight w:val="none"/>
        </w:rPr>
        <w:t>2</w:t>
      </w:r>
      <w:r>
        <w:rPr>
          <w:color w:val="auto"/>
          <w:szCs w:val="21"/>
          <w:highlight w:val="none"/>
        </w:rPr>
        <w:t>.3.2.4</w:t>
      </w:r>
      <w:r>
        <w:rPr>
          <w:rFonts w:hint="eastAsia"/>
          <w:color w:val="auto"/>
          <w:szCs w:val="21"/>
          <w:highlight w:val="none"/>
        </w:rPr>
        <w:t>解密异常情况处理：详见本章</w:t>
      </w:r>
      <w:r>
        <w:rPr>
          <w:color w:val="auto"/>
          <w:szCs w:val="21"/>
          <w:highlight w:val="none"/>
        </w:rPr>
        <w:t>4.2</w:t>
      </w:r>
      <w:r>
        <w:rPr>
          <w:rFonts w:hint="eastAsia"/>
          <w:color w:val="auto"/>
          <w:szCs w:val="21"/>
          <w:highlight w:val="none"/>
        </w:rPr>
        <w:t>电子交易活动的中止。</w:t>
      </w:r>
    </w:p>
    <w:p w14:paraId="321D7357">
      <w:pPr>
        <w:spacing w:before="120" w:line="320" w:lineRule="atLeast"/>
        <w:ind w:firstLine="420" w:firstLineChars="200"/>
        <w:rPr>
          <w:color w:val="auto"/>
          <w:szCs w:val="21"/>
          <w:highlight w:val="none"/>
        </w:rPr>
      </w:pPr>
      <w:r>
        <w:rPr>
          <w:color w:val="auto"/>
          <w:szCs w:val="21"/>
          <w:highlight w:val="none"/>
        </w:rPr>
        <w:t>2.3.2.5</w:t>
      </w:r>
      <w:r>
        <w:rPr>
          <w:rFonts w:hint="eastAsia"/>
          <w:color w:val="auto"/>
          <w:szCs w:val="21"/>
          <w:highlight w:val="none"/>
        </w:rPr>
        <w:t>供应商对报价进行确认（如有）。</w:t>
      </w:r>
    </w:p>
    <w:p w14:paraId="2F37E3DA">
      <w:pPr>
        <w:spacing w:before="120" w:line="320" w:lineRule="atLeast"/>
        <w:ind w:firstLine="420" w:firstLineChars="200"/>
        <w:rPr>
          <w:color w:val="auto"/>
          <w:szCs w:val="21"/>
          <w:highlight w:val="none"/>
        </w:rPr>
      </w:pPr>
      <w:r>
        <w:rPr>
          <w:color w:val="auto"/>
          <w:szCs w:val="21"/>
          <w:highlight w:val="none"/>
        </w:rPr>
        <w:t>2.3.2.6截标结束。</w:t>
      </w:r>
    </w:p>
    <w:p w14:paraId="33B21675">
      <w:pPr>
        <w:pStyle w:val="26"/>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如遇广西政府采购云平台相关程序调整的，按调整后的程序执行。</w:t>
      </w:r>
    </w:p>
    <w:p w14:paraId="701B7EE1">
      <w:pPr>
        <w:spacing w:before="120" w:line="320" w:lineRule="atLeast"/>
        <w:ind w:firstLine="422" w:firstLineChars="200"/>
        <w:outlineLvl w:val="3"/>
        <w:rPr>
          <w:b/>
          <w:bCs/>
          <w:color w:val="auto"/>
          <w:kern w:val="0"/>
          <w:szCs w:val="21"/>
          <w:highlight w:val="none"/>
        </w:rPr>
      </w:pPr>
      <w:r>
        <w:rPr>
          <w:b/>
          <w:bCs/>
          <w:color w:val="auto"/>
          <w:kern w:val="0"/>
          <w:szCs w:val="21"/>
          <w:highlight w:val="none"/>
        </w:rPr>
        <w:t>2.3.3演示</w:t>
      </w:r>
    </w:p>
    <w:p w14:paraId="39BC4B8D">
      <w:pPr>
        <w:spacing w:before="120" w:line="320" w:lineRule="atLeast"/>
        <w:ind w:firstLine="420" w:firstLineChars="200"/>
        <w:rPr>
          <w:color w:val="auto"/>
          <w:szCs w:val="21"/>
          <w:highlight w:val="none"/>
        </w:rPr>
      </w:pPr>
      <w:r>
        <w:rPr>
          <w:color w:val="auto"/>
          <w:szCs w:val="21"/>
          <w:highlight w:val="none"/>
        </w:rPr>
        <w:t>2.3.3.1供应商须知前附表规定在截标会议结束后进行演示的，供应商应按规定进行演示。</w:t>
      </w:r>
    </w:p>
    <w:p w14:paraId="76DA404D">
      <w:pPr>
        <w:spacing w:before="120" w:line="320" w:lineRule="atLeast"/>
        <w:ind w:firstLine="420" w:firstLineChars="200"/>
        <w:rPr>
          <w:color w:val="auto"/>
          <w:szCs w:val="21"/>
          <w:highlight w:val="none"/>
        </w:rPr>
      </w:pPr>
      <w:r>
        <w:rPr>
          <w:color w:val="auto"/>
          <w:szCs w:val="21"/>
          <w:highlight w:val="none"/>
        </w:rPr>
        <w:t>2.3.3.2未按规定时间进行演示可能引起的演示分数被计为0分或响应无效等后果由供应商自行承担。</w:t>
      </w:r>
    </w:p>
    <w:p w14:paraId="1C95674F">
      <w:pPr>
        <w:spacing w:before="120" w:line="320" w:lineRule="atLeast"/>
        <w:ind w:left="2" w:leftChars="1" w:firstLine="422" w:firstLineChars="200"/>
        <w:outlineLvl w:val="2"/>
        <w:rPr>
          <w:b/>
          <w:bCs/>
          <w:color w:val="auto"/>
          <w:kern w:val="0"/>
          <w:szCs w:val="21"/>
          <w:highlight w:val="none"/>
        </w:rPr>
      </w:pPr>
      <w:bookmarkStart w:id="59" w:name="_Toc254970545"/>
      <w:bookmarkStart w:id="60" w:name="_Toc254970686"/>
      <w:r>
        <w:rPr>
          <w:b/>
          <w:bCs/>
          <w:color w:val="auto"/>
          <w:kern w:val="0"/>
          <w:szCs w:val="21"/>
          <w:highlight w:val="none"/>
        </w:rPr>
        <w:t>2.4</w:t>
      </w:r>
      <w:r>
        <w:rPr>
          <w:rFonts w:hint="eastAsia"/>
          <w:b/>
          <w:bCs/>
          <w:color w:val="auto"/>
          <w:kern w:val="0"/>
          <w:szCs w:val="21"/>
          <w:highlight w:val="none"/>
        </w:rPr>
        <w:t>资格审查</w:t>
      </w:r>
    </w:p>
    <w:p w14:paraId="64435F32">
      <w:pPr>
        <w:spacing w:before="120" w:line="320" w:lineRule="atLeast"/>
        <w:ind w:firstLine="420" w:firstLineChars="200"/>
        <w:outlineLvl w:val="3"/>
        <w:rPr>
          <w:bCs/>
          <w:color w:val="auto"/>
          <w:kern w:val="0"/>
          <w:szCs w:val="21"/>
          <w:highlight w:val="none"/>
        </w:rPr>
      </w:pPr>
      <w:r>
        <w:rPr>
          <w:bCs/>
          <w:color w:val="auto"/>
          <w:kern w:val="0"/>
          <w:szCs w:val="21"/>
          <w:highlight w:val="none"/>
        </w:rPr>
        <w:t>2.4.1</w:t>
      </w:r>
      <w:r>
        <w:rPr>
          <w:rFonts w:hint="eastAsia"/>
          <w:bCs/>
          <w:color w:val="auto"/>
          <w:kern w:val="0"/>
          <w:szCs w:val="21"/>
          <w:highlight w:val="none"/>
        </w:rPr>
        <w:t>本项目采用资格后审方法。</w:t>
      </w:r>
      <w:r>
        <w:rPr>
          <w:color w:val="auto"/>
          <w:kern w:val="0"/>
          <w:szCs w:val="21"/>
          <w:highlight w:val="none"/>
        </w:rPr>
        <w:t>截标</w:t>
      </w:r>
      <w:r>
        <w:rPr>
          <w:rFonts w:ascii="宋体" w:hAnsi="宋体"/>
          <w:bCs/>
          <w:color w:val="auto"/>
          <w:szCs w:val="21"/>
          <w:highlight w:val="none"/>
        </w:rPr>
        <w:t>结束后，</w:t>
      </w:r>
      <w:r>
        <w:rPr>
          <w:rFonts w:hint="eastAsia" w:ascii="宋体" w:hAnsi="宋体"/>
          <w:bCs/>
          <w:color w:val="auto"/>
          <w:szCs w:val="21"/>
          <w:highlight w:val="none"/>
        </w:rPr>
        <w:t>征集人通过电子交易平台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是根据法律法规和征集文件的规定，对供应商的基本资格条件、特定资格条件进行审查。</w:t>
      </w:r>
    </w:p>
    <w:p w14:paraId="2A07D0C3">
      <w:pPr>
        <w:spacing w:before="120" w:line="320" w:lineRule="atLeast"/>
        <w:ind w:firstLine="420" w:firstLineChars="200"/>
        <w:outlineLvl w:val="3"/>
        <w:rPr>
          <w:bCs/>
          <w:color w:val="auto"/>
          <w:kern w:val="0"/>
          <w:szCs w:val="21"/>
          <w:highlight w:val="none"/>
        </w:rPr>
      </w:pPr>
      <w:r>
        <w:rPr>
          <w:bCs/>
          <w:color w:val="auto"/>
          <w:kern w:val="0"/>
          <w:szCs w:val="21"/>
          <w:highlight w:val="none"/>
        </w:rPr>
        <w:t>2.4</w:t>
      </w:r>
      <w:r>
        <w:rPr>
          <w:rFonts w:hint="eastAsia"/>
          <w:bCs/>
          <w:color w:val="auto"/>
          <w:kern w:val="0"/>
          <w:szCs w:val="21"/>
          <w:highlight w:val="none"/>
        </w:rPr>
        <w:t>.</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3BB675E9">
      <w:pPr>
        <w:spacing w:before="120" w:line="320" w:lineRule="atLeast"/>
        <w:ind w:firstLine="420" w:firstLineChars="200"/>
        <w:outlineLvl w:val="3"/>
        <w:rPr>
          <w:rFonts w:hint="eastAsia" w:hAnsi="宋体"/>
          <w:color w:val="auto"/>
          <w:highlight w:val="none"/>
        </w:rPr>
      </w:pPr>
      <w:r>
        <w:rPr>
          <w:bCs/>
          <w:color w:val="auto"/>
          <w:kern w:val="0"/>
          <w:szCs w:val="21"/>
          <w:highlight w:val="none"/>
        </w:rPr>
        <w:t>2.4.3</w:t>
      </w:r>
      <w:r>
        <w:rPr>
          <w:rFonts w:hint="eastAsia"/>
          <w:color w:val="auto"/>
          <w:kern w:val="0"/>
          <w:szCs w:val="21"/>
          <w:highlight w:val="none"/>
        </w:rPr>
        <w:t>信用</w:t>
      </w:r>
      <w:r>
        <w:rPr>
          <w:rFonts w:hint="eastAsia"/>
          <w:color w:val="auto"/>
          <w:szCs w:val="21"/>
          <w:highlight w:val="none"/>
        </w:rPr>
        <w:t>查询要求如下</w:t>
      </w:r>
      <w:r>
        <w:rPr>
          <w:rFonts w:hint="eastAsia" w:hAnsi="宋体"/>
          <w:color w:val="auto"/>
          <w:highlight w:val="none"/>
        </w:rPr>
        <w:t>（注： 广西政府采购云平台已与“信用中国”平台做接口，审查专家可直接在线查询）</w:t>
      </w:r>
    </w:p>
    <w:p w14:paraId="7781B622">
      <w:pPr>
        <w:spacing w:line="276" w:lineRule="auto"/>
        <w:ind w:firstLine="420" w:firstLineChars="200"/>
        <w:rPr>
          <w:rFonts w:hint="eastAsia"/>
          <w:color w:val="auto"/>
          <w:szCs w:val="21"/>
          <w:highlight w:val="none"/>
        </w:rPr>
      </w:pPr>
      <w:r>
        <w:rPr>
          <w:rFonts w:hint="eastAsia"/>
          <w:color w:val="auto"/>
          <w:highlight w:val="none"/>
        </w:rPr>
        <w:t>（1）</w:t>
      </w:r>
      <w:r>
        <w:rPr>
          <w:rFonts w:hint="eastAsia"/>
          <w:color w:val="auto"/>
          <w:szCs w:val="21"/>
          <w:highlight w:val="none"/>
        </w:rPr>
        <w:t>信用信息查询渠道：</w:t>
      </w:r>
    </w:p>
    <w:p w14:paraId="4808FD2D">
      <w:pPr>
        <w:spacing w:line="276" w:lineRule="auto"/>
        <w:ind w:firstLine="420" w:firstLineChars="200"/>
        <w:rPr>
          <w:color w:val="auto"/>
          <w:szCs w:val="21"/>
          <w:highlight w:val="none"/>
        </w:rPr>
      </w:pPr>
      <w:r>
        <w:rPr>
          <w:rFonts w:hint="eastAsia"/>
          <w:color w:val="auto"/>
          <w:szCs w:val="21"/>
          <w:highlight w:val="none"/>
        </w:rPr>
        <w:t xml:space="preserve">中国政府采购网 “政府采购严重违法失信行为记录名单” 信用中国网：“失信被执行人”、“重大税收违法失信主体”  </w:t>
      </w:r>
    </w:p>
    <w:p w14:paraId="78D2F999">
      <w:pPr>
        <w:spacing w:line="276" w:lineRule="auto"/>
        <w:ind w:firstLine="420" w:firstLineChars="200"/>
        <w:rPr>
          <w:rFonts w:hint="eastAsia"/>
          <w:color w:val="auto"/>
          <w:szCs w:val="21"/>
          <w:highlight w:val="none"/>
        </w:rPr>
      </w:pPr>
      <w:r>
        <w:rPr>
          <w:rFonts w:hint="eastAsia"/>
          <w:color w:val="auto"/>
          <w:szCs w:val="21"/>
          <w:highlight w:val="none"/>
        </w:rPr>
        <w:t>（2）信用信息查询截止时点：征集公告发布后任1日。</w:t>
      </w:r>
    </w:p>
    <w:p w14:paraId="55A7366F">
      <w:pPr>
        <w:spacing w:line="276" w:lineRule="auto"/>
        <w:ind w:firstLine="420" w:firstLineChars="200"/>
        <w:rPr>
          <w:color w:val="auto"/>
          <w:szCs w:val="21"/>
          <w:highlight w:val="none"/>
        </w:rPr>
      </w:pPr>
      <w:r>
        <w:rPr>
          <w:rFonts w:hint="eastAsia"/>
          <w:color w:val="auto"/>
          <w:szCs w:val="21"/>
          <w:highlight w:val="none"/>
        </w:rPr>
        <w:t>（3）信用信息查询记录和证据留存的具体方式：通过广西政府采购云平台查询</w:t>
      </w:r>
    </w:p>
    <w:p w14:paraId="285E66D1">
      <w:pPr>
        <w:spacing w:line="276" w:lineRule="auto"/>
        <w:ind w:firstLine="420" w:firstLineChars="200"/>
        <w:rPr>
          <w:color w:val="auto"/>
          <w:szCs w:val="21"/>
          <w:highlight w:val="none"/>
        </w:rPr>
      </w:pPr>
      <w:r>
        <w:rPr>
          <w:rFonts w:hint="eastAsia"/>
          <w:color w:val="auto"/>
          <w:szCs w:val="21"/>
          <w:highlight w:val="none"/>
        </w:rPr>
        <w:t>（4）信用信息的使用规则：供应商如被列入失信被执行人、重大税收违法失信主体、政府采购严重违法失信行为记录名单则资格审查不予通过，响应被否决。</w:t>
      </w:r>
      <w:r>
        <w:rPr>
          <w:color w:val="auto"/>
          <w:szCs w:val="21"/>
          <w:highlight w:val="none"/>
        </w:rPr>
        <w:t xml:space="preserve"> </w:t>
      </w:r>
    </w:p>
    <w:p w14:paraId="3BC332FE">
      <w:pPr>
        <w:spacing w:before="120" w:line="276" w:lineRule="auto"/>
        <w:ind w:firstLine="420" w:firstLineChars="200"/>
        <w:outlineLvl w:val="3"/>
        <w:rPr>
          <w:bCs/>
          <w:color w:val="auto"/>
          <w:kern w:val="0"/>
          <w:szCs w:val="21"/>
          <w:highlight w:val="none"/>
        </w:rPr>
      </w:pPr>
      <w:r>
        <w:rPr>
          <w:bCs/>
          <w:color w:val="auto"/>
          <w:kern w:val="0"/>
          <w:szCs w:val="21"/>
          <w:highlight w:val="none"/>
        </w:rPr>
        <w:t>2.4.4</w:t>
      </w:r>
      <w:r>
        <w:rPr>
          <w:rFonts w:hint="eastAsia"/>
          <w:bCs/>
          <w:color w:val="auto"/>
          <w:kern w:val="0"/>
          <w:szCs w:val="21"/>
          <w:highlight w:val="none"/>
        </w:rPr>
        <w:t>供应商有下列情形之一的，资格审查不合格，作无效响应处理：</w:t>
      </w:r>
    </w:p>
    <w:p w14:paraId="3CA1CF9A">
      <w:pPr>
        <w:ind w:firstLine="420" w:firstLineChars="200"/>
        <w:rPr>
          <w:color w:val="auto"/>
          <w:szCs w:val="21"/>
          <w:highlight w:val="none"/>
        </w:rPr>
      </w:pPr>
      <w:r>
        <w:rPr>
          <w:rFonts w:hint="eastAsia"/>
          <w:color w:val="auto"/>
          <w:szCs w:val="21"/>
          <w:highlight w:val="none"/>
        </w:rPr>
        <w:t>（1）不具备征集文件中规定的资格要求或资格条件的；</w:t>
      </w:r>
    </w:p>
    <w:p w14:paraId="3E910F16">
      <w:pPr>
        <w:spacing w:before="120"/>
        <w:ind w:firstLine="420" w:firstLineChars="200"/>
        <w:rPr>
          <w:color w:val="auto"/>
          <w:szCs w:val="21"/>
          <w:highlight w:val="none"/>
        </w:rPr>
      </w:pPr>
      <w:r>
        <w:rPr>
          <w:rFonts w:hint="eastAsia"/>
          <w:color w:val="auto"/>
          <w:szCs w:val="21"/>
          <w:highlight w:val="none"/>
        </w:rPr>
        <w:t>（2）响应文件缺少任何一项资格证明文件或不符合第四章评审方法及标准中资格审查标准规定的评审内容的；</w:t>
      </w:r>
    </w:p>
    <w:p w14:paraId="1CE52A92">
      <w:pPr>
        <w:spacing w:before="120"/>
        <w:ind w:left="2" w:leftChars="1" w:firstLine="420" w:firstLineChars="200"/>
        <w:rPr>
          <w:rFonts w:hint="eastAsia"/>
          <w:bCs/>
          <w:color w:val="auto"/>
          <w:kern w:val="0"/>
          <w:szCs w:val="21"/>
          <w:highlight w:val="none"/>
        </w:rPr>
      </w:pPr>
      <w:r>
        <w:rPr>
          <w:rFonts w:hint="eastAsia"/>
          <w:bCs/>
          <w:color w:val="auto"/>
          <w:kern w:val="0"/>
          <w:szCs w:val="21"/>
          <w:highlight w:val="none"/>
        </w:rPr>
        <w:t>（3）资格审查合格的供应商不足</w:t>
      </w:r>
      <w:r>
        <w:rPr>
          <w:bCs/>
          <w:color w:val="auto"/>
          <w:kern w:val="0"/>
          <w:szCs w:val="21"/>
          <w:highlight w:val="none"/>
        </w:rPr>
        <w:t>2</w:t>
      </w:r>
      <w:r>
        <w:rPr>
          <w:rFonts w:hint="eastAsia"/>
          <w:bCs/>
          <w:color w:val="auto"/>
          <w:kern w:val="0"/>
          <w:szCs w:val="21"/>
          <w:highlight w:val="none"/>
        </w:rPr>
        <w:t>家的，不得</w:t>
      </w:r>
      <w:r>
        <w:rPr>
          <w:rFonts w:hint="eastAsia"/>
          <w:color w:val="auto"/>
          <w:highlight w:val="none"/>
        </w:rPr>
        <w:t>进行后续评审</w:t>
      </w:r>
      <w:r>
        <w:rPr>
          <w:rFonts w:hint="eastAsia"/>
          <w:bCs/>
          <w:color w:val="auto"/>
          <w:kern w:val="0"/>
          <w:szCs w:val="21"/>
          <w:highlight w:val="none"/>
        </w:rPr>
        <w:t>。</w:t>
      </w:r>
    </w:p>
    <w:p w14:paraId="4FA6AB99">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2.5评审</w:t>
      </w:r>
      <w:bookmarkEnd w:id="59"/>
      <w:bookmarkEnd w:id="60"/>
    </w:p>
    <w:p w14:paraId="6514C86C">
      <w:pPr>
        <w:spacing w:before="120" w:line="320" w:lineRule="atLeast"/>
        <w:ind w:firstLine="422" w:firstLineChars="200"/>
        <w:outlineLvl w:val="3"/>
        <w:rPr>
          <w:b/>
          <w:bCs/>
          <w:color w:val="auto"/>
          <w:kern w:val="0"/>
          <w:szCs w:val="21"/>
          <w:highlight w:val="none"/>
        </w:rPr>
      </w:pPr>
      <w:bookmarkStart w:id="61" w:name="_Toc254970687"/>
      <w:bookmarkStart w:id="62" w:name="_Toc254970546"/>
      <w:r>
        <w:rPr>
          <w:b/>
          <w:bCs/>
          <w:color w:val="auto"/>
          <w:kern w:val="0"/>
          <w:szCs w:val="21"/>
          <w:highlight w:val="none"/>
        </w:rPr>
        <w:t>2.5.1评审委员会</w:t>
      </w:r>
      <w:r>
        <w:rPr>
          <w:rFonts w:hint="eastAsia"/>
          <w:b/>
          <w:bCs/>
          <w:color w:val="auto"/>
          <w:kern w:val="0"/>
          <w:szCs w:val="21"/>
          <w:highlight w:val="none"/>
        </w:rPr>
        <w:t>及评审原则</w:t>
      </w:r>
    </w:p>
    <w:p w14:paraId="14B05A5F">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.1.1</w:t>
      </w:r>
      <w:r>
        <w:rPr>
          <w:color w:val="auto"/>
          <w:szCs w:val="21"/>
          <w:highlight w:val="none"/>
        </w:rPr>
        <w:t>本项目</w:t>
      </w:r>
      <w:r>
        <w:rPr>
          <w:rFonts w:hint="eastAsia"/>
          <w:color w:val="auto"/>
          <w:szCs w:val="21"/>
          <w:highlight w:val="none"/>
        </w:rPr>
        <w:t>评审工作由</w:t>
      </w:r>
      <w:r>
        <w:rPr>
          <w:color w:val="auto"/>
          <w:szCs w:val="21"/>
          <w:highlight w:val="none"/>
        </w:rPr>
        <w:t>评审委员会</w:t>
      </w:r>
      <w:r>
        <w:rPr>
          <w:rFonts w:hint="eastAsia"/>
          <w:color w:val="auto"/>
          <w:szCs w:val="21"/>
          <w:highlight w:val="none"/>
        </w:rPr>
        <w:t>负责，评审委员会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53067923">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征集文件均没有明确规定的情形时，由评审委员会现场协商确定，协商不一致的，由全体评审委员会成员投票表决，应当按照少数服从多数的原则作出结论并由征集人记录在评审报告中。</w:t>
      </w:r>
    </w:p>
    <w:p w14:paraId="78C3A5A4">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1.3征集人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DE0CAA8">
      <w:pPr>
        <w:spacing w:before="120" w:line="320" w:lineRule="atLeast"/>
        <w:ind w:firstLine="420" w:firstLineChars="200"/>
        <w:rPr>
          <w:color w:val="auto"/>
          <w:szCs w:val="21"/>
          <w:highlight w:val="none"/>
        </w:rPr>
      </w:pPr>
      <w:r>
        <w:rPr>
          <w:color w:val="auto"/>
          <w:szCs w:val="21"/>
          <w:highlight w:val="none"/>
        </w:rPr>
        <w:t>2.5</w:t>
      </w:r>
      <w:r>
        <w:rPr>
          <w:rFonts w:hint="eastAsia"/>
          <w:color w:val="auto"/>
          <w:szCs w:val="21"/>
          <w:highlight w:val="none"/>
        </w:rPr>
        <w:t>.1.4本项目评审过程实行全程网上留痕及录音、录像监控，供应商在评审过程中所进行的试图影响评审结果的不公正活动，可能导致其响应按无效处理。</w:t>
      </w:r>
    </w:p>
    <w:p w14:paraId="463F403B">
      <w:pPr>
        <w:spacing w:before="120" w:line="320" w:lineRule="atLeast"/>
        <w:ind w:firstLine="422" w:firstLineChars="200"/>
        <w:outlineLvl w:val="3"/>
        <w:rPr>
          <w:b/>
          <w:bCs/>
          <w:color w:val="auto"/>
          <w:kern w:val="0"/>
          <w:szCs w:val="21"/>
          <w:highlight w:val="none"/>
        </w:rPr>
      </w:pPr>
      <w:r>
        <w:rPr>
          <w:b/>
          <w:bCs/>
          <w:color w:val="auto"/>
          <w:kern w:val="0"/>
          <w:szCs w:val="21"/>
          <w:highlight w:val="none"/>
        </w:rPr>
        <w:t>2.5.2</w:t>
      </w:r>
      <w:r>
        <w:rPr>
          <w:rFonts w:hint="eastAsia"/>
          <w:b/>
          <w:bCs/>
          <w:color w:val="auto"/>
          <w:kern w:val="0"/>
          <w:szCs w:val="21"/>
          <w:highlight w:val="none"/>
        </w:rPr>
        <w:t>评审方法及依据</w:t>
      </w:r>
    </w:p>
    <w:p w14:paraId="1502AB66">
      <w:pPr>
        <w:spacing w:before="120" w:line="320" w:lineRule="atLeast"/>
        <w:ind w:firstLine="420" w:firstLineChars="200"/>
        <w:rPr>
          <w:bCs/>
          <w:color w:val="auto"/>
          <w:kern w:val="0"/>
          <w:szCs w:val="21"/>
          <w:highlight w:val="none"/>
        </w:rPr>
      </w:pPr>
      <w:r>
        <w:rPr>
          <w:bCs/>
          <w:color w:val="auto"/>
          <w:kern w:val="0"/>
          <w:szCs w:val="21"/>
          <w:highlight w:val="none"/>
        </w:rPr>
        <w:t>2.5.2.1</w:t>
      </w:r>
      <w:r>
        <w:rPr>
          <w:rFonts w:hint="eastAsia"/>
          <w:bCs/>
          <w:color w:val="auto"/>
          <w:kern w:val="0"/>
          <w:szCs w:val="21"/>
          <w:highlight w:val="none"/>
        </w:rPr>
        <w:t>本项目采用第四章评审方法及标准规定的方法进行评审。</w:t>
      </w:r>
    </w:p>
    <w:p w14:paraId="5A602BCA">
      <w:pPr>
        <w:suppressAutoHyphens/>
        <w:spacing w:before="120" w:line="320" w:lineRule="atLeast"/>
        <w:ind w:firstLine="420" w:firstLineChars="200"/>
        <w:rPr>
          <w:bCs/>
          <w:color w:val="auto"/>
          <w:kern w:val="0"/>
          <w:szCs w:val="21"/>
          <w:highlight w:val="none"/>
        </w:rPr>
      </w:pPr>
      <w:r>
        <w:rPr>
          <w:bCs/>
          <w:color w:val="auto"/>
          <w:kern w:val="0"/>
          <w:szCs w:val="21"/>
          <w:highlight w:val="none"/>
        </w:rPr>
        <w:t>2.5.2.2</w:t>
      </w:r>
      <w:r>
        <w:rPr>
          <w:rFonts w:hint="eastAsia"/>
          <w:color w:val="auto"/>
          <w:highlight w:val="none"/>
        </w:rPr>
        <w:t>评审委员会</w:t>
      </w:r>
      <w:r>
        <w:rPr>
          <w:color w:val="auto"/>
          <w:highlight w:val="none"/>
        </w:rPr>
        <w:t>以</w:t>
      </w:r>
      <w:r>
        <w:rPr>
          <w:rFonts w:hint="eastAsia"/>
          <w:color w:val="auto"/>
          <w:highlight w:val="none"/>
        </w:rPr>
        <w:t>征集文件</w:t>
      </w:r>
      <w:r>
        <w:rPr>
          <w:color w:val="auto"/>
          <w:highlight w:val="none"/>
        </w:rPr>
        <w:t>、补充文件、</w:t>
      </w:r>
      <w:r>
        <w:rPr>
          <w:rFonts w:hint="eastAsia"/>
          <w:color w:val="auto"/>
          <w:highlight w:val="none"/>
        </w:rPr>
        <w:t>响应文件</w:t>
      </w:r>
      <w:r>
        <w:rPr>
          <w:color w:val="auto"/>
          <w:highlight w:val="none"/>
        </w:rPr>
        <w:t>、澄清及答复为评审依据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0C2604EF">
      <w:pPr>
        <w:spacing w:before="120" w:line="320" w:lineRule="atLeast"/>
        <w:ind w:firstLine="422" w:firstLineChars="200"/>
        <w:outlineLvl w:val="3"/>
        <w:rPr>
          <w:b/>
          <w:bCs/>
          <w:color w:val="auto"/>
          <w:kern w:val="0"/>
          <w:szCs w:val="21"/>
          <w:highlight w:val="none"/>
        </w:rPr>
      </w:pPr>
      <w:r>
        <w:rPr>
          <w:b/>
          <w:bCs/>
          <w:color w:val="auto"/>
          <w:kern w:val="0"/>
          <w:szCs w:val="21"/>
          <w:highlight w:val="none"/>
        </w:rPr>
        <w:t>2.5.3评审</w:t>
      </w:r>
      <w:r>
        <w:rPr>
          <w:rFonts w:hint="eastAsia"/>
          <w:b/>
          <w:bCs/>
          <w:color w:val="auto"/>
          <w:kern w:val="0"/>
          <w:szCs w:val="21"/>
          <w:highlight w:val="none"/>
        </w:rPr>
        <w:t>程序</w:t>
      </w:r>
    </w:p>
    <w:p w14:paraId="433A0AE3">
      <w:pPr>
        <w:spacing w:before="120" w:line="320" w:lineRule="atLeast"/>
        <w:ind w:firstLine="420" w:firstLineChars="200"/>
        <w:rPr>
          <w:color w:val="auto"/>
          <w:highlight w:val="none"/>
        </w:rPr>
      </w:pPr>
      <w:r>
        <w:rPr>
          <w:color w:val="auto"/>
          <w:highlight w:val="none"/>
        </w:rPr>
        <w:t>2.5.3.1</w:t>
      </w:r>
      <w:r>
        <w:rPr>
          <w:rFonts w:hint="eastAsia"/>
          <w:color w:val="auto"/>
          <w:highlight w:val="none"/>
        </w:rPr>
        <w:t>符合性审查</w:t>
      </w:r>
    </w:p>
    <w:p w14:paraId="078309D7">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评审委员会对</w:t>
      </w:r>
      <w:r>
        <w:rPr>
          <w:color w:val="auto"/>
          <w:highlight w:val="none"/>
        </w:rPr>
        <w:t>通过资格审查的供应商</w:t>
      </w:r>
      <w:r>
        <w:rPr>
          <w:rFonts w:hint="eastAsia" w:hAnsi="宋体"/>
          <w:color w:val="auto"/>
          <w:highlight w:val="none"/>
        </w:rPr>
        <w:t>的响应文件进行报价（如有）、商务资信、技术等方面实质性内容进行符合性审查，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p w14:paraId="6F00A483">
      <w:pPr>
        <w:spacing w:before="120" w:line="320" w:lineRule="atLeast"/>
        <w:ind w:firstLine="420" w:firstLineChars="200"/>
        <w:rPr>
          <w:color w:val="auto"/>
          <w:highlight w:val="none"/>
        </w:rPr>
      </w:pPr>
      <w:bookmarkStart w:id="63" w:name="_Hlk19176155"/>
      <w:r>
        <w:rPr>
          <w:color w:val="auto"/>
          <w:highlight w:val="none"/>
        </w:rPr>
        <w:t>2.5.3.2澄清、说明或补正</w:t>
      </w:r>
    </w:p>
    <w:p w14:paraId="26A7D7F9">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评审委员会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评审委员会。供应商的澄清、说明或者补正不得超出响应文件的范围或者改变响应文件的实质性内容。供应商未在规定时间内进行澄清、说明或者补正的，按无效响应处理。</w:t>
      </w:r>
    </w:p>
    <w:p w14:paraId="482492A2">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5276E01E">
      <w:pPr>
        <w:spacing w:before="120" w:line="320" w:lineRule="atLeast"/>
        <w:ind w:firstLine="420" w:firstLineChars="200"/>
        <w:rPr>
          <w:color w:val="auto"/>
          <w:highlight w:val="none"/>
        </w:rPr>
      </w:pPr>
      <w:r>
        <w:rPr>
          <w:color w:val="auto"/>
          <w:highlight w:val="none"/>
        </w:rPr>
        <w:t>2.5.3.3</w:t>
      </w:r>
      <w:r>
        <w:rPr>
          <w:rFonts w:hint="eastAsia"/>
          <w:color w:val="auto"/>
          <w:highlight w:val="none"/>
        </w:rPr>
        <w:t>报价</w:t>
      </w:r>
      <w:r>
        <w:rPr>
          <w:color w:val="auto"/>
          <w:highlight w:val="none"/>
        </w:rPr>
        <w:t>修正</w:t>
      </w:r>
      <w:r>
        <w:rPr>
          <w:rFonts w:hint="eastAsia"/>
          <w:b/>
          <w:bCs/>
          <w:color w:val="auto"/>
          <w:kern w:val="0"/>
          <w:szCs w:val="21"/>
          <w:highlight w:val="none"/>
        </w:rPr>
        <w:t>（如本项目需要报价时）</w:t>
      </w:r>
    </w:p>
    <w:p w14:paraId="5F0B243C">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5DAEE048">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响应文件中截标一览表（报价表）内容与响应文件中相应内容不一致的，以截标一览表（报价表）为准；</w:t>
      </w:r>
    </w:p>
    <w:p w14:paraId="03A7E3A3">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1B636A6B">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单价金额小数点或者百分比有明显错位的，以截标一览表的总价为准，并修改单价；</w:t>
      </w:r>
    </w:p>
    <w:p w14:paraId="62C46530">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7280F268">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2.5.3.2</w:t>
      </w:r>
      <w:r>
        <w:rPr>
          <w:rFonts w:hint="eastAsia"/>
          <w:color w:val="auto"/>
          <w:szCs w:val="21"/>
          <w:highlight w:val="none"/>
        </w:rPr>
        <w:t>澄清、说明或补正”的规定经供应商确认后产生约束力，供应商不确认的，其响应无效。</w:t>
      </w:r>
    </w:p>
    <w:p w14:paraId="2DB1481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）评审委员会认为供应商的报价明显低于其他通过符合性审查供应商的报价，有可能影响产品质量或者不能诚信履约的，应当要求其在合理的时间内提交相关书面证明材料；书面证明应当按照上述“</w:t>
      </w:r>
      <w:r>
        <w:rPr>
          <w:color w:val="auto"/>
          <w:szCs w:val="21"/>
          <w:highlight w:val="none"/>
        </w:rPr>
        <w:t>2.5.3.2</w:t>
      </w:r>
      <w:r>
        <w:rPr>
          <w:rFonts w:hint="eastAsia"/>
          <w:color w:val="auto"/>
          <w:szCs w:val="21"/>
          <w:highlight w:val="none"/>
        </w:rPr>
        <w:t>澄清、说明或补正”的规定提交。供应商未按规定提交或不能证明其报价合理性的，评审委员会应当将其作为无效响应处理。</w:t>
      </w:r>
    </w:p>
    <w:p w14:paraId="4F08D2A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 经供应商确认修正后的报价若超过采购预算金额或者最高限制单价，其响应文件作无效响应处理。</w:t>
      </w:r>
    </w:p>
    <w:p w14:paraId="7A81421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）经供应产确认修正后的报价作为签订框架协议的依据。</w:t>
      </w:r>
    </w:p>
    <w:bookmarkEnd w:id="63"/>
    <w:p w14:paraId="406FD85D">
      <w:pPr>
        <w:spacing w:before="120" w:line="320" w:lineRule="atLeast"/>
        <w:ind w:firstLine="420" w:firstLineChars="200"/>
        <w:rPr>
          <w:rFonts w:hint="eastAsia"/>
          <w:color w:val="auto"/>
          <w:szCs w:val="21"/>
          <w:highlight w:val="none"/>
        </w:rPr>
      </w:pPr>
      <w:r>
        <w:rPr>
          <w:color w:val="auto"/>
          <w:szCs w:val="21"/>
          <w:highlight w:val="none"/>
        </w:rPr>
        <w:t>2.5.3.4串通</w:t>
      </w:r>
      <w:r>
        <w:rPr>
          <w:rFonts w:hint="eastAsia"/>
          <w:color w:val="auto"/>
          <w:szCs w:val="21"/>
          <w:highlight w:val="none"/>
        </w:rPr>
        <w:t>投标</w:t>
      </w:r>
      <w:r>
        <w:rPr>
          <w:color w:val="auto"/>
          <w:szCs w:val="21"/>
          <w:highlight w:val="none"/>
        </w:rPr>
        <w:t>认定</w:t>
      </w:r>
    </w:p>
    <w:p w14:paraId="46E7E616">
      <w:pPr>
        <w:spacing w:before="120" w:line="320" w:lineRule="atLeast"/>
        <w:ind w:firstLine="420" w:firstLineChars="200"/>
        <w:rPr>
          <w:rFonts w:hint="eastAsia"/>
          <w:color w:val="auto"/>
          <w:szCs w:val="21"/>
          <w:highlight w:val="none"/>
        </w:rPr>
      </w:pPr>
      <w:bookmarkStart w:id="64" w:name="_Hlk19122095"/>
      <w:r>
        <w:rPr>
          <w:rFonts w:hint="eastAsia"/>
          <w:color w:val="auto"/>
          <w:szCs w:val="21"/>
          <w:highlight w:val="none"/>
        </w:rPr>
        <w:t>评审委员会须根据以下规定认定供应商是否有串通投标的行为。</w:t>
      </w:r>
    </w:p>
    <w:p w14:paraId="0F4CA410">
      <w:pPr>
        <w:spacing w:before="120" w:line="320" w:lineRule="atLeast"/>
        <w:ind w:firstLine="420" w:firstLineChars="200"/>
        <w:rPr>
          <w:rFonts w:hint="eastAsia"/>
          <w:color w:val="auto"/>
          <w:szCs w:val="21"/>
          <w:highlight w:val="none"/>
        </w:rPr>
      </w:pPr>
      <w:r>
        <w:rPr>
          <w:rFonts w:hint="eastAsia"/>
          <w:color w:val="auto"/>
          <w:szCs w:val="21"/>
          <w:highlight w:val="none"/>
        </w:rPr>
        <w:t>（1）根据《关于防治政府采购招标中串通投标行为的通知》（桂财采[2016]42号）规定，出现下述情况的，相关供应商的投标作无效投标处理。</w:t>
      </w:r>
    </w:p>
    <w:p w14:paraId="12752DB3">
      <w:pPr>
        <w:spacing w:before="120" w:line="320" w:lineRule="atLeast"/>
        <w:ind w:firstLine="420" w:firstLineChars="200"/>
        <w:rPr>
          <w:rFonts w:hint="eastAsia"/>
          <w:color w:val="auto"/>
          <w:szCs w:val="21"/>
          <w:highlight w:val="none"/>
        </w:rPr>
      </w:pPr>
      <w:r>
        <w:rPr>
          <w:rFonts w:hint="eastAsia"/>
          <w:color w:val="auto"/>
          <w:szCs w:val="21"/>
          <w:highlight w:val="none"/>
        </w:rPr>
        <w:t>①单位负责人为同一人或者存在直接控股、管理关系，参加同一合同项下政府采购活动的不同供应商。</w:t>
      </w:r>
    </w:p>
    <w:p w14:paraId="624CE2E2">
      <w:pPr>
        <w:spacing w:before="120" w:line="320" w:lineRule="atLeast"/>
        <w:ind w:firstLine="420" w:firstLineChars="200"/>
        <w:rPr>
          <w:rFonts w:hint="eastAsia"/>
          <w:color w:val="auto"/>
          <w:szCs w:val="21"/>
          <w:highlight w:val="none"/>
        </w:rPr>
      </w:pPr>
      <w:r>
        <w:rPr>
          <w:rFonts w:hint="eastAsia"/>
          <w:color w:val="auto"/>
          <w:szCs w:val="21"/>
          <w:highlight w:val="none"/>
        </w:rPr>
        <w:t>②授权给供应商后参加同一合同项（分标、分包）投标的生产厂商。</w:t>
      </w:r>
    </w:p>
    <w:p w14:paraId="72774AB4">
      <w:pPr>
        <w:spacing w:before="120" w:line="320" w:lineRule="atLeast"/>
        <w:ind w:firstLine="420" w:firstLineChars="200"/>
        <w:rPr>
          <w:rFonts w:hint="eastAsia"/>
          <w:color w:val="auto"/>
          <w:szCs w:val="21"/>
          <w:highlight w:val="none"/>
        </w:rPr>
      </w:pPr>
      <w:r>
        <w:rPr>
          <w:rFonts w:hint="eastAsia"/>
          <w:color w:val="auto"/>
          <w:szCs w:val="21"/>
          <w:highlight w:val="none"/>
        </w:rPr>
        <w:t>③视为或被认定为串通投标的相关供应商。</w:t>
      </w:r>
    </w:p>
    <w:p w14:paraId="3A8A8A6E">
      <w:pPr>
        <w:spacing w:before="120" w:line="320" w:lineRule="atLeast"/>
        <w:ind w:firstLine="420" w:firstLineChars="200"/>
        <w:rPr>
          <w:rFonts w:hint="eastAsia"/>
          <w:color w:val="auto"/>
          <w:szCs w:val="21"/>
          <w:highlight w:val="none"/>
        </w:rPr>
      </w:pPr>
      <w:r>
        <w:rPr>
          <w:rFonts w:hint="eastAsia"/>
          <w:color w:val="auto"/>
          <w:szCs w:val="21"/>
          <w:highlight w:val="none"/>
        </w:rPr>
        <w:t>（2）根据《关于防治政府采购招标中串通投标行为的通知》（桂财采[2016]42号）规定，有下列情形之一的视为供应商相互串通投标，投标文件将被视为无效。</w:t>
      </w:r>
    </w:p>
    <w:p w14:paraId="0130B344">
      <w:pPr>
        <w:spacing w:before="120" w:line="320" w:lineRule="atLeast"/>
        <w:ind w:firstLine="420" w:firstLineChars="200"/>
        <w:rPr>
          <w:rFonts w:hint="eastAsia"/>
          <w:color w:val="auto"/>
          <w:szCs w:val="21"/>
          <w:highlight w:val="none"/>
        </w:rPr>
      </w:pPr>
      <w:r>
        <w:rPr>
          <w:rFonts w:hint="eastAsia"/>
          <w:color w:val="auto"/>
          <w:szCs w:val="21"/>
          <w:highlight w:val="none"/>
        </w:rPr>
        <w:t>①不同供应商的投标文件由同一单位或者个人编制；或不同供应商报名的IP地址一致的；</w:t>
      </w:r>
    </w:p>
    <w:p w14:paraId="4CF64857">
      <w:pPr>
        <w:spacing w:before="120" w:line="320" w:lineRule="atLeast"/>
        <w:ind w:firstLine="420" w:firstLineChars="200"/>
        <w:rPr>
          <w:rFonts w:hint="eastAsia"/>
          <w:color w:val="auto"/>
          <w:szCs w:val="21"/>
          <w:highlight w:val="none"/>
        </w:rPr>
      </w:pPr>
      <w:r>
        <w:rPr>
          <w:rFonts w:hint="eastAsia"/>
          <w:color w:val="auto"/>
          <w:szCs w:val="21"/>
          <w:highlight w:val="none"/>
        </w:rPr>
        <w:t>②不同供应商委托同一单位或者个人办理投标事宜；</w:t>
      </w:r>
    </w:p>
    <w:p w14:paraId="05C4350C">
      <w:pPr>
        <w:spacing w:before="120" w:line="320" w:lineRule="atLeast"/>
        <w:ind w:firstLine="420" w:firstLineChars="200"/>
        <w:rPr>
          <w:rFonts w:hint="eastAsia"/>
          <w:color w:val="auto"/>
          <w:szCs w:val="21"/>
          <w:highlight w:val="none"/>
        </w:rPr>
      </w:pPr>
      <w:r>
        <w:rPr>
          <w:rFonts w:hint="eastAsia"/>
          <w:color w:val="auto"/>
          <w:szCs w:val="21"/>
          <w:highlight w:val="none"/>
        </w:rPr>
        <w:t>③不同的供应商的投标文件载明的项目管理员为同一个人；</w:t>
      </w:r>
    </w:p>
    <w:p w14:paraId="0D3D5220">
      <w:pPr>
        <w:spacing w:before="120" w:line="320" w:lineRule="atLeast"/>
        <w:ind w:firstLine="420" w:firstLineChars="200"/>
        <w:rPr>
          <w:rFonts w:hint="eastAsia"/>
          <w:color w:val="auto"/>
          <w:szCs w:val="21"/>
          <w:highlight w:val="none"/>
        </w:rPr>
      </w:pPr>
      <w:r>
        <w:rPr>
          <w:rFonts w:hint="eastAsia"/>
          <w:color w:val="auto"/>
          <w:szCs w:val="21"/>
          <w:highlight w:val="none"/>
        </w:rPr>
        <w:t>④不同供应商的投标文件异常一致或投标报价呈规律性差异；</w:t>
      </w:r>
    </w:p>
    <w:p w14:paraId="7438ECE3">
      <w:pPr>
        <w:spacing w:before="120" w:line="320" w:lineRule="atLeast"/>
        <w:ind w:firstLine="420" w:firstLineChars="200"/>
        <w:rPr>
          <w:rFonts w:hint="eastAsia"/>
          <w:color w:val="auto"/>
          <w:szCs w:val="21"/>
          <w:highlight w:val="none"/>
        </w:rPr>
      </w:pPr>
      <w:r>
        <w:rPr>
          <w:rFonts w:hint="eastAsia"/>
          <w:color w:val="auto"/>
          <w:szCs w:val="21"/>
          <w:highlight w:val="none"/>
        </w:rPr>
        <w:t>⑤不同供应商的投标文件相互混装；</w:t>
      </w:r>
    </w:p>
    <w:p w14:paraId="7ECBDBA3">
      <w:pPr>
        <w:spacing w:before="120" w:line="320" w:lineRule="atLeast"/>
        <w:ind w:firstLine="420" w:firstLineChars="200"/>
        <w:rPr>
          <w:rFonts w:hint="eastAsia"/>
          <w:color w:val="auto"/>
          <w:szCs w:val="21"/>
          <w:highlight w:val="none"/>
        </w:rPr>
      </w:pPr>
      <w:r>
        <w:rPr>
          <w:rFonts w:hint="eastAsia"/>
          <w:color w:val="auto"/>
          <w:szCs w:val="21"/>
          <w:highlight w:val="none"/>
        </w:rPr>
        <w:t>⑥不同供应商的保证金从同一单位或者个人账户转出。</w:t>
      </w:r>
    </w:p>
    <w:p w14:paraId="5F3A4FCD">
      <w:pPr>
        <w:spacing w:before="120" w:line="320" w:lineRule="atLeast"/>
        <w:ind w:firstLine="420" w:firstLineChars="200"/>
        <w:rPr>
          <w:rFonts w:hint="eastAsia"/>
          <w:color w:val="auto"/>
          <w:szCs w:val="21"/>
          <w:highlight w:val="none"/>
        </w:rPr>
      </w:pPr>
      <w:r>
        <w:rPr>
          <w:rFonts w:hint="eastAsia"/>
          <w:color w:val="auto"/>
          <w:szCs w:val="21"/>
          <w:highlight w:val="none"/>
        </w:rPr>
        <w:t>（3）根据《关于防治政府采购招标中串通投标行为的通知》（桂财采[2016]42号）规定，供应商有下列情形之一的，属于恶意串通行为，投标文件将被视为无效。</w:t>
      </w:r>
    </w:p>
    <w:p w14:paraId="498ECB86">
      <w:pPr>
        <w:spacing w:before="120" w:line="320" w:lineRule="atLeast"/>
        <w:ind w:firstLine="420" w:firstLineChars="200"/>
        <w:rPr>
          <w:rFonts w:hint="eastAsia"/>
          <w:color w:val="auto"/>
          <w:szCs w:val="21"/>
          <w:highlight w:val="none"/>
        </w:rPr>
      </w:pPr>
      <w:r>
        <w:rPr>
          <w:rFonts w:hint="eastAsia"/>
          <w:color w:val="auto"/>
          <w:szCs w:val="21"/>
          <w:highlight w:val="none"/>
        </w:rPr>
        <w:t>①供应商直接或者间接从采购人或者采购代理机构处获得其他供应商的相关信息并修改其投标文件或者响应文件；</w:t>
      </w:r>
    </w:p>
    <w:p w14:paraId="54022E72">
      <w:pPr>
        <w:spacing w:before="120" w:line="320" w:lineRule="atLeast"/>
        <w:ind w:firstLine="420" w:firstLineChars="200"/>
        <w:rPr>
          <w:rFonts w:hint="eastAsia"/>
          <w:color w:val="auto"/>
          <w:szCs w:val="21"/>
          <w:highlight w:val="none"/>
        </w:rPr>
      </w:pPr>
      <w:r>
        <w:rPr>
          <w:rFonts w:hint="eastAsia"/>
          <w:color w:val="auto"/>
          <w:szCs w:val="21"/>
          <w:highlight w:val="none"/>
        </w:rPr>
        <w:t>②供应商按照采购人或者采购代理机构的授意撤换、修改投标文件或者响应文件;；</w:t>
      </w:r>
    </w:p>
    <w:p w14:paraId="1F2B3BE9">
      <w:pPr>
        <w:spacing w:before="120" w:line="320" w:lineRule="atLeast"/>
        <w:ind w:firstLine="420" w:firstLineChars="200"/>
        <w:rPr>
          <w:rFonts w:hint="eastAsia"/>
          <w:color w:val="auto"/>
          <w:szCs w:val="21"/>
          <w:highlight w:val="none"/>
        </w:rPr>
      </w:pPr>
      <w:r>
        <w:rPr>
          <w:rFonts w:hint="eastAsia"/>
          <w:color w:val="auto"/>
          <w:szCs w:val="21"/>
          <w:highlight w:val="none"/>
        </w:rPr>
        <w:t>③供应商之间协商报价、技术方案等投标文件或者响应文件的实质性内容；</w:t>
      </w:r>
    </w:p>
    <w:p w14:paraId="4051A13C">
      <w:pPr>
        <w:spacing w:before="120" w:line="320" w:lineRule="atLeast"/>
        <w:ind w:firstLine="420" w:firstLineChars="200"/>
        <w:rPr>
          <w:rFonts w:hint="eastAsia"/>
          <w:color w:val="auto"/>
          <w:szCs w:val="21"/>
          <w:highlight w:val="none"/>
        </w:rPr>
      </w:pPr>
      <w:r>
        <w:rPr>
          <w:rFonts w:hint="eastAsia"/>
          <w:color w:val="auto"/>
          <w:szCs w:val="21"/>
          <w:highlight w:val="none"/>
        </w:rPr>
        <w:t>④属于同一集团、协会、商会等组织成员的供应商按照该组织要求协同参加政府采购活动；</w:t>
      </w:r>
    </w:p>
    <w:p w14:paraId="05FBA58F">
      <w:pPr>
        <w:spacing w:before="120" w:line="320" w:lineRule="atLeast"/>
        <w:ind w:firstLine="420" w:firstLineChars="200"/>
        <w:rPr>
          <w:rFonts w:hint="eastAsia"/>
          <w:color w:val="auto"/>
          <w:szCs w:val="21"/>
          <w:highlight w:val="none"/>
        </w:rPr>
      </w:pPr>
      <w:r>
        <w:rPr>
          <w:rFonts w:hint="eastAsia"/>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58C14A14">
      <w:pPr>
        <w:spacing w:before="120" w:line="320" w:lineRule="atLeast"/>
        <w:ind w:firstLine="420" w:firstLineChars="200"/>
        <w:rPr>
          <w:rFonts w:hint="eastAsia"/>
          <w:color w:val="auto"/>
          <w:szCs w:val="21"/>
          <w:highlight w:val="none"/>
        </w:rPr>
      </w:pPr>
      <w:r>
        <w:rPr>
          <w:rFonts w:hint="eastAsia"/>
          <w:color w:val="auto"/>
          <w:szCs w:val="21"/>
          <w:highlight w:val="none"/>
        </w:rPr>
        <w:t>⑥供应商之间商定部分供应商放弃参加政府采购活动或者放弃中标；</w:t>
      </w:r>
    </w:p>
    <w:p w14:paraId="0830C142">
      <w:pPr>
        <w:spacing w:before="120" w:line="320" w:lineRule="atLeast"/>
        <w:ind w:firstLine="420" w:firstLineChars="200"/>
        <w:rPr>
          <w:color w:val="auto"/>
          <w:szCs w:val="21"/>
          <w:highlight w:val="none"/>
        </w:rPr>
      </w:pPr>
      <w:r>
        <w:rPr>
          <w:rFonts w:hint="eastAsia"/>
          <w:color w:val="auto"/>
          <w:szCs w:val="21"/>
          <w:highlight w:val="none"/>
        </w:rPr>
        <w:t>⑦供应商与采购人或者采购代理机构之间、供应商相互之间，为谋求特定供应商中标或者排斥其他供应商的其他串通行为。</w:t>
      </w:r>
    </w:p>
    <w:p w14:paraId="2B38E9AA">
      <w:pPr>
        <w:spacing w:before="120" w:line="320" w:lineRule="atLeast"/>
        <w:ind w:firstLine="420" w:firstLineChars="200"/>
        <w:rPr>
          <w:rFonts w:hint="eastAsia"/>
          <w:color w:val="auto"/>
          <w:szCs w:val="21"/>
          <w:highlight w:val="none"/>
        </w:rPr>
      </w:pPr>
      <w:r>
        <w:rPr>
          <w:rFonts w:hint="eastAsia"/>
          <w:color w:val="auto"/>
          <w:szCs w:val="21"/>
          <w:highlight w:val="none"/>
        </w:rPr>
        <w:t>注：本款所述“投标”即为“响应”，“中标”即为“入围”。</w:t>
      </w:r>
    </w:p>
    <w:bookmarkEnd w:id="64"/>
    <w:p w14:paraId="5881CB57">
      <w:pPr>
        <w:spacing w:before="120" w:line="320" w:lineRule="atLeast"/>
        <w:ind w:firstLine="420" w:firstLineChars="200"/>
        <w:rPr>
          <w:color w:val="auto"/>
          <w:szCs w:val="21"/>
          <w:highlight w:val="none"/>
        </w:rPr>
      </w:pPr>
      <w:r>
        <w:rPr>
          <w:color w:val="auto"/>
          <w:szCs w:val="21"/>
          <w:highlight w:val="none"/>
        </w:rPr>
        <w:t>2.5.3.5响应</w:t>
      </w:r>
      <w:r>
        <w:rPr>
          <w:rFonts w:hint="eastAsia"/>
          <w:color w:val="auto"/>
          <w:szCs w:val="21"/>
          <w:highlight w:val="none"/>
        </w:rPr>
        <w:t>无效</w:t>
      </w:r>
      <w:r>
        <w:rPr>
          <w:color w:val="auto"/>
          <w:szCs w:val="21"/>
          <w:highlight w:val="none"/>
        </w:rPr>
        <w:t>认定</w:t>
      </w:r>
    </w:p>
    <w:p w14:paraId="58B8762D">
      <w:pPr>
        <w:spacing w:before="120" w:line="320" w:lineRule="atLeast"/>
        <w:ind w:firstLine="420" w:firstLineChars="200"/>
        <w:rPr>
          <w:color w:val="auto"/>
          <w:szCs w:val="21"/>
          <w:highlight w:val="none"/>
        </w:rPr>
      </w:pPr>
      <w:bookmarkStart w:id="65"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7B42171E">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72066382">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存在征集文件规定的无效情形。</w:t>
      </w:r>
    </w:p>
    <w:bookmarkEnd w:id="65"/>
    <w:p w14:paraId="3A7E7CEF">
      <w:pPr>
        <w:spacing w:before="120" w:line="320" w:lineRule="atLeast"/>
        <w:ind w:firstLine="420" w:firstLineChars="200"/>
        <w:rPr>
          <w:color w:val="auto"/>
          <w:szCs w:val="21"/>
          <w:highlight w:val="none"/>
        </w:rPr>
      </w:pPr>
      <w:bookmarkStart w:id="66"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响应无效或否决响应，从而限制和影响供应商响应（响应）。</w:t>
      </w:r>
    </w:p>
    <w:bookmarkEnd w:id="66"/>
    <w:p w14:paraId="2675F321">
      <w:pPr>
        <w:spacing w:before="120" w:line="320" w:lineRule="atLeast"/>
        <w:ind w:firstLine="420" w:firstLineChars="200"/>
        <w:rPr>
          <w:color w:val="auto"/>
          <w:szCs w:val="21"/>
          <w:highlight w:val="none"/>
        </w:rPr>
      </w:pPr>
      <w:bookmarkStart w:id="67" w:name="_Hlk19113363"/>
      <w:r>
        <w:rPr>
          <w:color w:val="auto"/>
          <w:szCs w:val="21"/>
          <w:highlight w:val="none"/>
        </w:rPr>
        <w:t>2.5.3.6比较与评价</w:t>
      </w:r>
    </w:p>
    <w:p w14:paraId="4109C0F7">
      <w:pPr>
        <w:spacing w:before="120" w:line="320" w:lineRule="atLeast"/>
        <w:ind w:firstLine="420" w:firstLineChars="200"/>
        <w:rPr>
          <w:color w:val="auto"/>
          <w:szCs w:val="21"/>
          <w:highlight w:val="none"/>
        </w:rPr>
      </w:pPr>
      <w:r>
        <w:rPr>
          <w:rFonts w:hint="eastAsia"/>
          <w:color w:val="auto"/>
          <w:szCs w:val="21"/>
          <w:highlight w:val="none"/>
        </w:rPr>
        <w:t>（1）评审委员会</w:t>
      </w:r>
      <w:r>
        <w:rPr>
          <w:color w:val="auto"/>
          <w:szCs w:val="21"/>
          <w:highlight w:val="none"/>
        </w:rPr>
        <w:t>按征集文件中规定的评审方法和标准，对符合性审查合格的响应文件进行综合比较与评价。</w:t>
      </w:r>
    </w:p>
    <w:p w14:paraId="7C2C347B">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评审委员会各成员独立对每个有效供应商的响应文件进行评价</w:t>
      </w:r>
      <w:r>
        <w:rPr>
          <w:rFonts w:hint="eastAsia"/>
          <w:color w:val="auto"/>
          <w:szCs w:val="21"/>
          <w:highlight w:val="none"/>
        </w:rPr>
        <w:t>。评价</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389E09A6">
      <w:pPr>
        <w:spacing w:before="120" w:line="320" w:lineRule="atLeast"/>
        <w:ind w:firstLine="420" w:firstLineChars="200"/>
        <w:rPr>
          <w:rFonts w:hint="eastAsia"/>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质量综合评</w:t>
      </w:r>
      <w:r>
        <w:rPr>
          <w:color w:val="auto"/>
          <w:szCs w:val="21"/>
          <w:highlight w:val="none"/>
        </w:rPr>
        <w:t>分由高到低的排列顺序</w:t>
      </w:r>
      <w:r>
        <w:rPr>
          <w:rFonts w:hint="eastAsia"/>
          <w:color w:val="auto"/>
          <w:szCs w:val="21"/>
          <w:highlight w:val="none"/>
        </w:rPr>
        <w:t>以及评审方法及标准规定的入围供应商数量上限或淘汰率</w:t>
      </w:r>
      <w:r>
        <w:rPr>
          <w:color w:val="auto"/>
          <w:szCs w:val="21"/>
          <w:highlight w:val="none"/>
        </w:rPr>
        <w:t>推荐</w:t>
      </w:r>
      <w:r>
        <w:rPr>
          <w:rFonts w:hint="eastAsia"/>
          <w:color w:val="auto"/>
          <w:szCs w:val="21"/>
          <w:highlight w:val="none"/>
        </w:rPr>
        <w:t>入围供应商</w:t>
      </w:r>
      <w:r>
        <w:rPr>
          <w:color w:val="auto"/>
          <w:szCs w:val="21"/>
          <w:highlight w:val="none"/>
        </w:rPr>
        <w:t>。</w:t>
      </w:r>
    </w:p>
    <w:p w14:paraId="6AA8D698">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情形之一的，评审委员会应当当场修改评审结果，并在评审报告中记载；评审报告签署后，</w:t>
      </w:r>
      <w:r>
        <w:rPr>
          <w:rFonts w:hint="eastAsia"/>
          <w:color w:val="auto"/>
          <w:highlight w:val="none"/>
        </w:rPr>
        <w:t>征集人</w:t>
      </w:r>
      <w:r>
        <w:rPr>
          <w:color w:val="auto"/>
          <w:highlight w:val="none"/>
        </w:rPr>
        <w:t>发现存在以</w:t>
      </w:r>
      <w:r>
        <w:rPr>
          <w:rFonts w:hint="eastAsia"/>
          <w:color w:val="auto"/>
          <w:highlight w:val="none"/>
        </w:rPr>
        <w:t>下</w:t>
      </w:r>
      <w:r>
        <w:rPr>
          <w:color w:val="auto"/>
          <w:highlight w:val="none"/>
        </w:rPr>
        <w:t>情形之一的，应当组织原评审委员会进行重新评审。</w:t>
      </w:r>
    </w:p>
    <w:p w14:paraId="1382FE95">
      <w:pPr>
        <w:spacing w:before="120" w:line="320" w:lineRule="atLeast"/>
        <w:ind w:firstLine="420" w:firstLineChars="200"/>
        <w:rPr>
          <w:color w:val="auto"/>
          <w:highlight w:val="none"/>
        </w:rPr>
      </w:pPr>
      <w:r>
        <w:rPr>
          <w:color w:val="auto"/>
          <w:highlight w:val="none"/>
        </w:rPr>
        <w:t>分值汇总计算错误的；分项评分超出评分标准范围的；评审委员会成员对客观评审因素评分不一致的；经评审委员会认定评分畸高、畸低的。</w:t>
      </w:r>
    </w:p>
    <w:bookmarkEnd w:id="61"/>
    <w:bookmarkEnd w:id="62"/>
    <w:bookmarkEnd w:id="67"/>
    <w:p w14:paraId="304D4E2D">
      <w:pPr>
        <w:spacing w:before="120" w:line="320" w:lineRule="atLeast"/>
        <w:ind w:firstLine="422" w:firstLineChars="200"/>
        <w:outlineLvl w:val="3"/>
        <w:rPr>
          <w:b/>
          <w:bCs/>
          <w:color w:val="auto"/>
          <w:kern w:val="0"/>
          <w:szCs w:val="21"/>
          <w:highlight w:val="none"/>
        </w:rPr>
      </w:pPr>
      <w:r>
        <w:rPr>
          <w:b/>
          <w:bCs/>
          <w:color w:val="auto"/>
          <w:kern w:val="0"/>
          <w:szCs w:val="21"/>
          <w:highlight w:val="none"/>
        </w:rPr>
        <w:t>2.5.4确定入围供应商</w:t>
      </w:r>
    </w:p>
    <w:p w14:paraId="39DE6E6F">
      <w:pPr>
        <w:spacing w:before="120" w:line="276" w:lineRule="auto"/>
        <w:ind w:firstLine="420" w:firstLineChars="200"/>
        <w:rPr>
          <w:color w:val="auto"/>
          <w:szCs w:val="21"/>
          <w:highlight w:val="none"/>
        </w:rPr>
      </w:pPr>
      <w:r>
        <w:rPr>
          <w:color w:val="auto"/>
          <w:szCs w:val="21"/>
          <w:highlight w:val="none"/>
        </w:rPr>
        <w:t>2.5</w:t>
      </w:r>
      <w:r>
        <w:rPr>
          <w:rFonts w:hint="eastAsia"/>
          <w:color w:val="auto"/>
          <w:szCs w:val="21"/>
          <w:highlight w:val="none"/>
        </w:rPr>
        <w:t>.</w:t>
      </w:r>
      <w:r>
        <w:rPr>
          <w:color w:val="auto"/>
          <w:szCs w:val="21"/>
          <w:highlight w:val="none"/>
        </w:rPr>
        <w:t>4.1采购代理机构将在评审结束后2个工作日内将评审报告送</w:t>
      </w:r>
      <w:r>
        <w:rPr>
          <w:rFonts w:hint="eastAsia"/>
          <w:color w:val="auto"/>
          <w:szCs w:val="21"/>
          <w:highlight w:val="none"/>
        </w:rPr>
        <w:t>征集人</w:t>
      </w:r>
      <w:r>
        <w:rPr>
          <w:color w:val="auto"/>
          <w:szCs w:val="21"/>
          <w:highlight w:val="none"/>
        </w:rPr>
        <w:t>，</w:t>
      </w:r>
      <w:r>
        <w:rPr>
          <w:rFonts w:hint="eastAsia"/>
          <w:color w:val="auto"/>
          <w:szCs w:val="21"/>
          <w:highlight w:val="none"/>
        </w:rPr>
        <w:t>征集人</w:t>
      </w:r>
      <w:r>
        <w:rPr>
          <w:color w:val="auto"/>
          <w:szCs w:val="21"/>
          <w:highlight w:val="none"/>
        </w:rPr>
        <w:t>在5个工作日内按照评审报告确定入围供应商。</w:t>
      </w:r>
    </w:p>
    <w:p w14:paraId="2E6DED94">
      <w:pPr>
        <w:spacing w:before="120" w:line="276" w:lineRule="auto"/>
        <w:ind w:firstLine="420" w:firstLineChars="200"/>
        <w:rPr>
          <w:color w:val="auto"/>
          <w:szCs w:val="21"/>
          <w:highlight w:val="none"/>
        </w:rPr>
      </w:pPr>
      <w:r>
        <w:rPr>
          <w:color w:val="auto"/>
          <w:szCs w:val="21"/>
          <w:highlight w:val="none"/>
        </w:rPr>
        <w:t>2.5.4.2</w:t>
      </w:r>
      <w:r>
        <w:rPr>
          <w:rFonts w:hint="eastAsia"/>
          <w:color w:val="auto"/>
          <w:szCs w:val="21"/>
          <w:highlight w:val="none"/>
        </w:rPr>
        <w:t>征集人认为供应商对征集过程、成交结果提出的质疑成立且影响或者可能影响成交结果的，合格供应商符合法定数量时，可以从合格的候选入围供应商（除入围供应商之外的其他通过资格审查和符合性审查的供应商）中另行确定入围供应商的，应当依法另行确定入围供应商；否则应当重新开展征集活动。</w:t>
      </w:r>
    </w:p>
    <w:p w14:paraId="41F91598">
      <w:pPr>
        <w:spacing w:before="120" w:line="320" w:lineRule="atLeast"/>
        <w:ind w:firstLine="422" w:firstLineChars="200"/>
        <w:outlineLvl w:val="3"/>
        <w:rPr>
          <w:b/>
          <w:bCs/>
          <w:color w:val="auto"/>
          <w:kern w:val="0"/>
          <w:szCs w:val="21"/>
          <w:highlight w:val="none"/>
        </w:rPr>
      </w:pPr>
      <w:r>
        <w:rPr>
          <w:b/>
          <w:bCs/>
          <w:color w:val="auto"/>
          <w:kern w:val="0"/>
          <w:szCs w:val="21"/>
          <w:highlight w:val="none"/>
        </w:rPr>
        <w:t>2.5.5</w:t>
      </w:r>
      <w:r>
        <w:rPr>
          <w:rFonts w:hint="eastAsia"/>
          <w:b/>
          <w:bCs/>
          <w:color w:val="auto"/>
          <w:kern w:val="0"/>
          <w:szCs w:val="21"/>
          <w:highlight w:val="none"/>
        </w:rPr>
        <w:t>入围结果公告</w:t>
      </w:r>
    </w:p>
    <w:p w14:paraId="38B808F7">
      <w:pPr>
        <w:spacing w:before="120" w:line="320" w:lineRule="atLeast"/>
        <w:ind w:firstLine="420" w:firstLineChars="200"/>
        <w:rPr>
          <w:color w:val="auto"/>
          <w:szCs w:val="21"/>
          <w:highlight w:val="none"/>
        </w:rPr>
      </w:pPr>
      <w:r>
        <w:rPr>
          <w:color w:val="auto"/>
          <w:szCs w:val="21"/>
          <w:highlight w:val="none"/>
        </w:rPr>
        <w:t>2.5.5.1自入围供应商确定后2个工作日内，</w:t>
      </w:r>
      <w:r>
        <w:rPr>
          <w:rFonts w:hint="eastAsia"/>
          <w:color w:val="auto"/>
          <w:szCs w:val="21"/>
          <w:highlight w:val="none"/>
        </w:rPr>
        <w:t>采购代理机构按照供应商须知</w:t>
      </w:r>
      <w:r>
        <w:rPr>
          <w:rFonts w:hint="eastAsia"/>
          <w:color w:val="auto"/>
          <w:kern w:val="0"/>
          <w:szCs w:val="21"/>
          <w:highlight w:val="none"/>
        </w:rPr>
        <w:t>前附表的规定</w:t>
      </w:r>
      <w:r>
        <w:rPr>
          <w:color w:val="auto"/>
          <w:kern w:val="0"/>
          <w:szCs w:val="21"/>
          <w:highlight w:val="none"/>
        </w:rPr>
        <w:t>公告</w:t>
      </w:r>
      <w:r>
        <w:rPr>
          <w:rFonts w:hint="eastAsia"/>
          <w:color w:val="auto"/>
          <w:kern w:val="0"/>
          <w:szCs w:val="21"/>
          <w:highlight w:val="none"/>
        </w:rPr>
        <w:t>入围</w:t>
      </w:r>
      <w:r>
        <w:rPr>
          <w:color w:val="auto"/>
          <w:szCs w:val="21"/>
          <w:highlight w:val="none"/>
        </w:rPr>
        <w:t>结果。</w:t>
      </w:r>
    </w:p>
    <w:p w14:paraId="56E6FCFA">
      <w:pPr>
        <w:spacing w:before="120" w:line="320" w:lineRule="atLeast"/>
        <w:ind w:firstLine="420" w:firstLineChars="200"/>
        <w:rPr>
          <w:color w:val="auto"/>
          <w:szCs w:val="21"/>
          <w:highlight w:val="none"/>
        </w:rPr>
      </w:pPr>
      <w:r>
        <w:rPr>
          <w:color w:val="auto"/>
          <w:szCs w:val="21"/>
          <w:highlight w:val="none"/>
        </w:rPr>
        <w:t>2.5.5.2在发布</w:t>
      </w:r>
      <w:r>
        <w:rPr>
          <w:rFonts w:hint="eastAsia"/>
          <w:color w:val="auto"/>
          <w:szCs w:val="21"/>
          <w:highlight w:val="none"/>
        </w:rPr>
        <w:t>入围结果</w:t>
      </w:r>
      <w:r>
        <w:rPr>
          <w:color w:val="auto"/>
          <w:szCs w:val="21"/>
          <w:highlight w:val="none"/>
        </w:rPr>
        <w:t>公告的同时，</w:t>
      </w:r>
      <w:r>
        <w:rPr>
          <w:rFonts w:hint="eastAsia"/>
          <w:color w:val="auto"/>
          <w:szCs w:val="21"/>
          <w:highlight w:val="none"/>
        </w:rPr>
        <w:t>采购代理机构</w:t>
      </w:r>
      <w:r>
        <w:rPr>
          <w:color w:val="auto"/>
          <w:szCs w:val="21"/>
          <w:highlight w:val="none"/>
        </w:rPr>
        <w:t>以供应商须知前附表规定的形式向入围供应商发出</w:t>
      </w:r>
      <w:r>
        <w:rPr>
          <w:rFonts w:hint="eastAsia"/>
          <w:color w:val="auto"/>
          <w:szCs w:val="21"/>
          <w:highlight w:val="none"/>
        </w:rPr>
        <w:t>入围</w:t>
      </w:r>
      <w:r>
        <w:rPr>
          <w:color w:val="auto"/>
          <w:szCs w:val="21"/>
          <w:highlight w:val="none"/>
        </w:rPr>
        <w:t>通知书。</w:t>
      </w:r>
      <w:r>
        <w:rPr>
          <w:rFonts w:hint="eastAsia"/>
          <w:color w:val="auto"/>
          <w:szCs w:val="21"/>
          <w:highlight w:val="none"/>
        </w:rPr>
        <w:t>入围</w:t>
      </w:r>
      <w:r>
        <w:rPr>
          <w:color w:val="auto"/>
          <w:szCs w:val="21"/>
          <w:highlight w:val="none"/>
        </w:rPr>
        <w:t>通知书发出后，</w:t>
      </w:r>
      <w:r>
        <w:rPr>
          <w:rFonts w:hint="eastAsia"/>
          <w:color w:val="auto"/>
          <w:szCs w:val="21"/>
          <w:highlight w:val="none"/>
        </w:rPr>
        <w:t>征集人</w:t>
      </w:r>
      <w:r>
        <w:rPr>
          <w:color w:val="auto"/>
          <w:szCs w:val="21"/>
          <w:highlight w:val="none"/>
        </w:rPr>
        <w:t>改变</w:t>
      </w:r>
      <w:r>
        <w:rPr>
          <w:rFonts w:hint="eastAsia"/>
          <w:color w:val="auto"/>
          <w:szCs w:val="21"/>
          <w:highlight w:val="none"/>
        </w:rPr>
        <w:t>入围</w:t>
      </w:r>
      <w:r>
        <w:rPr>
          <w:color w:val="auto"/>
          <w:szCs w:val="21"/>
          <w:highlight w:val="none"/>
        </w:rPr>
        <w:t>结果，或者入围供应商放弃</w:t>
      </w:r>
      <w:r>
        <w:rPr>
          <w:rFonts w:hint="eastAsia"/>
          <w:color w:val="auto"/>
          <w:szCs w:val="21"/>
          <w:highlight w:val="none"/>
        </w:rPr>
        <w:t>入围资格</w:t>
      </w:r>
      <w:r>
        <w:rPr>
          <w:color w:val="auto"/>
          <w:szCs w:val="21"/>
          <w:highlight w:val="none"/>
        </w:rPr>
        <w:t>，应当承担相应的法律责任。</w:t>
      </w:r>
    </w:p>
    <w:p w14:paraId="790B1DA4">
      <w:pPr>
        <w:spacing w:before="120" w:line="320" w:lineRule="atLeast"/>
        <w:ind w:firstLine="422" w:firstLineChars="200"/>
        <w:outlineLvl w:val="3"/>
        <w:rPr>
          <w:b/>
          <w:bCs/>
          <w:color w:val="auto"/>
          <w:kern w:val="0"/>
          <w:szCs w:val="21"/>
          <w:highlight w:val="none"/>
        </w:rPr>
      </w:pPr>
      <w:r>
        <w:rPr>
          <w:b/>
          <w:bCs/>
          <w:color w:val="auto"/>
          <w:kern w:val="0"/>
          <w:szCs w:val="21"/>
          <w:highlight w:val="none"/>
        </w:rPr>
        <w:t>2.5.6</w:t>
      </w:r>
      <w:r>
        <w:rPr>
          <w:rFonts w:hint="eastAsia"/>
          <w:b/>
          <w:bCs/>
          <w:color w:val="auto"/>
          <w:kern w:val="0"/>
          <w:szCs w:val="21"/>
          <w:highlight w:val="none"/>
        </w:rPr>
        <w:t>废标</w:t>
      </w:r>
    </w:p>
    <w:p w14:paraId="78E40014">
      <w:pPr>
        <w:spacing w:before="120" w:line="320" w:lineRule="atLeast"/>
        <w:ind w:firstLine="420" w:firstLineChars="200"/>
        <w:rPr>
          <w:color w:val="auto"/>
          <w:kern w:val="1"/>
          <w:szCs w:val="21"/>
          <w:highlight w:val="none"/>
        </w:rPr>
      </w:pPr>
      <w:r>
        <w:rPr>
          <w:color w:val="auto"/>
          <w:kern w:val="1"/>
          <w:szCs w:val="21"/>
          <w:highlight w:val="none"/>
        </w:rPr>
        <w:t>2.5.6.1</w:t>
      </w:r>
      <w:r>
        <w:rPr>
          <w:rFonts w:hint="eastAsia"/>
          <w:color w:val="auto"/>
          <w:kern w:val="1"/>
          <w:szCs w:val="21"/>
          <w:highlight w:val="none"/>
        </w:rPr>
        <w:t xml:space="preserve">出现下列情形之一，将导致项目废标： </w:t>
      </w:r>
    </w:p>
    <w:p w14:paraId="5B91BB0F">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）符合专业条件的供应商或者对征集文件做实质性响应的供应商不足两家；</w:t>
      </w:r>
    </w:p>
    <w:p w14:paraId="55C4852C">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5D51ACB3">
      <w:pPr>
        <w:spacing w:before="120" w:line="320" w:lineRule="atLeast"/>
        <w:ind w:firstLine="420" w:firstLineChars="200"/>
        <w:rPr>
          <w:color w:val="auto"/>
          <w:szCs w:val="21"/>
          <w:highlight w:val="none"/>
        </w:rPr>
      </w:pPr>
      <w:r>
        <w:rPr>
          <w:rFonts w:hint="eastAsia"/>
          <w:color w:val="auto"/>
          <w:szCs w:val="21"/>
          <w:highlight w:val="none"/>
        </w:rPr>
        <w:t>（3）供应商的报价均超过了</w:t>
      </w:r>
      <w:r>
        <w:rPr>
          <w:rFonts w:hint="eastAsia"/>
          <w:color w:val="auto"/>
          <w:highlight w:val="none"/>
        </w:rPr>
        <w:t>最高限制单价</w:t>
      </w:r>
      <w:r>
        <w:rPr>
          <w:rFonts w:hint="eastAsia"/>
          <w:color w:val="auto"/>
          <w:szCs w:val="21"/>
          <w:highlight w:val="none"/>
        </w:rPr>
        <w:t>，采购人不能支付的；</w:t>
      </w:r>
    </w:p>
    <w:p w14:paraId="60ABE263">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E392B57">
      <w:pPr>
        <w:spacing w:before="120" w:line="320" w:lineRule="atLeast"/>
        <w:ind w:firstLine="420" w:firstLineChars="200"/>
        <w:rPr>
          <w:color w:val="auto"/>
          <w:kern w:val="1"/>
          <w:szCs w:val="21"/>
          <w:highlight w:val="none"/>
        </w:rPr>
      </w:pPr>
      <w:r>
        <w:rPr>
          <w:color w:val="auto"/>
          <w:kern w:val="1"/>
          <w:szCs w:val="21"/>
          <w:highlight w:val="none"/>
        </w:rPr>
        <w:t>2.5.6.2</w:t>
      </w:r>
      <w:r>
        <w:rPr>
          <w:rFonts w:hint="eastAsia"/>
          <w:color w:val="auto"/>
          <w:kern w:val="1"/>
          <w:szCs w:val="21"/>
          <w:highlight w:val="none"/>
        </w:rPr>
        <w:t>废标后</w:t>
      </w:r>
      <w:r>
        <w:rPr>
          <w:rFonts w:hint="eastAsia"/>
          <w:color w:val="auto"/>
          <w:szCs w:val="21"/>
          <w:highlight w:val="none"/>
        </w:rPr>
        <w:t>征集人</w:t>
      </w:r>
      <w:r>
        <w:rPr>
          <w:rFonts w:hint="eastAsia"/>
          <w:color w:val="auto"/>
          <w:kern w:val="1"/>
          <w:szCs w:val="21"/>
          <w:highlight w:val="none"/>
        </w:rPr>
        <w:t>将发布废标公告通知供应商。</w:t>
      </w:r>
    </w:p>
    <w:p w14:paraId="5BBFA6B9">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2.6</w:t>
      </w:r>
      <w:r>
        <w:rPr>
          <w:rFonts w:hint="eastAsia"/>
          <w:b/>
          <w:bCs/>
          <w:color w:val="auto"/>
          <w:kern w:val="0"/>
          <w:szCs w:val="21"/>
          <w:highlight w:val="none"/>
        </w:rPr>
        <w:t>签订框架协议</w:t>
      </w:r>
    </w:p>
    <w:p w14:paraId="7F1B8E05">
      <w:pPr>
        <w:spacing w:before="120" w:line="320" w:lineRule="atLeast"/>
        <w:ind w:left="2" w:leftChars="1" w:firstLine="420" w:firstLineChars="200"/>
        <w:rPr>
          <w:rFonts w:hint="eastAsia"/>
          <w:color w:val="auto"/>
          <w:kern w:val="0"/>
          <w:szCs w:val="21"/>
          <w:highlight w:val="none"/>
        </w:rPr>
      </w:pPr>
      <w:r>
        <w:rPr>
          <w:color w:val="auto"/>
          <w:kern w:val="0"/>
          <w:szCs w:val="21"/>
          <w:highlight w:val="none"/>
        </w:rPr>
        <w:t>2.6.1</w:t>
      </w:r>
      <w:r>
        <w:rPr>
          <w:rFonts w:hint="eastAsia"/>
          <w:color w:val="auto"/>
          <w:kern w:val="0"/>
          <w:szCs w:val="21"/>
          <w:highlight w:val="none"/>
        </w:rPr>
        <w:t>征集人在征集文件规定的时间内与入围供应商签订框架协议，如无特别规定，签订时间应不晚于入围通知书发出之日起3</w:t>
      </w:r>
      <w:r>
        <w:rPr>
          <w:color w:val="auto"/>
          <w:kern w:val="0"/>
          <w:szCs w:val="21"/>
          <w:highlight w:val="none"/>
        </w:rPr>
        <w:t>0</w:t>
      </w:r>
      <w:r>
        <w:rPr>
          <w:rFonts w:hint="eastAsia"/>
          <w:color w:val="auto"/>
          <w:kern w:val="0"/>
          <w:szCs w:val="21"/>
          <w:highlight w:val="none"/>
        </w:rPr>
        <w:t>日内。</w:t>
      </w:r>
    </w:p>
    <w:p w14:paraId="0B8C1B99">
      <w:pPr>
        <w:spacing w:before="120" w:line="320" w:lineRule="atLeast"/>
        <w:ind w:left="2" w:leftChars="1" w:firstLine="420" w:firstLineChars="200"/>
        <w:rPr>
          <w:color w:val="auto"/>
          <w:kern w:val="0"/>
          <w:szCs w:val="21"/>
          <w:highlight w:val="none"/>
        </w:rPr>
      </w:pPr>
      <w:r>
        <w:rPr>
          <w:color w:val="auto"/>
          <w:kern w:val="0"/>
          <w:szCs w:val="21"/>
          <w:highlight w:val="none"/>
        </w:rPr>
        <w:t>2.6.2</w:t>
      </w:r>
      <w:r>
        <w:rPr>
          <w:rFonts w:hint="eastAsia"/>
          <w:color w:val="auto"/>
          <w:kern w:val="0"/>
          <w:szCs w:val="21"/>
          <w:highlight w:val="none"/>
        </w:rPr>
        <w:t>征集人在框架协议签订后7个工作日内，将框架协议副本报本级财政部门备案。</w:t>
      </w:r>
    </w:p>
    <w:p w14:paraId="5E4E1C19">
      <w:pPr>
        <w:spacing w:before="120" w:line="320" w:lineRule="atLeast"/>
        <w:ind w:left="2" w:leftChars="1" w:firstLine="420" w:firstLineChars="200"/>
        <w:rPr>
          <w:color w:val="auto"/>
          <w:kern w:val="0"/>
          <w:szCs w:val="21"/>
          <w:highlight w:val="none"/>
        </w:rPr>
      </w:pPr>
      <w:r>
        <w:rPr>
          <w:color w:val="auto"/>
          <w:kern w:val="0"/>
          <w:szCs w:val="21"/>
          <w:highlight w:val="none"/>
        </w:rPr>
        <w:t>2.6.3</w:t>
      </w:r>
      <w:r>
        <w:rPr>
          <w:rFonts w:hint="eastAsia"/>
          <w:color w:val="auto"/>
          <w:kern w:val="0"/>
          <w:szCs w:val="21"/>
          <w:highlight w:val="none"/>
        </w:rPr>
        <w:t>框架协议不得对征集文件确定的事项以及入围供应商的响应文件作实质性修改。</w:t>
      </w:r>
    </w:p>
    <w:p w14:paraId="767CCDEF">
      <w:pPr>
        <w:spacing w:before="120" w:line="276" w:lineRule="auto"/>
        <w:ind w:firstLine="420" w:firstLineChars="200"/>
        <w:rPr>
          <w:rFonts w:hint="eastAsia"/>
          <w:color w:val="auto"/>
          <w:szCs w:val="21"/>
          <w:highlight w:val="none"/>
        </w:rPr>
      </w:pPr>
      <w:r>
        <w:rPr>
          <w:rFonts w:hint="eastAsia"/>
          <w:color w:val="auto"/>
          <w:szCs w:val="21"/>
          <w:highlight w:val="none"/>
        </w:rPr>
        <w:t>2</w:t>
      </w:r>
      <w:r>
        <w:rPr>
          <w:color w:val="auto"/>
          <w:szCs w:val="21"/>
          <w:highlight w:val="none"/>
        </w:rPr>
        <w:t>.6.4</w:t>
      </w:r>
      <w:r>
        <w:rPr>
          <w:rFonts w:hint="eastAsia"/>
          <w:color w:val="auto"/>
          <w:szCs w:val="21"/>
          <w:highlight w:val="none"/>
        </w:rPr>
        <w:t>签订框架协议前，入围供应商无正当理由主动放弃入围资格、拒绝签订框架协议的，征集人可以从合格的候选入围供应商（除入围供应商之外的其他通过资格审查和符合性审查的供应商）中按照排名从高到低的顺序依次另行确定入围供应商，另行确定的入围供应商数量不得超过放弃入围资格的供应商数量。</w:t>
      </w:r>
    </w:p>
    <w:p w14:paraId="426DC482">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2.7</w:t>
      </w:r>
      <w:r>
        <w:rPr>
          <w:rFonts w:hint="eastAsia"/>
          <w:b/>
          <w:bCs/>
          <w:color w:val="auto"/>
          <w:kern w:val="0"/>
          <w:szCs w:val="21"/>
          <w:highlight w:val="none"/>
        </w:rPr>
        <w:t>告知入围信息</w:t>
      </w:r>
    </w:p>
    <w:p w14:paraId="63BCA931">
      <w:pPr>
        <w:spacing w:before="120" w:line="320" w:lineRule="atLeast"/>
        <w:ind w:left="2" w:leftChars="1" w:firstLine="420" w:firstLineChars="200"/>
        <w:rPr>
          <w:rFonts w:hint="eastAsia"/>
          <w:color w:val="auto"/>
          <w:kern w:val="0"/>
          <w:szCs w:val="21"/>
          <w:highlight w:val="none"/>
        </w:rPr>
      </w:pPr>
      <w:r>
        <w:rPr>
          <w:color w:val="auto"/>
          <w:kern w:val="0"/>
          <w:szCs w:val="21"/>
          <w:highlight w:val="none"/>
        </w:rPr>
        <w:t>2.7.1</w:t>
      </w:r>
      <w:r>
        <w:rPr>
          <w:rFonts w:hint="eastAsia"/>
          <w:color w:val="auto"/>
          <w:kern w:val="0"/>
          <w:szCs w:val="21"/>
          <w:highlight w:val="none"/>
        </w:rPr>
        <w:t>征集人在框架协议签订后3个工作日内将入围信息告知适用框架协议的所有采购人。</w:t>
      </w:r>
    </w:p>
    <w:p w14:paraId="208D9CD7">
      <w:pPr>
        <w:spacing w:before="120" w:line="320" w:lineRule="atLeast"/>
        <w:ind w:left="2" w:leftChars="1" w:firstLine="422" w:firstLineChars="200"/>
        <w:outlineLvl w:val="2"/>
        <w:rPr>
          <w:b/>
          <w:bCs/>
          <w:color w:val="auto"/>
          <w:kern w:val="0"/>
          <w:szCs w:val="21"/>
          <w:highlight w:val="none"/>
        </w:rPr>
      </w:pPr>
      <w:r>
        <w:rPr>
          <w:b/>
          <w:bCs/>
          <w:color w:val="auto"/>
          <w:kern w:val="0"/>
          <w:szCs w:val="21"/>
          <w:highlight w:val="none"/>
        </w:rPr>
        <w:t>2.8.</w:t>
      </w:r>
      <w:r>
        <w:rPr>
          <w:rFonts w:hint="eastAsia"/>
          <w:b/>
          <w:bCs/>
          <w:color w:val="auto"/>
          <w:kern w:val="0"/>
          <w:szCs w:val="21"/>
          <w:highlight w:val="none"/>
        </w:rPr>
        <w:t>入围供应商的清退和补充</w:t>
      </w:r>
    </w:p>
    <w:p w14:paraId="778BA24D">
      <w:pPr>
        <w:spacing w:before="120" w:line="320" w:lineRule="atLeast"/>
        <w:ind w:left="2" w:leftChars="1" w:firstLine="420" w:firstLineChars="200"/>
        <w:outlineLvl w:val="2"/>
        <w:rPr>
          <w:rFonts w:hint="eastAsia"/>
          <w:color w:val="auto"/>
          <w:kern w:val="0"/>
          <w:szCs w:val="21"/>
          <w:highlight w:val="none"/>
        </w:rPr>
      </w:pPr>
      <w:r>
        <w:rPr>
          <w:rFonts w:hint="eastAsia"/>
          <w:color w:val="auto"/>
          <w:kern w:val="0"/>
          <w:szCs w:val="21"/>
          <w:highlight w:val="none"/>
        </w:rPr>
        <w:t>2</w:t>
      </w:r>
      <w:r>
        <w:rPr>
          <w:color w:val="auto"/>
          <w:kern w:val="0"/>
          <w:szCs w:val="21"/>
          <w:highlight w:val="none"/>
        </w:rPr>
        <w:t>.8.1</w:t>
      </w:r>
      <w:r>
        <w:rPr>
          <w:rFonts w:hint="eastAsia"/>
          <w:color w:val="auto"/>
          <w:kern w:val="0"/>
          <w:szCs w:val="21"/>
          <w:highlight w:val="none"/>
        </w:rPr>
        <w:t xml:space="preserve">封闭式框架协议入围供应商无正当理由，不得主动放弃入围资格或者退出框架协议。 </w:t>
      </w:r>
    </w:p>
    <w:p w14:paraId="0B1710E7">
      <w:pPr>
        <w:spacing w:before="120" w:line="320" w:lineRule="atLeast"/>
        <w:ind w:left="2" w:leftChars="1" w:firstLine="420" w:firstLineChars="200"/>
        <w:rPr>
          <w:rFonts w:hint="eastAsia"/>
          <w:color w:val="auto"/>
          <w:kern w:val="0"/>
          <w:szCs w:val="21"/>
          <w:highlight w:val="none"/>
        </w:rPr>
      </w:pPr>
      <w:r>
        <w:rPr>
          <w:color w:val="auto"/>
          <w:kern w:val="0"/>
          <w:szCs w:val="21"/>
          <w:highlight w:val="none"/>
        </w:rPr>
        <w:t>2.8</w:t>
      </w:r>
      <w:r>
        <w:rPr>
          <w:rFonts w:hint="eastAsia"/>
          <w:color w:val="auto"/>
          <w:kern w:val="0"/>
          <w:szCs w:val="21"/>
          <w:highlight w:val="none"/>
        </w:rPr>
        <w:t>.</w:t>
      </w:r>
      <w:r>
        <w:rPr>
          <w:color w:val="auto"/>
          <w:kern w:val="0"/>
          <w:szCs w:val="21"/>
          <w:highlight w:val="none"/>
        </w:rPr>
        <w:t xml:space="preserve">2 </w:t>
      </w:r>
      <w:r>
        <w:rPr>
          <w:rFonts w:hint="eastAsia"/>
          <w:color w:val="auto"/>
          <w:kern w:val="0"/>
          <w:szCs w:val="21"/>
          <w:highlight w:val="none"/>
        </w:rPr>
        <w:t xml:space="preserve">入围供应商有下列情形之一，尚未签订框架协议的，取消其入围资格；已经签订框架协议的，解除与其签订的框架协议： </w:t>
      </w:r>
    </w:p>
    <w:p w14:paraId="46BE692B">
      <w:pPr>
        <w:spacing w:before="120" w:line="320" w:lineRule="atLeast"/>
        <w:ind w:left="2" w:leftChars="1" w:firstLine="420" w:firstLineChars="200"/>
        <w:rPr>
          <w:rFonts w:hint="eastAsia"/>
          <w:color w:val="auto"/>
          <w:kern w:val="0"/>
          <w:szCs w:val="21"/>
          <w:highlight w:val="none"/>
        </w:rPr>
      </w:pPr>
      <w:r>
        <w:rPr>
          <w:rFonts w:hint="eastAsia"/>
          <w:color w:val="auto"/>
          <w:kern w:val="0"/>
          <w:szCs w:val="21"/>
          <w:highlight w:val="none"/>
        </w:rPr>
        <w:t xml:space="preserve">（1）恶意串通谋取入围或者合同成交的； </w:t>
      </w:r>
    </w:p>
    <w:p w14:paraId="163AC75F">
      <w:pPr>
        <w:spacing w:before="120" w:line="320" w:lineRule="atLeast"/>
        <w:ind w:left="2" w:leftChars="1" w:firstLine="420" w:firstLineChars="200"/>
        <w:rPr>
          <w:rFonts w:hint="eastAsia"/>
          <w:color w:val="auto"/>
          <w:kern w:val="0"/>
          <w:szCs w:val="21"/>
          <w:highlight w:val="none"/>
        </w:rPr>
      </w:pPr>
      <w:r>
        <w:rPr>
          <w:rFonts w:hint="eastAsia"/>
          <w:color w:val="auto"/>
          <w:kern w:val="0"/>
          <w:szCs w:val="21"/>
          <w:highlight w:val="none"/>
        </w:rPr>
        <w:t xml:space="preserve">（2）提供虚假材料谋取入围或者合同成交的； </w:t>
      </w:r>
    </w:p>
    <w:p w14:paraId="29522092">
      <w:pPr>
        <w:spacing w:before="120" w:line="320" w:lineRule="atLeast"/>
        <w:ind w:left="2" w:leftChars="1" w:firstLine="420" w:firstLineChars="200"/>
        <w:rPr>
          <w:rFonts w:hint="eastAsia"/>
          <w:color w:val="auto"/>
          <w:kern w:val="0"/>
          <w:szCs w:val="21"/>
          <w:highlight w:val="none"/>
        </w:rPr>
      </w:pPr>
      <w:r>
        <w:rPr>
          <w:rFonts w:hint="eastAsia"/>
          <w:color w:val="auto"/>
          <w:kern w:val="0"/>
          <w:szCs w:val="21"/>
          <w:highlight w:val="none"/>
        </w:rPr>
        <w:t xml:space="preserve">（3）无正当理由拒不接受合同授予的； </w:t>
      </w:r>
    </w:p>
    <w:p w14:paraId="63FA0A1E">
      <w:pPr>
        <w:spacing w:before="120" w:line="320" w:lineRule="atLeast"/>
        <w:ind w:left="2" w:leftChars="1" w:firstLine="420" w:firstLineChars="200"/>
        <w:rPr>
          <w:rFonts w:hint="eastAsia"/>
          <w:color w:val="auto"/>
          <w:kern w:val="0"/>
          <w:szCs w:val="21"/>
          <w:highlight w:val="none"/>
        </w:rPr>
      </w:pPr>
      <w:r>
        <w:rPr>
          <w:rFonts w:hint="eastAsia"/>
          <w:color w:val="auto"/>
          <w:kern w:val="0"/>
          <w:szCs w:val="21"/>
          <w:highlight w:val="none"/>
        </w:rPr>
        <w:t xml:space="preserve">（4）不履行合同义务或者履行合同义务不符合约定，经采购人请求履行后仍不履行或者仍未按约定履行的； </w:t>
      </w:r>
    </w:p>
    <w:p w14:paraId="3B7F37C9">
      <w:pPr>
        <w:spacing w:before="120" w:line="320" w:lineRule="atLeast"/>
        <w:ind w:left="2" w:leftChars="1" w:firstLine="420" w:firstLineChars="200"/>
        <w:rPr>
          <w:rFonts w:hint="eastAsia"/>
          <w:color w:val="auto"/>
          <w:kern w:val="0"/>
          <w:szCs w:val="21"/>
          <w:highlight w:val="none"/>
        </w:rPr>
      </w:pPr>
      <w:r>
        <w:rPr>
          <w:rFonts w:hint="eastAsia"/>
          <w:color w:val="auto"/>
          <w:kern w:val="0"/>
          <w:szCs w:val="21"/>
          <w:highlight w:val="none"/>
        </w:rPr>
        <w:t xml:space="preserve">（5）框架协议有效期内，因违法行为被禁止或限制参加政府采购活动的； </w:t>
      </w:r>
    </w:p>
    <w:p w14:paraId="5E7C0B92">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（6）框架协议约定的其他情形。</w:t>
      </w:r>
    </w:p>
    <w:p w14:paraId="78E3E7E6">
      <w:pPr>
        <w:spacing w:before="120" w:line="320" w:lineRule="atLeast"/>
        <w:ind w:left="2" w:leftChars="1" w:firstLine="420" w:firstLineChars="200"/>
        <w:rPr>
          <w:rFonts w:hint="eastAsia"/>
          <w:color w:val="auto"/>
          <w:kern w:val="0"/>
          <w:szCs w:val="21"/>
          <w:highlight w:val="none"/>
        </w:rPr>
      </w:pPr>
      <w:r>
        <w:rPr>
          <w:rFonts w:hint="eastAsia"/>
          <w:color w:val="auto"/>
          <w:kern w:val="0"/>
          <w:szCs w:val="21"/>
          <w:highlight w:val="none"/>
        </w:rPr>
        <w:t xml:space="preserve">被取消入围资格或者被解除框架协议的供应商不得参加同一封闭式框架协议补充征集。 </w:t>
      </w:r>
    </w:p>
    <w:p w14:paraId="0FDBDD20">
      <w:pPr>
        <w:spacing w:before="120" w:line="320" w:lineRule="atLeast"/>
        <w:ind w:left="2" w:leftChars="1" w:firstLine="420" w:firstLineChars="200"/>
        <w:rPr>
          <w:color w:val="auto"/>
          <w:kern w:val="0"/>
          <w:szCs w:val="21"/>
          <w:highlight w:val="none"/>
        </w:rPr>
      </w:pPr>
      <w:r>
        <w:rPr>
          <w:color w:val="auto"/>
          <w:kern w:val="0"/>
          <w:szCs w:val="21"/>
          <w:highlight w:val="none"/>
        </w:rPr>
        <w:t>2.8</w:t>
      </w: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出现剩余入围供应商不足入围供应商总数70%且影响框架协议执行的情形时，征集人可以启动补充征集程序，补充征集规则在框架协议中约定，补充征集应遵守原框架协议的有效期。补充征集期间，原框架协议继续履行。</w:t>
      </w:r>
    </w:p>
    <w:p w14:paraId="4AA4F270">
      <w:pPr>
        <w:spacing w:before="120" w:line="320" w:lineRule="atLeast"/>
        <w:ind w:left="2" w:leftChars="1" w:firstLine="422" w:firstLineChars="200"/>
        <w:outlineLvl w:val="2"/>
        <w:rPr>
          <w:b/>
          <w:bCs/>
          <w:color w:val="auto"/>
          <w:kern w:val="0"/>
          <w:szCs w:val="21"/>
          <w:highlight w:val="none"/>
        </w:rPr>
      </w:pPr>
      <w:bookmarkStart w:id="68" w:name="_Toc254970533"/>
      <w:bookmarkStart w:id="69" w:name="_Toc254970674"/>
      <w:r>
        <w:rPr>
          <w:rFonts w:hint="eastAsia"/>
          <w:b/>
          <w:bCs/>
          <w:color w:val="auto"/>
          <w:kern w:val="0"/>
          <w:szCs w:val="21"/>
          <w:highlight w:val="none"/>
        </w:rPr>
        <w:t>2.9</w:t>
      </w:r>
      <w:r>
        <w:rPr>
          <w:b/>
          <w:bCs/>
          <w:color w:val="auto"/>
          <w:kern w:val="0"/>
          <w:szCs w:val="21"/>
          <w:highlight w:val="none"/>
        </w:rPr>
        <w:t>质疑和投诉</w:t>
      </w:r>
      <w:bookmarkEnd w:id="68"/>
      <w:bookmarkEnd w:id="69"/>
    </w:p>
    <w:p w14:paraId="0E687A53">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2.9</w:t>
      </w:r>
      <w:r>
        <w:rPr>
          <w:b/>
          <w:bCs/>
          <w:color w:val="auto"/>
          <w:kern w:val="0"/>
          <w:szCs w:val="21"/>
          <w:highlight w:val="none"/>
        </w:rPr>
        <w:t>.1质疑</w:t>
      </w:r>
    </w:p>
    <w:p w14:paraId="4D53075D">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.1.1质疑内容、时限</w:t>
      </w:r>
    </w:p>
    <w:p w14:paraId="17F1671F">
      <w:pPr>
        <w:spacing w:before="120" w:line="320" w:lineRule="atLeast"/>
        <w:ind w:firstLine="420" w:firstLineChars="200"/>
        <w:rPr>
          <w:color w:val="auto"/>
          <w:szCs w:val="21"/>
          <w:highlight w:val="none"/>
        </w:rPr>
      </w:pPr>
      <w:r>
        <w:rPr>
          <w:rFonts w:hint="eastAsia"/>
          <w:color w:val="auto"/>
          <w:szCs w:val="21"/>
          <w:highlight w:val="none"/>
        </w:rPr>
        <w:t>（1）供应商对征集活动有疑问的，可以向采购代理机构提出询问。采购代理机构应当在3个工作日内对供应商依法提出的询问作出答复。</w:t>
      </w:r>
    </w:p>
    <w:p w14:paraId="729B6678">
      <w:pPr>
        <w:tabs>
          <w:tab w:val="left" w:pos="5670"/>
        </w:tabs>
        <w:spacing w:before="120" w:line="320" w:lineRule="atLeast"/>
        <w:ind w:firstLine="420" w:firstLineChars="200"/>
        <w:rPr>
          <w:color w:val="auto"/>
          <w:szCs w:val="21"/>
          <w:highlight w:val="none"/>
        </w:rPr>
      </w:pPr>
      <w:r>
        <w:rPr>
          <w:rFonts w:hint="eastAsia"/>
          <w:color w:val="auto"/>
          <w:szCs w:val="21"/>
          <w:highlight w:val="none"/>
        </w:rPr>
        <w:t>（2）供应商为认为征集文件、征集过程、入围结果使自己的权益受到损害的，可以在知道或者应知其权益受到损害之日起7个工作日内向采购代理机构提出质疑。采购代理机构</w:t>
      </w:r>
      <w:r>
        <w:rPr>
          <w:color w:val="auto"/>
          <w:szCs w:val="21"/>
          <w:highlight w:val="none"/>
        </w:rPr>
        <w:t>在收到供应商书面质疑后7个工作日内，对质疑内容作出答复。</w:t>
      </w:r>
    </w:p>
    <w:p w14:paraId="50418B03">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.1.2质疑形式</w:t>
      </w:r>
    </w:p>
    <w:p w14:paraId="5FDA4207">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征集文件</w:t>
      </w:r>
      <w:r>
        <w:rPr>
          <w:color w:val="auto"/>
          <w:szCs w:val="21"/>
          <w:highlight w:val="none"/>
        </w:rPr>
        <w:t>、</w:t>
      </w:r>
      <w:r>
        <w:rPr>
          <w:rFonts w:hint="eastAsia"/>
          <w:color w:val="auto"/>
          <w:szCs w:val="21"/>
          <w:highlight w:val="none"/>
        </w:rPr>
        <w:t>征集</w:t>
      </w:r>
      <w:r>
        <w:rPr>
          <w:color w:val="auto"/>
          <w:szCs w:val="21"/>
          <w:highlight w:val="none"/>
        </w:rPr>
        <w:t>过程或</w:t>
      </w:r>
      <w:r>
        <w:rPr>
          <w:rFonts w:hint="eastAsia"/>
          <w:color w:val="auto"/>
          <w:szCs w:val="21"/>
          <w:highlight w:val="none"/>
        </w:rPr>
        <w:t>成交</w:t>
      </w:r>
      <w:r>
        <w:rPr>
          <w:color w:val="auto"/>
          <w:szCs w:val="21"/>
          <w:highlight w:val="none"/>
        </w:rPr>
        <w:t>结果中使自己合法权益受到损害的实质性内容，提供相关事实、依据和证据及其来源或线索，便于有关单位调查、答复和处理。</w:t>
      </w:r>
    </w:p>
    <w:p w14:paraId="17EA7ECC">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345106E5">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28B61B7D">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51FE6B49">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14501E96">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3EE59773">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7745AD40">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78E4EBE7">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4E60B3DC">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2.9</w:t>
      </w:r>
      <w:r>
        <w:rPr>
          <w:b/>
          <w:bCs/>
          <w:color w:val="auto"/>
          <w:kern w:val="0"/>
          <w:szCs w:val="21"/>
          <w:highlight w:val="none"/>
        </w:rPr>
        <w:t>.2投诉</w:t>
      </w:r>
    </w:p>
    <w:p w14:paraId="71EB8D94">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.2.1供应商对</w:t>
      </w:r>
      <w:r>
        <w:rPr>
          <w:rFonts w:hint="eastAsia"/>
          <w:color w:val="auto"/>
          <w:szCs w:val="21"/>
          <w:highlight w:val="none"/>
        </w:rPr>
        <w:t>采购代理机构</w:t>
      </w:r>
      <w:r>
        <w:rPr>
          <w:color w:val="auto"/>
          <w:szCs w:val="21"/>
          <w:highlight w:val="none"/>
        </w:rPr>
        <w:t>的答复不满意，或者</w:t>
      </w:r>
      <w:r>
        <w:rPr>
          <w:rFonts w:hint="eastAsia"/>
          <w:color w:val="auto"/>
          <w:szCs w:val="21"/>
          <w:highlight w:val="none"/>
        </w:rPr>
        <w:t>采购代理机构</w:t>
      </w:r>
      <w:r>
        <w:rPr>
          <w:color w:val="auto"/>
          <w:szCs w:val="21"/>
          <w:highlight w:val="none"/>
        </w:rPr>
        <w:t>未在规定时间内答复的，可在答复期满后15个工作日内按有关规定，向同级财政部门投诉。</w:t>
      </w:r>
    </w:p>
    <w:p w14:paraId="07627D03">
      <w:pPr>
        <w:spacing w:before="120" w:line="320" w:lineRule="atLeast"/>
        <w:ind w:firstLine="420" w:firstLineChars="200"/>
        <w:rPr>
          <w:color w:val="auto"/>
          <w:szCs w:val="21"/>
          <w:highlight w:val="none"/>
        </w:rPr>
      </w:pPr>
      <w:r>
        <w:rPr>
          <w:rFonts w:hint="eastAsia"/>
          <w:color w:val="auto"/>
          <w:szCs w:val="21"/>
          <w:highlight w:val="none"/>
        </w:rPr>
        <w:t>2.9</w:t>
      </w:r>
      <w:r>
        <w:rPr>
          <w:color w:val="auto"/>
          <w:szCs w:val="21"/>
          <w:highlight w:val="none"/>
        </w:rPr>
        <w:t>.2.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6E9E8FEA">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3</w:t>
      </w:r>
      <w:r>
        <w:rPr>
          <w:rFonts w:hint="eastAsia"/>
          <w:b/>
          <w:bCs/>
          <w:color w:val="auto"/>
          <w:kern w:val="0"/>
          <w:szCs w:val="21"/>
          <w:highlight w:val="none"/>
        </w:rPr>
        <w:t>．第二阶段（确定成交阶段）</w:t>
      </w:r>
    </w:p>
    <w:p w14:paraId="5B8A71FE">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3.1确定成交供应商</w:t>
      </w:r>
    </w:p>
    <w:p w14:paraId="28A1E4E8">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3.1</w:t>
      </w:r>
      <w:r>
        <w:rPr>
          <w:color w:val="auto"/>
          <w:kern w:val="0"/>
          <w:szCs w:val="21"/>
          <w:highlight w:val="none"/>
        </w:rPr>
        <w:t>.1</w:t>
      </w:r>
      <w:r>
        <w:rPr>
          <w:rFonts w:hint="eastAsia"/>
          <w:color w:val="auto"/>
          <w:kern w:val="0"/>
          <w:szCs w:val="21"/>
          <w:highlight w:val="none"/>
        </w:rPr>
        <w:t>采购人按照征集文件或框架协议中规定的方式从入围供应商中选定成交供应商签订合同。</w:t>
      </w:r>
    </w:p>
    <w:p w14:paraId="7486B6C1">
      <w:pPr>
        <w:spacing w:before="120" w:line="320" w:lineRule="atLeast"/>
        <w:ind w:left="2" w:leftChars="1" w:firstLine="420" w:firstLineChars="200"/>
        <w:rPr>
          <w:rFonts w:hint="eastAsia"/>
          <w:color w:val="auto"/>
          <w:kern w:val="0"/>
          <w:szCs w:val="21"/>
          <w:highlight w:val="none"/>
        </w:rPr>
      </w:pPr>
      <w:r>
        <w:rPr>
          <w:rFonts w:hint="eastAsia"/>
          <w:color w:val="auto"/>
          <w:kern w:val="0"/>
          <w:szCs w:val="21"/>
          <w:highlight w:val="none"/>
        </w:rPr>
        <w:t>3</w:t>
      </w:r>
      <w:r>
        <w:rPr>
          <w:color w:val="auto"/>
          <w:kern w:val="0"/>
          <w:szCs w:val="21"/>
          <w:highlight w:val="none"/>
        </w:rPr>
        <w:t>.1.2</w:t>
      </w:r>
      <w:r>
        <w:rPr>
          <w:rFonts w:hint="eastAsia"/>
          <w:color w:val="auto"/>
          <w:kern w:val="0"/>
          <w:szCs w:val="21"/>
          <w:highlight w:val="none"/>
        </w:rPr>
        <w:t>采购人不保证所有入围供应商均有机会被授予实际采购项目合同，入围供应商排名次序的先后不作为授予合同份额多少的标准。</w:t>
      </w:r>
    </w:p>
    <w:p w14:paraId="67DEC89A">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3.2成交结果公告</w:t>
      </w:r>
    </w:p>
    <w:p w14:paraId="755C803A">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3.2</w:t>
      </w:r>
      <w:r>
        <w:rPr>
          <w:color w:val="auto"/>
          <w:kern w:val="0"/>
          <w:szCs w:val="21"/>
          <w:highlight w:val="none"/>
        </w:rPr>
        <w:t>.1</w:t>
      </w:r>
      <w:r>
        <w:rPr>
          <w:rFonts w:hint="eastAsia"/>
          <w:color w:val="auto"/>
          <w:kern w:val="0"/>
          <w:szCs w:val="21"/>
          <w:highlight w:val="none"/>
        </w:rPr>
        <w:t>如征集文件或框架协议中规定确定成交供应商的方式为二次竞价或顺序轮候方式，或者采购人在满足规定的前提下将合同授予非入围供应商，征集人在确定成交供应商后2个工作日内发布单笔成交结果公告，单笔成交公告在征集公告发布媒体上发布。</w:t>
      </w:r>
    </w:p>
    <w:p w14:paraId="32440243">
      <w:pPr>
        <w:spacing w:before="120" w:line="320" w:lineRule="atLeast"/>
        <w:ind w:left="2" w:leftChars="1" w:firstLine="422" w:firstLineChars="200"/>
        <w:outlineLvl w:val="2"/>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合同</w:t>
      </w:r>
    </w:p>
    <w:p w14:paraId="5BCDB2AE">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.1合同授予标准</w:t>
      </w:r>
    </w:p>
    <w:p w14:paraId="3EE525C9">
      <w:pPr>
        <w:spacing w:before="120" w:line="320" w:lineRule="atLeast"/>
        <w:ind w:firstLine="420" w:firstLineChars="200"/>
        <w:rPr>
          <w:rFonts w:hint="eastAsia"/>
          <w:color w:val="auto"/>
          <w:szCs w:val="21"/>
          <w:highlight w:val="none"/>
        </w:rPr>
      </w:pPr>
      <w:r>
        <w:rPr>
          <w:rFonts w:hint="eastAsia"/>
          <w:color w:val="auto"/>
          <w:szCs w:val="21"/>
          <w:highlight w:val="none"/>
        </w:rPr>
        <w:t>除框架协议另有规定外，采购人采购框架协议约定的货物、服务，应当将采购合同授予入围供应商，成交供应商选定方式在框架协议中规定。</w:t>
      </w:r>
    </w:p>
    <w:p w14:paraId="797DEC93">
      <w:pPr>
        <w:spacing w:before="120" w:line="320" w:lineRule="atLeast"/>
        <w:ind w:firstLine="420" w:firstLineChars="200"/>
        <w:rPr>
          <w:rFonts w:hint="eastAsia"/>
          <w:color w:val="auto"/>
          <w:szCs w:val="21"/>
          <w:highlight w:val="none"/>
        </w:rPr>
      </w:pPr>
      <w:r>
        <w:rPr>
          <w:rFonts w:hint="eastAsia"/>
          <w:color w:val="auto"/>
          <w:szCs w:val="21"/>
          <w:highlight w:val="none"/>
        </w:rPr>
        <w:t>合同</w:t>
      </w:r>
      <w:r>
        <w:rPr>
          <w:color w:val="auto"/>
          <w:szCs w:val="21"/>
          <w:highlight w:val="none"/>
        </w:rPr>
        <w:t>在签订合同前，如果</w:t>
      </w:r>
      <w:r>
        <w:rPr>
          <w:rFonts w:hint="eastAsia"/>
          <w:color w:val="auto"/>
          <w:szCs w:val="21"/>
          <w:highlight w:val="none"/>
        </w:rPr>
        <w:t>入围供应商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w:t>
      </w:r>
      <w:r>
        <w:rPr>
          <w:rFonts w:hint="eastAsia"/>
          <w:color w:val="auto"/>
          <w:highlight w:val="none"/>
        </w:rPr>
        <w:t>框架协议或合同</w:t>
      </w:r>
      <w:r>
        <w:rPr>
          <w:color w:val="auto"/>
          <w:szCs w:val="21"/>
          <w:highlight w:val="none"/>
        </w:rPr>
        <w:t>、无法按照</w:t>
      </w:r>
      <w:r>
        <w:rPr>
          <w:rFonts w:hint="eastAsia"/>
          <w:color w:val="auto"/>
          <w:szCs w:val="21"/>
          <w:highlight w:val="none"/>
        </w:rPr>
        <w:t>征集文件</w:t>
      </w:r>
      <w:r>
        <w:rPr>
          <w:color w:val="auto"/>
          <w:szCs w:val="21"/>
          <w:highlight w:val="none"/>
        </w:rPr>
        <w:t>要求提交履约保证金等情形，不符合入围条件或不满足供应商资格条件要求</w:t>
      </w:r>
      <w:r>
        <w:rPr>
          <w:rFonts w:hint="eastAsia"/>
          <w:color w:val="auto"/>
          <w:szCs w:val="21"/>
          <w:highlight w:val="none"/>
        </w:rPr>
        <w:t>，</w:t>
      </w:r>
      <w:r>
        <w:rPr>
          <w:color w:val="auto"/>
          <w:szCs w:val="21"/>
          <w:highlight w:val="none"/>
        </w:rPr>
        <w:t>应在签订合同前及时书面告知采购人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要求其赔偿损失并取消其入围资格。</w:t>
      </w:r>
    </w:p>
    <w:p w14:paraId="33D96011">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.2签订合同</w:t>
      </w:r>
    </w:p>
    <w:p w14:paraId="7118F20F">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.2.1如</w:t>
      </w:r>
      <w:r>
        <w:rPr>
          <w:rFonts w:hint="eastAsia"/>
          <w:color w:val="auto"/>
          <w:szCs w:val="21"/>
          <w:highlight w:val="none"/>
        </w:rPr>
        <w:t>征集文件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成交供应商按征集文件及框架协议确定的事项签订政府采购合同。</w:t>
      </w:r>
    </w:p>
    <w:p w14:paraId="474B3BE9">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框架协议、征集文件、成交供应商的响应文件及澄清文件等，均为签订政府采购合同的依据。</w:t>
      </w:r>
    </w:p>
    <w:p w14:paraId="6E750BD4">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.3履行合同</w:t>
      </w:r>
    </w:p>
    <w:p w14:paraId="16FA13C3">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.3.1</w:t>
      </w:r>
      <w:bookmarkStart w:id="70" w:name="_Toc217446070"/>
      <w:bookmarkStart w:id="71" w:name="_Toc308164814"/>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92FCC81">
      <w:pPr>
        <w:spacing w:before="120" w:line="320" w:lineRule="atLeast"/>
        <w:ind w:firstLine="422" w:firstLineChars="200"/>
        <w:outlineLvl w:val="3"/>
        <w:rPr>
          <w:b/>
          <w:bCs/>
          <w:color w:val="auto"/>
          <w:kern w:val="0"/>
          <w:szCs w:val="21"/>
          <w:highlight w:val="none"/>
        </w:rPr>
      </w:pPr>
      <w:r>
        <w:rPr>
          <w:rFonts w:hint="eastAsia"/>
          <w:b/>
          <w:bCs/>
          <w:color w:val="auto"/>
          <w:kern w:val="0"/>
          <w:szCs w:val="21"/>
          <w:highlight w:val="none"/>
        </w:rPr>
        <w:t>3.3</w:t>
      </w:r>
      <w:r>
        <w:rPr>
          <w:b/>
          <w:bCs/>
          <w:color w:val="auto"/>
          <w:kern w:val="0"/>
          <w:szCs w:val="21"/>
          <w:highlight w:val="none"/>
        </w:rPr>
        <w:t>.4履约验收</w:t>
      </w:r>
      <w:bookmarkEnd w:id="70"/>
      <w:bookmarkEnd w:id="71"/>
    </w:p>
    <w:p w14:paraId="024D43A5">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.4.1采购人可以根据政府采购项目具体情况自行组织验收，或者委托政府采购代理机构、国家认可的</w:t>
      </w:r>
      <w:r>
        <w:rPr>
          <w:rFonts w:hint="eastAsia"/>
          <w:color w:val="auto"/>
          <w:szCs w:val="21"/>
          <w:highlight w:val="none"/>
        </w:rPr>
        <w:t>第三方</w:t>
      </w:r>
      <w:r>
        <w:rPr>
          <w:color w:val="auto"/>
          <w:szCs w:val="21"/>
          <w:highlight w:val="none"/>
        </w:rPr>
        <w:t>检测机构开展采购项目履约验收工作。</w:t>
      </w:r>
    </w:p>
    <w:p w14:paraId="3ACFD7DA">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.4.2验收结果合格的，</w:t>
      </w:r>
      <w:r>
        <w:rPr>
          <w:rFonts w:hint="eastAsia"/>
          <w:color w:val="auto"/>
          <w:szCs w:val="21"/>
          <w:highlight w:val="none"/>
        </w:rPr>
        <w:t>成交</w:t>
      </w:r>
      <w:r>
        <w:rPr>
          <w:color w:val="auto"/>
          <w:szCs w:val="21"/>
          <w:highlight w:val="none"/>
        </w:rPr>
        <w:t>供应商可向采购人申请办理履约保证金（如有）的退付手续；验收结果不合格的，履约保证金（如有）将不予退还，并按合同约定处理，还</w:t>
      </w:r>
      <w:r>
        <w:rPr>
          <w:rFonts w:hint="eastAsia"/>
          <w:color w:val="auto"/>
          <w:szCs w:val="21"/>
          <w:highlight w:val="none"/>
        </w:rPr>
        <w:t>将</w:t>
      </w:r>
      <w:r>
        <w:rPr>
          <w:color w:val="auto"/>
          <w:szCs w:val="21"/>
          <w:highlight w:val="none"/>
        </w:rPr>
        <w:t>报告本项目同级财政部门并按照政府采购法律法规及有关规定给予行政处罚或者以失信行为记入诚信档案。</w:t>
      </w:r>
    </w:p>
    <w:p w14:paraId="30A9239C">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.4.3采购合同项目完成验收后，采购人应当将验收原始记录、验收书</w:t>
      </w:r>
      <w:r>
        <w:rPr>
          <w:rFonts w:hint="eastAsia"/>
          <w:color w:val="auto"/>
          <w:szCs w:val="21"/>
          <w:highlight w:val="none"/>
        </w:rPr>
        <w:t>、成交供应商按合同数量或工作量清单履约的记录或凭证</w:t>
      </w:r>
      <w:r>
        <w:rPr>
          <w:color w:val="auto"/>
          <w:szCs w:val="21"/>
          <w:highlight w:val="none"/>
        </w:rPr>
        <w:t>等资料作为该采购项目档案妥善保管，不得伪造、变造、隐匿或者销毁，</w:t>
      </w:r>
    </w:p>
    <w:p w14:paraId="5DA2FF81">
      <w:pPr>
        <w:spacing w:before="120" w:line="320" w:lineRule="atLeast"/>
        <w:ind w:firstLine="420" w:firstLineChars="200"/>
        <w:rPr>
          <w:color w:val="auto"/>
          <w:szCs w:val="21"/>
          <w:highlight w:val="none"/>
        </w:rPr>
      </w:pPr>
      <w:r>
        <w:rPr>
          <w:rFonts w:hint="eastAsia"/>
          <w:color w:val="auto"/>
          <w:szCs w:val="21"/>
          <w:highlight w:val="none"/>
        </w:rPr>
        <w:t>3.3</w:t>
      </w:r>
      <w:r>
        <w:rPr>
          <w:color w:val="auto"/>
          <w:szCs w:val="21"/>
          <w:highlight w:val="none"/>
        </w:rPr>
        <w:t>.4.4本项目将严格按照本征集文件及合同有关规定进行合同履约验收。征集文件或合同未规定的按财政部关于进一步加强政府采购需求和履约验收管理的指导意见（财库〔2016〕205号）以及《广西壮族自治区政府采购项目履约验收管理办法》（桂财采〔2015〕22号）的规定执行。</w:t>
      </w:r>
    </w:p>
    <w:p w14:paraId="3230C78B">
      <w:pPr>
        <w:spacing w:before="120" w:line="320" w:lineRule="atLeast"/>
        <w:ind w:left="2" w:leftChars="1" w:firstLine="422" w:firstLineChars="200"/>
        <w:outlineLvl w:val="2"/>
        <w:rPr>
          <w:rFonts w:hint="eastAsia"/>
          <w:b/>
          <w:bCs/>
          <w:color w:val="auto"/>
          <w:kern w:val="0"/>
          <w:szCs w:val="21"/>
          <w:highlight w:val="none"/>
        </w:rPr>
      </w:pPr>
      <w:r>
        <w:rPr>
          <w:rFonts w:hint="eastAsia"/>
          <w:b/>
          <w:bCs/>
          <w:color w:val="auto"/>
          <w:kern w:val="0"/>
          <w:szCs w:val="21"/>
          <w:highlight w:val="none"/>
        </w:rPr>
        <w:t>3.4</w:t>
      </w:r>
      <w:r>
        <w:rPr>
          <w:b/>
          <w:bCs/>
          <w:color w:val="auto"/>
          <w:kern w:val="0"/>
          <w:szCs w:val="21"/>
          <w:highlight w:val="none"/>
        </w:rPr>
        <w:t>.</w:t>
      </w:r>
      <w:r>
        <w:rPr>
          <w:rFonts w:hint="eastAsia"/>
          <w:b/>
          <w:bCs/>
          <w:color w:val="auto"/>
          <w:kern w:val="0"/>
          <w:szCs w:val="21"/>
          <w:highlight w:val="none"/>
        </w:rPr>
        <w:t>用户反馈及评价机制</w:t>
      </w:r>
    </w:p>
    <w:p w14:paraId="0040AB5F">
      <w:pPr>
        <w:spacing w:before="120" w:line="320" w:lineRule="atLeast"/>
        <w:ind w:left="2" w:leftChars="1" w:firstLine="420" w:firstLineChars="200"/>
        <w:rPr>
          <w:rFonts w:hint="eastAsia"/>
          <w:color w:val="auto"/>
          <w:kern w:val="0"/>
          <w:szCs w:val="21"/>
          <w:highlight w:val="none"/>
        </w:rPr>
      </w:pPr>
      <w:r>
        <w:rPr>
          <w:rFonts w:hint="eastAsia"/>
          <w:color w:val="auto"/>
          <w:kern w:val="0"/>
          <w:szCs w:val="21"/>
          <w:highlight w:val="none"/>
        </w:rPr>
        <w:t>3.4</w:t>
      </w:r>
      <w:r>
        <w:rPr>
          <w:color w:val="auto"/>
          <w:kern w:val="0"/>
          <w:szCs w:val="21"/>
          <w:highlight w:val="none"/>
        </w:rPr>
        <w:t>.1</w:t>
      </w:r>
      <w:r>
        <w:rPr>
          <w:rFonts w:hint="eastAsia"/>
          <w:color w:val="auto"/>
          <w:kern w:val="0"/>
          <w:szCs w:val="21"/>
          <w:highlight w:val="none"/>
        </w:rPr>
        <w:t>由征集人收集采购人对入围供应商履行框架协议和采购合同的情况的反馈与评价，并向所有采购人公开，作为第二阶段直接选定成交供应商的参考。</w:t>
      </w:r>
    </w:p>
    <w:p w14:paraId="5305D25C">
      <w:pPr>
        <w:spacing w:before="120" w:line="320" w:lineRule="atLeast"/>
        <w:ind w:left="2" w:leftChars="1" w:firstLine="422" w:firstLineChars="200"/>
        <w:outlineLvl w:val="1"/>
        <w:rPr>
          <w:b/>
          <w:bCs/>
          <w:color w:val="auto"/>
          <w:kern w:val="0"/>
          <w:szCs w:val="21"/>
          <w:highlight w:val="none"/>
        </w:rPr>
      </w:pPr>
      <w:r>
        <w:rPr>
          <w:rFonts w:hint="eastAsia"/>
          <w:b/>
          <w:bCs/>
          <w:color w:val="auto"/>
          <w:kern w:val="0"/>
          <w:szCs w:val="21"/>
          <w:highlight w:val="none"/>
        </w:rPr>
        <w:t>4</w:t>
      </w:r>
      <w:r>
        <w:rPr>
          <w:b/>
          <w:bCs/>
          <w:color w:val="auto"/>
          <w:kern w:val="0"/>
          <w:szCs w:val="21"/>
          <w:highlight w:val="none"/>
        </w:rPr>
        <w:t>．其他事项</w:t>
      </w:r>
    </w:p>
    <w:p w14:paraId="0313F53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.1代理服务收费由采购代理机构向入围供应商收取。</w:t>
      </w:r>
      <w:r>
        <w:rPr>
          <w:rFonts w:hint="eastAsia"/>
          <w:color w:val="auto"/>
          <w:szCs w:val="21"/>
          <w:highlight w:val="none"/>
        </w:rPr>
        <w:t>发布入围结果公告5个工作日内，</w:t>
      </w:r>
      <w:r>
        <w:rPr>
          <w:color w:val="auto"/>
          <w:szCs w:val="21"/>
          <w:highlight w:val="none"/>
        </w:rPr>
        <w:t>入围供应商应向采购代理机构一次付清代理服务费。</w:t>
      </w:r>
    </w:p>
    <w:p w14:paraId="12C65D9D">
      <w:pPr>
        <w:spacing w:before="120" w:line="276" w:lineRule="auto"/>
        <w:ind w:firstLine="420" w:firstLineChars="200"/>
        <w:rPr>
          <w:color w:val="auto"/>
          <w:szCs w:val="21"/>
          <w:highlight w:val="none"/>
        </w:rPr>
      </w:pPr>
      <w:r>
        <w:rPr>
          <w:rFonts w:hint="eastAsia"/>
          <w:color w:val="auto"/>
          <w:szCs w:val="21"/>
          <w:highlight w:val="none"/>
        </w:rPr>
        <w:t>4</w:t>
      </w:r>
      <w:r>
        <w:rPr>
          <w:color w:val="auto"/>
          <w:szCs w:val="21"/>
          <w:highlight w:val="none"/>
        </w:rPr>
        <w:t>.2</w:t>
      </w:r>
      <w:r>
        <w:rPr>
          <w:rFonts w:hint="eastAsia"/>
          <w:color w:val="auto"/>
          <w:szCs w:val="21"/>
          <w:highlight w:val="none"/>
        </w:rPr>
        <w:t>电子交易活动的中止。征集过程中出现以下情形，导致电子交易平台无法正常运行，或者无法保证电子交易的公平、公正和安全时，征集人可中止电子交易活动：</w:t>
      </w:r>
    </w:p>
    <w:p w14:paraId="08F4DA2E">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0E898D0D">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0A74DB0C">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44DDF65B">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3BD5E3FD">
      <w:pPr>
        <w:spacing w:before="120" w:line="276" w:lineRule="auto"/>
        <w:ind w:firstLine="420" w:firstLineChars="200"/>
        <w:rPr>
          <w:color w:val="auto"/>
          <w:szCs w:val="21"/>
          <w:highlight w:val="none"/>
        </w:rPr>
      </w:pPr>
      <w:r>
        <w:rPr>
          <w:rFonts w:hint="eastAsia"/>
          <w:color w:val="auto"/>
          <w:szCs w:val="21"/>
          <w:highlight w:val="none"/>
        </w:rPr>
        <w:t>（4）其他无法保证电子交易的公平、公正和安全的情况。</w:t>
      </w:r>
    </w:p>
    <w:p w14:paraId="452251DF">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征集人可以待上述情形消除后继续组织电子交易活动；影响或可能影响采购公平、公正性的，经征集人确认后，应当重新采购。征集人必须对原有的资料及信息作出妥善保密处理，并报财政部门备案。</w:t>
      </w:r>
      <w:r>
        <w:rPr>
          <w:color w:val="auto"/>
          <w:szCs w:val="21"/>
          <w:highlight w:val="none"/>
        </w:rPr>
        <w:t xml:space="preserve"> </w:t>
      </w:r>
    </w:p>
    <w:p w14:paraId="58F4DF7D">
      <w:pPr>
        <w:spacing w:line="360" w:lineRule="auto"/>
        <w:ind w:firstLine="420"/>
        <w:rPr>
          <w:color w:val="auto"/>
          <w:szCs w:val="21"/>
          <w:highlight w:val="none"/>
        </w:rPr>
      </w:pPr>
      <w:r>
        <w:rPr>
          <w:rFonts w:hint="eastAsia"/>
          <w:color w:val="auto"/>
          <w:szCs w:val="21"/>
          <w:highlight w:val="none"/>
        </w:rPr>
        <w:t>4</w:t>
      </w:r>
      <w:r>
        <w:rPr>
          <w:color w:val="auto"/>
          <w:szCs w:val="21"/>
          <w:highlight w:val="none"/>
        </w:rPr>
        <w:t>.3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1F703D58">
      <w:pPr>
        <w:spacing w:line="360" w:lineRule="auto"/>
        <w:ind w:firstLine="420"/>
        <w:rPr>
          <w:color w:val="auto"/>
          <w:szCs w:val="21"/>
          <w:highlight w:val="none"/>
        </w:rPr>
      </w:pPr>
      <w:r>
        <w:rPr>
          <w:rFonts w:hint="eastAsia"/>
          <w:color w:val="auto"/>
          <w:szCs w:val="21"/>
          <w:highlight w:val="none"/>
        </w:rPr>
        <w:t>4</w:t>
      </w:r>
      <w:r>
        <w:rPr>
          <w:color w:val="auto"/>
          <w:szCs w:val="21"/>
          <w:highlight w:val="none"/>
        </w:rPr>
        <w:t>.4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33F6663A">
      <w:pPr>
        <w:spacing w:before="120" w:line="320" w:lineRule="atLeast"/>
        <w:ind w:left="2" w:leftChars="1" w:firstLine="422" w:firstLineChars="200"/>
        <w:outlineLvl w:val="1"/>
        <w:rPr>
          <w:b/>
          <w:bCs/>
          <w:color w:val="auto"/>
          <w:kern w:val="0"/>
          <w:szCs w:val="21"/>
          <w:highlight w:val="none"/>
        </w:rPr>
      </w:pPr>
      <w:r>
        <w:rPr>
          <w:rFonts w:hint="eastAsia"/>
          <w:b/>
          <w:bCs/>
          <w:color w:val="auto"/>
          <w:kern w:val="0"/>
          <w:szCs w:val="21"/>
          <w:highlight w:val="none"/>
        </w:rPr>
        <w:t>5</w:t>
      </w:r>
      <w:r>
        <w:rPr>
          <w:b/>
          <w:bCs/>
          <w:color w:val="auto"/>
          <w:kern w:val="0"/>
          <w:szCs w:val="21"/>
          <w:highlight w:val="none"/>
        </w:rPr>
        <w:t>．</w:t>
      </w:r>
      <w:r>
        <w:rPr>
          <w:rFonts w:hint="eastAsia"/>
          <w:b/>
          <w:bCs/>
          <w:color w:val="auto"/>
          <w:kern w:val="0"/>
          <w:szCs w:val="21"/>
          <w:highlight w:val="none"/>
        </w:rPr>
        <w:t>其他说明</w:t>
      </w:r>
    </w:p>
    <w:p w14:paraId="71B3082E">
      <w:pPr>
        <w:spacing w:before="120" w:line="320" w:lineRule="atLeast"/>
        <w:ind w:left="2" w:leftChars="1" w:firstLine="422" w:firstLineChars="200"/>
        <w:rPr>
          <w:color w:val="auto"/>
          <w:kern w:val="0"/>
          <w:szCs w:val="21"/>
          <w:highlight w:val="none"/>
        </w:rPr>
      </w:pPr>
      <w:r>
        <w:rPr>
          <w:rFonts w:hint="eastAsia"/>
          <w:b/>
          <w:bCs/>
          <w:color w:val="auto"/>
          <w:kern w:val="0"/>
          <w:szCs w:val="21"/>
          <w:highlight w:val="none"/>
        </w:rPr>
        <w:t>5</w:t>
      </w:r>
      <w:r>
        <w:rPr>
          <w:b/>
          <w:bCs/>
          <w:color w:val="auto"/>
          <w:kern w:val="0"/>
          <w:szCs w:val="21"/>
          <w:highlight w:val="none"/>
        </w:rPr>
        <w:t>.1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、《政府采购框架协议采购方式管理暂行办法》的相关规定执行。</w:t>
      </w:r>
    </w:p>
    <w:p w14:paraId="25F13AA8">
      <w:pPr>
        <w:spacing w:before="120" w:line="320" w:lineRule="atLeast"/>
        <w:ind w:left="2" w:leftChars="1" w:firstLine="422" w:firstLineChars="200"/>
        <w:rPr>
          <w:rFonts w:hint="eastAsia"/>
          <w:color w:val="auto"/>
          <w:sz w:val="32"/>
          <w:szCs w:val="32"/>
          <w:highlight w:val="none"/>
        </w:rPr>
      </w:pPr>
      <w:r>
        <w:rPr>
          <w:rFonts w:hint="eastAsia"/>
          <w:b/>
          <w:bCs/>
          <w:color w:val="auto"/>
          <w:kern w:val="0"/>
          <w:szCs w:val="21"/>
          <w:highlight w:val="none"/>
        </w:rPr>
        <w:t>5</w:t>
      </w:r>
      <w:r>
        <w:rPr>
          <w:b/>
          <w:bCs/>
          <w:color w:val="auto"/>
          <w:kern w:val="0"/>
          <w:szCs w:val="21"/>
          <w:highlight w:val="none"/>
        </w:rPr>
        <w:t>.2</w:t>
      </w:r>
      <w:r>
        <w:rPr>
          <w:rFonts w:hint="eastAsia"/>
          <w:color w:val="auto"/>
          <w:highlight w:val="none"/>
        </w:rPr>
        <w:t>本</w:t>
      </w:r>
      <w:r>
        <w:rPr>
          <w:color w:val="auto"/>
          <w:highlight w:val="none"/>
        </w:rPr>
        <w:t>征集文件是根据国家有关法律及有关政策、法规和参照国际惯例编制，解释权属采购代理机构。</w:t>
      </w:r>
      <w:bookmarkEnd w:id="27"/>
    </w:p>
    <w:p w14:paraId="1D2AB02C">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2" w:name="_Toc7330"/>
      <w:r>
        <w:rPr>
          <w:rFonts w:ascii="Times New Roman" w:hAnsi="Times New Roman" w:cs="Times New Roman"/>
          <w:color w:val="auto"/>
          <w:sz w:val="32"/>
          <w:szCs w:val="32"/>
          <w:highlight w:val="none"/>
        </w:rPr>
        <w:t>第四章  评审方法及标准</w:t>
      </w:r>
      <w:bookmarkEnd w:id="72"/>
    </w:p>
    <w:p w14:paraId="151BDB99">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评审方法</w:t>
      </w:r>
    </w:p>
    <w:p w14:paraId="09168094">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1本项目采用</w:t>
      </w:r>
      <w:r>
        <w:rPr>
          <w:rFonts w:hint="eastAsia"/>
          <w:color w:val="auto"/>
          <w:highlight w:val="none"/>
        </w:rPr>
        <w:t>质量优先法</w:t>
      </w:r>
      <w:r>
        <w:rPr>
          <w:color w:val="auto"/>
          <w:highlight w:val="none"/>
        </w:rPr>
        <w:t>进行评审</w:t>
      </w:r>
      <w:r>
        <w:rPr>
          <w:rFonts w:hint="eastAsia"/>
          <w:color w:val="auto"/>
          <w:highlight w:val="none"/>
        </w:rPr>
        <w:t>。</w:t>
      </w:r>
    </w:p>
    <w:p w14:paraId="03EE5ED1">
      <w:pPr>
        <w:suppressAutoHyphens/>
        <w:spacing w:before="120" w:line="320" w:lineRule="atLeast"/>
        <w:ind w:firstLine="420" w:firstLineChars="200"/>
        <w:rPr>
          <w:color w:val="auto"/>
          <w:highlight w:val="none"/>
        </w:rPr>
      </w:pPr>
      <w:r>
        <w:rPr>
          <w:rFonts w:hint="eastAsia"/>
          <w:color w:val="auto"/>
          <w:highlight w:val="none"/>
        </w:rPr>
        <w:t>质量优先法是对合格供应商响应内容进行质量综合评分，按照质量评分从高到低排序，根据下方规定的淘汰率及入围供应商最大数量及最小数量，确定入围供应商的评审方法。</w:t>
      </w:r>
    </w:p>
    <w:p w14:paraId="2D601BC5">
      <w:pPr>
        <w:suppressAutoHyphens/>
        <w:spacing w:before="120" w:line="320" w:lineRule="atLeast"/>
        <w:ind w:firstLine="420" w:firstLineChars="200"/>
        <w:rPr>
          <w:color w:val="auto"/>
          <w:highlight w:val="none"/>
        </w:rPr>
      </w:pPr>
      <w:r>
        <w:rPr>
          <w:rFonts w:hint="eastAsia"/>
          <w:color w:val="auto"/>
          <w:highlight w:val="none"/>
        </w:rPr>
        <w:t>合格供应商是指对满足采购需求、响应报价不超过最高限制单价且资格审查合格的供应商，假设数量为Y。</w:t>
      </w:r>
    </w:p>
    <w:tbl>
      <w:tblPr>
        <w:tblStyle w:val="51"/>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126"/>
        <w:gridCol w:w="2268"/>
        <w:gridCol w:w="2268"/>
      </w:tblGrid>
      <w:tr w14:paraId="3234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13" w:type="dxa"/>
            <w:noWrap w:val="0"/>
            <w:vAlign w:val="center"/>
          </w:tcPr>
          <w:p w14:paraId="5C0BA15F">
            <w:pPr>
              <w:jc w:val="center"/>
              <w:rPr>
                <w:b/>
                <w:bCs/>
                <w:color w:val="auto"/>
                <w:highlight w:val="none"/>
              </w:rPr>
            </w:pPr>
            <w:r>
              <w:rPr>
                <w:rFonts w:hint="eastAsia"/>
                <w:b/>
                <w:bCs/>
                <w:color w:val="auto"/>
                <w:highlight w:val="none"/>
              </w:rPr>
              <w:t>标项</w:t>
            </w:r>
          </w:p>
        </w:tc>
        <w:tc>
          <w:tcPr>
            <w:tcW w:w="2126" w:type="dxa"/>
            <w:noWrap w:val="0"/>
            <w:vAlign w:val="center"/>
          </w:tcPr>
          <w:p w14:paraId="2B658924">
            <w:pPr>
              <w:jc w:val="center"/>
              <w:rPr>
                <w:b/>
                <w:bCs/>
                <w:color w:val="auto"/>
                <w:highlight w:val="none"/>
              </w:rPr>
            </w:pPr>
            <w:r>
              <w:rPr>
                <w:rFonts w:hint="eastAsia"/>
                <w:b/>
                <w:bCs/>
                <w:color w:val="auto"/>
                <w:highlight w:val="none"/>
              </w:rPr>
              <w:t>淘汰率</w:t>
            </w:r>
          </w:p>
        </w:tc>
        <w:tc>
          <w:tcPr>
            <w:tcW w:w="2268" w:type="dxa"/>
            <w:noWrap w:val="0"/>
            <w:vAlign w:val="center"/>
          </w:tcPr>
          <w:p w14:paraId="784C9A5D">
            <w:pPr>
              <w:jc w:val="center"/>
              <w:rPr>
                <w:b/>
                <w:bCs/>
                <w:color w:val="auto"/>
                <w:highlight w:val="none"/>
              </w:rPr>
            </w:pPr>
            <w:r>
              <w:rPr>
                <w:rFonts w:hint="eastAsia"/>
                <w:b/>
                <w:bCs/>
                <w:color w:val="auto"/>
                <w:highlight w:val="none"/>
              </w:rPr>
              <w:t>入围供应商最大数量</w:t>
            </w:r>
          </w:p>
        </w:tc>
        <w:tc>
          <w:tcPr>
            <w:tcW w:w="2268" w:type="dxa"/>
            <w:noWrap w:val="0"/>
            <w:vAlign w:val="center"/>
          </w:tcPr>
          <w:p w14:paraId="7471337C">
            <w:pPr>
              <w:jc w:val="center"/>
              <w:rPr>
                <w:b/>
                <w:bCs/>
                <w:color w:val="auto"/>
                <w:highlight w:val="none"/>
              </w:rPr>
            </w:pPr>
            <w:r>
              <w:rPr>
                <w:rFonts w:hint="eastAsia"/>
                <w:b/>
                <w:bCs/>
                <w:color w:val="auto"/>
                <w:highlight w:val="none"/>
              </w:rPr>
              <w:t>入围供应商最小数量</w:t>
            </w:r>
          </w:p>
        </w:tc>
      </w:tr>
      <w:tr w14:paraId="2638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13" w:type="dxa"/>
            <w:noWrap w:val="0"/>
            <w:vAlign w:val="center"/>
          </w:tcPr>
          <w:p w14:paraId="313E16D9">
            <w:pPr>
              <w:jc w:val="center"/>
              <w:rPr>
                <w:color w:val="auto"/>
                <w:highlight w:val="none"/>
              </w:rPr>
            </w:pPr>
            <w:r>
              <w:rPr>
                <w:rFonts w:hint="eastAsia"/>
                <w:color w:val="auto"/>
                <w:highlight w:val="none"/>
              </w:rPr>
              <w:t>一</w:t>
            </w:r>
          </w:p>
        </w:tc>
        <w:tc>
          <w:tcPr>
            <w:tcW w:w="2126" w:type="dxa"/>
            <w:noWrap w:val="0"/>
            <w:vAlign w:val="center"/>
          </w:tcPr>
          <w:p w14:paraId="1DA84741">
            <w:pPr>
              <w:jc w:val="center"/>
              <w:rPr>
                <w:color w:val="auto"/>
                <w:highlight w:val="none"/>
              </w:rPr>
            </w:pPr>
            <w:r>
              <w:rPr>
                <w:rFonts w:hint="eastAsia"/>
                <w:color w:val="auto"/>
                <w:highlight w:val="none"/>
              </w:rPr>
              <w:t>20%</w:t>
            </w:r>
          </w:p>
        </w:tc>
        <w:tc>
          <w:tcPr>
            <w:tcW w:w="2268" w:type="dxa"/>
            <w:noWrap w:val="0"/>
            <w:vAlign w:val="center"/>
          </w:tcPr>
          <w:p w14:paraId="34192B33">
            <w:pPr>
              <w:jc w:val="center"/>
              <w:rPr>
                <w:rFonts w:hint="default" w:eastAsia="宋体"/>
                <w:color w:val="auto"/>
                <w:highlight w:val="none"/>
                <w:lang w:val="en-US" w:eastAsia="zh-CN"/>
              </w:rPr>
            </w:pPr>
            <w:r>
              <w:rPr>
                <w:rFonts w:hint="eastAsia"/>
                <w:color w:val="auto"/>
                <w:highlight w:val="none"/>
                <w:lang w:val="en-US" w:eastAsia="zh-CN"/>
              </w:rPr>
              <w:t>18</w:t>
            </w:r>
          </w:p>
        </w:tc>
        <w:tc>
          <w:tcPr>
            <w:tcW w:w="2268" w:type="dxa"/>
            <w:noWrap w:val="0"/>
            <w:vAlign w:val="center"/>
          </w:tcPr>
          <w:p w14:paraId="31C8CCD6">
            <w:pPr>
              <w:jc w:val="center"/>
              <w:rPr>
                <w:rFonts w:hint="default" w:eastAsia="宋体"/>
                <w:color w:val="auto"/>
                <w:highlight w:val="none"/>
                <w:lang w:val="en-US" w:eastAsia="zh-CN"/>
              </w:rPr>
            </w:pPr>
            <w:r>
              <w:rPr>
                <w:rFonts w:hint="eastAsia"/>
                <w:color w:val="auto"/>
                <w:highlight w:val="none"/>
                <w:lang w:val="en-US" w:eastAsia="zh-CN"/>
              </w:rPr>
              <w:t>15</w:t>
            </w:r>
          </w:p>
        </w:tc>
      </w:tr>
    </w:tbl>
    <w:p w14:paraId="423D0C78">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确定入围供应商步骤：</w:t>
      </w:r>
    </w:p>
    <w:p w14:paraId="70C5E9BD">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w:t>
      </w:r>
      <w:r>
        <w:rPr>
          <w:color w:val="auto"/>
          <w:highlight w:val="none"/>
        </w:rPr>
        <w:t>1</w:t>
      </w:r>
      <w:r>
        <w:rPr>
          <w:rFonts w:hint="eastAsia"/>
          <w:color w:val="auto"/>
          <w:highlight w:val="none"/>
        </w:rPr>
        <w:t>计算最低淘汰供应商及初步入围供应商数量</w:t>
      </w:r>
    </w:p>
    <w:p w14:paraId="0A943180">
      <w:pPr>
        <w:suppressAutoHyphens/>
        <w:spacing w:before="120" w:line="320" w:lineRule="atLeast"/>
        <w:ind w:firstLine="420" w:firstLineChars="200"/>
        <w:rPr>
          <w:color w:val="auto"/>
          <w:highlight w:val="none"/>
        </w:rPr>
      </w:pPr>
      <w:r>
        <w:rPr>
          <w:rFonts w:hint="eastAsia"/>
          <w:color w:val="auto"/>
          <w:highlight w:val="none"/>
        </w:rPr>
        <w:t>（1）最低淘汰供应商数量</w:t>
      </w:r>
      <w:r>
        <w:rPr>
          <w:color w:val="auto"/>
          <w:highlight w:val="none"/>
        </w:rPr>
        <w:t>Z</w:t>
      </w:r>
      <w:r>
        <w:rPr>
          <w:rFonts w:hint="eastAsia"/>
          <w:color w:val="auto"/>
          <w:highlight w:val="none"/>
        </w:rPr>
        <w:t xml:space="preserve"> =</w:t>
      </w:r>
      <w:r>
        <w:rPr>
          <w:color w:val="auto"/>
          <w:highlight w:val="none"/>
        </w:rPr>
        <w:t xml:space="preserve">Y </w:t>
      </w:r>
      <w:r>
        <w:rPr>
          <w:rFonts w:hint="eastAsia" w:ascii="宋体" w:hAnsi="宋体"/>
          <w:color w:val="auto"/>
          <w:highlight w:val="none"/>
        </w:rPr>
        <w:t>×</w:t>
      </w:r>
      <w:r>
        <w:rPr>
          <w:rFonts w:hint="eastAsia"/>
          <w:color w:val="auto"/>
          <w:highlight w:val="none"/>
        </w:rPr>
        <w:t xml:space="preserve"> 淘汰率（Z应保证为整数，计算结果有小数时向上取整，如计算值为2</w:t>
      </w:r>
      <w:r>
        <w:rPr>
          <w:color w:val="auto"/>
          <w:highlight w:val="none"/>
        </w:rPr>
        <w:t>.1</w:t>
      </w:r>
      <w:r>
        <w:rPr>
          <w:rFonts w:hint="eastAsia"/>
          <w:color w:val="auto"/>
          <w:highlight w:val="none"/>
        </w:rPr>
        <w:t>时取Z</w:t>
      </w:r>
      <w:r>
        <w:rPr>
          <w:color w:val="auto"/>
          <w:highlight w:val="none"/>
        </w:rPr>
        <w:t>=3</w:t>
      </w:r>
      <w:r>
        <w:rPr>
          <w:rFonts w:hint="eastAsia"/>
          <w:color w:val="auto"/>
          <w:highlight w:val="none"/>
        </w:rPr>
        <w:t>）</w:t>
      </w:r>
    </w:p>
    <w:p w14:paraId="46B1275F">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）初步入围供应商数量X=</w:t>
      </w:r>
      <w:r>
        <w:rPr>
          <w:color w:val="auto"/>
          <w:highlight w:val="none"/>
        </w:rPr>
        <w:t>Y – Z</w:t>
      </w:r>
    </w:p>
    <w:p w14:paraId="0F1E9E6E">
      <w:pPr>
        <w:suppressAutoHyphens/>
        <w:spacing w:before="120" w:line="320" w:lineRule="atLeast"/>
        <w:ind w:firstLine="420" w:firstLineChars="200"/>
        <w:rPr>
          <w:color w:val="auto"/>
          <w:highlight w:val="none"/>
        </w:rPr>
      </w:pPr>
      <w:r>
        <w:rPr>
          <w:color w:val="auto"/>
          <w:highlight w:val="none"/>
        </w:rPr>
        <w:t>1.2.2</w:t>
      </w:r>
      <w:r>
        <w:rPr>
          <w:rFonts w:hint="eastAsia"/>
          <w:color w:val="auto"/>
          <w:highlight w:val="none"/>
        </w:rPr>
        <w:t>对合格供应商进行评审及首次排序，首次排序即按照质量评分从高到低排序，相同分数的并列排序。然后将供应商按首次排序从末位开始淘汰Z家，并列的供应商一并淘汰。</w:t>
      </w:r>
    </w:p>
    <w:p w14:paraId="3133F9D7">
      <w:pPr>
        <w:suppressAutoHyphens/>
        <w:spacing w:before="120" w:line="320" w:lineRule="atLeast"/>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w:t>
      </w:r>
      <w:r>
        <w:rPr>
          <w:color w:val="auto"/>
          <w:highlight w:val="none"/>
        </w:rPr>
        <w:t>3</w:t>
      </w:r>
      <w:r>
        <w:rPr>
          <w:rFonts w:hint="eastAsia"/>
          <w:color w:val="auto"/>
          <w:highlight w:val="none"/>
        </w:rPr>
        <w:t>淘汰供应商</w:t>
      </w:r>
    </w:p>
    <w:p w14:paraId="6A03DB38">
      <w:pPr>
        <w:suppressAutoHyphens/>
        <w:spacing w:before="120" w:line="320" w:lineRule="atLeast"/>
        <w:ind w:firstLine="420" w:firstLineChars="200"/>
        <w:rPr>
          <w:color w:val="auto"/>
          <w:highlight w:val="none"/>
        </w:rPr>
      </w:pPr>
      <w:r>
        <w:rPr>
          <w:rFonts w:hint="eastAsia"/>
          <w:color w:val="auto"/>
          <w:highlight w:val="none"/>
        </w:rPr>
        <w:t>将X与入围供应商最大最小数量对比，按下列不同情况淘汰供应商：</w:t>
      </w:r>
    </w:p>
    <w:p w14:paraId="194CA242">
      <w:pPr>
        <w:suppressAutoHyphens/>
        <w:spacing w:before="120" w:line="320" w:lineRule="atLeast"/>
        <w:ind w:firstLine="420" w:firstLineChars="200"/>
        <w:rPr>
          <w:color w:val="auto"/>
          <w:highlight w:val="none"/>
        </w:rPr>
      </w:pPr>
      <w:r>
        <w:rPr>
          <w:rFonts w:hint="eastAsia"/>
          <w:color w:val="auto"/>
          <w:highlight w:val="none"/>
        </w:rPr>
        <w:t>（1）X＝入围供应商最大数量时，X即为最终入围供应商数量。</w:t>
      </w:r>
    </w:p>
    <w:p w14:paraId="5F0419C5">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）当X＞入围供应商最大数量时，应按首次排序将剩余供应商从末位开始继续淘汰，直至最终入围供应商数量等于入围供应商最大数量；在此过程中并列的供应商应一并淘汰。</w:t>
      </w:r>
    </w:p>
    <w:p w14:paraId="6EF540C6">
      <w:pPr>
        <w:suppressAutoHyphens/>
        <w:spacing w:before="120" w:line="320" w:lineRule="atLeast"/>
        <w:ind w:firstLine="525" w:firstLineChars="250"/>
        <w:rPr>
          <w:color w:val="auto"/>
          <w:highlight w:val="none"/>
        </w:rPr>
      </w:pPr>
      <w:r>
        <w:rPr>
          <w:rFonts w:hint="eastAsia"/>
          <w:color w:val="auto"/>
          <w:highlight w:val="none"/>
        </w:rPr>
        <w:t>如果淘汰某排序并列供应商后，入围供应商最小数量≤X＜入围供应商最大数量，应将该排序并列供应商进行二次排序，并按二次排序从末位开始淘汰，直至最终入围供应商数量等于入围供应商最大数量；在此过程中如果出现供应商二次排序并列的情况，并列的供应商应一并淘汰。</w:t>
      </w:r>
    </w:p>
    <w:p w14:paraId="1A403CFA">
      <w:pPr>
        <w:suppressAutoHyphens/>
        <w:spacing w:before="120" w:line="320" w:lineRule="atLeast"/>
        <w:ind w:firstLine="525" w:firstLineChars="250"/>
        <w:rPr>
          <w:color w:val="auto"/>
          <w:highlight w:val="none"/>
        </w:rPr>
      </w:pPr>
      <w:r>
        <w:rPr>
          <w:rFonts w:hint="eastAsia"/>
          <w:color w:val="auto"/>
          <w:highlight w:val="none"/>
        </w:rPr>
        <w:t>在上述二次排序淘汰过程中，如果淘汰某排序并列供应商后，入围供应商最小数量≤X＜入围供应商最大数量，应将该排序并列供应商进行三次排序，并按三次排序从末位开始淘汰，直至最终入围供应商数量等于入围供应商最大数量。</w:t>
      </w:r>
    </w:p>
    <w:p w14:paraId="78B082FC">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）当2≤X＜入围供应商最小数量时，征集人认为可以满足框架协议需求时，X为最终入围供应商数量；如果征集人认为不能满足框架协议需求时，应重新开展征集活动。</w:t>
      </w:r>
    </w:p>
    <w:p w14:paraId="454CF775">
      <w:pPr>
        <w:suppressAutoHyphens/>
        <w:spacing w:before="120" w:line="320" w:lineRule="atLeas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）当X＜2时，本次框架协议采购失败，应重新开展征集活动。</w:t>
      </w:r>
    </w:p>
    <w:p w14:paraId="4699D141">
      <w:pPr>
        <w:suppressAutoHyphens/>
        <w:spacing w:before="120" w:line="320" w:lineRule="atLeast"/>
        <w:ind w:firstLine="420" w:firstLineChars="200"/>
        <w:rPr>
          <w:color w:val="auto"/>
          <w:highlight w:val="none"/>
        </w:rPr>
      </w:pPr>
      <w:r>
        <w:rPr>
          <w:color w:val="auto"/>
          <w:highlight w:val="none"/>
        </w:rPr>
        <w:t>1</w:t>
      </w:r>
      <w:r>
        <w:rPr>
          <w:rFonts w:hint="eastAsia"/>
          <w:color w:val="auto"/>
          <w:highlight w:val="none"/>
        </w:rPr>
        <w:t>.</w:t>
      </w:r>
      <w:r>
        <w:rPr>
          <w:color w:val="auto"/>
          <w:highlight w:val="none"/>
        </w:rPr>
        <w:t>2</w:t>
      </w:r>
      <w:r>
        <w:rPr>
          <w:rFonts w:hint="eastAsia"/>
          <w:color w:val="auto"/>
          <w:highlight w:val="none"/>
        </w:rPr>
        <w:t>.</w:t>
      </w:r>
      <w:r>
        <w:rPr>
          <w:color w:val="auto"/>
          <w:highlight w:val="none"/>
        </w:rPr>
        <w:t>4</w:t>
      </w:r>
      <w:r>
        <w:rPr>
          <w:rFonts w:hint="eastAsia"/>
          <w:color w:val="auto"/>
          <w:highlight w:val="none"/>
        </w:rPr>
        <w:t>二次三次排序规则</w:t>
      </w:r>
    </w:p>
    <w:p w14:paraId="40112768">
      <w:pPr>
        <w:suppressAutoHyphens/>
        <w:spacing w:before="120" w:line="320" w:lineRule="atLeast"/>
        <w:ind w:firstLine="420" w:firstLineChars="200"/>
        <w:rPr>
          <w:color w:val="auto"/>
          <w:highlight w:val="none"/>
        </w:rPr>
      </w:pPr>
      <w:r>
        <w:rPr>
          <w:rFonts w:hint="eastAsia"/>
          <w:color w:val="auto"/>
          <w:highlight w:val="none"/>
        </w:rPr>
        <w:t>（1）二次排序规则：并列供应商按技术分由高到低排序，相同分数的并列排序。</w:t>
      </w:r>
    </w:p>
    <w:p w14:paraId="673D230E">
      <w:pPr>
        <w:spacing w:before="120" w:line="320" w:lineRule="atLeast"/>
        <w:ind w:firstLine="411" w:firstLineChars="196"/>
        <w:outlineLvl w:val="1"/>
        <w:rPr>
          <w:color w:val="auto"/>
          <w:highlight w:val="none"/>
        </w:rPr>
      </w:pPr>
      <w:r>
        <w:rPr>
          <w:rFonts w:hint="eastAsia"/>
          <w:color w:val="auto"/>
          <w:highlight w:val="none"/>
        </w:rPr>
        <w:t>（2）三次排序规则：并列供应商进行数字抽签，按数字从大到小排序。</w:t>
      </w:r>
      <w:r>
        <w:rPr>
          <w:color w:val="auto"/>
          <w:highlight w:val="none"/>
        </w:rPr>
        <w:br w:type="page"/>
      </w: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p>
    <w:p w14:paraId="10A90E6F">
      <w:pPr>
        <w:rPr>
          <w:b/>
          <w:color w:val="auto"/>
          <w:kern w:val="0"/>
          <w:szCs w:val="21"/>
          <w:highlight w:val="none"/>
        </w:rPr>
      </w:pPr>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2F5F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02A5FC2C">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7101AEF0">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25AD2E73">
            <w:pPr>
              <w:spacing w:line="240" w:lineRule="exact"/>
              <w:jc w:val="center"/>
              <w:rPr>
                <w:b/>
                <w:color w:val="auto"/>
                <w:kern w:val="0"/>
                <w:szCs w:val="21"/>
                <w:highlight w:val="none"/>
              </w:rPr>
            </w:pPr>
            <w:r>
              <w:rPr>
                <w:rFonts w:hint="eastAsia"/>
                <w:b/>
                <w:color w:val="auto"/>
                <w:kern w:val="0"/>
                <w:szCs w:val="21"/>
                <w:highlight w:val="none"/>
              </w:rPr>
              <w:t>说明</w:t>
            </w:r>
          </w:p>
        </w:tc>
      </w:tr>
      <w:tr w14:paraId="6F83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46" w:type="dxa"/>
            <w:vMerge w:val="restart"/>
            <w:noWrap w:val="0"/>
            <w:vAlign w:val="center"/>
          </w:tcPr>
          <w:p w14:paraId="767E94DF">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7EC0ABD1">
            <w:pPr>
              <w:spacing w:line="240" w:lineRule="exact"/>
              <w:jc w:val="left"/>
              <w:rPr>
                <w:color w:val="auto"/>
                <w:szCs w:val="21"/>
                <w:highlight w:val="none"/>
              </w:rPr>
            </w:pPr>
            <w:r>
              <w:rPr>
                <w:color w:val="auto"/>
                <w:szCs w:val="21"/>
                <w:highlight w:val="none"/>
              </w:rPr>
              <w:t>（1）具有独立承担民事责任的能力</w:t>
            </w:r>
          </w:p>
        </w:tc>
        <w:tc>
          <w:tcPr>
            <w:tcW w:w="6242" w:type="dxa"/>
            <w:vMerge w:val="restart"/>
            <w:noWrap w:val="0"/>
            <w:vAlign w:val="center"/>
          </w:tcPr>
          <w:p w14:paraId="17A122AA">
            <w:pPr>
              <w:spacing w:line="240" w:lineRule="exact"/>
              <w:jc w:val="center"/>
              <w:rPr>
                <w:color w:val="auto"/>
                <w:szCs w:val="21"/>
                <w:highlight w:val="none"/>
              </w:rPr>
            </w:pPr>
            <w:r>
              <w:rPr>
                <w:rFonts w:hint="eastAsia"/>
                <w:color w:val="auto"/>
                <w:szCs w:val="21"/>
                <w:highlight w:val="none"/>
              </w:rPr>
              <w:t>提供《贺州市政府采购供应商信用承诺函》</w:t>
            </w:r>
          </w:p>
        </w:tc>
      </w:tr>
      <w:tr w14:paraId="5B6E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144349B4">
            <w:pPr>
              <w:spacing w:line="240" w:lineRule="exact"/>
              <w:rPr>
                <w:color w:val="auto"/>
                <w:szCs w:val="21"/>
                <w:highlight w:val="none"/>
                <w:lang w:val="zh-CN"/>
              </w:rPr>
            </w:pPr>
          </w:p>
        </w:tc>
        <w:tc>
          <w:tcPr>
            <w:tcW w:w="1843" w:type="dxa"/>
            <w:noWrap w:val="0"/>
            <w:vAlign w:val="center"/>
          </w:tcPr>
          <w:p w14:paraId="2632E877">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vMerge w:val="continue"/>
            <w:noWrap w:val="0"/>
            <w:vAlign w:val="top"/>
          </w:tcPr>
          <w:p w14:paraId="5889300E">
            <w:pPr>
              <w:spacing w:line="240" w:lineRule="exact"/>
              <w:jc w:val="left"/>
              <w:rPr>
                <w:color w:val="auto"/>
                <w:szCs w:val="21"/>
                <w:highlight w:val="none"/>
              </w:rPr>
            </w:pPr>
          </w:p>
        </w:tc>
      </w:tr>
      <w:tr w14:paraId="7F9A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7E0249A4">
            <w:pPr>
              <w:spacing w:line="240" w:lineRule="exact"/>
              <w:rPr>
                <w:color w:val="auto"/>
                <w:szCs w:val="21"/>
                <w:highlight w:val="none"/>
                <w:lang w:val="zh-CN"/>
              </w:rPr>
            </w:pPr>
          </w:p>
        </w:tc>
        <w:tc>
          <w:tcPr>
            <w:tcW w:w="1843" w:type="dxa"/>
            <w:noWrap w:val="0"/>
            <w:vAlign w:val="center"/>
          </w:tcPr>
          <w:p w14:paraId="5E472B60">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vMerge w:val="continue"/>
            <w:noWrap w:val="0"/>
            <w:vAlign w:val="top"/>
          </w:tcPr>
          <w:p w14:paraId="17BADEAB">
            <w:pPr>
              <w:spacing w:line="240" w:lineRule="exact"/>
              <w:jc w:val="left"/>
              <w:rPr>
                <w:color w:val="auto"/>
                <w:szCs w:val="21"/>
                <w:highlight w:val="none"/>
              </w:rPr>
            </w:pPr>
          </w:p>
        </w:tc>
      </w:tr>
      <w:tr w14:paraId="7614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65B46635">
            <w:pPr>
              <w:spacing w:line="240" w:lineRule="exact"/>
              <w:rPr>
                <w:color w:val="auto"/>
                <w:szCs w:val="21"/>
                <w:highlight w:val="none"/>
                <w:lang w:val="zh-CN"/>
              </w:rPr>
            </w:pPr>
          </w:p>
        </w:tc>
        <w:tc>
          <w:tcPr>
            <w:tcW w:w="1843" w:type="dxa"/>
            <w:noWrap w:val="0"/>
            <w:vAlign w:val="center"/>
          </w:tcPr>
          <w:p w14:paraId="3348DF07">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vMerge w:val="continue"/>
            <w:noWrap w:val="0"/>
            <w:vAlign w:val="top"/>
          </w:tcPr>
          <w:p w14:paraId="6DA5E398">
            <w:pPr>
              <w:spacing w:line="240" w:lineRule="exact"/>
              <w:jc w:val="left"/>
              <w:rPr>
                <w:color w:val="auto"/>
                <w:szCs w:val="21"/>
                <w:highlight w:val="none"/>
              </w:rPr>
            </w:pPr>
          </w:p>
        </w:tc>
      </w:tr>
      <w:tr w14:paraId="2F0C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1BBEE5AA">
            <w:pPr>
              <w:spacing w:line="240" w:lineRule="exact"/>
              <w:rPr>
                <w:color w:val="auto"/>
                <w:szCs w:val="21"/>
                <w:highlight w:val="none"/>
                <w:lang w:val="zh-CN"/>
              </w:rPr>
            </w:pPr>
          </w:p>
        </w:tc>
        <w:tc>
          <w:tcPr>
            <w:tcW w:w="1843" w:type="dxa"/>
            <w:noWrap w:val="0"/>
            <w:vAlign w:val="center"/>
          </w:tcPr>
          <w:p w14:paraId="2DD00082">
            <w:pPr>
              <w:spacing w:line="240" w:lineRule="exact"/>
              <w:jc w:val="left"/>
              <w:rPr>
                <w:color w:val="auto"/>
                <w:szCs w:val="21"/>
                <w:highlight w:val="none"/>
              </w:rPr>
            </w:pPr>
            <w:r>
              <w:rPr>
                <w:color w:val="auto"/>
                <w:szCs w:val="21"/>
                <w:highlight w:val="none"/>
              </w:rPr>
              <w:t>（5）参加政府采购活动前三年内，在经营活动中没有重大违法记录及不良信用记录</w:t>
            </w:r>
          </w:p>
        </w:tc>
        <w:tc>
          <w:tcPr>
            <w:tcW w:w="6242" w:type="dxa"/>
            <w:vMerge w:val="continue"/>
            <w:noWrap w:val="0"/>
            <w:vAlign w:val="center"/>
          </w:tcPr>
          <w:p w14:paraId="2B75F4B3">
            <w:pPr>
              <w:spacing w:line="240" w:lineRule="exact"/>
              <w:jc w:val="left"/>
              <w:rPr>
                <w:color w:val="auto"/>
                <w:szCs w:val="21"/>
                <w:highlight w:val="none"/>
              </w:rPr>
            </w:pPr>
          </w:p>
        </w:tc>
      </w:tr>
      <w:tr w14:paraId="4AA0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7ABF885E">
            <w:pPr>
              <w:spacing w:line="240" w:lineRule="exact"/>
              <w:rPr>
                <w:color w:val="auto"/>
                <w:szCs w:val="21"/>
                <w:highlight w:val="none"/>
                <w:lang w:val="zh-CN"/>
              </w:rPr>
            </w:pPr>
          </w:p>
        </w:tc>
        <w:tc>
          <w:tcPr>
            <w:tcW w:w="1843" w:type="dxa"/>
            <w:noWrap w:val="0"/>
            <w:vAlign w:val="center"/>
          </w:tcPr>
          <w:p w14:paraId="4ECAAC8B">
            <w:pPr>
              <w:spacing w:line="240" w:lineRule="exact"/>
              <w:jc w:val="left"/>
              <w:rPr>
                <w:color w:val="auto"/>
                <w:szCs w:val="21"/>
                <w:highlight w:val="none"/>
              </w:rPr>
            </w:pPr>
            <w:r>
              <w:rPr>
                <w:color w:val="auto"/>
                <w:szCs w:val="21"/>
                <w:highlight w:val="none"/>
              </w:rPr>
              <w:t>（6）具备法律、行政法规规定的其他要求</w:t>
            </w:r>
          </w:p>
        </w:tc>
        <w:tc>
          <w:tcPr>
            <w:tcW w:w="6242" w:type="dxa"/>
            <w:vMerge w:val="continue"/>
            <w:noWrap w:val="0"/>
            <w:vAlign w:val="center"/>
          </w:tcPr>
          <w:p w14:paraId="3725AD18">
            <w:pPr>
              <w:spacing w:line="240" w:lineRule="exact"/>
              <w:jc w:val="left"/>
              <w:rPr>
                <w:color w:val="auto"/>
                <w:szCs w:val="21"/>
                <w:highlight w:val="none"/>
              </w:rPr>
            </w:pPr>
          </w:p>
        </w:tc>
      </w:tr>
      <w:tr w14:paraId="3F03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46" w:type="dxa"/>
            <w:vMerge w:val="restart"/>
            <w:noWrap w:val="0"/>
            <w:vAlign w:val="center"/>
          </w:tcPr>
          <w:p w14:paraId="0A045B60">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01024CCA">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3904D941">
            <w:pPr>
              <w:spacing w:line="240" w:lineRule="exact"/>
              <w:jc w:val="left"/>
              <w:rPr>
                <w:rFonts w:hint="eastAsia"/>
                <w:color w:val="auto"/>
                <w:szCs w:val="21"/>
                <w:highlight w:val="none"/>
              </w:rPr>
            </w:pPr>
            <w:r>
              <w:rPr>
                <w:color w:val="auto"/>
                <w:szCs w:val="21"/>
                <w:highlight w:val="none"/>
              </w:rPr>
              <w:t>须符合</w:t>
            </w:r>
            <w:r>
              <w:rPr>
                <w:rFonts w:hint="eastAsia"/>
                <w:color w:val="auto"/>
                <w:szCs w:val="21"/>
                <w:highlight w:val="none"/>
              </w:rPr>
              <w:t>“征集公告”</w:t>
            </w:r>
            <w:r>
              <w:rPr>
                <w:color w:val="auto"/>
                <w:szCs w:val="21"/>
                <w:highlight w:val="none"/>
              </w:rPr>
              <w:t>的要求</w:t>
            </w:r>
            <w:r>
              <w:rPr>
                <w:rFonts w:hint="eastAsia"/>
                <w:color w:val="auto"/>
                <w:szCs w:val="21"/>
                <w:highlight w:val="none"/>
              </w:rPr>
              <w:t>。</w:t>
            </w:r>
          </w:p>
        </w:tc>
      </w:tr>
      <w:tr w14:paraId="5AA7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99D1141">
            <w:pPr>
              <w:spacing w:line="240" w:lineRule="exact"/>
              <w:rPr>
                <w:color w:val="auto"/>
                <w:szCs w:val="21"/>
                <w:highlight w:val="none"/>
              </w:rPr>
            </w:pPr>
          </w:p>
        </w:tc>
        <w:tc>
          <w:tcPr>
            <w:tcW w:w="1843" w:type="dxa"/>
            <w:noWrap w:val="0"/>
            <w:vAlign w:val="center"/>
          </w:tcPr>
          <w:p w14:paraId="04B6E592">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0C2F1A4C">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“征集公告”</w:t>
            </w:r>
            <w:r>
              <w:rPr>
                <w:color w:val="auto"/>
                <w:szCs w:val="21"/>
                <w:highlight w:val="none"/>
              </w:rPr>
              <w:t>的要求</w:t>
            </w:r>
          </w:p>
        </w:tc>
      </w:tr>
      <w:tr w14:paraId="2071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6" w:type="dxa"/>
            <w:vMerge w:val="continue"/>
            <w:noWrap w:val="0"/>
            <w:vAlign w:val="center"/>
          </w:tcPr>
          <w:p w14:paraId="4358D3FA">
            <w:pPr>
              <w:spacing w:line="240" w:lineRule="exact"/>
              <w:jc w:val="left"/>
              <w:rPr>
                <w:color w:val="auto"/>
                <w:szCs w:val="21"/>
                <w:highlight w:val="none"/>
              </w:rPr>
            </w:pPr>
          </w:p>
        </w:tc>
        <w:tc>
          <w:tcPr>
            <w:tcW w:w="1843" w:type="dxa"/>
            <w:noWrap w:val="0"/>
            <w:vAlign w:val="center"/>
          </w:tcPr>
          <w:p w14:paraId="53AD9033">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0F5F283A">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10501D65">
            <w:pPr>
              <w:spacing w:line="240" w:lineRule="exact"/>
              <w:jc w:val="left"/>
              <w:rPr>
                <w:color w:val="auto"/>
                <w:szCs w:val="21"/>
                <w:highlight w:val="none"/>
              </w:rPr>
            </w:pPr>
            <w:r>
              <w:rPr>
                <w:color w:val="auto"/>
                <w:szCs w:val="21"/>
                <w:highlight w:val="none"/>
              </w:rPr>
              <w:t>须提供，格式见第</w:t>
            </w:r>
            <w:r>
              <w:rPr>
                <w:rFonts w:hint="eastAsia"/>
                <w:color w:val="auto"/>
                <w:szCs w:val="21"/>
                <w:highlight w:val="none"/>
              </w:rPr>
              <w:t>七</w:t>
            </w:r>
            <w:r>
              <w:rPr>
                <w:color w:val="auto"/>
                <w:szCs w:val="21"/>
                <w:highlight w:val="none"/>
              </w:rPr>
              <w:t>章响应文件格式“</w:t>
            </w:r>
            <w:r>
              <w:rPr>
                <w:rFonts w:hint="eastAsia"/>
                <w:color w:val="auto"/>
                <w:szCs w:val="21"/>
                <w:highlight w:val="none"/>
              </w:rPr>
              <w:t>供应商直接控股股东、管理关系信息表</w:t>
            </w:r>
            <w:r>
              <w:rPr>
                <w:color w:val="auto"/>
                <w:szCs w:val="21"/>
                <w:highlight w:val="none"/>
              </w:rPr>
              <w:t>”。</w:t>
            </w:r>
          </w:p>
        </w:tc>
      </w:tr>
      <w:tr w14:paraId="704D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129397BB">
            <w:pPr>
              <w:spacing w:line="240" w:lineRule="exact"/>
              <w:jc w:val="left"/>
              <w:rPr>
                <w:color w:val="auto"/>
                <w:kern w:val="0"/>
                <w:szCs w:val="21"/>
                <w:highlight w:val="none"/>
              </w:rPr>
            </w:pPr>
          </w:p>
        </w:tc>
        <w:tc>
          <w:tcPr>
            <w:tcW w:w="1843" w:type="dxa"/>
            <w:noWrap w:val="0"/>
            <w:vAlign w:val="center"/>
          </w:tcPr>
          <w:p w14:paraId="450CE3B4">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75E45F45">
            <w:pPr>
              <w:spacing w:line="312" w:lineRule="auto"/>
              <w:jc w:val="left"/>
              <w:rPr>
                <w:rFonts w:hint="eastAsia"/>
                <w:color w:val="auto"/>
                <w:kern w:val="0"/>
                <w:szCs w:val="21"/>
                <w:highlight w:val="none"/>
              </w:rPr>
            </w:pPr>
            <w:r>
              <w:rPr>
                <w:color w:val="auto"/>
                <w:kern w:val="0"/>
                <w:szCs w:val="21"/>
                <w:highlight w:val="none"/>
              </w:rPr>
              <w:t>未被列入失信被执行人、重大税收违法失信主体、政府采购严重违法失信行为记录名单。</w:t>
            </w:r>
          </w:p>
        </w:tc>
      </w:tr>
      <w:tr w14:paraId="32E7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34DAAF02">
            <w:pPr>
              <w:spacing w:line="240" w:lineRule="exact"/>
              <w:jc w:val="left"/>
              <w:rPr>
                <w:color w:val="auto"/>
                <w:kern w:val="0"/>
                <w:szCs w:val="21"/>
                <w:highlight w:val="none"/>
              </w:rPr>
            </w:pPr>
          </w:p>
        </w:tc>
        <w:tc>
          <w:tcPr>
            <w:tcW w:w="1843" w:type="dxa"/>
            <w:noWrap w:val="0"/>
            <w:vAlign w:val="center"/>
          </w:tcPr>
          <w:p w14:paraId="0166E0AC">
            <w:pPr>
              <w:spacing w:line="240" w:lineRule="exact"/>
              <w:jc w:val="left"/>
              <w:rPr>
                <w:color w:val="auto"/>
                <w:szCs w:val="21"/>
                <w:highlight w:val="none"/>
              </w:rPr>
            </w:pPr>
            <w:r>
              <w:rPr>
                <w:rFonts w:hint="eastAsia"/>
                <w:color w:val="auto"/>
                <w:szCs w:val="21"/>
                <w:highlight w:val="none"/>
              </w:rPr>
              <w:t>（5）其他要求</w:t>
            </w:r>
          </w:p>
        </w:tc>
        <w:tc>
          <w:tcPr>
            <w:tcW w:w="6242" w:type="dxa"/>
            <w:noWrap w:val="0"/>
            <w:vAlign w:val="top"/>
          </w:tcPr>
          <w:p w14:paraId="49E031E5">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照征集公告规定获得征集文件。</w:t>
            </w:r>
            <w:r>
              <w:rPr>
                <w:rFonts w:hint="eastAsia"/>
                <w:color w:val="auto"/>
                <w:kern w:val="0"/>
                <w:szCs w:val="21"/>
                <w:highlight w:val="none"/>
              </w:rPr>
              <w:t>足额、及时缴纳响应保证金。</w:t>
            </w:r>
          </w:p>
        </w:tc>
      </w:tr>
      <w:tr w14:paraId="04A1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846" w:type="dxa"/>
            <w:noWrap w:val="0"/>
            <w:vAlign w:val="center"/>
          </w:tcPr>
          <w:p w14:paraId="7F84E6AB">
            <w:pPr>
              <w:spacing w:line="240" w:lineRule="exact"/>
              <w:jc w:val="left"/>
              <w:rPr>
                <w:color w:val="auto"/>
                <w:kern w:val="0"/>
                <w:szCs w:val="21"/>
                <w:highlight w:val="none"/>
              </w:rPr>
            </w:pPr>
            <w:r>
              <w:rPr>
                <w:rFonts w:hint="eastAsia"/>
                <w:color w:val="auto"/>
                <w:kern w:val="0"/>
                <w:szCs w:val="21"/>
                <w:highlight w:val="none"/>
              </w:rPr>
              <w:t>采购政策</w:t>
            </w:r>
          </w:p>
        </w:tc>
        <w:tc>
          <w:tcPr>
            <w:tcW w:w="1843" w:type="dxa"/>
            <w:noWrap w:val="0"/>
            <w:vAlign w:val="center"/>
          </w:tcPr>
          <w:p w14:paraId="0CA932A9">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3E7412E2">
            <w:pPr>
              <w:spacing w:line="240" w:lineRule="exact"/>
              <w:rPr>
                <w:rFonts w:ascii="宋体" w:hAnsi="宋体" w:cs="宋体"/>
                <w:color w:val="auto"/>
                <w:szCs w:val="21"/>
                <w:highlight w:val="none"/>
              </w:rPr>
            </w:pPr>
            <w:r>
              <w:rPr>
                <w:rFonts w:hint="eastAsia"/>
                <w:color w:val="auto"/>
                <w:szCs w:val="21"/>
                <w:highlight w:val="none"/>
              </w:rPr>
              <w:t>无</w:t>
            </w:r>
          </w:p>
        </w:tc>
      </w:tr>
      <w:tr w14:paraId="09DD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686FB94A">
            <w:pPr>
              <w:spacing w:line="240" w:lineRule="exact"/>
              <w:rPr>
                <w:color w:val="auto"/>
                <w:szCs w:val="21"/>
                <w:highlight w:val="none"/>
              </w:rPr>
            </w:pPr>
            <w:r>
              <w:rPr>
                <w:rFonts w:hint="eastAsia"/>
                <w:color w:val="auto"/>
                <w:szCs w:val="21"/>
                <w:highlight w:val="none"/>
              </w:rPr>
              <w:t>联合体</w:t>
            </w:r>
          </w:p>
        </w:tc>
        <w:tc>
          <w:tcPr>
            <w:tcW w:w="1843" w:type="dxa"/>
            <w:noWrap w:val="0"/>
            <w:vAlign w:val="center"/>
          </w:tcPr>
          <w:p w14:paraId="04E0FBB5">
            <w:pPr>
              <w:spacing w:line="240" w:lineRule="exact"/>
              <w:rPr>
                <w:color w:val="auto"/>
                <w:szCs w:val="21"/>
                <w:highlight w:val="none"/>
              </w:rPr>
            </w:pPr>
            <w:r>
              <w:rPr>
                <w:rFonts w:hint="eastAsia"/>
                <w:color w:val="auto"/>
                <w:szCs w:val="21"/>
                <w:highlight w:val="none"/>
              </w:rPr>
              <w:t>联合体要求</w:t>
            </w:r>
          </w:p>
        </w:tc>
        <w:tc>
          <w:tcPr>
            <w:tcW w:w="6242" w:type="dxa"/>
            <w:noWrap w:val="0"/>
            <w:vAlign w:val="center"/>
          </w:tcPr>
          <w:p w14:paraId="70464345">
            <w:pPr>
              <w:spacing w:line="240" w:lineRule="exact"/>
              <w:rPr>
                <w:rFonts w:hint="eastAsia"/>
                <w:color w:val="auto"/>
                <w:szCs w:val="21"/>
                <w:highlight w:val="none"/>
              </w:rPr>
            </w:pPr>
            <w:r>
              <w:rPr>
                <w:rFonts w:hint="eastAsia"/>
                <w:color w:val="auto"/>
                <w:szCs w:val="21"/>
                <w:highlight w:val="none"/>
                <w:lang w:val="zh-CN"/>
              </w:rPr>
              <w:t>本项目如允许联合体，应提交联合体协议书。</w:t>
            </w:r>
          </w:p>
        </w:tc>
      </w:tr>
    </w:tbl>
    <w:p w14:paraId="2D814DF1">
      <w:pPr>
        <w:rPr>
          <w:b/>
          <w:color w:val="auto"/>
          <w:kern w:val="0"/>
          <w:szCs w:val="21"/>
          <w:highlight w:val="none"/>
        </w:rPr>
      </w:pPr>
    </w:p>
    <w:p w14:paraId="45780E3A">
      <w:pPr>
        <w:spacing w:before="120" w:line="320" w:lineRule="atLeast"/>
        <w:ind w:firstLine="413" w:firstLineChars="196"/>
        <w:outlineLvl w:val="1"/>
        <w:rPr>
          <w:rFonts w:hint="eastAsia"/>
          <w:b/>
          <w:bCs/>
          <w:color w:val="auto"/>
          <w:kern w:val="0"/>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75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286"/>
        <w:gridCol w:w="4984"/>
      </w:tblGrid>
      <w:tr w14:paraId="3ED2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82" w:type="dxa"/>
            <w:noWrap w:val="0"/>
            <w:vAlign w:val="center"/>
          </w:tcPr>
          <w:p w14:paraId="65433F71">
            <w:pPr>
              <w:spacing w:line="240" w:lineRule="exact"/>
              <w:jc w:val="center"/>
              <w:rPr>
                <w:b/>
                <w:color w:val="auto"/>
                <w:kern w:val="0"/>
                <w:szCs w:val="21"/>
                <w:highlight w:val="none"/>
              </w:rPr>
            </w:pPr>
            <w:bookmarkStart w:id="73" w:name="_Hlk92966680"/>
            <w:r>
              <w:rPr>
                <w:rFonts w:hint="eastAsia"/>
                <w:b/>
                <w:color w:val="auto"/>
                <w:kern w:val="0"/>
                <w:szCs w:val="21"/>
                <w:highlight w:val="none"/>
              </w:rPr>
              <w:t>审查</w:t>
            </w:r>
            <w:r>
              <w:rPr>
                <w:b/>
                <w:color w:val="auto"/>
                <w:kern w:val="0"/>
                <w:szCs w:val="21"/>
                <w:highlight w:val="none"/>
              </w:rPr>
              <w:t>因素</w:t>
            </w:r>
          </w:p>
        </w:tc>
        <w:tc>
          <w:tcPr>
            <w:tcW w:w="2286" w:type="dxa"/>
            <w:noWrap w:val="0"/>
            <w:vAlign w:val="center"/>
          </w:tcPr>
          <w:p w14:paraId="026E5CDF">
            <w:pPr>
              <w:spacing w:line="240" w:lineRule="exact"/>
              <w:jc w:val="center"/>
              <w:rPr>
                <w:b/>
                <w:color w:val="auto"/>
                <w:kern w:val="0"/>
                <w:szCs w:val="21"/>
                <w:highlight w:val="none"/>
              </w:rPr>
            </w:pPr>
            <w:r>
              <w:rPr>
                <w:rFonts w:hint="eastAsia"/>
                <w:b/>
                <w:color w:val="auto"/>
                <w:kern w:val="0"/>
                <w:szCs w:val="21"/>
                <w:highlight w:val="none"/>
              </w:rPr>
              <w:t>审查内容</w:t>
            </w:r>
          </w:p>
        </w:tc>
        <w:tc>
          <w:tcPr>
            <w:tcW w:w="4984" w:type="dxa"/>
            <w:noWrap w:val="0"/>
            <w:vAlign w:val="top"/>
          </w:tcPr>
          <w:p w14:paraId="244AC62D">
            <w:pPr>
              <w:spacing w:line="240" w:lineRule="exact"/>
              <w:jc w:val="center"/>
              <w:rPr>
                <w:b/>
                <w:color w:val="auto"/>
                <w:kern w:val="0"/>
                <w:szCs w:val="21"/>
                <w:highlight w:val="none"/>
              </w:rPr>
            </w:pPr>
          </w:p>
          <w:p w14:paraId="62C23729">
            <w:pPr>
              <w:spacing w:line="240" w:lineRule="exact"/>
              <w:jc w:val="center"/>
              <w:rPr>
                <w:b/>
                <w:color w:val="auto"/>
                <w:kern w:val="0"/>
                <w:szCs w:val="21"/>
                <w:highlight w:val="none"/>
              </w:rPr>
            </w:pPr>
            <w:r>
              <w:rPr>
                <w:rFonts w:hint="eastAsia"/>
                <w:b/>
                <w:color w:val="auto"/>
                <w:kern w:val="0"/>
                <w:szCs w:val="21"/>
                <w:highlight w:val="none"/>
              </w:rPr>
              <w:t>说明</w:t>
            </w:r>
          </w:p>
        </w:tc>
      </w:tr>
      <w:tr w14:paraId="6135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482" w:type="dxa"/>
            <w:vMerge w:val="restart"/>
            <w:noWrap w:val="0"/>
            <w:vAlign w:val="center"/>
          </w:tcPr>
          <w:p w14:paraId="192D6F15">
            <w:pPr>
              <w:spacing w:line="240" w:lineRule="exact"/>
              <w:jc w:val="center"/>
              <w:rPr>
                <w:color w:val="auto"/>
                <w:kern w:val="0"/>
                <w:szCs w:val="21"/>
                <w:highlight w:val="none"/>
              </w:rPr>
            </w:pPr>
            <w:r>
              <w:rPr>
                <w:rFonts w:hint="eastAsia"/>
                <w:color w:val="auto"/>
                <w:kern w:val="0"/>
                <w:szCs w:val="21"/>
                <w:highlight w:val="none"/>
              </w:rPr>
              <w:t>商务资信</w:t>
            </w:r>
          </w:p>
        </w:tc>
        <w:tc>
          <w:tcPr>
            <w:tcW w:w="2286" w:type="dxa"/>
            <w:noWrap w:val="0"/>
            <w:vAlign w:val="center"/>
          </w:tcPr>
          <w:p w14:paraId="1D833058">
            <w:pPr>
              <w:spacing w:line="240" w:lineRule="exact"/>
              <w:rPr>
                <w:color w:val="auto"/>
                <w:highlight w:val="none"/>
              </w:rPr>
            </w:pPr>
            <w:r>
              <w:rPr>
                <w:rFonts w:hint="eastAsia"/>
                <w:color w:val="auto"/>
                <w:highlight w:val="none"/>
              </w:rPr>
              <w:t>法定代表人身份证明及授权委托书</w:t>
            </w:r>
          </w:p>
        </w:tc>
        <w:tc>
          <w:tcPr>
            <w:tcW w:w="4984" w:type="dxa"/>
            <w:noWrap w:val="0"/>
            <w:vAlign w:val="center"/>
          </w:tcPr>
          <w:p w14:paraId="463853C6">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43FE824C">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57C6F0BB">
            <w:pPr>
              <w:spacing w:line="240" w:lineRule="exact"/>
              <w:rPr>
                <w:color w:val="auto"/>
                <w:highlight w:val="none"/>
              </w:rPr>
            </w:pPr>
            <w:r>
              <w:rPr>
                <w:rFonts w:ascii="宋体" w:hAnsi="宋体"/>
                <w:color w:val="auto"/>
                <w:szCs w:val="21"/>
                <w:highlight w:val="none"/>
              </w:rPr>
              <w:t>格式及附件见第</w:t>
            </w:r>
            <w:r>
              <w:rPr>
                <w:rFonts w:hint="eastAsia"/>
                <w:color w:val="auto"/>
                <w:szCs w:val="21"/>
                <w:highlight w:val="none"/>
              </w:rPr>
              <w:t>七</w:t>
            </w:r>
            <w:r>
              <w:rPr>
                <w:rFonts w:ascii="宋体" w:hAnsi="宋体"/>
                <w:color w:val="auto"/>
                <w:szCs w:val="21"/>
                <w:highlight w:val="none"/>
              </w:rPr>
              <w:t>章响应文件格式要求</w:t>
            </w:r>
          </w:p>
        </w:tc>
      </w:tr>
      <w:tr w14:paraId="18AA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82" w:type="dxa"/>
            <w:vMerge w:val="continue"/>
            <w:noWrap w:val="0"/>
            <w:vAlign w:val="center"/>
          </w:tcPr>
          <w:p w14:paraId="3FF704DF">
            <w:pPr>
              <w:spacing w:line="240" w:lineRule="exact"/>
              <w:jc w:val="center"/>
              <w:rPr>
                <w:color w:val="auto"/>
                <w:kern w:val="0"/>
                <w:szCs w:val="21"/>
                <w:highlight w:val="none"/>
              </w:rPr>
            </w:pPr>
          </w:p>
        </w:tc>
        <w:tc>
          <w:tcPr>
            <w:tcW w:w="2286" w:type="dxa"/>
            <w:noWrap w:val="0"/>
            <w:vAlign w:val="center"/>
          </w:tcPr>
          <w:p w14:paraId="6F2534CC">
            <w:pPr>
              <w:spacing w:line="240" w:lineRule="exact"/>
              <w:rPr>
                <w:color w:val="auto"/>
                <w:szCs w:val="21"/>
                <w:highlight w:val="none"/>
              </w:rPr>
            </w:pPr>
            <w:r>
              <w:rPr>
                <w:rFonts w:hint="eastAsia"/>
                <w:color w:val="auto"/>
                <w:szCs w:val="21"/>
                <w:highlight w:val="none"/>
              </w:rPr>
              <w:t>实质性条款响应</w:t>
            </w:r>
          </w:p>
        </w:tc>
        <w:tc>
          <w:tcPr>
            <w:tcW w:w="4984" w:type="dxa"/>
            <w:noWrap w:val="0"/>
            <w:vAlign w:val="center"/>
          </w:tcPr>
          <w:p w14:paraId="40A3441E">
            <w:pPr>
              <w:spacing w:line="240" w:lineRule="exact"/>
              <w:rPr>
                <w:color w:val="auto"/>
                <w:szCs w:val="21"/>
                <w:highlight w:val="none"/>
              </w:rPr>
            </w:pPr>
            <w:r>
              <w:rPr>
                <w:rFonts w:hint="eastAsia" w:ascii="宋体" w:hAnsi="宋体"/>
                <w:color w:val="auto"/>
                <w:szCs w:val="21"/>
                <w:highlight w:val="none"/>
              </w:rPr>
              <w:t>征集文件第二章采购需求响应均无负偏离</w:t>
            </w:r>
          </w:p>
        </w:tc>
      </w:tr>
      <w:tr w14:paraId="60EB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82" w:type="dxa"/>
            <w:vMerge w:val="continue"/>
            <w:noWrap w:val="0"/>
            <w:vAlign w:val="center"/>
          </w:tcPr>
          <w:p w14:paraId="48321E96">
            <w:pPr>
              <w:spacing w:line="240" w:lineRule="exact"/>
              <w:jc w:val="center"/>
              <w:rPr>
                <w:color w:val="auto"/>
                <w:kern w:val="0"/>
                <w:szCs w:val="21"/>
                <w:highlight w:val="none"/>
              </w:rPr>
            </w:pPr>
          </w:p>
        </w:tc>
        <w:tc>
          <w:tcPr>
            <w:tcW w:w="2286" w:type="dxa"/>
            <w:noWrap w:val="0"/>
            <w:vAlign w:val="center"/>
          </w:tcPr>
          <w:p w14:paraId="3AECFE36">
            <w:pPr>
              <w:spacing w:line="240" w:lineRule="exact"/>
              <w:rPr>
                <w:color w:val="auto"/>
                <w:szCs w:val="21"/>
                <w:highlight w:val="none"/>
              </w:rPr>
            </w:pPr>
            <w:r>
              <w:rPr>
                <w:rFonts w:hint="eastAsia"/>
                <w:color w:val="auto"/>
                <w:szCs w:val="21"/>
                <w:highlight w:val="none"/>
              </w:rPr>
              <w:t>串通响应</w:t>
            </w:r>
          </w:p>
        </w:tc>
        <w:tc>
          <w:tcPr>
            <w:tcW w:w="4984" w:type="dxa"/>
            <w:noWrap w:val="0"/>
            <w:vAlign w:val="center"/>
          </w:tcPr>
          <w:p w14:paraId="3ACB64C6">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2.5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规定的串通响应情形，见</w:t>
            </w:r>
            <w:r>
              <w:rPr>
                <w:rFonts w:ascii="宋体" w:hAnsi="宋体"/>
                <w:color w:val="auto"/>
                <w:szCs w:val="21"/>
                <w:highlight w:val="none"/>
              </w:rPr>
              <w:t>第</w:t>
            </w:r>
            <w:r>
              <w:rPr>
                <w:rFonts w:hint="eastAsia"/>
                <w:color w:val="auto"/>
                <w:szCs w:val="21"/>
                <w:highlight w:val="none"/>
              </w:rPr>
              <w:t>七</w:t>
            </w:r>
            <w:r>
              <w:rPr>
                <w:rFonts w:ascii="宋体" w:hAnsi="宋体"/>
                <w:color w:val="auto"/>
                <w:szCs w:val="21"/>
                <w:highlight w:val="none"/>
              </w:rPr>
              <w:t>章响应文件格式要求</w:t>
            </w:r>
          </w:p>
        </w:tc>
      </w:tr>
      <w:tr w14:paraId="15E6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82" w:type="dxa"/>
            <w:vMerge w:val="restart"/>
            <w:noWrap w:val="0"/>
            <w:vAlign w:val="center"/>
          </w:tcPr>
          <w:p w14:paraId="3A1D2FEE">
            <w:pPr>
              <w:spacing w:line="240" w:lineRule="exact"/>
              <w:jc w:val="center"/>
              <w:rPr>
                <w:color w:val="auto"/>
                <w:kern w:val="0"/>
                <w:szCs w:val="21"/>
                <w:highlight w:val="none"/>
              </w:rPr>
            </w:pPr>
            <w:r>
              <w:rPr>
                <w:rFonts w:hint="eastAsia"/>
                <w:color w:val="auto"/>
                <w:kern w:val="0"/>
                <w:szCs w:val="21"/>
                <w:highlight w:val="none"/>
              </w:rPr>
              <w:t>报价</w:t>
            </w:r>
            <w:r>
              <w:rPr>
                <w:rFonts w:hint="eastAsia"/>
                <w:b/>
                <w:bCs/>
                <w:color w:val="auto"/>
                <w:kern w:val="0"/>
                <w:szCs w:val="21"/>
                <w:highlight w:val="none"/>
              </w:rPr>
              <w:t>（如本项目需要报价时）</w:t>
            </w:r>
          </w:p>
        </w:tc>
        <w:tc>
          <w:tcPr>
            <w:tcW w:w="2286" w:type="dxa"/>
            <w:tcBorders>
              <w:top w:val="single" w:color="auto" w:sz="4" w:space="0"/>
              <w:left w:val="single" w:color="auto" w:sz="4" w:space="0"/>
              <w:bottom w:val="single" w:color="auto" w:sz="4" w:space="0"/>
              <w:right w:val="single" w:color="auto" w:sz="4" w:space="0"/>
            </w:tcBorders>
            <w:noWrap w:val="0"/>
            <w:vAlign w:val="center"/>
          </w:tcPr>
          <w:p w14:paraId="50521831">
            <w:pPr>
              <w:spacing w:line="240" w:lineRule="exact"/>
              <w:rPr>
                <w:color w:val="auto"/>
                <w:szCs w:val="21"/>
                <w:highlight w:val="none"/>
              </w:rPr>
            </w:pPr>
            <w:r>
              <w:rPr>
                <w:rFonts w:hint="eastAsia"/>
                <w:color w:val="auto"/>
                <w:szCs w:val="21"/>
                <w:highlight w:val="none"/>
              </w:rPr>
              <w:t>有效报价</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01D843B3">
            <w:pPr>
              <w:spacing w:line="240" w:lineRule="exact"/>
              <w:rPr>
                <w:bCs/>
                <w:color w:val="auto"/>
                <w:kern w:val="0"/>
                <w:szCs w:val="21"/>
                <w:highlight w:val="none"/>
              </w:rPr>
            </w:pPr>
            <w:r>
              <w:rPr>
                <w:rFonts w:hint="eastAsia"/>
                <w:color w:val="auto"/>
                <w:highlight w:val="none"/>
              </w:rPr>
              <w:t>报价未超出最高限制单价，有分项的不超过分项最高限制单价</w:t>
            </w:r>
          </w:p>
        </w:tc>
      </w:tr>
      <w:tr w14:paraId="0156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82" w:type="dxa"/>
            <w:vMerge w:val="continue"/>
            <w:noWrap w:val="0"/>
            <w:vAlign w:val="center"/>
          </w:tcPr>
          <w:p w14:paraId="74380434">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noWrap w:val="0"/>
            <w:vAlign w:val="center"/>
          </w:tcPr>
          <w:p w14:paraId="6D914A95">
            <w:pPr>
              <w:spacing w:line="240" w:lineRule="exact"/>
              <w:rPr>
                <w:bCs/>
                <w:color w:val="auto"/>
                <w:kern w:val="0"/>
                <w:szCs w:val="21"/>
                <w:highlight w:val="none"/>
              </w:rPr>
            </w:pPr>
            <w:r>
              <w:rPr>
                <w:rFonts w:hint="eastAsia"/>
                <w:bCs/>
                <w:color w:val="auto"/>
                <w:kern w:val="0"/>
                <w:szCs w:val="21"/>
                <w:highlight w:val="none"/>
              </w:rPr>
              <w:t>漏项报价</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1BAB2605">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56E6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2" w:type="dxa"/>
            <w:vMerge w:val="continue"/>
            <w:noWrap w:val="0"/>
            <w:vAlign w:val="center"/>
          </w:tcPr>
          <w:p w14:paraId="6BB781F0">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noWrap w:val="0"/>
            <w:vAlign w:val="center"/>
          </w:tcPr>
          <w:p w14:paraId="3B918A21">
            <w:pPr>
              <w:spacing w:line="240" w:lineRule="exact"/>
              <w:rPr>
                <w:rFonts w:hAnsi="宋体"/>
                <w:color w:val="auto"/>
                <w:szCs w:val="21"/>
                <w:highlight w:val="none"/>
              </w:rPr>
            </w:pPr>
            <w:r>
              <w:rPr>
                <w:rFonts w:hint="eastAsia" w:hAnsi="宋体"/>
                <w:color w:val="auto"/>
                <w:szCs w:val="21"/>
                <w:highlight w:val="none"/>
              </w:rPr>
              <w:t>响应报价唯一性</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79DE674F">
            <w:pPr>
              <w:spacing w:line="240" w:lineRule="exact"/>
              <w:rPr>
                <w:color w:val="auto"/>
                <w:szCs w:val="21"/>
                <w:highlight w:val="none"/>
              </w:rPr>
            </w:pPr>
            <w:r>
              <w:rPr>
                <w:rFonts w:hint="eastAsia" w:ascii="宋体" w:hAnsi="宋体"/>
                <w:color w:val="auto"/>
                <w:szCs w:val="21"/>
                <w:highlight w:val="none"/>
              </w:rPr>
              <w:t>不存在有选择、有条件报价（征集文件允许有备选方案或者其他约定的除外）</w:t>
            </w:r>
          </w:p>
        </w:tc>
      </w:tr>
      <w:tr w14:paraId="517A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82" w:type="dxa"/>
            <w:vMerge w:val="continue"/>
            <w:noWrap w:val="0"/>
            <w:vAlign w:val="center"/>
          </w:tcPr>
          <w:p w14:paraId="2AE85C82">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noWrap w:val="0"/>
            <w:vAlign w:val="center"/>
          </w:tcPr>
          <w:p w14:paraId="133C1546">
            <w:pPr>
              <w:spacing w:line="240" w:lineRule="exact"/>
              <w:rPr>
                <w:color w:val="auto"/>
                <w:szCs w:val="21"/>
                <w:highlight w:val="none"/>
                <w:lang w:val="zh-CN"/>
              </w:rPr>
            </w:pPr>
            <w:r>
              <w:rPr>
                <w:rFonts w:hint="eastAsia"/>
                <w:color w:val="auto"/>
                <w:szCs w:val="21"/>
                <w:highlight w:val="none"/>
                <w:lang w:val="zh-CN"/>
              </w:rPr>
              <w:t>过低报价合理性</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06ACA7B5">
            <w:pPr>
              <w:spacing w:line="240" w:lineRule="exact"/>
              <w:rPr>
                <w:rFonts w:hAnsi="宋体"/>
                <w:color w:val="auto"/>
                <w:szCs w:val="21"/>
                <w:highlight w:val="none"/>
              </w:rPr>
            </w:pPr>
            <w:r>
              <w:rPr>
                <w:color w:val="auto"/>
                <w:highlight w:val="none"/>
              </w:rPr>
              <w:t>供应商的报价</w:t>
            </w:r>
            <w:r>
              <w:rPr>
                <w:rFonts w:hint="eastAsia"/>
                <w:color w:val="auto"/>
                <w:highlight w:val="none"/>
              </w:rPr>
              <w:t>不存在</w:t>
            </w:r>
            <w:r>
              <w:rPr>
                <w:color w:val="auto"/>
                <w:highlight w:val="none"/>
              </w:rPr>
              <w:t>明显低于其他通过符合性审查供应商报价</w:t>
            </w:r>
            <w:r>
              <w:rPr>
                <w:rFonts w:hint="eastAsia"/>
                <w:color w:val="auto"/>
                <w:highlight w:val="none"/>
              </w:rPr>
              <w:t>的情况</w:t>
            </w:r>
            <w:r>
              <w:rPr>
                <w:color w:val="auto"/>
                <w:highlight w:val="none"/>
              </w:rPr>
              <w:t>，</w:t>
            </w:r>
            <w:r>
              <w:rPr>
                <w:rFonts w:hint="eastAsia"/>
                <w:color w:val="auto"/>
                <w:highlight w:val="none"/>
              </w:rPr>
              <w:t>并可能</w:t>
            </w:r>
            <w:r>
              <w:rPr>
                <w:color w:val="auto"/>
                <w:highlight w:val="none"/>
              </w:rPr>
              <w:t>影响产品质量或者不能诚信履约</w:t>
            </w:r>
            <w:r>
              <w:rPr>
                <w:rFonts w:hint="eastAsia"/>
                <w:color w:val="auto"/>
                <w:highlight w:val="none"/>
              </w:rPr>
              <w:t>。</w:t>
            </w:r>
            <w:r>
              <w:rPr>
                <w:rFonts w:hint="eastAsia"/>
                <w:color w:val="auto"/>
                <w:szCs w:val="21"/>
                <w:highlight w:val="none"/>
              </w:rPr>
              <w:t>如存在应提供书面说明，必要时提交相关证明材料；</w:t>
            </w:r>
          </w:p>
        </w:tc>
      </w:tr>
      <w:tr w14:paraId="0380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82" w:type="dxa"/>
            <w:vMerge w:val="continue"/>
            <w:noWrap w:val="0"/>
            <w:vAlign w:val="center"/>
          </w:tcPr>
          <w:p w14:paraId="1D48D9A5">
            <w:pPr>
              <w:spacing w:line="240" w:lineRule="exact"/>
              <w:jc w:val="center"/>
              <w:rPr>
                <w:color w:val="auto"/>
                <w:kern w:val="0"/>
                <w:szCs w:val="21"/>
                <w:highlight w:val="none"/>
              </w:rPr>
            </w:pPr>
          </w:p>
        </w:tc>
        <w:tc>
          <w:tcPr>
            <w:tcW w:w="2286" w:type="dxa"/>
            <w:tcBorders>
              <w:top w:val="single" w:color="auto" w:sz="4" w:space="0"/>
              <w:left w:val="single" w:color="auto" w:sz="4" w:space="0"/>
              <w:bottom w:val="single" w:color="auto" w:sz="4" w:space="0"/>
              <w:right w:val="single" w:color="auto" w:sz="4" w:space="0"/>
            </w:tcBorders>
            <w:noWrap w:val="0"/>
            <w:vAlign w:val="center"/>
          </w:tcPr>
          <w:p w14:paraId="385E5AC4">
            <w:pPr>
              <w:spacing w:line="240" w:lineRule="exact"/>
              <w:rPr>
                <w:rFonts w:ascii="宋体" w:hAnsi="宋体"/>
                <w:color w:val="auto"/>
                <w:szCs w:val="21"/>
                <w:highlight w:val="none"/>
              </w:rPr>
            </w:pPr>
            <w:r>
              <w:rPr>
                <w:rFonts w:hint="eastAsia"/>
                <w:color w:val="auto"/>
                <w:szCs w:val="21"/>
                <w:highlight w:val="none"/>
              </w:rPr>
              <w:t>响应有效期</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BE6C4BE">
            <w:pPr>
              <w:spacing w:line="240" w:lineRule="exact"/>
              <w:rPr>
                <w:color w:val="auto"/>
                <w:szCs w:val="21"/>
                <w:highlight w:val="none"/>
              </w:rPr>
            </w:pPr>
            <w:r>
              <w:rPr>
                <w:rFonts w:hint="eastAsia" w:ascii="宋体" w:hAnsi="宋体"/>
                <w:color w:val="auto"/>
                <w:szCs w:val="21"/>
                <w:highlight w:val="none"/>
              </w:rPr>
              <w:t>满足征集文件规定</w:t>
            </w:r>
          </w:p>
        </w:tc>
      </w:tr>
      <w:bookmarkEnd w:id="73"/>
    </w:tbl>
    <w:p w14:paraId="5599CF0E">
      <w:pPr>
        <w:tabs>
          <w:tab w:val="left" w:pos="993"/>
        </w:tabs>
        <w:spacing w:line="300" w:lineRule="exact"/>
        <w:ind w:left="426"/>
        <w:rPr>
          <w:rFonts w:ascii="Arial" w:hAnsi="Arial" w:cs="Arial"/>
          <w:b/>
          <w:bCs/>
          <w:color w:val="auto"/>
          <w:kern w:val="0"/>
          <w:szCs w:val="21"/>
          <w:highlight w:val="none"/>
        </w:rPr>
        <w:sectPr>
          <w:headerReference r:id="rId14" w:type="first"/>
          <w:headerReference r:id="rId13" w:type="default"/>
          <w:footerReference r:id="rId15" w:type="default"/>
          <w:pgSz w:w="11906" w:h="16838"/>
          <w:pgMar w:top="1418" w:right="1133" w:bottom="1246" w:left="1418" w:header="851" w:footer="992" w:gutter="0"/>
          <w:cols w:space="720" w:num="1"/>
          <w:docGrid w:linePitch="312" w:charSpace="0"/>
        </w:sectPr>
      </w:pPr>
    </w:p>
    <w:p w14:paraId="6A1BCFA6">
      <w:pPr>
        <w:spacing w:before="120" w:line="320" w:lineRule="atLeast"/>
        <w:outlineLvl w:val="1"/>
        <w:rPr>
          <w:rFonts w:hint="eastAsia"/>
          <w:b/>
          <w:bCs/>
          <w:color w:val="auto"/>
          <w:kern w:val="0"/>
          <w:szCs w:val="21"/>
          <w:highlight w:val="none"/>
        </w:rPr>
      </w:pP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p w14:paraId="586F7363">
      <w:pPr>
        <w:ind w:firstLine="42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）技术及商务资信分</w:t>
      </w:r>
    </w:p>
    <w:tbl>
      <w:tblPr>
        <w:tblStyle w:val="5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51"/>
        <w:gridCol w:w="4967"/>
        <w:gridCol w:w="1102"/>
        <w:gridCol w:w="1470"/>
      </w:tblGrid>
      <w:tr w14:paraId="0A91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noWrap w:val="0"/>
            <w:vAlign w:val="center"/>
          </w:tcPr>
          <w:p w14:paraId="1B421DEA">
            <w:pPr>
              <w:jc w:val="center"/>
              <w:rPr>
                <w:rFonts w:ascii="Times New Roman" w:hAnsi="Times New Roman" w:eastAsia="宋体" w:cs="Times New Roman"/>
                <w:b/>
                <w:color w:val="auto"/>
                <w:szCs w:val="21"/>
                <w:highlight w:val="none"/>
              </w:rPr>
            </w:pPr>
            <w:bookmarkStart w:id="74" w:name="_Hlk99126794"/>
            <w:r>
              <w:rPr>
                <w:rFonts w:ascii="Times New Roman" w:hAnsi="Times New Roman" w:eastAsia="宋体" w:cs="Times New Roman"/>
                <w:b/>
                <w:color w:val="auto"/>
                <w:szCs w:val="21"/>
                <w:highlight w:val="none"/>
              </w:rPr>
              <w:t>序号</w:t>
            </w:r>
          </w:p>
        </w:tc>
        <w:tc>
          <w:tcPr>
            <w:tcW w:w="851" w:type="dxa"/>
            <w:noWrap w:val="0"/>
            <w:vAlign w:val="center"/>
          </w:tcPr>
          <w:p w14:paraId="528C9DDC">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类型</w:t>
            </w:r>
          </w:p>
        </w:tc>
        <w:tc>
          <w:tcPr>
            <w:tcW w:w="4967" w:type="dxa"/>
            <w:noWrap w:val="0"/>
            <w:vAlign w:val="center"/>
          </w:tcPr>
          <w:p w14:paraId="39D536D7">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评分标准</w:t>
            </w:r>
          </w:p>
        </w:tc>
        <w:tc>
          <w:tcPr>
            <w:tcW w:w="1102" w:type="dxa"/>
            <w:noWrap w:val="0"/>
            <w:vAlign w:val="center"/>
          </w:tcPr>
          <w:p w14:paraId="410349DB">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分值权重</w:t>
            </w:r>
          </w:p>
        </w:tc>
        <w:tc>
          <w:tcPr>
            <w:tcW w:w="1470" w:type="dxa"/>
            <w:noWrap w:val="0"/>
            <w:vAlign w:val="center"/>
          </w:tcPr>
          <w:p w14:paraId="4AC01A69">
            <w:pPr>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说明</w:t>
            </w:r>
          </w:p>
        </w:tc>
      </w:tr>
      <w:tr w14:paraId="25E1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428" w:type="dxa"/>
            <w:vMerge w:val="restart"/>
            <w:noWrap w:val="0"/>
            <w:vAlign w:val="center"/>
          </w:tcPr>
          <w:p w14:paraId="7C63785D">
            <w:pPr>
              <w:jc w:val="center"/>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w:t>
            </w:r>
          </w:p>
        </w:tc>
        <w:tc>
          <w:tcPr>
            <w:tcW w:w="851" w:type="dxa"/>
            <w:vMerge w:val="restart"/>
            <w:noWrap w:val="0"/>
            <w:vAlign w:val="center"/>
          </w:tcPr>
          <w:p w14:paraId="3E075AB0">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技术分 </w:t>
            </w:r>
          </w:p>
          <w:p w14:paraId="5876DC8C">
            <w:pPr>
              <w:jc w:val="center"/>
              <w:rPr>
                <w:rFonts w:ascii="Times New Roman" w:hAnsi="Times New Roman" w:eastAsia="宋体" w:cs="Times New Roman"/>
                <w:b/>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85</w:t>
            </w:r>
            <w:r>
              <w:rPr>
                <w:rFonts w:ascii="Times New Roman" w:hAnsi="Times New Roman" w:eastAsia="宋体" w:cs="Times New Roman"/>
                <w:color w:val="auto"/>
                <w:szCs w:val="21"/>
                <w:highlight w:val="none"/>
              </w:rPr>
              <w:t>分）</w:t>
            </w:r>
          </w:p>
        </w:tc>
        <w:tc>
          <w:tcPr>
            <w:tcW w:w="4967" w:type="dxa"/>
            <w:tcBorders>
              <w:top w:val="single" w:color="auto" w:sz="4" w:space="0"/>
              <w:left w:val="single" w:color="auto" w:sz="4" w:space="0"/>
              <w:bottom w:val="single" w:color="auto" w:sz="4" w:space="0"/>
              <w:right w:val="single" w:color="auto" w:sz="4" w:space="0"/>
            </w:tcBorders>
            <w:noWrap w:val="0"/>
            <w:vAlign w:val="center"/>
          </w:tcPr>
          <w:p w14:paraId="087FFEE2">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1、拟派评审人员资格（客观分）</w:t>
            </w:r>
          </w:p>
          <w:p w14:paraId="61E82E43">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（1）人员中具有一级造价工程师资格1人得</w:t>
            </w:r>
            <w:r>
              <w:rPr>
                <w:rFonts w:hint="eastAsia" w:ascii="宋体" w:hAnsi="宋体" w:cs="宋体"/>
                <w:bCs/>
                <w:color w:val="auto"/>
                <w:szCs w:val="21"/>
                <w:highlight w:val="none"/>
                <w:lang w:val="en-US" w:eastAsia="zh-CN" w:bidi="ar"/>
              </w:rPr>
              <w:t>5</w:t>
            </w:r>
            <w:r>
              <w:rPr>
                <w:rFonts w:hint="eastAsia" w:ascii="宋体" w:hAnsi="宋体" w:eastAsia="宋体" w:cs="宋体"/>
                <w:bCs/>
                <w:color w:val="auto"/>
                <w:szCs w:val="21"/>
                <w:highlight w:val="none"/>
                <w:lang w:bidi="ar"/>
              </w:rPr>
              <w:t>分。（此项满分</w:t>
            </w:r>
            <w:r>
              <w:rPr>
                <w:rFonts w:hint="eastAsia" w:ascii="宋体" w:hAnsi="宋体" w:cs="宋体"/>
                <w:bCs/>
                <w:color w:val="auto"/>
                <w:szCs w:val="21"/>
                <w:highlight w:val="none"/>
                <w:lang w:val="en-US" w:eastAsia="zh-CN" w:bidi="ar"/>
              </w:rPr>
              <w:t>30</w:t>
            </w:r>
            <w:r>
              <w:rPr>
                <w:rFonts w:hint="eastAsia" w:ascii="宋体" w:hAnsi="宋体" w:eastAsia="宋体" w:cs="宋体"/>
                <w:bCs/>
                <w:color w:val="auto"/>
                <w:szCs w:val="21"/>
                <w:highlight w:val="none"/>
                <w:lang w:bidi="ar"/>
              </w:rPr>
              <w:t>分）</w:t>
            </w:r>
          </w:p>
          <w:p w14:paraId="6F93C49D">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（2）人员中具有二级造价工程师资格1人得</w:t>
            </w:r>
            <w:r>
              <w:rPr>
                <w:rFonts w:hint="eastAsia" w:ascii="宋体" w:hAnsi="宋体" w:cs="宋体"/>
                <w:bCs/>
                <w:color w:val="auto"/>
                <w:szCs w:val="21"/>
                <w:highlight w:val="none"/>
                <w:lang w:val="en-US" w:eastAsia="zh-CN" w:bidi="ar"/>
              </w:rPr>
              <w:t>2.5</w:t>
            </w:r>
            <w:r>
              <w:rPr>
                <w:rFonts w:hint="eastAsia" w:ascii="宋体" w:hAnsi="宋体" w:eastAsia="宋体" w:cs="宋体"/>
                <w:bCs/>
                <w:color w:val="auto"/>
                <w:szCs w:val="21"/>
                <w:highlight w:val="none"/>
                <w:lang w:bidi="ar"/>
              </w:rPr>
              <w:t>分。（此项满分</w:t>
            </w:r>
            <w:r>
              <w:rPr>
                <w:rFonts w:hint="eastAsia" w:ascii="宋体" w:hAnsi="宋体" w:cs="宋体"/>
                <w:bCs/>
                <w:color w:val="auto"/>
                <w:szCs w:val="21"/>
                <w:highlight w:val="none"/>
                <w:lang w:val="en-US" w:eastAsia="zh-CN" w:bidi="ar"/>
              </w:rPr>
              <w:t>10</w:t>
            </w:r>
            <w:r>
              <w:rPr>
                <w:rFonts w:hint="eastAsia" w:ascii="宋体" w:hAnsi="宋体" w:eastAsia="宋体" w:cs="宋体"/>
                <w:bCs/>
                <w:color w:val="auto"/>
                <w:szCs w:val="21"/>
                <w:highlight w:val="none"/>
                <w:lang w:bidi="ar"/>
              </w:rPr>
              <w:t>分）</w:t>
            </w:r>
          </w:p>
          <w:p w14:paraId="58B7DDF2">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（3）人员中造价工程师专业包括土建、安装、公路、水利四类得</w:t>
            </w:r>
            <w:r>
              <w:rPr>
                <w:rFonts w:hint="eastAsia" w:ascii="宋体" w:hAnsi="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分，专业缺一类不得分。（此项满分</w:t>
            </w:r>
            <w:r>
              <w:rPr>
                <w:rFonts w:hint="eastAsia" w:ascii="宋体" w:hAnsi="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w:t>
            </w:r>
          </w:p>
          <w:p w14:paraId="0D24281D">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注：①已有一级造价工程师按（1）计分的人员，不再计入二级造价工程师（2）得分。</w:t>
            </w:r>
          </w:p>
          <w:p w14:paraId="21898FE0">
            <w:pPr>
              <w:jc w:val="left"/>
              <w:rPr>
                <w:rFonts w:ascii="Times New Roman" w:hAnsi="Times New Roman" w:eastAsia="宋体" w:cs="Times New Roman"/>
                <w:b/>
                <w:color w:val="auto"/>
                <w:szCs w:val="21"/>
                <w:highlight w:val="none"/>
              </w:rPr>
            </w:pPr>
            <w:r>
              <w:rPr>
                <w:rFonts w:hint="eastAsia" w:ascii="宋体" w:hAnsi="宋体" w:eastAsia="宋体" w:cs="宋体"/>
                <w:bCs/>
                <w:color w:val="auto"/>
                <w:szCs w:val="21"/>
                <w:highlight w:val="none"/>
                <w:lang w:bidi="ar"/>
              </w:rPr>
              <w:t>②如（1）已得满分情况下，未计入（1）的一级造价工程师可按二级造价工程师（2）得分。</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51ABC10">
            <w:pPr>
              <w:jc w:val="center"/>
              <w:rPr>
                <w:rFonts w:hint="default" w:ascii="Times New Roman" w:hAnsi="Times New Roman" w:eastAsia="宋体" w:cs="Times New Roman"/>
                <w:b/>
                <w:color w:val="auto"/>
                <w:szCs w:val="21"/>
                <w:highlight w:val="none"/>
                <w:lang w:val="en-US" w:eastAsia="zh-CN"/>
              </w:rPr>
            </w:pPr>
            <w:r>
              <w:rPr>
                <w:rFonts w:hint="eastAsia" w:ascii="宋体" w:hAnsi="宋体" w:eastAsia="宋体" w:cs="宋体"/>
                <w:bCs/>
                <w:color w:val="auto"/>
                <w:szCs w:val="21"/>
                <w:highlight w:val="none"/>
                <w:lang w:bidi="ar"/>
              </w:rPr>
              <w:t>0-</w:t>
            </w:r>
            <w:r>
              <w:rPr>
                <w:rFonts w:hint="eastAsia" w:ascii="宋体" w:hAnsi="宋体" w:cs="宋体"/>
                <w:bCs/>
                <w:color w:val="auto"/>
                <w:szCs w:val="21"/>
                <w:highlight w:val="none"/>
                <w:lang w:val="en-US" w:eastAsia="zh-CN" w:bidi="ar"/>
              </w:rPr>
              <w:t>41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FBA9F32">
            <w:pPr>
              <w:jc w:val="left"/>
              <w:rPr>
                <w:rFonts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1.附注册证书或资格证，否则不得分。</w:t>
            </w:r>
          </w:p>
          <w:p w14:paraId="183C5598">
            <w:pPr>
              <w:jc w:val="left"/>
              <w:rPr>
                <w:rFonts w:ascii="Times New Roman" w:hAnsi="Times New Roman" w:eastAsia="宋体" w:cs="Times New Roman"/>
                <w:b/>
                <w:color w:val="auto"/>
                <w:szCs w:val="21"/>
                <w:highlight w:val="none"/>
              </w:rPr>
            </w:pPr>
            <w:r>
              <w:rPr>
                <w:rFonts w:hint="eastAsia" w:ascii="Times New Roman" w:hAnsi="Times New Roman" w:eastAsia="宋体" w:cs="Times New Roman"/>
                <w:bCs/>
                <w:color w:val="auto"/>
                <w:highlight w:val="none"/>
                <w:lang w:val="en-US" w:eastAsia="zh-CN"/>
              </w:rPr>
              <w:t>2</w:t>
            </w:r>
            <w:r>
              <w:rPr>
                <w:rFonts w:hint="eastAsia" w:ascii="Times New Roman" w:hAnsi="Times New Roman" w:eastAsia="宋体" w:cs="Times New Roman"/>
                <w:bCs/>
                <w:color w:val="auto"/>
                <w:highlight w:val="none"/>
              </w:rPr>
              <w:t>.公路</w:t>
            </w:r>
            <w:r>
              <w:rPr>
                <w:rFonts w:ascii="Times New Roman" w:hAnsi="Times New Roman" w:eastAsia="宋体" w:cs="Times New Roman"/>
                <w:bCs/>
                <w:color w:val="auto"/>
                <w:highlight w:val="none"/>
              </w:rPr>
              <w:t>甲级造价师</w:t>
            </w:r>
            <w:r>
              <w:rPr>
                <w:rFonts w:hint="eastAsia" w:ascii="Times New Roman" w:hAnsi="Times New Roman" w:eastAsia="宋体" w:cs="Times New Roman"/>
                <w:bCs/>
                <w:color w:val="auto"/>
                <w:highlight w:val="none"/>
              </w:rPr>
              <w:t>、</w:t>
            </w:r>
            <w:r>
              <w:rPr>
                <w:rFonts w:ascii="Times New Roman" w:hAnsi="Times New Roman" w:eastAsia="宋体" w:cs="Times New Roman"/>
                <w:bCs/>
                <w:color w:val="auto"/>
                <w:highlight w:val="none"/>
              </w:rPr>
              <w:t>水利工程造价工程师</w:t>
            </w:r>
            <w:r>
              <w:rPr>
                <w:rFonts w:hint="eastAsia" w:ascii="Times New Roman" w:hAnsi="Times New Roman" w:eastAsia="宋体" w:cs="Times New Roman"/>
                <w:bCs/>
                <w:color w:val="auto"/>
                <w:highlight w:val="none"/>
              </w:rPr>
              <w:t>按一级</w:t>
            </w:r>
            <w:r>
              <w:rPr>
                <w:rFonts w:ascii="Times New Roman" w:hAnsi="Times New Roman" w:eastAsia="宋体" w:cs="Times New Roman"/>
                <w:bCs/>
                <w:color w:val="auto"/>
                <w:highlight w:val="none"/>
              </w:rPr>
              <w:t>造价师计分</w:t>
            </w:r>
            <w:r>
              <w:rPr>
                <w:rFonts w:hint="eastAsia" w:ascii="Times New Roman" w:hAnsi="Times New Roman" w:eastAsia="宋体" w:cs="Times New Roman"/>
                <w:bCs/>
                <w:color w:val="auto"/>
                <w:highlight w:val="none"/>
              </w:rPr>
              <w:t>；公路乙</w:t>
            </w:r>
            <w:r>
              <w:rPr>
                <w:rFonts w:ascii="Times New Roman" w:hAnsi="Times New Roman" w:eastAsia="宋体" w:cs="Times New Roman"/>
                <w:bCs/>
                <w:color w:val="auto"/>
                <w:highlight w:val="none"/>
              </w:rPr>
              <w:t>级造价师</w:t>
            </w:r>
            <w:r>
              <w:rPr>
                <w:rFonts w:hint="eastAsia" w:ascii="Times New Roman" w:hAnsi="Times New Roman" w:eastAsia="宋体" w:cs="Times New Roman"/>
                <w:bCs/>
                <w:color w:val="auto"/>
                <w:highlight w:val="none"/>
              </w:rPr>
              <w:t>、</w:t>
            </w:r>
            <w:r>
              <w:rPr>
                <w:rFonts w:ascii="Times New Roman" w:hAnsi="Times New Roman" w:eastAsia="宋体" w:cs="Times New Roman"/>
                <w:bCs/>
                <w:color w:val="auto"/>
                <w:highlight w:val="none"/>
              </w:rPr>
              <w:t>造价</w:t>
            </w:r>
            <w:r>
              <w:rPr>
                <w:rFonts w:hint="eastAsia" w:ascii="Times New Roman" w:hAnsi="Times New Roman" w:eastAsia="宋体" w:cs="Times New Roman"/>
                <w:bCs/>
                <w:color w:val="auto"/>
                <w:highlight w:val="none"/>
              </w:rPr>
              <w:t>员按二级</w:t>
            </w:r>
            <w:r>
              <w:rPr>
                <w:rFonts w:ascii="Times New Roman" w:hAnsi="Times New Roman" w:eastAsia="宋体" w:cs="Times New Roman"/>
                <w:bCs/>
                <w:color w:val="auto"/>
                <w:highlight w:val="none"/>
              </w:rPr>
              <w:t>造价师计分</w:t>
            </w:r>
            <w:r>
              <w:rPr>
                <w:rFonts w:hint="eastAsia" w:ascii="Times New Roman" w:hAnsi="Times New Roman" w:eastAsia="宋体" w:cs="Times New Roman"/>
                <w:bCs/>
                <w:color w:val="auto"/>
                <w:highlight w:val="none"/>
              </w:rPr>
              <w:t>。下同。</w:t>
            </w:r>
          </w:p>
        </w:tc>
      </w:tr>
      <w:tr w14:paraId="44AB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noWrap w:val="0"/>
            <w:vAlign w:val="center"/>
          </w:tcPr>
          <w:p w14:paraId="6AE01E67">
            <w:pPr>
              <w:jc w:val="center"/>
              <w:rPr>
                <w:rFonts w:ascii="Times New Roman" w:hAnsi="Times New Roman" w:eastAsia="宋体" w:cs="Times New Roman"/>
                <w:b/>
                <w:color w:val="auto"/>
                <w:szCs w:val="21"/>
                <w:highlight w:val="none"/>
              </w:rPr>
            </w:pPr>
          </w:p>
        </w:tc>
        <w:tc>
          <w:tcPr>
            <w:tcW w:w="851" w:type="dxa"/>
            <w:vMerge w:val="continue"/>
            <w:noWrap w:val="0"/>
            <w:vAlign w:val="center"/>
          </w:tcPr>
          <w:p w14:paraId="5F80C7D1">
            <w:pPr>
              <w:jc w:val="center"/>
              <w:rPr>
                <w:rFonts w:ascii="Times New Roman" w:hAnsi="Times New Roman" w:eastAsia="宋体" w:cs="Times New Roman"/>
                <w:b/>
                <w:color w:val="auto"/>
                <w:szCs w:val="21"/>
                <w:highlight w:val="none"/>
              </w:rPr>
            </w:pPr>
          </w:p>
        </w:tc>
        <w:tc>
          <w:tcPr>
            <w:tcW w:w="4967" w:type="dxa"/>
            <w:tcBorders>
              <w:top w:val="single" w:color="auto" w:sz="4" w:space="0"/>
              <w:left w:val="single" w:color="auto" w:sz="4" w:space="0"/>
              <w:bottom w:val="single" w:color="auto" w:sz="4" w:space="0"/>
              <w:right w:val="single" w:color="auto" w:sz="4" w:space="0"/>
            </w:tcBorders>
            <w:noWrap w:val="0"/>
            <w:vAlign w:val="center"/>
          </w:tcPr>
          <w:p w14:paraId="3141ED6E">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2、拟派评审人员职称（客观分）</w:t>
            </w:r>
          </w:p>
          <w:p w14:paraId="22DD5D73">
            <w:pPr>
              <w:jc w:val="left"/>
              <w:rPr>
                <w:rFonts w:ascii="Times New Roman" w:hAnsi="Times New Roman" w:eastAsia="宋体" w:cs="Times New Roman"/>
                <w:b/>
                <w:color w:val="auto"/>
                <w:szCs w:val="21"/>
                <w:highlight w:val="none"/>
              </w:rPr>
            </w:pPr>
            <w:r>
              <w:rPr>
                <w:rFonts w:hint="eastAsia" w:ascii="宋体" w:hAnsi="宋体" w:eastAsia="宋体" w:cs="宋体"/>
                <w:bCs/>
                <w:color w:val="auto"/>
                <w:szCs w:val="21"/>
                <w:highlight w:val="none"/>
                <w:lang w:bidi="ar"/>
              </w:rPr>
              <w:t>人员中具有</w:t>
            </w:r>
            <w:r>
              <w:rPr>
                <w:rFonts w:hint="eastAsia" w:ascii="宋体" w:hAnsi="宋体" w:eastAsia="宋体" w:cs="宋体"/>
                <w:bCs/>
                <w:color w:val="auto"/>
                <w:szCs w:val="21"/>
                <w:highlight w:val="none"/>
                <w:lang w:val="en-US" w:eastAsia="zh-CN" w:bidi="ar"/>
              </w:rPr>
              <w:t>工程类</w:t>
            </w:r>
            <w:r>
              <w:rPr>
                <w:rFonts w:hint="eastAsia" w:ascii="宋体" w:hAnsi="宋体" w:eastAsia="宋体" w:cs="宋体"/>
                <w:bCs/>
                <w:color w:val="auto"/>
                <w:szCs w:val="21"/>
                <w:highlight w:val="none"/>
                <w:lang w:bidi="ar"/>
              </w:rPr>
              <w:t>高级工程师职称每人得</w:t>
            </w:r>
            <w:r>
              <w:rPr>
                <w:rFonts w:hint="eastAsia" w:ascii="宋体" w:hAnsi="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分；工程类</w:t>
            </w:r>
            <w:r>
              <w:rPr>
                <w:rFonts w:hint="eastAsia" w:ascii="宋体" w:hAnsi="宋体" w:eastAsia="宋体" w:cs="宋体"/>
                <w:bCs/>
                <w:color w:val="auto"/>
                <w:szCs w:val="21"/>
                <w:highlight w:val="none"/>
                <w:lang w:val="en-US" w:eastAsia="zh-CN" w:bidi="ar"/>
              </w:rPr>
              <w:t>中级</w:t>
            </w:r>
            <w:r>
              <w:rPr>
                <w:rFonts w:hint="eastAsia" w:ascii="宋体" w:hAnsi="宋体" w:eastAsia="宋体" w:cs="宋体"/>
                <w:bCs/>
                <w:color w:val="auto"/>
                <w:szCs w:val="21"/>
                <w:highlight w:val="none"/>
                <w:lang w:bidi="ar"/>
              </w:rPr>
              <w:t>职称每人得</w:t>
            </w:r>
            <w:r>
              <w:rPr>
                <w:rFonts w:hint="eastAsia" w:ascii="宋体" w:hAnsi="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分。此项满分</w:t>
            </w:r>
            <w:r>
              <w:rPr>
                <w:rFonts w:hint="eastAsia" w:ascii="宋体" w:hAnsi="宋体" w:cs="宋体"/>
                <w:bCs/>
                <w:color w:val="auto"/>
                <w:szCs w:val="21"/>
                <w:highlight w:val="none"/>
                <w:lang w:val="en-US" w:eastAsia="zh-CN" w:bidi="ar"/>
              </w:rPr>
              <w:t>8</w:t>
            </w:r>
            <w:r>
              <w:rPr>
                <w:rFonts w:hint="eastAsia" w:ascii="宋体" w:hAnsi="宋体" w:eastAsia="宋体" w:cs="宋体"/>
                <w:bCs/>
                <w:color w:val="auto"/>
                <w:szCs w:val="21"/>
                <w:highlight w:val="none"/>
                <w:lang w:bidi="ar"/>
              </w:rPr>
              <w:t>分。</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F8ABCE8">
            <w:pPr>
              <w:jc w:val="center"/>
              <w:rPr>
                <w:rFonts w:ascii="Times New Roman" w:hAnsi="Times New Roman" w:eastAsia="宋体" w:cs="Times New Roman"/>
                <w:b/>
                <w:color w:val="auto"/>
                <w:szCs w:val="21"/>
                <w:highlight w:val="none"/>
              </w:rPr>
            </w:pPr>
            <w:r>
              <w:rPr>
                <w:rFonts w:hint="eastAsia" w:ascii="宋体" w:hAnsi="宋体" w:eastAsia="宋体" w:cs="宋体"/>
                <w:bCs/>
                <w:color w:val="auto"/>
                <w:szCs w:val="21"/>
                <w:highlight w:val="none"/>
                <w:lang w:bidi="ar"/>
              </w:rPr>
              <w:t>0-</w:t>
            </w:r>
            <w:r>
              <w:rPr>
                <w:rFonts w:hint="eastAsia" w:ascii="宋体" w:hAnsi="宋体" w:cs="宋体"/>
                <w:bCs/>
                <w:color w:val="auto"/>
                <w:szCs w:val="21"/>
                <w:highlight w:val="none"/>
                <w:lang w:val="en-US" w:eastAsia="zh-CN" w:bidi="ar"/>
              </w:rPr>
              <w:t>8</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51588A2">
            <w:pPr>
              <w:jc w:val="left"/>
              <w:rPr>
                <w:rFonts w:ascii="Times New Roman" w:hAnsi="Times New Roman" w:eastAsia="宋体" w:cs="Times New Roman"/>
                <w:b/>
                <w:color w:val="auto"/>
                <w:szCs w:val="21"/>
                <w:highlight w:val="none"/>
              </w:rPr>
            </w:pPr>
            <w:r>
              <w:rPr>
                <w:rFonts w:hint="eastAsia" w:ascii="Times New Roman" w:hAnsi="Times New Roman" w:eastAsia="宋体" w:cs="Times New Roman"/>
                <w:bCs/>
                <w:color w:val="auto"/>
                <w:highlight w:val="none"/>
              </w:rPr>
              <w:t>附职称证。</w:t>
            </w:r>
          </w:p>
        </w:tc>
      </w:tr>
      <w:tr w14:paraId="14AE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428" w:type="dxa"/>
            <w:vMerge w:val="continue"/>
            <w:noWrap w:val="0"/>
            <w:vAlign w:val="center"/>
          </w:tcPr>
          <w:p w14:paraId="4C29D53E">
            <w:pPr>
              <w:jc w:val="center"/>
              <w:rPr>
                <w:rFonts w:ascii="Times New Roman" w:hAnsi="Times New Roman" w:eastAsia="宋体" w:cs="Times New Roman"/>
                <w:b/>
                <w:color w:val="auto"/>
                <w:szCs w:val="21"/>
                <w:highlight w:val="none"/>
              </w:rPr>
            </w:pPr>
          </w:p>
        </w:tc>
        <w:tc>
          <w:tcPr>
            <w:tcW w:w="851" w:type="dxa"/>
            <w:vMerge w:val="continue"/>
            <w:noWrap w:val="0"/>
            <w:vAlign w:val="center"/>
          </w:tcPr>
          <w:p w14:paraId="5031DCC7">
            <w:pPr>
              <w:jc w:val="center"/>
              <w:rPr>
                <w:rFonts w:ascii="Times New Roman" w:hAnsi="Times New Roman" w:eastAsia="宋体" w:cs="Times New Roman"/>
                <w:b/>
                <w:color w:val="auto"/>
                <w:szCs w:val="21"/>
                <w:highlight w:val="none"/>
              </w:rPr>
            </w:pPr>
          </w:p>
        </w:tc>
        <w:tc>
          <w:tcPr>
            <w:tcW w:w="4967" w:type="dxa"/>
            <w:tcBorders>
              <w:top w:val="single" w:color="auto" w:sz="4" w:space="0"/>
              <w:left w:val="single" w:color="auto" w:sz="4" w:space="0"/>
              <w:bottom w:val="single" w:color="auto" w:sz="4" w:space="0"/>
              <w:right w:val="single" w:color="auto" w:sz="4" w:space="0"/>
            </w:tcBorders>
            <w:noWrap w:val="0"/>
            <w:vAlign w:val="center"/>
          </w:tcPr>
          <w:p w14:paraId="776C75CE">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3、质量控制方案（主观分）</w:t>
            </w:r>
          </w:p>
          <w:p w14:paraId="6C2334EB">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一档（0分）：未提供方案或方案明显不满足要求。</w:t>
            </w:r>
          </w:p>
          <w:p w14:paraId="38F9FE0B">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二档（</w:t>
            </w:r>
            <w:r>
              <w:rPr>
                <w:rFonts w:hint="eastAsia" w:ascii="宋体" w:hAnsi="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分）：复核流程基本达到规范标准，配备有复核人员1人。</w:t>
            </w:r>
          </w:p>
          <w:p w14:paraId="06281420">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三档（</w:t>
            </w:r>
            <w:r>
              <w:rPr>
                <w:rFonts w:hint="eastAsia" w:ascii="宋体" w:hAnsi="宋体" w:cs="宋体"/>
                <w:bCs/>
                <w:color w:val="auto"/>
                <w:szCs w:val="21"/>
                <w:highlight w:val="none"/>
                <w:lang w:val="en-US" w:eastAsia="zh-CN" w:bidi="ar"/>
              </w:rPr>
              <w:t>6</w:t>
            </w:r>
            <w:r>
              <w:rPr>
                <w:rFonts w:hint="eastAsia" w:ascii="宋体" w:hAnsi="宋体" w:eastAsia="宋体" w:cs="宋体"/>
                <w:bCs/>
                <w:color w:val="auto"/>
                <w:szCs w:val="21"/>
                <w:highlight w:val="none"/>
                <w:lang w:bidi="ar"/>
              </w:rPr>
              <w:t>分）：满足二档的基础上，具有可行的质量控制制度，复核人员2人及以上。</w:t>
            </w:r>
          </w:p>
          <w:p w14:paraId="4C6A1688">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四档（</w:t>
            </w:r>
            <w:r>
              <w:rPr>
                <w:rFonts w:hint="eastAsia" w:ascii="宋体" w:hAnsi="宋体" w:cs="宋体"/>
                <w:bCs/>
                <w:color w:val="auto"/>
                <w:szCs w:val="21"/>
                <w:highlight w:val="none"/>
                <w:lang w:val="en-US" w:eastAsia="zh-CN" w:bidi="ar"/>
              </w:rPr>
              <w:t>9</w:t>
            </w:r>
            <w:r>
              <w:rPr>
                <w:rFonts w:hint="eastAsia" w:ascii="宋体" w:hAnsi="宋体" w:eastAsia="宋体" w:cs="宋体"/>
                <w:bCs/>
                <w:color w:val="auto"/>
                <w:szCs w:val="21"/>
                <w:highlight w:val="none"/>
                <w:lang w:bidi="ar"/>
              </w:rPr>
              <w:t>分）：满足三档的基础上，复核人员专业2类及以上，质量保证措施能够保证投资评审质量，承诺单项工程的评审成果经复核后误差率＜3%。</w:t>
            </w:r>
          </w:p>
          <w:p w14:paraId="415F35A0">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五档（</w:t>
            </w:r>
            <w:r>
              <w:rPr>
                <w:rFonts w:hint="eastAsia" w:ascii="宋体" w:hAnsi="宋体" w:cs="宋体"/>
                <w:bCs/>
                <w:color w:val="auto"/>
                <w:szCs w:val="21"/>
                <w:highlight w:val="none"/>
                <w:lang w:val="en-US" w:eastAsia="zh-CN" w:bidi="ar"/>
              </w:rPr>
              <w:t>12</w:t>
            </w:r>
            <w:r>
              <w:rPr>
                <w:rFonts w:hint="eastAsia" w:ascii="宋体" w:hAnsi="宋体" w:eastAsia="宋体" w:cs="宋体"/>
                <w:bCs/>
                <w:color w:val="auto"/>
                <w:szCs w:val="21"/>
                <w:highlight w:val="none"/>
                <w:lang w:bidi="ar"/>
              </w:rPr>
              <w:t>分）：满足四档的基础上，复核人员专业达到4类，经验丰富。质量控制制度健全，保证措施具体有效。</w:t>
            </w:r>
          </w:p>
          <w:p w14:paraId="3A3B2EAC">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六档（</w:t>
            </w:r>
            <w:r>
              <w:rPr>
                <w:rFonts w:hint="eastAsia" w:ascii="宋体" w:hAnsi="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分）：满足五档的基础上，质量控制方案内容齐全、完整，管控措施合理有效，可操性强，对质量控制、编审工作中的关键流程把控到位。</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429B80B">
            <w:pPr>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bidi="ar"/>
              </w:rPr>
              <w:t>0-</w:t>
            </w:r>
            <w:r>
              <w:rPr>
                <w:rFonts w:hint="eastAsia" w:ascii="宋体" w:hAnsi="宋体" w:cs="宋体"/>
                <w:bCs/>
                <w:color w:val="auto"/>
                <w:szCs w:val="21"/>
                <w:highlight w:val="none"/>
                <w:lang w:val="en-US" w:eastAsia="zh-CN" w:bidi="ar"/>
              </w:rPr>
              <w:t>15</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048E28EF">
            <w:pPr>
              <w:jc w:val="left"/>
              <w:rPr>
                <w:rFonts w:ascii="Times New Roman" w:hAnsi="Times New Roman" w:eastAsia="宋体" w:cs="Times New Roman"/>
                <w:b/>
                <w:color w:val="auto"/>
                <w:szCs w:val="21"/>
                <w:highlight w:val="none"/>
              </w:rPr>
            </w:pPr>
          </w:p>
        </w:tc>
      </w:tr>
      <w:tr w14:paraId="66BA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vMerge w:val="continue"/>
            <w:noWrap w:val="0"/>
            <w:vAlign w:val="center"/>
          </w:tcPr>
          <w:p w14:paraId="6B39C5FF">
            <w:pPr>
              <w:jc w:val="center"/>
              <w:rPr>
                <w:rFonts w:ascii="Times New Roman" w:hAnsi="Times New Roman" w:eastAsia="宋体" w:cs="Times New Roman"/>
                <w:b/>
                <w:color w:val="auto"/>
                <w:szCs w:val="21"/>
                <w:highlight w:val="none"/>
              </w:rPr>
            </w:pPr>
          </w:p>
        </w:tc>
        <w:tc>
          <w:tcPr>
            <w:tcW w:w="851" w:type="dxa"/>
            <w:vMerge w:val="continue"/>
            <w:noWrap w:val="0"/>
            <w:vAlign w:val="center"/>
          </w:tcPr>
          <w:p w14:paraId="56282BD1">
            <w:pPr>
              <w:jc w:val="center"/>
              <w:rPr>
                <w:rFonts w:ascii="Times New Roman" w:hAnsi="Times New Roman" w:eastAsia="宋体" w:cs="Times New Roman"/>
                <w:b/>
                <w:color w:val="auto"/>
                <w:szCs w:val="21"/>
                <w:highlight w:val="none"/>
              </w:rPr>
            </w:pPr>
          </w:p>
        </w:tc>
        <w:tc>
          <w:tcPr>
            <w:tcW w:w="4967" w:type="dxa"/>
            <w:tcBorders>
              <w:top w:val="single" w:color="auto" w:sz="4" w:space="0"/>
              <w:left w:val="single" w:color="auto" w:sz="4" w:space="0"/>
              <w:bottom w:val="single" w:color="auto" w:sz="4" w:space="0"/>
              <w:right w:val="single" w:color="auto" w:sz="4" w:space="0"/>
            </w:tcBorders>
            <w:noWrap w:val="0"/>
            <w:vAlign w:val="center"/>
          </w:tcPr>
          <w:p w14:paraId="47011F20">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4、服务方案分（主观分）</w:t>
            </w:r>
          </w:p>
          <w:p w14:paraId="70DB7BAF">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一档（0分）：未提供方案或方案明显不满足要求。</w:t>
            </w:r>
          </w:p>
          <w:p w14:paraId="7E8134CB">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二档（</w:t>
            </w:r>
            <w:r>
              <w:rPr>
                <w:rFonts w:hint="eastAsia" w:ascii="宋体" w:hAnsi="宋体" w:cs="宋体"/>
                <w:bCs/>
                <w:color w:val="auto"/>
                <w:szCs w:val="21"/>
                <w:highlight w:val="none"/>
                <w:lang w:val="en-US" w:eastAsia="zh-CN" w:bidi="ar"/>
              </w:rPr>
              <w:t>3</w:t>
            </w:r>
            <w:r>
              <w:rPr>
                <w:rFonts w:hint="eastAsia" w:ascii="宋体" w:hAnsi="宋体" w:eastAsia="宋体" w:cs="宋体"/>
                <w:bCs/>
                <w:color w:val="auto"/>
                <w:szCs w:val="21"/>
                <w:highlight w:val="none"/>
                <w:lang w:bidi="ar"/>
              </w:rPr>
              <w:t>分）：方案基本能满足本项目的基本需求，有工作计划和流程，完成具体项目的时间和技术安排合理。</w:t>
            </w:r>
          </w:p>
          <w:p w14:paraId="45F8D79D">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三档（</w:t>
            </w:r>
            <w:r>
              <w:rPr>
                <w:rFonts w:hint="eastAsia" w:ascii="宋体" w:hAnsi="宋体" w:cs="宋体"/>
                <w:bCs/>
                <w:color w:val="auto"/>
                <w:szCs w:val="21"/>
                <w:highlight w:val="none"/>
                <w:lang w:val="en-US" w:eastAsia="zh-CN" w:bidi="ar"/>
              </w:rPr>
              <w:t>6</w:t>
            </w:r>
            <w:r>
              <w:rPr>
                <w:rFonts w:hint="eastAsia" w:ascii="宋体" w:hAnsi="宋体" w:eastAsia="宋体" w:cs="宋体"/>
                <w:bCs/>
                <w:color w:val="auto"/>
                <w:szCs w:val="21"/>
                <w:highlight w:val="none"/>
                <w:lang w:bidi="ar"/>
              </w:rPr>
              <w:t>分）：方案能满足本项目的基本需求，工作计划和流程合理可行，完成具体项目的时间和技术管理措施切实可行，财政投资评审工作重点难点把握不够准确。</w:t>
            </w:r>
          </w:p>
          <w:p w14:paraId="445BECCE">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四档（</w:t>
            </w:r>
            <w:r>
              <w:rPr>
                <w:rFonts w:hint="eastAsia" w:ascii="宋体" w:hAnsi="宋体" w:cs="宋体"/>
                <w:bCs/>
                <w:color w:val="auto"/>
                <w:szCs w:val="21"/>
                <w:highlight w:val="none"/>
                <w:lang w:val="en-US" w:eastAsia="zh-CN" w:bidi="ar"/>
              </w:rPr>
              <w:t>9</w:t>
            </w:r>
            <w:r>
              <w:rPr>
                <w:rFonts w:hint="eastAsia" w:ascii="宋体" w:hAnsi="宋体" w:eastAsia="宋体" w:cs="宋体"/>
                <w:bCs/>
                <w:color w:val="auto"/>
                <w:szCs w:val="21"/>
                <w:highlight w:val="none"/>
                <w:lang w:bidi="ar"/>
              </w:rPr>
              <w:t>分）：方案满足本项目的实际需求，工作计划和流程周详，完成具体项目的时间和技术管理措施稳妥全面，财政投资评审工作重点难点把握到位，能及时响应采购人服务需求，具有廉洁措施。</w:t>
            </w:r>
          </w:p>
          <w:p w14:paraId="2DC38B82">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五档（</w:t>
            </w:r>
            <w:r>
              <w:rPr>
                <w:rFonts w:hint="eastAsia" w:ascii="宋体" w:hAnsi="宋体" w:cs="宋体"/>
                <w:bCs/>
                <w:color w:val="auto"/>
                <w:szCs w:val="21"/>
                <w:highlight w:val="none"/>
                <w:lang w:val="en-US" w:eastAsia="zh-CN" w:bidi="ar"/>
              </w:rPr>
              <w:t>12</w:t>
            </w:r>
            <w:r>
              <w:rPr>
                <w:rFonts w:hint="eastAsia" w:ascii="宋体" w:hAnsi="宋体" w:eastAsia="宋体" w:cs="宋体"/>
                <w:bCs/>
                <w:color w:val="auto"/>
                <w:szCs w:val="21"/>
                <w:highlight w:val="none"/>
                <w:lang w:bidi="ar"/>
              </w:rPr>
              <w:t>分）：满足四档的基础上，对贺州市</w:t>
            </w:r>
            <w:r>
              <w:rPr>
                <w:rFonts w:hint="eastAsia" w:ascii="宋体" w:hAnsi="宋体" w:cs="宋体"/>
                <w:bCs/>
                <w:color w:val="auto"/>
                <w:szCs w:val="21"/>
                <w:highlight w:val="none"/>
                <w:lang w:eastAsia="zh-CN" w:bidi="ar"/>
              </w:rPr>
              <w:t>钟山县</w:t>
            </w:r>
            <w:r>
              <w:rPr>
                <w:rFonts w:hint="eastAsia" w:ascii="宋体" w:hAnsi="宋体" w:eastAsia="宋体" w:cs="宋体"/>
                <w:bCs/>
                <w:color w:val="auto"/>
                <w:szCs w:val="21"/>
                <w:highlight w:val="none"/>
                <w:lang w:bidi="ar"/>
              </w:rPr>
              <w:t>财政投资评审工作重点难点把握准确，熟悉财政投资评审工作并可对具体项目提出针对性建议，服务周到。</w:t>
            </w:r>
          </w:p>
          <w:p w14:paraId="34ACF6BF">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六档（</w:t>
            </w:r>
            <w:r>
              <w:rPr>
                <w:rFonts w:hint="eastAsia" w:ascii="宋体" w:hAnsi="宋体" w:cs="宋体"/>
                <w:bCs/>
                <w:color w:val="auto"/>
                <w:szCs w:val="21"/>
                <w:highlight w:val="none"/>
                <w:lang w:val="en-US" w:eastAsia="zh-CN" w:bidi="ar"/>
              </w:rPr>
              <w:t>15</w:t>
            </w:r>
            <w:r>
              <w:rPr>
                <w:rFonts w:hint="eastAsia" w:ascii="宋体" w:hAnsi="宋体" w:eastAsia="宋体" w:cs="宋体"/>
                <w:bCs/>
                <w:color w:val="auto"/>
                <w:szCs w:val="21"/>
                <w:highlight w:val="none"/>
                <w:lang w:bidi="ar"/>
              </w:rPr>
              <w:t>分）：满足五档的基础上，服务便捷响应迅速，随时可根据采购人要求配合出差或到项目地办公。</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43AF95C">
            <w:pPr>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bidi="ar"/>
              </w:rPr>
              <w:t>0-</w:t>
            </w:r>
            <w:r>
              <w:rPr>
                <w:rFonts w:hint="eastAsia" w:ascii="宋体" w:hAnsi="宋体" w:cs="宋体"/>
                <w:bCs/>
                <w:color w:val="auto"/>
                <w:szCs w:val="21"/>
                <w:highlight w:val="none"/>
                <w:lang w:val="en-US" w:eastAsia="zh-CN" w:bidi="ar"/>
              </w:rPr>
              <w:t>15</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B5F3854">
            <w:pPr>
              <w:jc w:val="left"/>
              <w:rPr>
                <w:rFonts w:ascii="Times New Roman" w:hAnsi="Times New Roman" w:eastAsia="宋体" w:cs="Times New Roman"/>
                <w:b/>
                <w:color w:val="auto"/>
                <w:szCs w:val="21"/>
                <w:highlight w:val="none"/>
              </w:rPr>
            </w:pPr>
          </w:p>
        </w:tc>
      </w:tr>
      <w:tr w14:paraId="7CB2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dxa"/>
            <w:vMerge w:val="continue"/>
            <w:noWrap w:val="0"/>
            <w:vAlign w:val="center"/>
          </w:tcPr>
          <w:p w14:paraId="5D19EF1B">
            <w:pPr>
              <w:jc w:val="center"/>
              <w:rPr>
                <w:rFonts w:ascii="Times New Roman" w:hAnsi="Times New Roman" w:eastAsia="宋体" w:cs="Times New Roman"/>
                <w:b/>
                <w:color w:val="auto"/>
                <w:szCs w:val="21"/>
                <w:highlight w:val="none"/>
              </w:rPr>
            </w:pPr>
          </w:p>
        </w:tc>
        <w:tc>
          <w:tcPr>
            <w:tcW w:w="851" w:type="dxa"/>
            <w:vMerge w:val="continue"/>
            <w:noWrap w:val="0"/>
            <w:vAlign w:val="center"/>
          </w:tcPr>
          <w:p w14:paraId="799A3BC4">
            <w:pPr>
              <w:jc w:val="center"/>
              <w:rPr>
                <w:rFonts w:ascii="Times New Roman" w:hAnsi="Times New Roman" w:eastAsia="宋体" w:cs="Times New Roman"/>
                <w:b/>
                <w:color w:val="auto"/>
                <w:szCs w:val="21"/>
                <w:highlight w:val="none"/>
              </w:rPr>
            </w:pPr>
          </w:p>
        </w:tc>
        <w:tc>
          <w:tcPr>
            <w:tcW w:w="4967" w:type="dxa"/>
            <w:noWrap w:val="0"/>
            <w:vAlign w:val="center"/>
          </w:tcPr>
          <w:p w14:paraId="0D266456">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5、评审报告编制水平（主观分）</w:t>
            </w:r>
          </w:p>
          <w:p w14:paraId="41D765D5">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一档（0分）：未提供符合要求的评审报告。</w:t>
            </w:r>
          </w:p>
          <w:p w14:paraId="7FC8BC90">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二档（</w:t>
            </w:r>
            <w:r>
              <w:rPr>
                <w:rFonts w:hint="eastAsia" w:ascii="宋体" w:hAnsi="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分）评审报告内容基本完整、数据准确、依据基本充分。评审内容基本全面、完整，评审结论定性基本客观，定量基本准确。</w:t>
            </w:r>
          </w:p>
          <w:p w14:paraId="214C88FF">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三档（</w:t>
            </w:r>
            <w:r>
              <w:rPr>
                <w:rFonts w:hint="eastAsia" w:ascii="宋体" w:hAnsi="宋体" w:cs="宋体"/>
                <w:bCs/>
                <w:color w:val="auto"/>
                <w:szCs w:val="21"/>
                <w:highlight w:val="none"/>
                <w:lang w:val="en-US" w:eastAsia="zh-CN" w:bidi="ar"/>
              </w:rPr>
              <w:t>4</w:t>
            </w:r>
            <w:r>
              <w:rPr>
                <w:rFonts w:hint="eastAsia" w:ascii="宋体" w:hAnsi="宋体" w:eastAsia="宋体" w:cs="宋体"/>
                <w:bCs/>
                <w:color w:val="auto"/>
                <w:szCs w:val="21"/>
                <w:highlight w:val="none"/>
                <w:lang w:bidi="ar"/>
              </w:rPr>
              <w:t>分）：评审报告内容完整、数据准确、依据充分，评审结论定性客观，定量准确，依据充分，表达清楚、完整。</w:t>
            </w:r>
          </w:p>
          <w:p w14:paraId="275A86CC">
            <w:pPr>
              <w:jc w:val="left"/>
              <w:rPr>
                <w:rFonts w:ascii="Times New Roman" w:hAnsi="Times New Roman" w:eastAsia="宋体" w:cs="Times New Roman"/>
                <w:color w:val="auto"/>
                <w:highlight w:val="none"/>
              </w:rPr>
            </w:pPr>
            <w:r>
              <w:rPr>
                <w:rFonts w:hint="eastAsia" w:ascii="宋体" w:hAnsi="宋体" w:eastAsia="宋体" w:cs="宋体"/>
                <w:bCs/>
                <w:color w:val="auto"/>
                <w:szCs w:val="21"/>
                <w:highlight w:val="none"/>
                <w:lang w:bidi="ar"/>
              </w:rPr>
              <w:t>四档（</w:t>
            </w:r>
            <w:r>
              <w:rPr>
                <w:rFonts w:hint="eastAsia" w:ascii="宋体" w:hAnsi="宋体" w:cs="宋体"/>
                <w:bCs/>
                <w:color w:val="auto"/>
                <w:szCs w:val="21"/>
                <w:highlight w:val="none"/>
                <w:lang w:val="en-US" w:eastAsia="zh-CN" w:bidi="ar"/>
              </w:rPr>
              <w:t>6</w:t>
            </w:r>
            <w:r>
              <w:rPr>
                <w:rFonts w:hint="eastAsia" w:ascii="宋体" w:hAnsi="宋体" w:eastAsia="宋体" w:cs="宋体"/>
                <w:bCs/>
                <w:color w:val="auto"/>
                <w:szCs w:val="21"/>
                <w:highlight w:val="none"/>
                <w:lang w:bidi="ar"/>
              </w:rPr>
              <w:t>分）：满足三档的基础上，核增核减原因定性准确、条理清晰，披露问题有理有据、分析透彻，提出评审建议措施具体、针对性强。</w:t>
            </w:r>
          </w:p>
        </w:tc>
        <w:tc>
          <w:tcPr>
            <w:tcW w:w="1102" w:type="dxa"/>
            <w:noWrap w:val="0"/>
            <w:vAlign w:val="center"/>
          </w:tcPr>
          <w:p w14:paraId="12C3819F">
            <w:pPr>
              <w:jc w:val="center"/>
              <w:rPr>
                <w:rFonts w:hint="eastAsia" w:ascii="Times New Roman" w:hAnsi="Times New Roman" w:eastAsia="宋体" w:cs="Times New Roman"/>
                <w:color w:val="auto"/>
                <w:highlight w:val="none"/>
                <w:lang w:eastAsia="zh-CN"/>
              </w:rPr>
            </w:pPr>
            <w:r>
              <w:rPr>
                <w:rFonts w:hint="eastAsia" w:ascii="宋体" w:hAnsi="宋体" w:eastAsia="宋体" w:cs="宋体"/>
                <w:bCs/>
                <w:color w:val="auto"/>
                <w:szCs w:val="21"/>
                <w:highlight w:val="none"/>
                <w:lang w:bidi="ar"/>
              </w:rPr>
              <w:t>0-</w:t>
            </w:r>
            <w:r>
              <w:rPr>
                <w:rFonts w:hint="eastAsia" w:ascii="宋体" w:hAnsi="宋体" w:cs="宋体"/>
                <w:bCs/>
                <w:color w:val="auto"/>
                <w:szCs w:val="21"/>
                <w:highlight w:val="none"/>
                <w:lang w:val="en-US" w:eastAsia="zh-CN" w:bidi="ar"/>
              </w:rPr>
              <w:t>6</w:t>
            </w:r>
          </w:p>
        </w:tc>
        <w:tc>
          <w:tcPr>
            <w:tcW w:w="1470" w:type="dxa"/>
            <w:noWrap w:val="0"/>
            <w:vAlign w:val="center"/>
          </w:tcPr>
          <w:p w14:paraId="581475E8">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1.以“6.业绩”中任一项目的评审报告（只提供正文部分，不需要提供附件）为评分依据。</w:t>
            </w:r>
          </w:p>
          <w:p w14:paraId="638DD3AD">
            <w:pPr>
              <w:jc w:val="left"/>
              <w:rPr>
                <w:rFonts w:ascii="Times New Roman" w:hAnsi="Times New Roman" w:eastAsia="宋体" w:cs="Times New Roman"/>
                <w:b/>
                <w:color w:val="auto"/>
                <w:highlight w:val="none"/>
              </w:rPr>
            </w:pPr>
            <w:r>
              <w:rPr>
                <w:rFonts w:hint="eastAsia" w:ascii="宋体" w:hAnsi="宋体" w:eastAsia="宋体" w:cs="宋体"/>
                <w:bCs/>
                <w:color w:val="auto"/>
                <w:szCs w:val="21"/>
                <w:highlight w:val="none"/>
                <w:lang w:bidi="ar"/>
              </w:rPr>
              <w:t>2.如附多份评审报告，仅以第一份报告为评分依据。</w:t>
            </w:r>
          </w:p>
        </w:tc>
      </w:tr>
      <w:tr w14:paraId="0D5D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8" w:type="dxa"/>
            <w:noWrap w:val="0"/>
            <w:vAlign w:val="center"/>
          </w:tcPr>
          <w:p w14:paraId="59325979">
            <w:pPr>
              <w:jc w:val="center"/>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2</w:t>
            </w:r>
          </w:p>
        </w:tc>
        <w:tc>
          <w:tcPr>
            <w:tcW w:w="851" w:type="dxa"/>
            <w:noWrap w:val="0"/>
            <w:vAlign w:val="center"/>
          </w:tcPr>
          <w:p w14:paraId="2A60E5C7">
            <w:pPr>
              <w:jc w:val="center"/>
              <w:rPr>
                <w:rFonts w:ascii="Times New Roman" w:hAnsi="Times New Roman" w:eastAsia="宋体" w:cs="Times New Roman"/>
                <w:b/>
                <w:color w:val="auto"/>
                <w:szCs w:val="21"/>
                <w:highlight w:val="none"/>
              </w:rPr>
            </w:pPr>
            <w:r>
              <w:rPr>
                <w:rFonts w:ascii="Times New Roman" w:hAnsi="Times New Roman" w:eastAsia="宋体" w:cs="Times New Roman"/>
                <w:bCs/>
                <w:color w:val="auto"/>
                <w:highlight w:val="none"/>
              </w:rPr>
              <w:t>商务资信分（</w:t>
            </w:r>
            <w:r>
              <w:rPr>
                <w:rFonts w:hint="eastAsia" w:ascii="Times New Roman" w:hAnsi="Times New Roman" w:eastAsia="宋体" w:cs="Times New Roman"/>
                <w:bCs/>
                <w:color w:val="auto"/>
                <w:highlight w:val="none"/>
              </w:rPr>
              <w:t>15</w:t>
            </w:r>
            <w:r>
              <w:rPr>
                <w:rFonts w:ascii="Times New Roman" w:hAnsi="Times New Roman" w:eastAsia="宋体" w:cs="Times New Roman"/>
                <w:bCs/>
                <w:color w:val="auto"/>
                <w:highlight w:val="none"/>
              </w:rPr>
              <w:t>分）</w:t>
            </w:r>
          </w:p>
        </w:tc>
        <w:tc>
          <w:tcPr>
            <w:tcW w:w="4967" w:type="dxa"/>
            <w:tcBorders>
              <w:top w:val="single" w:color="auto" w:sz="4" w:space="0"/>
              <w:left w:val="single" w:color="auto" w:sz="4" w:space="0"/>
              <w:bottom w:val="single" w:color="auto" w:sz="4" w:space="0"/>
              <w:right w:val="single" w:color="auto" w:sz="4" w:space="0"/>
            </w:tcBorders>
            <w:noWrap w:val="0"/>
            <w:vAlign w:val="center"/>
          </w:tcPr>
          <w:p w14:paraId="4A9DCCF0">
            <w:pPr>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6、业绩（客观分）</w:t>
            </w:r>
          </w:p>
          <w:p w14:paraId="1F58C302">
            <w:pPr>
              <w:jc w:val="left"/>
              <w:rPr>
                <w:rFonts w:ascii="Times New Roman" w:hAnsi="Times New Roman" w:eastAsia="宋体" w:cs="Times New Roman"/>
                <w:bCs/>
                <w:color w:val="auto"/>
                <w:highlight w:val="none"/>
              </w:rPr>
            </w:pPr>
            <w:r>
              <w:rPr>
                <w:rFonts w:hint="eastAsia" w:ascii="宋体" w:hAnsi="宋体" w:eastAsia="宋体" w:cs="宋体"/>
                <w:bCs/>
                <w:color w:val="auto"/>
                <w:szCs w:val="21"/>
                <w:highlight w:val="none"/>
                <w:lang w:bidi="ar"/>
              </w:rPr>
              <w:t>2022年至今，承接过财政、审计部门委托评审的工程量清单或招标控制价或项目工程概（预）算或结算评审服务每个项目业绩得1.5分。</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49B220A">
            <w:pPr>
              <w:jc w:val="center"/>
              <w:rPr>
                <w:rFonts w:ascii="Times New Roman" w:hAnsi="Times New Roman" w:eastAsia="宋体" w:cs="Times New Roman"/>
                <w:bCs/>
                <w:color w:val="auto"/>
                <w:highlight w:val="none"/>
              </w:rPr>
            </w:pPr>
            <w:r>
              <w:rPr>
                <w:rFonts w:hint="eastAsia" w:ascii="宋体" w:hAnsi="宋体" w:eastAsia="宋体" w:cs="宋体"/>
                <w:bCs/>
                <w:color w:val="auto"/>
                <w:szCs w:val="21"/>
                <w:highlight w:val="none"/>
                <w:lang w:bidi="ar"/>
              </w:rPr>
              <w:t>0-15</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B178382">
            <w:pPr>
              <w:jc w:val="left"/>
              <w:rPr>
                <w:rFonts w:ascii="Times New Roman" w:hAnsi="Times New Roman" w:eastAsia="宋体" w:cs="Times New Roman"/>
                <w:bCs/>
                <w:color w:val="auto"/>
                <w:highlight w:val="none"/>
              </w:rPr>
            </w:pPr>
            <w:r>
              <w:rPr>
                <w:rFonts w:hint="eastAsia" w:ascii="宋体" w:hAnsi="宋体" w:eastAsia="宋体" w:cs="宋体"/>
                <w:bCs/>
                <w:color w:val="auto"/>
                <w:szCs w:val="21"/>
                <w:highlight w:val="none"/>
                <w:lang w:bidi="ar"/>
              </w:rPr>
              <w:t>附单位委托文件或合同或项目审定表/单等证明材料，证明材料一定要有委托单位的公章。</w:t>
            </w:r>
          </w:p>
        </w:tc>
      </w:tr>
      <w:bookmarkEnd w:id="74"/>
    </w:tbl>
    <w:p w14:paraId="574B5A9A">
      <w:pPr>
        <w:ind w:firstLine="420" w:firstLineChars="200"/>
        <w:rPr>
          <w:color w:val="auto"/>
          <w:highlight w:val="none"/>
        </w:rPr>
      </w:pPr>
      <w:r>
        <w:rPr>
          <w:rFonts w:hint="eastAsia"/>
          <w:color w:val="auto"/>
          <w:highlight w:val="none"/>
        </w:rPr>
        <w:t>（2）政策性扣除计算方法</w:t>
      </w:r>
    </w:p>
    <w:p w14:paraId="46D677FC">
      <w:pPr>
        <w:ind w:firstLine="420" w:firstLineChars="200"/>
        <w:rPr>
          <w:color w:val="auto"/>
          <w:highlight w:val="none"/>
        </w:rPr>
      </w:pPr>
      <w:r>
        <w:rPr>
          <w:rFonts w:hint="eastAsia"/>
          <w:color w:val="auto"/>
          <w:highlight w:val="none"/>
        </w:rPr>
        <w:t>本项目评审方法为质量优先法，不涉及价格评审，故不对小微企业报价给予价格扣除。</w:t>
      </w:r>
    </w:p>
    <w:p w14:paraId="28E681B2">
      <w:pPr>
        <w:spacing w:before="120" w:line="320" w:lineRule="atLeast"/>
        <w:ind w:firstLine="422" w:firstLineChars="200"/>
        <w:rPr>
          <w:b/>
          <w:bCs/>
          <w:color w:val="auto"/>
          <w:highlight w:val="none"/>
        </w:rPr>
      </w:pPr>
    </w:p>
    <w:p w14:paraId="0BA15FFF">
      <w:pPr>
        <w:ind w:firstLine="420" w:firstLineChars="200"/>
        <w:jc w:val="center"/>
        <w:outlineLvl w:val="0"/>
        <w:rPr>
          <w:color w:val="auto"/>
          <w:sz w:val="32"/>
          <w:szCs w:val="32"/>
          <w:highlight w:val="none"/>
        </w:rPr>
      </w:pPr>
      <w:r>
        <w:rPr>
          <w:color w:val="auto"/>
          <w:highlight w:val="none"/>
        </w:rPr>
        <w:br w:type="page"/>
      </w:r>
      <w:bookmarkEnd w:id="25"/>
      <w:bookmarkEnd w:id="26"/>
      <w:bookmarkStart w:id="75" w:name="_Toc1062"/>
      <w:r>
        <w:rPr>
          <w:color w:val="auto"/>
          <w:sz w:val="32"/>
          <w:szCs w:val="32"/>
          <w:highlight w:val="none"/>
        </w:rPr>
        <w:t xml:space="preserve">第五章  </w:t>
      </w:r>
      <w:r>
        <w:rPr>
          <w:rFonts w:hint="eastAsia"/>
          <w:color w:val="auto"/>
          <w:sz w:val="32"/>
          <w:szCs w:val="32"/>
          <w:highlight w:val="none"/>
        </w:rPr>
        <w:t>框架协议（格式）</w:t>
      </w:r>
      <w:bookmarkEnd w:id="75"/>
    </w:p>
    <w:p w14:paraId="7C53FC6C">
      <w:pPr>
        <w:pStyle w:val="26"/>
        <w:snapToGrid w:val="0"/>
        <w:spacing w:before="120" w:after="120" w:line="320" w:lineRule="exact"/>
        <w:rPr>
          <w:rFonts w:ascii="Times New Roman" w:hAnsi="Times New Roman" w:cs="Times New Roman"/>
          <w:color w:val="auto"/>
          <w:sz w:val="32"/>
          <w:szCs w:val="32"/>
          <w:highlight w:val="none"/>
        </w:rPr>
      </w:pPr>
    </w:p>
    <w:p w14:paraId="5FD7E363">
      <w:pPr>
        <w:snapToGrid w:val="0"/>
        <w:spacing w:before="120" w:after="120" w:line="320" w:lineRule="exact"/>
        <w:rPr>
          <w:color w:val="auto"/>
          <w:szCs w:val="21"/>
          <w:highlight w:val="none"/>
        </w:rPr>
      </w:pPr>
      <w:bookmarkStart w:id="76" w:name="_Hlk98842414"/>
      <w:r>
        <w:rPr>
          <w:rFonts w:hint="eastAsia"/>
          <w:color w:val="auto"/>
          <w:szCs w:val="21"/>
          <w:highlight w:val="none"/>
        </w:rPr>
        <w:t>协议甲方（征集人）：</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368ED3E6">
      <w:pPr>
        <w:snapToGrid w:val="0"/>
        <w:spacing w:before="120" w:after="120" w:line="320" w:lineRule="exact"/>
        <w:rPr>
          <w:rFonts w:hint="eastAsia"/>
          <w:color w:val="auto"/>
          <w:szCs w:val="21"/>
          <w:highlight w:val="none"/>
        </w:rPr>
      </w:pPr>
      <w:r>
        <w:rPr>
          <w:rFonts w:hint="eastAsia"/>
          <w:color w:val="auto"/>
          <w:szCs w:val="21"/>
          <w:highlight w:val="none"/>
        </w:rPr>
        <w:t>协议乙方（入围供应商）：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16FBF0D6">
      <w:pPr>
        <w:snapToGrid w:val="0"/>
        <w:spacing w:before="120" w:after="120" w:line="320" w:lineRule="exact"/>
        <w:rPr>
          <w:color w:val="auto"/>
          <w:szCs w:val="21"/>
          <w:highlight w:val="none"/>
        </w:rPr>
      </w:pPr>
    </w:p>
    <w:p w14:paraId="571EE2EE">
      <w:pPr>
        <w:snapToGrid w:val="0"/>
        <w:spacing w:before="120" w:after="120" w:line="320" w:lineRule="exact"/>
        <w:ind w:firstLine="420" w:firstLineChars="200"/>
        <w:rPr>
          <w:color w:val="auto"/>
          <w:szCs w:val="21"/>
          <w:highlight w:val="none"/>
        </w:rPr>
      </w:pPr>
      <w:r>
        <w:rPr>
          <w:rFonts w:hint="eastAsia"/>
          <w:color w:val="auto"/>
          <w:szCs w:val="21"/>
          <w:highlight w:val="none"/>
        </w:rPr>
        <w:t>根据《中华人民共和国政府采购法》、《政府采购框架协议采购方式管理暂行办法》等相关法律，按照征集文件约定的事项以及协议乙方的响应文件及其承诺，协议甲乙双方签订框架协议。</w:t>
      </w:r>
    </w:p>
    <w:p w14:paraId="4C1F2345">
      <w:pPr>
        <w:snapToGrid w:val="0"/>
        <w:spacing w:before="120" w:after="120" w:line="320" w:lineRule="exact"/>
        <w:rPr>
          <w:b/>
          <w:bCs/>
          <w:color w:val="auto"/>
          <w:szCs w:val="21"/>
          <w:highlight w:val="none"/>
        </w:rPr>
      </w:pPr>
      <w:r>
        <w:rPr>
          <w:rFonts w:hint="eastAsia"/>
          <w:b/>
          <w:bCs/>
          <w:color w:val="auto"/>
          <w:szCs w:val="21"/>
          <w:highlight w:val="none"/>
        </w:rPr>
        <w:t>第一条 项目基本信息</w:t>
      </w:r>
    </w:p>
    <w:p w14:paraId="1AAC0628">
      <w:pPr>
        <w:snapToGrid w:val="0"/>
        <w:spacing w:before="120" w:after="120" w:line="320" w:lineRule="exact"/>
        <w:rPr>
          <w:color w:val="auto"/>
          <w:szCs w:val="21"/>
          <w:highlight w:val="none"/>
          <w:u w:val="single"/>
        </w:rPr>
      </w:pPr>
      <w:r>
        <w:rPr>
          <w:rFonts w:hint="eastAsia"/>
          <w:color w:val="auto"/>
          <w:szCs w:val="21"/>
          <w:highlight w:val="none"/>
        </w:rPr>
        <w:t>1．项目名称：</w:t>
      </w:r>
      <w:r>
        <w:rPr>
          <w:rFonts w:hint="eastAsia"/>
          <w:color w:val="auto"/>
          <w:szCs w:val="21"/>
          <w:highlight w:val="none"/>
          <w:u w:val="single"/>
          <w:lang w:eastAsia="zh-CN"/>
        </w:rPr>
        <w:t>钟山县财政局2026～2028年度政府投资项目评审服务项目</w:t>
      </w:r>
      <w:r>
        <w:rPr>
          <w:color w:val="auto"/>
          <w:szCs w:val="21"/>
          <w:highlight w:val="none"/>
          <w:u w:val="single"/>
        </w:rPr>
        <w:t xml:space="preserve">               </w:t>
      </w:r>
      <w:r>
        <w:rPr>
          <w:rFonts w:hint="eastAsia"/>
          <w:color w:val="auto"/>
          <w:szCs w:val="21"/>
          <w:highlight w:val="none"/>
          <w:u w:val="single"/>
        </w:rPr>
        <w:t xml:space="preserve"> </w:t>
      </w:r>
    </w:p>
    <w:p w14:paraId="599BCC43">
      <w:pPr>
        <w:snapToGrid w:val="0"/>
        <w:spacing w:before="120" w:after="120" w:line="320" w:lineRule="exact"/>
        <w:rPr>
          <w:color w:val="auto"/>
          <w:szCs w:val="21"/>
          <w:highlight w:val="none"/>
          <w:u w:val="single"/>
        </w:rPr>
      </w:pPr>
      <w:r>
        <w:rPr>
          <w:rFonts w:hint="eastAsia"/>
          <w:color w:val="auto"/>
          <w:szCs w:val="21"/>
          <w:highlight w:val="none"/>
        </w:rPr>
        <w:t>2．项目编号：</w:t>
      </w:r>
      <w:r>
        <w:rPr>
          <w:rFonts w:hint="eastAsia"/>
          <w:color w:val="auto"/>
          <w:szCs w:val="21"/>
          <w:highlight w:val="none"/>
          <w:u w:val="single"/>
        </w:rPr>
        <w:t xml:space="preserve"> </w:t>
      </w:r>
      <w:r>
        <w:rPr>
          <w:color w:val="auto"/>
          <w:szCs w:val="21"/>
          <w:highlight w:val="none"/>
          <w:u w:val="single"/>
        </w:rPr>
        <w:t xml:space="preserve">                              </w:t>
      </w:r>
    </w:p>
    <w:p w14:paraId="12226305">
      <w:pPr>
        <w:snapToGrid w:val="0"/>
        <w:spacing w:before="120" w:after="120" w:line="320" w:lineRule="exact"/>
        <w:rPr>
          <w:rFonts w:hint="eastAsia"/>
          <w:color w:val="auto"/>
          <w:szCs w:val="21"/>
          <w:highlight w:val="none"/>
          <w:u w:val="single"/>
        </w:rPr>
      </w:pPr>
      <w:r>
        <w:rPr>
          <w:rFonts w:hint="eastAsia"/>
          <w:color w:val="auto"/>
          <w:szCs w:val="21"/>
          <w:highlight w:val="none"/>
        </w:rPr>
        <w:t>3．标项：</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标项一</w:t>
      </w:r>
      <w:r>
        <w:rPr>
          <w:color w:val="auto"/>
          <w:szCs w:val="21"/>
          <w:highlight w:val="none"/>
          <w:u w:val="single"/>
        </w:rPr>
        <w:t xml:space="preserve">            </w:t>
      </w:r>
    </w:p>
    <w:p w14:paraId="5FA793D0">
      <w:pPr>
        <w:snapToGrid w:val="0"/>
        <w:spacing w:before="120" w:after="120" w:line="320" w:lineRule="exact"/>
        <w:rPr>
          <w:color w:val="auto"/>
          <w:szCs w:val="21"/>
          <w:highlight w:val="none"/>
          <w:u w:val="single"/>
        </w:rPr>
      </w:pPr>
      <w:r>
        <w:rPr>
          <w:color w:val="auto"/>
          <w:szCs w:val="21"/>
          <w:highlight w:val="none"/>
        </w:rPr>
        <w:t>4</w:t>
      </w:r>
      <w:r>
        <w:rPr>
          <w:rFonts w:hint="eastAsia"/>
          <w:color w:val="auto"/>
          <w:szCs w:val="21"/>
          <w:highlight w:val="none"/>
        </w:rPr>
        <w:t>．采购需求：</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详见附件</w:t>
      </w:r>
      <w:r>
        <w:rPr>
          <w:color w:val="auto"/>
          <w:szCs w:val="21"/>
          <w:highlight w:val="none"/>
          <w:u w:val="single"/>
        </w:rPr>
        <w:t xml:space="preserve">    </w:t>
      </w:r>
    </w:p>
    <w:p w14:paraId="30D13A41">
      <w:pPr>
        <w:snapToGrid w:val="0"/>
        <w:spacing w:before="120" w:after="120" w:line="320" w:lineRule="exact"/>
        <w:rPr>
          <w:color w:val="auto"/>
          <w:szCs w:val="21"/>
          <w:highlight w:val="none"/>
          <w:u w:val="single"/>
        </w:rPr>
      </w:pPr>
      <w:r>
        <w:rPr>
          <w:color w:val="auto"/>
          <w:szCs w:val="21"/>
          <w:highlight w:val="none"/>
        </w:rPr>
        <w:t>5</w:t>
      </w:r>
      <w:r>
        <w:rPr>
          <w:rFonts w:hint="eastAsia"/>
          <w:color w:val="auto"/>
          <w:szCs w:val="21"/>
          <w:highlight w:val="none"/>
        </w:rPr>
        <w:t>．框架协议期限：</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两年</w:t>
      </w:r>
      <w:r>
        <w:rPr>
          <w:color w:val="auto"/>
          <w:szCs w:val="21"/>
          <w:highlight w:val="none"/>
          <w:u w:val="single"/>
        </w:rPr>
        <w:t xml:space="preserve">             </w:t>
      </w:r>
    </w:p>
    <w:p w14:paraId="7BF930F4">
      <w:pPr>
        <w:snapToGrid w:val="0"/>
        <w:spacing w:before="120" w:after="120" w:line="320" w:lineRule="exact"/>
        <w:rPr>
          <w:color w:val="auto"/>
          <w:szCs w:val="21"/>
          <w:highlight w:val="none"/>
        </w:rPr>
      </w:pPr>
      <w:r>
        <w:rPr>
          <w:rFonts w:hint="eastAsia"/>
          <w:color w:val="auto"/>
          <w:szCs w:val="21"/>
          <w:highlight w:val="none"/>
        </w:rPr>
        <w:t>6．</w:t>
      </w:r>
      <w:r>
        <w:rPr>
          <w:color w:val="auto"/>
          <w:szCs w:val="21"/>
          <w:highlight w:val="none"/>
        </w:rPr>
        <w:t>最高限制单价：</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6"/>
        <w:gridCol w:w="7437"/>
      </w:tblGrid>
      <w:tr w14:paraId="14BB2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5005FD4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标项</w:t>
            </w:r>
          </w:p>
        </w:tc>
        <w:tc>
          <w:tcPr>
            <w:tcW w:w="7437" w:type="dxa"/>
            <w:tcBorders>
              <w:top w:val="single" w:color="auto" w:sz="4" w:space="0"/>
              <w:left w:val="single" w:color="auto" w:sz="4" w:space="0"/>
              <w:bottom w:val="single" w:color="auto" w:sz="4" w:space="0"/>
              <w:right w:val="single" w:color="auto" w:sz="4" w:space="0"/>
            </w:tcBorders>
            <w:noWrap w:val="0"/>
            <w:vAlign w:val="center"/>
          </w:tcPr>
          <w:p w14:paraId="22AA6E8D">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最高</w:t>
            </w:r>
            <w:r>
              <w:rPr>
                <w:rFonts w:hint="eastAsia" w:ascii="宋体" w:hAnsi="宋体" w:eastAsia="宋体" w:cs="宋体"/>
                <w:b/>
                <w:bCs/>
                <w:color w:val="auto"/>
                <w:szCs w:val="21"/>
                <w:highlight w:val="none"/>
              </w:rPr>
              <w:t>限价</w:t>
            </w:r>
          </w:p>
        </w:tc>
      </w:tr>
      <w:tr w14:paraId="03684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47A635C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7437" w:type="dxa"/>
            <w:tcBorders>
              <w:top w:val="single" w:color="auto" w:sz="4" w:space="0"/>
              <w:left w:val="single" w:color="auto" w:sz="4" w:space="0"/>
              <w:bottom w:val="single" w:color="auto" w:sz="4" w:space="0"/>
              <w:right w:val="single" w:color="auto" w:sz="4" w:space="0"/>
            </w:tcBorders>
            <w:noWrap w:val="0"/>
            <w:vAlign w:val="center"/>
          </w:tcPr>
          <w:p w14:paraId="5E78574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将项目委托</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进行概（预）算、工程量清单和招标控制价评审服务时，按以下费率计算服务费用：</w:t>
            </w:r>
          </w:p>
          <w:p w14:paraId="0C14678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1.审核工程概（预）算（含工程量清单、上限控制价），编审费按审查工程项目送审总造价1‰核定基本付费额。</w:t>
            </w:r>
          </w:p>
          <w:p w14:paraId="1DFC887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2.审核工程概（预）算（含工程量清单、上限控制价），审减（增）费按审查定案净减（增）值的3%核定基本付费额。</w:t>
            </w:r>
          </w:p>
          <w:p w14:paraId="2DD9C60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3.单个工程项目的评审服务费上限为80万元，单个工程项目评审服务费不足2500元的，按2500元付费；</w:t>
            </w:r>
          </w:p>
          <w:p w14:paraId="67FCA43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4.单个工程项目按上述两种费率合计计算，服务费的计算：评审服务费＝[编审费+审减（增）费]。</w:t>
            </w:r>
          </w:p>
          <w:p w14:paraId="227B7A4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将项目委托</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进行结算评审服务时，按以下费率计算服务费用：</w:t>
            </w:r>
          </w:p>
          <w:p w14:paraId="0C3F5CA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1.编审费按审查工程项目送审总造价2‰核定基本付费额。</w:t>
            </w:r>
          </w:p>
          <w:p w14:paraId="35DF8FB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2.审减（增）费按审查定案净减（增）值的4%核定基本付费额。</w:t>
            </w:r>
          </w:p>
          <w:p w14:paraId="3E810CC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3.单个工程项目评审服务费不足</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00元的，按</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00元付费，评审服务费无上限。</w:t>
            </w:r>
          </w:p>
          <w:p w14:paraId="032293CC">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.单个工程项目按上述两种费率合计计算，服务费的计算：评审服务费＝[编审费+审减（增）费]</w:t>
            </w:r>
          </w:p>
        </w:tc>
      </w:tr>
    </w:tbl>
    <w:p w14:paraId="7AB7092F">
      <w:pPr>
        <w:snapToGrid w:val="0"/>
        <w:spacing w:before="120" w:after="120" w:line="320" w:lineRule="exact"/>
        <w:rPr>
          <w:b/>
          <w:bCs/>
          <w:color w:val="auto"/>
          <w:szCs w:val="21"/>
          <w:highlight w:val="none"/>
        </w:rPr>
      </w:pPr>
      <w:r>
        <w:rPr>
          <w:rFonts w:hint="eastAsia"/>
          <w:b/>
          <w:bCs/>
          <w:color w:val="auto"/>
          <w:szCs w:val="21"/>
          <w:highlight w:val="none"/>
        </w:rPr>
        <w:t>第二条 框架协议信息</w:t>
      </w:r>
    </w:p>
    <w:p w14:paraId="5C158DBA">
      <w:pPr>
        <w:snapToGrid w:val="0"/>
        <w:spacing w:before="120" w:after="120" w:line="320" w:lineRule="exact"/>
        <w:rPr>
          <w:color w:val="auto"/>
          <w:szCs w:val="21"/>
          <w:highlight w:val="none"/>
        </w:rPr>
      </w:pPr>
      <w:r>
        <w:rPr>
          <w:rFonts w:hint="eastAsia"/>
          <w:color w:val="auto"/>
          <w:szCs w:val="21"/>
          <w:highlight w:val="none"/>
        </w:rPr>
        <w:t>1．服务内容、服务标准、协议价格</w:t>
      </w:r>
    </w:p>
    <w:p w14:paraId="5227C77A">
      <w:pPr>
        <w:snapToGrid w:val="0"/>
        <w:spacing w:before="120" w:after="120" w:line="320" w:lineRule="exact"/>
        <w:rPr>
          <w:color w:val="auto"/>
          <w:szCs w:val="21"/>
          <w:highlight w:val="none"/>
          <w:u w:val="single"/>
        </w:rPr>
      </w:pPr>
      <w:r>
        <w:rPr>
          <w:rFonts w:hint="eastAsia"/>
          <w:color w:val="auto"/>
          <w:szCs w:val="21"/>
          <w:highlight w:val="none"/>
        </w:rPr>
        <w:t>1</w:t>
      </w:r>
      <w:r>
        <w:rPr>
          <w:color w:val="auto"/>
          <w:szCs w:val="21"/>
          <w:highlight w:val="none"/>
        </w:rPr>
        <w:t xml:space="preserve">.1 </w:t>
      </w:r>
      <w:r>
        <w:rPr>
          <w:rFonts w:hint="eastAsia"/>
          <w:color w:val="auto"/>
          <w:szCs w:val="21"/>
          <w:highlight w:val="none"/>
        </w:rPr>
        <w:t>服务内容：</w:t>
      </w:r>
      <w:r>
        <w:rPr>
          <w:rFonts w:hint="eastAsia"/>
          <w:color w:val="auto"/>
          <w:szCs w:val="21"/>
          <w:highlight w:val="none"/>
          <w:u w:val="single"/>
        </w:rPr>
        <w:t>为钟山县政府投资项目提供概（预）算、工程量清单和招标控制价、结算评审服务</w:t>
      </w:r>
    </w:p>
    <w:p w14:paraId="18D5DD4C">
      <w:pPr>
        <w:snapToGrid w:val="0"/>
        <w:spacing w:before="120" w:after="120" w:line="320" w:lineRule="exact"/>
        <w:rPr>
          <w:rFonts w:hint="eastAsia"/>
          <w:color w:val="auto"/>
          <w:szCs w:val="21"/>
          <w:highlight w:val="none"/>
        </w:rPr>
      </w:pPr>
      <w:r>
        <w:rPr>
          <w:rFonts w:hint="eastAsia"/>
          <w:color w:val="auto"/>
          <w:szCs w:val="21"/>
          <w:highlight w:val="none"/>
        </w:rPr>
        <w:t>1</w:t>
      </w:r>
      <w:r>
        <w:rPr>
          <w:color w:val="auto"/>
          <w:szCs w:val="21"/>
          <w:highlight w:val="none"/>
        </w:rPr>
        <w:t xml:space="preserve">.2 </w:t>
      </w:r>
      <w:r>
        <w:rPr>
          <w:rFonts w:hint="eastAsia"/>
          <w:color w:val="auto"/>
          <w:szCs w:val="21"/>
          <w:highlight w:val="none"/>
        </w:rPr>
        <w:t>服务标准：</w:t>
      </w:r>
    </w:p>
    <w:p w14:paraId="4D43F677">
      <w:pPr>
        <w:snapToGrid w:val="0"/>
        <w:spacing w:before="120" w:after="120" w:line="320" w:lineRule="exact"/>
        <w:rPr>
          <w:rFonts w:hint="eastAsia"/>
          <w:color w:val="auto"/>
          <w:szCs w:val="21"/>
          <w:highlight w:val="none"/>
        </w:rPr>
      </w:pPr>
      <w:r>
        <w:rPr>
          <w:rFonts w:hint="eastAsia"/>
          <w:color w:val="auto"/>
          <w:szCs w:val="21"/>
          <w:highlight w:val="none"/>
        </w:rPr>
        <w:t>（1）严格遵守国家的法律、法规和有关规章制度，严格遵守行为准则和职业道德，按现行的财政投资项目评审操作规程及质量控制办法规定的执行。</w:t>
      </w:r>
    </w:p>
    <w:p w14:paraId="3C207DB0">
      <w:pPr>
        <w:snapToGrid w:val="0"/>
        <w:spacing w:before="120" w:after="120" w:line="320" w:lineRule="exact"/>
        <w:rPr>
          <w:rFonts w:hint="eastAsia"/>
          <w:color w:val="auto"/>
          <w:szCs w:val="21"/>
          <w:highlight w:val="none"/>
        </w:rPr>
      </w:pPr>
      <w:r>
        <w:rPr>
          <w:rFonts w:hint="eastAsia"/>
          <w:color w:val="auto"/>
          <w:szCs w:val="21"/>
          <w:highlight w:val="none"/>
        </w:rPr>
        <w:t>（2）严格按照现行的工程造价管理办法、工程结算编审规程等文件要求进行评审工作，依照相关依据发表专业意见出具成果文件，并对成果的真实性、完整性、准确性负责。</w:t>
      </w:r>
    </w:p>
    <w:p w14:paraId="0242520A">
      <w:pPr>
        <w:snapToGrid w:val="0"/>
        <w:spacing w:before="120" w:after="120" w:line="320" w:lineRule="exact"/>
        <w:rPr>
          <w:rFonts w:hint="eastAsia"/>
          <w:color w:val="auto"/>
          <w:szCs w:val="21"/>
          <w:highlight w:val="none"/>
        </w:rPr>
      </w:pPr>
      <w:r>
        <w:rPr>
          <w:rFonts w:hint="eastAsia"/>
          <w:color w:val="auto"/>
          <w:szCs w:val="21"/>
          <w:highlight w:val="none"/>
        </w:rPr>
        <w:t>（3）评审人员在项目评审工程中，应该恪守客观公正、实事求是的原则，确保评审工作的真实完整和准确，保证评审质量。</w:t>
      </w:r>
    </w:p>
    <w:p w14:paraId="543AD402">
      <w:pPr>
        <w:snapToGrid w:val="0"/>
        <w:spacing w:before="120" w:after="120" w:line="320" w:lineRule="exact"/>
        <w:rPr>
          <w:rFonts w:hint="eastAsia"/>
          <w:color w:val="auto"/>
          <w:szCs w:val="21"/>
          <w:highlight w:val="none"/>
        </w:rPr>
      </w:pPr>
      <w:r>
        <w:rPr>
          <w:rFonts w:hint="eastAsia"/>
          <w:color w:val="auto"/>
          <w:szCs w:val="21"/>
          <w:highlight w:val="none"/>
        </w:rPr>
        <w:t xml:space="preserve">（4）评审报告编制标准 </w:t>
      </w:r>
    </w:p>
    <w:p w14:paraId="38226634">
      <w:pPr>
        <w:snapToGrid w:val="0"/>
        <w:spacing w:before="120" w:after="120" w:line="320" w:lineRule="exact"/>
        <w:rPr>
          <w:rFonts w:hint="eastAsia"/>
          <w:color w:val="auto"/>
          <w:szCs w:val="21"/>
          <w:highlight w:val="none"/>
        </w:rPr>
      </w:pPr>
      <w:r>
        <w:rPr>
          <w:rFonts w:hint="eastAsia"/>
          <w:color w:val="auto"/>
          <w:szCs w:val="21"/>
          <w:highlight w:val="none"/>
        </w:rPr>
        <w:t>评审内容完整、数据准确、依据充分，评审结论定性客观、定量准确、依据充分，核增核减原因定性准确、条理清晰，披露评审问题有理有据、分析透彻，提出评审建议措施具体、针对性强。</w:t>
      </w:r>
    </w:p>
    <w:p w14:paraId="061FE1D3">
      <w:pPr>
        <w:snapToGrid w:val="0"/>
        <w:spacing w:before="120" w:after="120" w:line="320" w:lineRule="exact"/>
        <w:rPr>
          <w:rFonts w:hint="eastAsia"/>
          <w:color w:val="auto"/>
          <w:szCs w:val="21"/>
          <w:highlight w:val="none"/>
        </w:rPr>
      </w:pPr>
      <w:r>
        <w:rPr>
          <w:rFonts w:hint="eastAsia"/>
          <w:color w:val="auto"/>
          <w:szCs w:val="21"/>
          <w:highlight w:val="none"/>
        </w:rPr>
        <w:t>（5）采购人将对乙方提交的评审报告和评审结论进行复审，复审结果发现因乙方存在严重质量问题时，采购人不支付该项目的评审费用，并做出相应的处理，乙方必须承担由此造成的全部经济损失和法律责任。</w:t>
      </w:r>
    </w:p>
    <w:p w14:paraId="1616BD56">
      <w:pPr>
        <w:snapToGrid w:val="0"/>
        <w:spacing w:before="120" w:after="120" w:line="320" w:lineRule="exact"/>
        <w:rPr>
          <w:rFonts w:hint="eastAsia"/>
          <w:color w:val="auto"/>
          <w:szCs w:val="21"/>
          <w:highlight w:val="none"/>
        </w:rPr>
      </w:pPr>
      <w:r>
        <w:rPr>
          <w:rFonts w:hint="eastAsia"/>
          <w:color w:val="auto"/>
          <w:szCs w:val="21"/>
          <w:highlight w:val="none"/>
        </w:rPr>
        <w:t>（6）乙方不得泄露采购人及所承接项目的任何商业机密，不得未经采购人同意擅自对外公开评审结论，一经发现，将由采购人作出相应处理。</w:t>
      </w:r>
    </w:p>
    <w:p w14:paraId="05747D5E">
      <w:pPr>
        <w:snapToGrid w:val="0"/>
        <w:spacing w:before="120" w:after="120" w:line="320" w:lineRule="exact"/>
        <w:rPr>
          <w:rFonts w:hint="eastAsia"/>
          <w:color w:val="auto"/>
          <w:szCs w:val="21"/>
          <w:highlight w:val="none"/>
        </w:rPr>
      </w:pPr>
      <w:r>
        <w:rPr>
          <w:rFonts w:hint="eastAsia"/>
          <w:color w:val="auto"/>
          <w:szCs w:val="21"/>
          <w:highlight w:val="none"/>
        </w:rPr>
        <w:t>（7）评审人员应严格遵守廉洁自律的有关规定，坚决抵制各种可能影响客观公正评审的商业贿赂，坚决不搞人情评审，避免和杜绝吃拿卡要的不良行为。如因评审人员原因出现违规违纪行为，应及时处理并承担相应法律责任，采购人有权追究其相关责任并列入黑名单。</w:t>
      </w:r>
    </w:p>
    <w:p w14:paraId="63BBD3EB">
      <w:pPr>
        <w:snapToGrid w:val="0"/>
        <w:spacing w:before="120" w:after="120" w:line="320" w:lineRule="exact"/>
        <w:rPr>
          <w:rFonts w:hint="eastAsia"/>
          <w:color w:val="auto"/>
          <w:szCs w:val="21"/>
          <w:highlight w:val="none"/>
        </w:rPr>
      </w:pPr>
      <w:r>
        <w:rPr>
          <w:rFonts w:hint="eastAsia"/>
          <w:color w:val="auto"/>
          <w:szCs w:val="21"/>
          <w:highlight w:val="none"/>
        </w:rPr>
        <w:t>（8）乙方必须严格遵守《工程造价咨询企业管理办法》(建设部2006年第149号令)、《财政性投资评审质量控制办法》(财建【2006】1065号）、《贺州市财政局关于印发贺州市本级财政投资评审实施办法(2023年修订)的通知》(贺财办[2024]2号)等有关规定，按要求选择具备工程造价审核专业知识、熟悉财政投资审核业务、履行审核程序的人员开展财政投资审核业务，保证取证资料、工作底稿的正确完整和规范。出具的审核报告、结论或意见客观公正，符合审核规范和钟山县财政投资评审中心的要求，对出具的审核报告承担法律责任。</w:t>
      </w:r>
    </w:p>
    <w:p w14:paraId="3A05E076">
      <w:pPr>
        <w:snapToGrid w:val="0"/>
        <w:spacing w:before="120" w:after="120" w:line="320" w:lineRule="exact"/>
        <w:rPr>
          <w:rFonts w:hint="eastAsia"/>
          <w:color w:val="auto"/>
          <w:szCs w:val="21"/>
          <w:highlight w:val="none"/>
        </w:rPr>
      </w:pPr>
      <w:r>
        <w:rPr>
          <w:rFonts w:hint="eastAsia"/>
          <w:color w:val="auto"/>
          <w:szCs w:val="21"/>
          <w:highlight w:val="none"/>
        </w:rPr>
        <w:t>（9）乙方须在每季度第一个月10日前向钟山县财政投资评审中心报送上一季度钟山县财政投资评审服务项目有关统计报表。</w:t>
      </w:r>
    </w:p>
    <w:p w14:paraId="607A85E4">
      <w:pPr>
        <w:snapToGrid w:val="0"/>
        <w:spacing w:before="120" w:after="120" w:line="320" w:lineRule="exact"/>
        <w:rPr>
          <w:color w:val="auto"/>
          <w:szCs w:val="21"/>
          <w:highlight w:val="none"/>
          <w:u w:val="single"/>
        </w:rPr>
      </w:pPr>
      <w:r>
        <w:rPr>
          <w:rFonts w:hint="eastAsia"/>
          <w:color w:val="auto"/>
          <w:szCs w:val="21"/>
          <w:highlight w:val="none"/>
        </w:rPr>
        <w:t>1</w:t>
      </w:r>
      <w:r>
        <w:rPr>
          <w:color w:val="auto"/>
          <w:szCs w:val="21"/>
          <w:highlight w:val="none"/>
        </w:rPr>
        <w:t xml:space="preserve">.3 </w:t>
      </w:r>
      <w:r>
        <w:rPr>
          <w:rFonts w:hint="eastAsia"/>
          <w:color w:val="auto"/>
          <w:szCs w:val="21"/>
          <w:highlight w:val="none"/>
        </w:rPr>
        <w:t>协议价格（响应报价）：</w:t>
      </w:r>
      <w:r>
        <w:rPr>
          <w:rFonts w:hint="eastAsia"/>
          <w:color w:val="auto"/>
          <w:szCs w:val="21"/>
          <w:highlight w:val="none"/>
          <w:u w:val="single"/>
        </w:rPr>
        <w:t>同“最高限制单价”。</w:t>
      </w:r>
    </w:p>
    <w:p w14:paraId="757102AB">
      <w:pPr>
        <w:pStyle w:val="26"/>
        <w:adjustRightInd w:val="0"/>
        <w:snapToGrid w:val="0"/>
        <w:spacing w:line="360" w:lineRule="auto"/>
        <w:rPr>
          <w:color w:val="auto"/>
          <w:highlight w:val="none"/>
        </w:rPr>
      </w:pPr>
      <w:r>
        <w:rPr>
          <w:rFonts w:ascii="Times New Roman" w:hAnsi="Times New Roman" w:cs="Times New Roman"/>
          <w:color w:val="auto"/>
          <w:highlight w:val="none"/>
        </w:rPr>
        <w:t>2</w:t>
      </w:r>
      <w:r>
        <w:rPr>
          <w:rFonts w:hint="eastAsia" w:ascii="Times New Roman" w:hAnsi="Times New Roman" w:cs="Times New Roman"/>
          <w:color w:val="auto"/>
          <w:highlight w:val="none"/>
        </w:rPr>
        <w:t>．</w:t>
      </w:r>
      <w:r>
        <w:rPr>
          <w:rFonts w:hint="eastAsia"/>
          <w:color w:val="auto"/>
          <w:highlight w:val="none"/>
        </w:rPr>
        <w:t>适用框架协议的采购人或服务对象范围</w:t>
      </w:r>
    </w:p>
    <w:p w14:paraId="450A659E">
      <w:pPr>
        <w:pStyle w:val="26"/>
        <w:adjustRightInd w:val="0"/>
        <w:snapToGrid w:val="0"/>
        <w:spacing w:line="360" w:lineRule="auto"/>
        <w:rPr>
          <w:rFonts w:hint="eastAsia" w:ascii="Times New Roman" w:hAnsi="Times New Roman" w:cs="Times New Roman"/>
          <w:color w:val="auto"/>
          <w:highlight w:val="none"/>
        </w:rPr>
      </w:pPr>
      <w:r>
        <w:rPr>
          <w:rFonts w:hint="eastAsia"/>
          <w:color w:val="auto"/>
          <w:highlight w:val="none"/>
          <w:u w:val="single"/>
        </w:rPr>
        <w:t>钟山县财政投资评审中心</w:t>
      </w:r>
    </w:p>
    <w:p w14:paraId="47A10AAB">
      <w:pPr>
        <w:snapToGrid w:val="0"/>
        <w:spacing w:before="120" w:after="120" w:line="320" w:lineRule="exact"/>
        <w:rPr>
          <w:rFonts w:hint="eastAsia"/>
          <w:color w:val="auto"/>
          <w:szCs w:val="21"/>
          <w:highlight w:val="none"/>
          <w:u w:val="single"/>
        </w:rPr>
      </w:pPr>
      <w:bookmarkStart w:id="77" w:name="_Hlk98860373"/>
      <w:r>
        <w:rPr>
          <w:color w:val="auto"/>
          <w:szCs w:val="21"/>
          <w:highlight w:val="none"/>
        </w:rPr>
        <w:t>3</w:t>
      </w:r>
      <w:r>
        <w:rPr>
          <w:rFonts w:hint="eastAsia"/>
          <w:color w:val="auto"/>
          <w:szCs w:val="21"/>
          <w:highlight w:val="none"/>
        </w:rPr>
        <w:t>．履行合同的地域范围：</w:t>
      </w:r>
      <w:r>
        <w:rPr>
          <w:rFonts w:hint="eastAsia"/>
          <w:color w:val="auto"/>
          <w:szCs w:val="21"/>
          <w:highlight w:val="none"/>
          <w:u w:val="single"/>
        </w:rPr>
        <w:t>采购人指定地点。</w:t>
      </w:r>
    </w:p>
    <w:bookmarkEnd w:id="77"/>
    <w:p w14:paraId="1792A6F8">
      <w:pPr>
        <w:snapToGrid w:val="0"/>
        <w:spacing w:before="120" w:after="120" w:line="320" w:lineRule="exact"/>
        <w:rPr>
          <w:b/>
          <w:bCs/>
          <w:color w:val="auto"/>
          <w:szCs w:val="21"/>
          <w:highlight w:val="none"/>
        </w:rPr>
      </w:pPr>
      <w:r>
        <w:rPr>
          <w:rFonts w:hint="eastAsia"/>
          <w:b/>
          <w:bCs/>
          <w:color w:val="auto"/>
          <w:szCs w:val="21"/>
          <w:highlight w:val="none"/>
        </w:rPr>
        <w:t>第三条 确定第二阶段成交供应商的方式</w:t>
      </w:r>
    </w:p>
    <w:p w14:paraId="0B17743A">
      <w:pPr>
        <w:snapToGrid w:val="0"/>
        <w:spacing w:before="120" w:after="120" w:line="320" w:lineRule="exact"/>
        <w:rPr>
          <w:rFonts w:hint="eastAsia"/>
          <w:color w:val="auto"/>
          <w:szCs w:val="21"/>
          <w:highlight w:val="none"/>
          <w:u w:val="single"/>
        </w:rPr>
      </w:pPr>
      <w:r>
        <w:rPr>
          <w:rFonts w:hint="eastAsia"/>
          <w:color w:val="auto"/>
          <w:szCs w:val="21"/>
          <w:highlight w:val="none"/>
        </w:rPr>
        <w:t>1．甲方在入围供应商中通过</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（1）</w:t>
      </w:r>
      <w:r>
        <w:rPr>
          <w:color w:val="auto"/>
          <w:szCs w:val="21"/>
          <w:highlight w:val="none"/>
          <w:u w:val="single"/>
        </w:rPr>
        <w:t xml:space="preserve"> </w:t>
      </w:r>
      <w:r>
        <w:rPr>
          <w:rFonts w:hint="eastAsia"/>
          <w:color w:val="auto"/>
          <w:szCs w:val="21"/>
          <w:highlight w:val="none"/>
          <w:u w:val="single"/>
        </w:rPr>
        <w:t>种</w:t>
      </w:r>
      <w:r>
        <w:rPr>
          <w:rFonts w:hint="eastAsia"/>
          <w:color w:val="auto"/>
          <w:szCs w:val="21"/>
          <w:highlight w:val="none"/>
        </w:rPr>
        <w:t>方式确定成交供应商并签订合同。</w:t>
      </w:r>
    </w:p>
    <w:p w14:paraId="4A4B11D2">
      <w:pPr>
        <w:snapToGrid w:val="0"/>
        <w:spacing w:before="120" w:after="120" w:line="320" w:lineRule="exact"/>
        <w:rPr>
          <w:color w:val="auto"/>
          <w:szCs w:val="21"/>
          <w:highlight w:val="none"/>
        </w:rPr>
      </w:pPr>
      <w:r>
        <w:rPr>
          <w:rFonts w:hint="eastAsia"/>
          <w:color w:val="auto"/>
          <w:szCs w:val="21"/>
          <w:highlight w:val="none"/>
        </w:rPr>
        <w:t>（1）直接选定</w:t>
      </w:r>
    </w:p>
    <w:p w14:paraId="23E49A3A">
      <w:pPr>
        <w:snapToGrid w:val="0"/>
        <w:spacing w:before="120" w:after="120" w:line="320" w:lineRule="exact"/>
        <w:rPr>
          <w:rFonts w:hint="eastAsia"/>
          <w:color w:val="auto"/>
          <w:szCs w:val="21"/>
          <w:highlight w:val="none"/>
        </w:rPr>
      </w:pPr>
      <w:r>
        <w:rPr>
          <w:rFonts w:hint="eastAsia"/>
          <w:color w:val="auto"/>
          <w:szCs w:val="21"/>
          <w:highlight w:val="none"/>
        </w:rPr>
        <w:t>直接选定规则：依据入围产品价格、质量以及服务便利性、用户评价等因素，从入围供应商中直接选定成交供应商。</w:t>
      </w:r>
    </w:p>
    <w:p w14:paraId="6B0131DF">
      <w:pPr>
        <w:snapToGrid w:val="0"/>
        <w:spacing w:before="120" w:after="120" w:line="320" w:lineRule="exact"/>
        <w:rPr>
          <w:color w:val="auto"/>
          <w:szCs w:val="21"/>
          <w:highlight w:val="none"/>
        </w:rPr>
      </w:pPr>
      <w:r>
        <w:rPr>
          <w:rFonts w:hint="eastAsia"/>
          <w:color w:val="auto"/>
          <w:szCs w:val="21"/>
          <w:highlight w:val="none"/>
        </w:rPr>
        <w:t>（2）二次竞价</w:t>
      </w:r>
    </w:p>
    <w:p w14:paraId="0F8B64A3">
      <w:pPr>
        <w:snapToGrid w:val="0"/>
        <w:spacing w:before="120" w:after="120" w:line="320" w:lineRule="exact"/>
        <w:rPr>
          <w:color w:val="auto"/>
          <w:szCs w:val="21"/>
          <w:highlight w:val="none"/>
        </w:rPr>
      </w:pPr>
      <w:r>
        <w:rPr>
          <w:rFonts w:hint="eastAsia"/>
          <w:color w:val="auto"/>
          <w:szCs w:val="21"/>
          <w:highlight w:val="none"/>
        </w:rPr>
        <w:t>二次竞价规则：乙方以第一阶段的响应报价（协议价格）为最高限价，依照响应文件中承诺的入围产品（服务）、采购合同等事项，根据采购人明确的竞价需求，参与二次竞价，以报价最低的为成交供应商。</w:t>
      </w:r>
    </w:p>
    <w:p w14:paraId="10F13B45">
      <w:pPr>
        <w:snapToGrid w:val="0"/>
        <w:spacing w:before="120" w:after="120" w:line="320" w:lineRule="exact"/>
        <w:rPr>
          <w:color w:val="auto"/>
          <w:szCs w:val="21"/>
          <w:highlight w:val="none"/>
          <w:u w:val="single"/>
        </w:rPr>
      </w:pPr>
      <w:r>
        <w:rPr>
          <w:rFonts w:hint="eastAsia"/>
          <w:color w:val="auto"/>
          <w:szCs w:val="21"/>
          <w:highlight w:val="none"/>
        </w:rPr>
        <w:t>二次竞价截止时间：</w:t>
      </w:r>
      <w:r>
        <w:rPr>
          <w:rFonts w:hint="eastAsia"/>
          <w:color w:val="auto"/>
          <w:szCs w:val="21"/>
          <w:highlight w:val="none"/>
          <w:u w:val="single"/>
        </w:rPr>
        <w:t xml:space="preserve"> </w:t>
      </w:r>
      <w:r>
        <w:rPr>
          <w:color w:val="auto"/>
          <w:szCs w:val="21"/>
          <w:highlight w:val="none"/>
          <w:u w:val="single"/>
        </w:rPr>
        <w:t xml:space="preserve">            </w:t>
      </w:r>
    </w:p>
    <w:p w14:paraId="5A44BA47">
      <w:pPr>
        <w:snapToGrid w:val="0"/>
        <w:spacing w:before="120" w:after="120" w:line="320" w:lineRule="exact"/>
        <w:rPr>
          <w:rFonts w:hint="eastAsia"/>
          <w:color w:val="auto"/>
          <w:szCs w:val="21"/>
          <w:highlight w:val="none"/>
          <w:u w:val="single"/>
        </w:rPr>
      </w:pPr>
      <w:r>
        <w:rPr>
          <w:rFonts w:hint="eastAsia"/>
          <w:color w:val="auto"/>
          <w:szCs w:val="21"/>
          <w:highlight w:val="none"/>
        </w:rPr>
        <w:t>二次竞价需求：</w:t>
      </w:r>
      <w:r>
        <w:rPr>
          <w:rFonts w:hint="eastAsia"/>
          <w:color w:val="auto"/>
          <w:szCs w:val="21"/>
          <w:highlight w:val="none"/>
          <w:u w:val="single"/>
        </w:rPr>
        <w:t xml:space="preserve"> </w:t>
      </w:r>
      <w:r>
        <w:rPr>
          <w:color w:val="auto"/>
          <w:szCs w:val="21"/>
          <w:highlight w:val="none"/>
          <w:u w:val="single"/>
        </w:rPr>
        <w:t xml:space="preserve">                 </w:t>
      </w:r>
    </w:p>
    <w:p w14:paraId="1EAAF1FD">
      <w:pPr>
        <w:snapToGrid w:val="0"/>
        <w:spacing w:before="120" w:after="120" w:line="320" w:lineRule="exact"/>
        <w:rPr>
          <w:color w:val="auto"/>
          <w:szCs w:val="21"/>
          <w:highlight w:val="none"/>
        </w:rPr>
      </w:pPr>
      <w:r>
        <w:rPr>
          <w:rFonts w:hint="eastAsia"/>
          <w:color w:val="auto"/>
          <w:szCs w:val="21"/>
          <w:highlight w:val="none"/>
        </w:rPr>
        <w:t>（3）顺序轮候</w:t>
      </w:r>
    </w:p>
    <w:p w14:paraId="21754C3F">
      <w:pPr>
        <w:snapToGrid w:val="0"/>
        <w:spacing w:before="120" w:after="120" w:line="320" w:lineRule="exact"/>
        <w:rPr>
          <w:rFonts w:hint="eastAsia"/>
          <w:color w:val="auto"/>
          <w:szCs w:val="21"/>
          <w:highlight w:val="none"/>
        </w:rPr>
      </w:pPr>
      <w:r>
        <w:rPr>
          <w:rFonts w:hint="eastAsia"/>
          <w:color w:val="auto"/>
          <w:szCs w:val="21"/>
          <w:highlight w:val="none"/>
        </w:rPr>
        <w:t>顺序轮候规则：以入围供应商从高到低排名依次进行合同授予，每个入围供应商在一个顺序轮候期内，仅能获得一次合同授予的机会。框架协议有效期截止后，轮候则终止，不保证所有供应商所承接的实际项目数量或金额均等。</w:t>
      </w:r>
    </w:p>
    <w:p w14:paraId="48F0B103">
      <w:pPr>
        <w:snapToGrid w:val="0"/>
        <w:spacing w:before="120" w:after="120" w:line="320" w:lineRule="exact"/>
        <w:rPr>
          <w:color w:val="auto"/>
          <w:szCs w:val="21"/>
          <w:highlight w:val="none"/>
          <w:u w:val="single"/>
        </w:rPr>
      </w:pPr>
      <w:r>
        <w:rPr>
          <w:rFonts w:hint="eastAsia"/>
          <w:color w:val="auto"/>
          <w:szCs w:val="21"/>
          <w:highlight w:val="none"/>
        </w:rPr>
        <w:t>顺序轮候期：</w:t>
      </w:r>
      <w:r>
        <w:rPr>
          <w:rFonts w:hint="eastAsia"/>
          <w:color w:val="auto"/>
          <w:szCs w:val="21"/>
          <w:highlight w:val="none"/>
          <w:u w:val="single"/>
        </w:rPr>
        <w:t xml:space="preserve"> </w:t>
      </w:r>
      <w:r>
        <w:rPr>
          <w:color w:val="auto"/>
          <w:szCs w:val="21"/>
          <w:highlight w:val="none"/>
          <w:u w:val="single"/>
        </w:rPr>
        <w:t xml:space="preserve">            </w:t>
      </w:r>
    </w:p>
    <w:p w14:paraId="0FE29A9A">
      <w:pPr>
        <w:snapToGrid w:val="0"/>
        <w:spacing w:before="120" w:after="120" w:line="320" w:lineRule="exact"/>
        <w:rPr>
          <w:b/>
          <w:bCs/>
          <w:color w:val="auto"/>
          <w:szCs w:val="21"/>
          <w:highlight w:val="none"/>
        </w:rPr>
      </w:pPr>
      <w:r>
        <w:rPr>
          <w:rFonts w:hint="eastAsia"/>
          <w:b/>
          <w:bCs/>
          <w:color w:val="auto"/>
          <w:szCs w:val="21"/>
          <w:highlight w:val="none"/>
        </w:rPr>
        <w:t>第四条 入围产品升级换代规则</w:t>
      </w:r>
    </w:p>
    <w:p w14:paraId="0892CD9C">
      <w:pPr>
        <w:snapToGrid w:val="0"/>
        <w:spacing w:before="120" w:after="120" w:line="320" w:lineRule="exact"/>
        <w:rPr>
          <w:rFonts w:hint="eastAsia"/>
          <w:color w:val="auto"/>
          <w:szCs w:val="21"/>
          <w:highlight w:val="none"/>
          <w:u w:val="single"/>
        </w:rPr>
      </w:pPr>
      <w:r>
        <w:rPr>
          <w:rFonts w:hint="eastAsia"/>
          <w:color w:val="auto"/>
          <w:szCs w:val="21"/>
          <w:highlight w:val="none"/>
          <w:u w:val="single"/>
        </w:rPr>
        <w:t>无</w:t>
      </w:r>
    </w:p>
    <w:p w14:paraId="40F90D40">
      <w:pPr>
        <w:snapToGrid w:val="0"/>
        <w:spacing w:before="120" w:after="120" w:line="320" w:lineRule="exact"/>
        <w:rPr>
          <w:b/>
          <w:bCs/>
          <w:color w:val="auto"/>
          <w:szCs w:val="21"/>
          <w:highlight w:val="none"/>
        </w:rPr>
      </w:pPr>
      <w:r>
        <w:rPr>
          <w:rFonts w:hint="eastAsia"/>
          <w:b/>
          <w:bCs/>
          <w:color w:val="auto"/>
          <w:szCs w:val="21"/>
          <w:highlight w:val="none"/>
        </w:rPr>
        <w:t>第五条 资金支付方式、时间、条件</w:t>
      </w:r>
    </w:p>
    <w:p w14:paraId="67D1A929">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本项目无预付款。服务费按项目申请支付。成交供应商在完成评审工作后填写《项目委托评审费支付申请表》并加盖公章后送采购人审核签认，由征集人直接向成交供应商支付。双方账户信息如下：</w:t>
      </w:r>
    </w:p>
    <w:p w14:paraId="37EC68DB">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甲方名称：</w:t>
      </w:r>
      <w:r>
        <w:rPr>
          <w:rFonts w:hint="eastAsia" w:ascii="Times New Roman" w:hAnsi="Times New Roman" w:eastAsia="宋体" w:cs="Times New Roman"/>
          <w:color w:val="auto"/>
          <w:szCs w:val="21"/>
          <w:highlight w:val="none"/>
          <w:u w:val="single"/>
        </w:rPr>
        <w:t>钟山县财政局</w:t>
      </w:r>
      <w:r>
        <w:rPr>
          <w:rFonts w:ascii="Times New Roman" w:hAnsi="Times New Roman" w:eastAsia="宋体" w:cs="Times New Roman"/>
          <w:color w:val="auto"/>
          <w:szCs w:val="21"/>
          <w:highlight w:val="none"/>
        </w:rPr>
        <w:t xml:space="preserve"> </w:t>
      </w:r>
    </w:p>
    <w:p w14:paraId="2B8A8EEA">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国税纳税人识别号：</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116BFA6F">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户名：</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51602E2D">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开户行：</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p>
    <w:p w14:paraId="4C1002CF">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帐号：</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7723971A">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地址：</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42BFD36C">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联系电话：</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p>
    <w:p w14:paraId="63FA02F3">
      <w:pPr>
        <w:snapToGrid w:val="0"/>
        <w:spacing w:line="360" w:lineRule="exact"/>
        <w:ind w:firstLine="420" w:firstLineChars="200"/>
        <w:rPr>
          <w:rFonts w:ascii="Times New Roman" w:hAnsi="Times New Roman" w:eastAsia="宋体" w:cs="Times New Roman"/>
          <w:bCs/>
          <w:color w:val="auto"/>
          <w:szCs w:val="21"/>
          <w:highlight w:val="none"/>
        </w:rPr>
      </w:pPr>
    </w:p>
    <w:p w14:paraId="479FA5BD">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乙方名称：</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147A45DA">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国税纳税人识别号：</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p>
    <w:p w14:paraId="089B3BEF">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户名：</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7CA37F0D">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开户行：</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p>
    <w:p w14:paraId="0826DECA">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帐号：</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75016BA5">
      <w:pPr>
        <w:snapToGrid w:val="0"/>
        <w:spacing w:line="36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地址：</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72C6DD9F">
      <w:pPr>
        <w:snapToGrid w:val="0"/>
        <w:spacing w:line="360" w:lineRule="exact"/>
        <w:ind w:firstLine="420" w:firstLineChars="200"/>
        <w:rPr>
          <w:rFonts w:ascii="Times New Roman" w:hAnsi="Times New Roman" w:eastAsia="宋体" w:cs="Times New Roman"/>
          <w:color w:val="auto"/>
          <w:szCs w:val="21"/>
          <w:highlight w:val="none"/>
          <w:u w:val="single"/>
        </w:rPr>
      </w:pPr>
      <w:r>
        <w:rPr>
          <w:rFonts w:hint="eastAsia" w:ascii="Times New Roman" w:hAnsi="Times New Roman" w:eastAsia="宋体" w:cs="Times New Roman"/>
          <w:bCs/>
          <w:color w:val="auto"/>
          <w:szCs w:val="21"/>
          <w:highlight w:val="none"/>
        </w:rPr>
        <w:t>联系电话：</w:t>
      </w: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u w:val="single"/>
        </w:rPr>
        <w:t xml:space="preserve">                      </w:t>
      </w:r>
    </w:p>
    <w:p w14:paraId="003D2DDC">
      <w:pPr>
        <w:snapToGrid w:val="0"/>
        <w:spacing w:line="360" w:lineRule="exact"/>
        <w:ind w:firstLine="420" w:firstLineChars="200"/>
        <w:rPr>
          <w:rFonts w:hint="eastAsia" w:ascii="Times New Roman" w:hAnsi="Times New Roman" w:eastAsia="宋体" w:cs="Times New Roman"/>
          <w:bCs/>
          <w:color w:val="auto"/>
          <w:szCs w:val="21"/>
          <w:highlight w:val="none"/>
        </w:rPr>
      </w:pPr>
    </w:p>
    <w:p w14:paraId="7AF83B38">
      <w:pPr>
        <w:snapToGrid w:val="0"/>
        <w:spacing w:before="120" w:after="120" w:line="32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乙方如需改变上述账户，应提前10日以书面通知甲方。如乙方未按本合同规定通知导致甲方逾期付款，甲方不承担任何违约责任，乙方应承担因此产生的一切费用。</w:t>
      </w:r>
    </w:p>
    <w:p w14:paraId="4E90C015">
      <w:pPr>
        <w:snapToGrid w:val="0"/>
        <w:spacing w:before="120" w:after="120" w:line="32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 付费额的计算公式</w:t>
      </w:r>
    </w:p>
    <w:p w14:paraId="4CC7A7BB">
      <w:pPr>
        <w:snapToGrid w:val="0"/>
        <w:spacing w:before="120" w:after="120" w:line="32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评审服务费＝[编审费+审减（增）费]</w:t>
      </w:r>
    </w:p>
    <w:p w14:paraId="3E3DBD77">
      <w:pPr>
        <w:snapToGrid w:val="0"/>
        <w:spacing w:before="120" w:after="120" w:line="32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3.费率其他约定</w:t>
      </w:r>
    </w:p>
    <w:p w14:paraId="7C2CC8AE">
      <w:pPr>
        <w:snapToGrid w:val="0"/>
        <w:spacing w:before="120" w:after="120" w:line="32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当成交供应商承接的项目评审存在特殊情况，采购人与成交供应商协商确定费率后，另行在采购合同中约定。</w:t>
      </w:r>
    </w:p>
    <w:p w14:paraId="72133C96">
      <w:pPr>
        <w:snapToGrid w:val="0"/>
        <w:spacing w:before="120" w:after="120" w:line="32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4.履约保证金</w:t>
      </w:r>
    </w:p>
    <w:p w14:paraId="7F8DD44A">
      <w:pPr>
        <w:snapToGrid w:val="0"/>
        <w:spacing w:before="120" w:after="120" w:line="320" w:lineRule="exact"/>
        <w:ind w:firstLine="420" w:firstLineChars="200"/>
        <w:rPr>
          <w:color w:val="auto"/>
          <w:szCs w:val="21"/>
          <w:highlight w:val="none"/>
          <w:u w:val="single"/>
        </w:rPr>
      </w:pPr>
      <w:r>
        <w:rPr>
          <w:rFonts w:hint="eastAsia" w:ascii="Times New Roman" w:hAnsi="Times New Roman" w:eastAsia="宋体" w:cs="Times New Roman"/>
          <w:color w:val="auto"/>
          <w:szCs w:val="21"/>
          <w:highlight w:val="none"/>
        </w:rPr>
        <w:t>无。</w:t>
      </w:r>
    </w:p>
    <w:p w14:paraId="5E566F1F">
      <w:pPr>
        <w:snapToGrid w:val="0"/>
        <w:spacing w:before="120" w:after="120" w:line="320" w:lineRule="exact"/>
        <w:rPr>
          <w:b/>
          <w:bCs/>
          <w:color w:val="auto"/>
          <w:szCs w:val="21"/>
          <w:highlight w:val="none"/>
        </w:rPr>
      </w:pPr>
      <w:r>
        <w:rPr>
          <w:rFonts w:hint="eastAsia"/>
          <w:b/>
          <w:bCs/>
          <w:color w:val="auto"/>
          <w:szCs w:val="21"/>
          <w:highlight w:val="none"/>
        </w:rPr>
        <w:t>第六条 采购合同文本</w:t>
      </w:r>
    </w:p>
    <w:p w14:paraId="059E9487">
      <w:pPr>
        <w:snapToGrid w:val="0"/>
        <w:spacing w:before="120" w:after="120" w:line="320" w:lineRule="exact"/>
        <w:rPr>
          <w:rFonts w:hint="eastAsia"/>
          <w:color w:val="auto"/>
          <w:szCs w:val="21"/>
          <w:highlight w:val="none"/>
          <w:u w:val="single"/>
        </w:rPr>
      </w:pPr>
      <w:r>
        <w:rPr>
          <w:rFonts w:hint="eastAsia"/>
          <w:color w:val="auto"/>
          <w:szCs w:val="21"/>
          <w:highlight w:val="none"/>
          <w:u w:val="single"/>
        </w:rPr>
        <w:t>详见第六章合同主要条款（格式）。</w:t>
      </w:r>
    </w:p>
    <w:p w14:paraId="6D7A1D82">
      <w:pPr>
        <w:snapToGrid w:val="0"/>
        <w:spacing w:before="120" w:after="120" w:line="320" w:lineRule="exact"/>
        <w:rPr>
          <w:color w:val="auto"/>
          <w:szCs w:val="21"/>
          <w:highlight w:val="none"/>
        </w:rPr>
      </w:pPr>
      <w:r>
        <w:rPr>
          <w:rFonts w:hint="eastAsia"/>
          <w:b/>
          <w:bCs/>
          <w:color w:val="auto"/>
          <w:szCs w:val="21"/>
          <w:highlight w:val="none"/>
        </w:rPr>
        <w:t>第七条 入围供应商清退和补充规则</w:t>
      </w:r>
    </w:p>
    <w:p w14:paraId="23DAC4A8">
      <w:pPr>
        <w:snapToGrid w:val="0"/>
        <w:spacing w:before="120" w:after="120" w:line="320" w:lineRule="exact"/>
        <w:rPr>
          <w:color w:val="auto"/>
          <w:szCs w:val="21"/>
          <w:highlight w:val="none"/>
        </w:rPr>
      </w:pPr>
      <w:r>
        <w:rPr>
          <w:color w:val="auto"/>
          <w:szCs w:val="21"/>
          <w:highlight w:val="none"/>
        </w:rPr>
        <w:t>1</w:t>
      </w:r>
      <w:r>
        <w:rPr>
          <w:rFonts w:hint="eastAsia"/>
          <w:color w:val="auto"/>
          <w:szCs w:val="21"/>
          <w:highlight w:val="none"/>
        </w:rPr>
        <w:t>．入围供应商的清退</w:t>
      </w:r>
    </w:p>
    <w:p w14:paraId="3F0312B2">
      <w:pPr>
        <w:snapToGrid w:val="0"/>
        <w:spacing w:before="120" w:after="120" w:line="320" w:lineRule="exact"/>
        <w:rPr>
          <w:rFonts w:hint="eastAsia"/>
          <w:color w:val="auto"/>
          <w:szCs w:val="21"/>
          <w:highlight w:val="none"/>
        </w:rPr>
      </w:pPr>
      <w:r>
        <w:rPr>
          <w:rFonts w:hint="eastAsia"/>
          <w:color w:val="auto"/>
          <w:szCs w:val="21"/>
          <w:highlight w:val="none"/>
        </w:rPr>
        <w:t>乙方在签订本框架协议前出现以下情形之一的，甲方将取消其入围资格；乙方在签订本框架协议后出现以下情形之一的，</w:t>
      </w:r>
      <w:bookmarkStart w:id="78" w:name="_Hlk98861500"/>
      <w:r>
        <w:rPr>
          <w:rFonts w:hint="eastAsia"/>
          <w:color w:val="auto"/>
          <w:szCs w:val="21"/>
          <w:highlight w:val="none"/>
        </w:rPr>
        <w:t>甲方将解除与其签订的框架协议</w:t>
      </w:r>
      <w:bookmarkEnd w:id="78"/>
      <w:r>
        <w:rPr>
          <w:rFonts w:hint="eastAsia"/>
          <w:color w:val="auto"/>
          <w:szCs w:val="21"/>
          <w:highlight w:val="none"/>
        </w:rPr>
        <w:t xml:space="preserve">： </w:t>
      </w:r>
    </w:p>
    <w:p w14:paraId="09F7120B">
      <w:pPr>
        <w:snapToGrid w:val="0"/>
        <w:spacing w:before="120" w:after="120" w:line="320" w:lineRule="exact"/>
        <w:rPr>
          <w:rFonts w:hint="eastAsia"/>
          <w:color w:val="auto"/>
          <w:szCs w:val="21"/>
          <w:highlight w:val="none"/>
        </w:rPr>
      </w:pPr>
      <w:r>
        <w:rPr>
          <w:rFonts w:hint="eastAsia"/>
          <w:color w:val="auto"/>
          <w:szCs w:val="21"/>
          <w:highlight w:val="none"/>
        </w:rPr>
        <w:t xml:space="preserve">（1）恶意串通谋取入围或者合同成交的； </w:t>
      </w:r>
    </w:p>
    <w:p w14:paraId="75A8FE27">
      <w:pPr>
        <w:snapToGrid w:val="0"/>
        <w:spacing w:before="120" w:after="120" w:line="320" w:lineRule="exact"/>
        <w:rPr>
          <w:rFonts w:hint="eastAsia"/>
          <w:color w:val="auto"/>
          <w:szCs w:val="21"/>
          <w:highlight w:val="none"/>
        </w:rPr>
      </w:pPr>
      <w:r>
        <w:rPr>
          <w:rFonts w:hint="eastAsia"/>
          <w:color w:val="auto"/>
          <w:szCs w:val="21"/>
          <w:highlight w:val="none"/>
        </w:rPr>
        <w:t xml:space="preserve">（2）提供虚假材料谋取入围或者合同成交的； </w:t>
      </w:r>
    </w:p>
    <w:p w14:paraId="4420D7A5">
      <w:pPr>
        <w:snapToGrid w:val="0"/>
        <w:spacing w:before="120" w:after="120" w:line="320" w:lineRule="exact"/>
        <w:rPr>
          <w:rFonts w:hint="eastAsia"/>
          <w:color w:val="auto"/>
          <w:szCs w:val="21"/>
          <w:highlight w:val="none"/>
        </w:rPr>
      </w:pPr>
      <w:r>
        <w:rPr>
          <w:rFonts w:hint="eastAsia"/>
          <w:color w:val="auto"/>
          <w:szCs w:val="21"/>
          <w:highlight w:val="none"/>
        </w:rPr>
        <w:t xml:space="preserve">（3）除不可抗力外拒不接受合同授予的。 </w:t>
      </w:r>
    </w:p>
    <w:p w14:paraId="3D32A8DF">
      <w:pPr>
        <w:snapToGrid w:val="0"/>
        <w:spacing w:before="120" w:after="120" w:line="320" w:lineRule="exact"/>
        <w:rPr>
          <w:rFonts w:hint="eastAsia"/>
          <w:color w:val="auto"/>
          <w:szCs w:val="21"/>
          <w:highlight w:val="none"/>
        </w:rPr>
      </w:pPr>
      <w:r>
        <w:rPr>
          <w:rFonts w:hint="eastAsia"/>
          <w:color w:val="auto"/>
          <w:szCs w:val="21"/>
          <w:highlight w:val="none"/>
        </w:rPr>
        <w:t xml:space="preserve">（4）不履行合同义务或者履行合同义务不符合约定，经采购人请求履行后仍不履行或者仍未按约定履行的； </w:t>
      </w:r>
    </w:p>
    <w:p w14:paraId="220377E6">
      <w:pPr>
        <w:snapToGrid w:val="0"/>
        <w:spacing w:before="120" w:after="120" w:line="320" w:lineRule="exact"/>
        <w:rPr>
          <w:rFonts w:hint="eastAsia"/>
          <w:color w:val="auto"/>
          <w:szCs w:val="21"/>
          <w:highlight w:val="none"/>
        </w:rPr>
      </w:pPr>
      <w:r>
        <w:rPr>
          <w:rFonts w:hint="eastAsia"/>
          <w:color w:val="auto"/>
          <w:szCs w:val="21"/>
          <w:highlight w:val="none"/>
        </w:rPr>
        <w:t xml:space="preserve">（5）框架协议有效期内，因违法行为被禁止或限制参加政府采购活动的； </w:t>
      </w:r>
    </w:p>
    <w:p w14:paraId="3BB4FE9D">
      <w:pPr>
        <w:snapToGrid w:val="0"/>
        <w:spacing w:before="120" w:after="120" w:line="320" w:lineRule="exact"/>
        <w:rPr>
          <w:rFonts w:hint="eastAsia"/>
          <w:color w:val="auto"/>
          <w:szCs w:val="21"/>
          <w:highlight w:val="none"/>
        </w:rPr>
      </w:pPr>
      <w:r>
        <w:rPr>
          <w:rFonts w:hint="eastAsia"/>
          <w:color w:val="auto"/>
          <w:szCs w:val="21"/>
          <w:highlight w:val="none"/>
        </w:rPr>
        <w:t>（6）入围供应商的组织机构、经营、财务状况发生较大变化，可能造成不能履行框架协议或合同、无法按照征集文件要求提交履约保证金的，未主动告知，给采购人造成损失的；</w:t>
      </w:r>
    </w:p>
    <w:p w14:paraId="1C17683D">
      <w:pPr>
        <w:snapToGrid w:val="0"/>
        <w:spacing w:before="120" w:after="120" w:line="320" w:lineRule="exact"/>
        <w:rPr>
          <w:rFonts w:hint="eastAsia"/>
          <w:color w:val="auto"/>
          <w:szCs w:val="21"/>
          <w:highlight w:val="none"/>
        </w:rPr>
      </w:pPr>
      <w:r>
        <w:rPr>
          <w:rFonts w:hint="eastAsia"/>
          <w:color w:val="auto"/>
          <w:szCs w:val="21"/>
          <w:highlight w:val="none"/>
        </w:rPr>
        <w:t>（7）未按照征集文件评审办法要求提供需要核查的原件或原件与响应文件中提供的不一致或提供虚假材料的。</w:t>
      </w:r>
    </w:p>
    <w:p w14:paraId="03B945AB">
      <w:pPr>
        <w:snapToGrid w:val="0"/>
        <w:spacing w:before="120" w:after="120" w:line="320" w:lineRule="exact"/>
        <w:rPr>
          <w:rFonts w:hint="eastAsia"/>
          <w:color w:val="auto"/>
          <w:szCs w:val="21"/>
          <w:highlight w:val="none"/>
        </w:rPr>
      </w:pPr>
      <w:r>
        <w:rPr>
          <w:rFonts w:hint="eastAsia"/>
          <w:color w:val="auto"/>
          <w:szCs w:val="21"/>
          <w:highlight w:val="none"/>
        </w:rPr>
        <w:t>（8）乙方无故超出本框架协议规定的项目评审规定时间50%以上且累计出现三次以上（含三次）。</w:t>
      </w:r>
    </w:p>
    <w:p w14:paraId="72705269">
      <w:pPr>
        <w:snapToGrid w:val="0"/>
        <w:spacing w:before="120" w:after="120" w:line="320" w:lineRule="exact"/>
        <w:rPr>
          <w:rFonts w:hint="eastAsia"/>
          <w:color w:val="auto"/>
          <w:szCs w:val="21"/>
          <w:highlight w:val="none"/>
        </w:rPr>
      </w:pPr>
      <w:r>
        <w:rPr>
          <w:rFonts w:hint="eastAsia"/>
          <w:color w:val="auto"/>
          <w:szCs w:val="21"/>
          <w:highlight w:val="none"/>
        </w:rPr>
        <w:t>（9）在合同期内经甲方检查三次以上（含）常驻贺州人员不到位的。</w:t>
      </w:r>
    </w:p>
    <w:p w14:paraId="2B6CE224">
      <w:pPr>
        <w:snapToGrid w:val="0"/>
        <w:spacing w:before="120" w:after="120" w:line="320" w:lineRule="exact"/>
        <w:rPr>
          <w:rFonts w:hint="eastAsia"/>
          <w:color w:val="auto"/>
          <w:szCs w:val="21"/>
          <w:highlight w:val="none"/>
        </w:rPr>
      </w:pPr>
      <w:r>
        <w:rPr>
          <w:rFonts w:hint="eastAsia"/>
          <w:color w:val="auto"/>
          <w:szCs w:val="21"/>
          <w:highlight w:val="none"/>
        </w:rPr>
        <w:t>（10）年度考核被评为“不合格”的。</w:t>
      </w:r>
    </w:p>
    <w:p w14:paraId="6698D13F">
      <w:pPr>
        <w:snapToGrid w:val="0"/>
        <w:spacing w:before="120" w:after="120" w:line="320" w:lineRule="exact"/>
        <w:rPr>
          <w:rFonts w:hint="eastAsia"/>
          <w:color w:val="auto"/>
          <w:szCs w:val="21"/>
          <w:highlight w:val="none"/>
        </w:rPr>
      </w:pPr>
      <w:r>
        <w:rPr>
          <w:rFonts w:hint="eastAsia"/>
          <w:color w:val="auto"/>
          <w:szCs w:val="21"/>
          <w:highlight w:val="none"/>
        </w:rPr>
        <w:t>（11）乙方被广西区各级纪检监察或行政监督部门处罚或列入黑名单。</w:t>
      </w:r>
    </w:p>
    <w:p w14:paraId="5A614C8C">
      <w:pPr>
        <w:snapToGrid w:val="0"/>
        <w:spacing w:before="120" w:after="120" w:line="320" w:lineRule="exact"/>
        <w:rPr>
          <w:color w:val="auto"/>
          <w:szCs w:val="21"/>
          <w:highlight w:val="none"/>
        </w:rPr>
      </w:pPr>
      <w:r>
        <w:rPr>
          <w:rFonts w:hint="eastAsia"/>
          <w:color w:val="auto"/>
          <w:szCs w:val="21"/>
          <w:highlight w:val="none"/>
        </w:rPr>
        <w:t>（12）其他违反法律法规的情形。</w:t>
      </w:r>
    </w:p>
    <w:p w14:paraId="22F0CAF4">
      <w:pPr>
        <w:spacing w:before="120" w:line="276" w:lineRule="auto"/>
        <w:ind w:left="2" w:leftChars="1"/>
        <w:rPr>
          <w:color w:val="auto"/>
          <w:szCs w:val="21"/>
          <w:highlight w:val="none"/>
        </w:rPr>
      </w:pPr>
      <w:r>
        <w:rPr>
          <w:color w:val="auto"/>
          <w:szCs w:val="21"/>
          <w:highlight w:val="none"/>
        </w:rPr>
        <w:t>2</w:t>
      </w:r>
      <w:r>
        <w:rPr>
          <w:rFonts w:hint="eastAsia"/>
          <w:color w:val="auto"/>
          <w:szCs w:val="21"/>
          <w:highlight w:val="none"/>
        </w:rPr>
        <w:t>．用户反馈和评价机制</w:t>
      </w:r>
    </w:p>
    <w:p w14:paraId="0AABD954">
      <w:pPr>
        <w:snapToGrid w:val="0"/>
        <w:spacing w:before="120" w:after="120" w:line="320" w:lineRule="exact"/>
        <w:rPr>
          <w:rFonts w:hint="eastAsia"/>
          <w:color w:val="auto"/>
          <w:szCs w:val="21"/>
          <w:highlight w:val="none"/>
        </w:rPr>
      </w:pPr>
      <w:r>
        <w:rPr>
          <w:rFonts w:hint="eastAsia"/>
          <w:color w:val="auto"/>
          <w:szCs w:val="21"/>
          <w:highlight w:val="none"/>
        </w:rPr>
        <w:t>供应商在提交服务成果后，由采购人或服务对象填写成果评价表，反馈至征集人处。因供应商原因导致评价结果1次不满意的，供应商应当书面陈述原因并提出改进措施。累计达到3次不满意的，取消本次入围资格。</w:t>
      </w:r>
    </w:p>
    <w:p w14:paraId="22DEAA58">
      <w:pPr>
        <w:spacing w:before="120" w:line="276" w:lineRule="auto"/>
        <w:ind w:left="2" w:leftChars="1"/>
        <w:rPr>
          <w:color w:val="auto"/>
          <w:szCs w:val="21"/>
          <w:highlight w:val="none"/>
        </w:rPr>
      </w:pPr>
      <w:r>
        <w:rPr>
          <w:color w:val="auto"/>
          <w:szCs w:val="21"/>
          <w:highlight w:val="none"/>
        </w:rPr>
        <w:t>3</w:t>
      </w:r>
      <w:r>
        <w:rPr>
          <w:rFonts w:hint="eastAsia"/>
          <w:color w:val="auto"/>
          <w:szCs w:val="21"/>
          <w:highlight w:val="none"/>
        </w:rPr>
        <w:t>．入围供应商的补充</w:t>
      </w:r>
    </w:p>
    <w:p w14:paraId="4D5D1EF5">
      <w:pPr>
        <w:spacing w:before="120" w:line="276" w:lineRule="auto"/>
        <w:rPr>
          <w:color w:val="auto"/>
          <w:szCs w:val="21"/>
          <w:highlight w:val="none"/>
        </w:rPr>
      </w:pPr>
      <w:r>
        <w:rPr>
          <w:rFonts w:hint="eastAsia"/>
          <w:color w:val="auto"/>
          <w:szCs w:val="21"/>
          <w:highlight w:val="none"/>
        </w:rPr>
        <w:t>甲方启动补充征集程序。</w:t>
      </w:r>
    </w:p>
    <w:p w14:paraId="28DDDE9D">
      <w:pPr>
        <w:spacing w:before="120" w:line="276" w:lineRule="auto"/>
        <w:rPr>
          <w:color w:val="auto"/>
          <w:szCs w:val="21"/>
          <w:highlight w:val="none"/>
          <w:u w:val="single"/>
        </w:rPr>
      </w:pPr>
      <w:r>
        <w:rPr>
          <w:rFonts w:hint="eastAsia"/>
          <w:color w:val="auto"/>
          <w:szCs w:val="21"/>
          <w:highlight w:val="none"/>
        </w:rPr>
        <w:t>补充征集的条件：</w:t>
      </w:r>
      <w:r>
        <w:rPr>
          <w:rFonts w:hint="eastAsia"/>
          <w:color w:val="auto"/>
          <w:szCs w:val="21"/>
          <w:highlight w:val="none"/>
          <w:u w:val="single"/>
        </w:rPr>
        <w:t>当出现入围供应商被清退或剩余入围供应商不足入围供应商总数70%且影响框架协议执行的情形</w:t>
      </w:r>
    </w:p>
    <w:p w14:paraId="32A46E45">
      <w:pPr>
        <w:spacing w:before="120" w:line="276" w:lineRule="auto"/>
        <w:rPr>
          <w:color w:val="auto"/>
          <w:szCs w:val="21"/>
          <w:highlight w:val="none"/>
          <w:u w:val="single"/>
        </w:rPr>
      </w:pPr>
      <w:r>
        <w:rPr>
          <w:rFonts w:hint="eastAsia"/>
          <w:color w:val="auto"/>
          <w:szCs w:val="21"/>
          <w:highlight w:val="none"/>
        </w:rPr>
        <w:t>补充征集的程序：</w:t>
      </w:r>
      <w:r>
        <w:rPr>
          <w:rFonts w:hint="eastAsia"/>
          <w:color w:val="auto"/>
          <w:szCs w:val="21"/>
          <w:highlight w:val="none"/>
          <w:u w:val="single"/>
        </w:rPr>
        <w:t>同原征集文件</w:t>
      </w:r>
    </w:p>
    <w:p w14:paraId="1FA7F9BF">
      <w:pPr>
        <w:spacing w:before="120" w:line="276" w:lineRule="auto"/>
        <w:rPr>
          <w:color w:val="auto"/>
          <w:szCs w:val="21"/>
          <w:highlight w:val="none"/>
        </w:rPr>
      </w:pPr>
      <w:r>
        <w:rPr>
          <w:rFonts w:hint="eastAsia"/>
          <w:color w:val="auto"/>
          <w:szCs w:val="21"/>
          <w:highlight w:val="none"/>
        </w:rPr>
        <w:t>补充征集的评审方法：</w:t>
      </w:r>
      <w:r>
        <w:rPr>
          <w:rFonts w:hint="eastAsia"/>
          <w:color w:val="auto"/>
          <w:szCs w:val="21"/>
          <w:highlight w:val="none"/>
          <w:u w:val="single"/>
        </w:rPr>
        <w:t>同原征集文件</w:t>
      </w:r>
    </w:p>
    <w:p w14:paraId="2D5C63E1">
      <w:pPr>
        <w:spacing w:before="120" w:line="276" w:lineRule="auto"/>
        <w:rPr>
          <w:color w:val="auto"/>
          <w:szCs w:val="21"/>
          <w:highlight w:val="none"/>
        </w:rPr>
      </w:pPr>
      <w:r>
        <w:rPr>
          <w:rFonts w:hint="eastAsia"/>
          <w:color w:val="auto"/>
          <w:szCs w:val="21"/>
          <w:highlight w:val="none"/>
        </w:rPr>
        <w:t>补充征集的淘汰比例：</w:t>
      </w:r>
      <w:r>
        <w:rPr>
          <w:rFonts w:hint="eastAsia"/>
          <w:color w:val="auto"/>
          <w:szCs w:val="21"/>
          <w:highlight w:val="none"/>
          <w:u w:val="single"/>
        </w:rPr>
        <w:t>同原征集文件</w:t>
      </w:r>
    </w:p>
    <w:p w14:paraId="2EF0092F">
      <w:pPr>
        <w:spacing w:before="120" w:line="276" w:lineRule="auto"/>
        <w:rPr>
          <w:rFonts w:hint="eastAsia"/>
          <w:color w:val="auto"/>
          <w:szCs w:val="21"/>
          <w:highlight w:val="none"/>
        </w:rPr>
      </w:pPr>
      <w:r>
        <w:rPr>
          <w:rFonts w:hint="eastAsia"/>
          <w:color w:val="auto"/>
          <w:szCs w:val="21"/>
          <w:highlight w:val="none"/>
        </w:rPr>
        <w:t>补充征集的框架协议有效期：</w:t>
      </w:r>
      <w:r>
        <w:rPr>
          <w:rFonts w:hint="eastAsia"/>
          <w:color w:val="auto"/>
          <w:szCs w:val="21"/>
          <w:highlight w:val="none"/>
          <w:u w:val="single"/>
        </w:rPr>
        <w:t>同本协议有效期</w:t>
      </w:r>
    </w:p>
    <w:p w14:paraId="4D0ACCA8">
      <w:pPr>
        <w:spacing w:before="120" w:line="276" w:lineRule="auto"/>
        <w:rPr>
          <w:rFonts w:hint="eastAsia"/>
          <w:color w:val="auto"/>
          <w:szCs w:val="21"/>
          <w:highlight w:val="none"/>
        </w:rPr>
      </w:pPr>
      <w:r>
        <w:rPr>
          <w:rFonts w:hint="eastAsia"/>
          <w:color w:val="auto"/>
          <w:szCs w:val="21"/>
          <w:highlight w:val="none"/>
        </w:rPr>
        <w:t>补充征集期间，本框架协议继续履行。被取消入围资格或者被解除框架协议的供应商不得参加同一封闭式框架协议补充征集。</w:t>
      </w:r>
    </w:p>
    <w:p w14:paraId="396437CF">
      <w:pPr>
        <w:snapToGrid w:val="0"/>
        <w:spacing w:before="120" w:after="120" w:line="320" w:lineRule="exact"/>
        <w:rPr>
          <w:b/>
          <w:bCs/>
          <w:color w:val="auto"/>
          <w:szCs w:val="21"/>
          <w:highlight w:val="none"/>
        </w:rPr>
      </w:pPr>
      <w:r>
        <w:rPr>
          <w:rFonts w:hint="eastAsia"/>
          <w:b/>
          <w:bCs/>
          <w:color w:val="auto"/>
          <w:szCs w:val="21"/>
          <w:highlight w:val="none"/>
        </w:rPr>
        <w:t>第八条 甲方权利和义务</w:t>
      </w:r>
    </w:p>
    <w:p w14:paraId="16A37E60">
      <w:pPr>
        <w:snapToGrid w:val="0"/>
        <w:spacing w:before="120" w:after="120" w:line="320" w:lineRule="exact"/>
        <w:rPr>
          <w:rFonts w:hint="eastAsia"/>
          <w:color w:val="auto"/>
          <w:szCs w:val="21"/>
          <w:highlight w:val="none"/>
        </w:rPr>
      </w:pPr>
      <w:r>
        <w:rPr>
          <w:rFonts w:hint="eastAsia"/>
          <w:color w:val="auto"/>
          <w:szCs w:val="21"/>
          <w:highlight w:val="none"/>
        </w:rPr>
        <w:t>1．甲方将依照有关法规、规章的规定，要求采购人按照本项目征集文件采购需求及本框架协议约定的事项从入围供应商中选定成交供应商。</w:t>
      </w:r>
    </w:p>
    <w:p w14:paraId="73C1A6BA">
      <w:pPr>
        <w:snapToGrid w:val="0"/>
        <w:spacing w:before="120" w:after="120" w:line="320" w:lineRule="exact"/>
        <w:rPr>
          <w:rFonts w:hint="eastAsia"/>
          <w:color w:val="auto"/>
          <w:szCs w:val="21"/>
          <w:highlight w:val="none"/>
        </w:rPr>
      </w:pPr>
      <w:r>
        <w:rPr>
          <w:rFonts w:hint="eastAsia"/>
          <w:color w:val="auto"/>
          <w:szCs w:val="21"/>
          <w:highlight w:val="none"/>
        </w:rPr>
        <w:t>2．甲方负责管理乙方的服务活动，使其符合采购价格不高于响应报价的价格，采购质量优良和服务良好的要求。</w:t>
      </w:r>
    </w:p>
    <w:p w14:paraId="4FD1F9EC">
      <w:pPr>
        <w:snapToGrid w:val="0"/>
        <w:spacing w:before="120" w:after="120" w:line="320" w:lineRule="exact"/>
        <w:rPr>
          <w:color w:val="auto"/>
          <w:szCs w:val="21"/>
          <w:highlight w:val="none"/>
        </w:rPr>
      </w:pPr>
      <w:r>
        <w:rPr>
          <w:rFonts w:hint="eastAsia"/>
          <w:color w:val="auto"/>
          <w:szCs w:val="21"/>
          <w:highlight w:val="none"/>
        </w:rPr>
        <w:t>3．甲方有权按照本项目征集文件以及本框架协议和采购合同等文件对乙方履约行为进行监督和检查，收集并公开采购人对入围供应商履行框架协议和采购合同情况的反馈与评价。</w:t>
      </w:r>
    </w:p>
    <w:p w14:paraId="3FC50FBA">
      <w:pPr>
        <w:snapToGrid w:val="0"/>
        <w:spacing w:before="120" w:after="120" w:line="320" w:lineRule="exact"/>
        <w:rPr>
          <w:color w:val="auto"/>
          <w:szCs w:val="21"/>
          <w:highlight w:val="none"/>
        </w:rPr>
      </w:pPr>
      <w:r>
        <w:rPr>
          <w:rFonts w:hint="eastAsia"/>
          <w:color w:val="auto"/>
          <w:szCs w:val="21"/>
          <w:highlight w:val="none"/>
        </w:rPr>
        <w:t>4．甲方按规定公开框架协议有效期内入围供应商成交结果情况。</w:t>
      </w:r>
    </w:p>
    <w:p w14:paraId="093351C5">
      <w:pPr>
        <w:snapToGrid w:val="0"/>
        <w:spacing w:before="120" w:after="120" w:line="320" w:lineRule="exact"/>
        <w:rPr>
          <w:color w:val="auto"/>
          <w:szCs w:val="21"/>
          <w:highlight w:val="none"/>
        </w:rPr>
      </w:pPr>
      <w:r>
        <w:rPr>
          <w:rFonts w:hint="eastAsia"/>
          <w:color w:val="auto"/>
          <w:szCs w:val="21"/>
          <w:highlight w:val="none"/>
        </w:rPr>
        <w:t>5．甲方有权对入围供应商进行清退或补充等相关事宜。</w:t>
      </w:r>
    </w:p>
    <w:p w14:paraId="2E3F5850">
      <w:pPr>
        <w:snapToGrid w:val="0"/>
        <w:spacing w:before="120" w:after="120" w:line="320" w:lineRule="exact"/>
        <w:rPr>
          <w:rFonts w:hint="eastAsia"/>
          <w:color w:val="auto"/>
          <w:szCs w:val="21"/>
          <w:highlight w:val="none"/>
        </w:rPr>
      </w:pPr>
      <w:r>
        <w:rPr>
          <w:rFonts w:hint="eastAsia"/>
          <w:color w:val="auto"/>
          <w:szCs w:val="21"/>
          <w:highlight w:val="none"/>
        </w:rPr>
        <w:t>6．如征集文件有要求需要在框架协议中另行确定的事项，甲方有权按征集文件要求执行。</w:t>
      </w:r>
    </w:p>
    <w:p w14:paraId="493D52CB">
      <w:pPr>
        <w:snapToGrid w:val="0"/>
        <w:spacing w:before="120" w:after="120" w:line="320" w:lineRule="exact"/>
        <w:rPr>
          <w:rFonts w:hint="eastAsia"/>
          <w:color w:val="auto"/>
          <w:szCs w:val="21"/>
          <w:highlight w:val="none"/>
        </w:rPr>
      </w:pPr>
      <w:r>
        <w:rPr>
          <w:rFonts w:hint="eastAsia"/>
          <w:color w:val="auto"/>
          <w:szCs w:val="21"/>
          <w:highlight w:val="none"/>
        </w:rPr>
        <w:t>7. 甲方有权要求乙方按时、按质、按量、按计划与合同协议约定完成本项目，并有权对乙方工作情况进行监督。如发现乙方与项目有关人员有意串通增大工程量或弄虚作假增加评审金额的，经查实按违约责任处理。</w:t>
      </w:r>
    </w:p>
    <w:p w14:paraId="7C782058">
      <w:pPr>
        <w:snapToGrid w:val="0"/>
        <w:spacing w:before="120" w:after="120" w:line="320" w:lineRule="exact"/>
        <w:rPr>
          <w:rFonts w:hint="eastAsia"/>
          <w:color w:val="auto"/>
          <w:szCs w:val="21"/>
          <w:highlight w:val="none"/>
        </w:rPr>
      </w:pPr>
      <w:r>
        <w:rPr>
          <w:rFonts w:hint="eastAsia"/>
          <w:color w:val="auto"/>
          <w:szCs w:val="21"/>
          <w:highlight w:val="none"/>
        </w:rPr>
        <w:t>8. 根据项目进度，甲方有权及时对乙方提交的方案提出修改意见，并要求乙方按修改意见完成服务工作。</w:t>
      </w:r>
    </w:p>
    <w:p w14:paraId="40BA2655">
      <w:pPr>
        <w:snapToGrid w:val="0"/>
        <w:spacing w:before="120" w:after="120" w:line="320" w:lineRule="exact"/>
        <w:rPr>
          <w:rFonts w:hint="eastAsia"/>
          <w:color w:val="auto"/>
          <w:szCs w:val="21"/>
          <w:highlight w:val="none"/>
        </w:rPr>
      </w:pPr>
      <w:r>
        <w:rPr>
          <w:rFonts w:hint="eastAsia"/>
          <w:color w:val="auto"/>
          <w:szCs w:val="21"/>
          <w:highlight w:val="none"/>
        </w:rPr>
        <w:t>9. 乙方配备的项目投入人员应得到甲方的认可。</w:t>
      </w:r>
    </w:p>
    <w:p w14:paraId="0CDE3343">
      <w:pPr>
        <w:snapToGrid w:val="0"/>
        <w:spacing w:before="120" w:after="120" w:line="320" w:lineRule="exact"/>
        <w:rPr>
          <w:rFonts w:hint="eastAsia"/>
          <w:color w:val="auto"/>
          <w:szCs w:val="21"/>
          <w:highlight w:val="none"/>
        </w:rPr>
      </w:pPr>
      <w:r>
        <w:rPr>
          <w:rFonts w:hint="eastAsia"/>
          <w:color w:val="auto"/>
          <w:szCs w:val="21"/>
          <w:highlight w:val="none"/>
        </w:rPr>
        <w:t>10. 甲方有权要求乙方更换不合格的工作人员。</w:t>
      </w:r>
    </w:p>
    <w:p w14:paraId="471C0923">
      <w:pPr>
        <w:snapToGrid w:val="0"/>
        <w:spacing w:before="120" w:after="120" w:line="320" w:lineRule="exact"/>
        <w:rPr>
          <w:rFonts w:hint="eastAsia"/>
          <w:color w:val="auto"/>
          <w:szCs w:val="21"/>
          <w:highlight w:val="none"/>
        </w:rPr>
      </w:pPr>
      <w:r>
        <w:rPr>
          <w:rFonts w:hint="eastAsia"/>
          <w:color w:val="auto"/>
          <w:szCs w:val="21"/>
          <w:highlight w:val="none"/>
        </w:rPr>
        <w:t>11. 按合同要求及时向乙方支付服务费用。</w:t>
      </w:r>
    </w:p>
    <w:p w14:paraId="184B4CC3">
      <w:pPr>
        <w:snapToGrid w:val="0"/>
        <w:spacing w:before="120" w:after="120" w:line="320" w:lineRule="exact"/>
        <w:rPr>
          <w:rFonts w:hint="eastAsia"/>
          <w:color w:val="auto"/>
          <w:szCs w:val="21"/>
          <w:highlight w:val="none"/>
        </w:rPr>
      </w:pPr>
      <w:r>
        <w:rPr>
          <w:rFonts w:hint="eastAsia"/>
          <w:color w:val="auto"/>
          <w:szCs w:val="21"/>
          <w:highlight w:val="none"/>
        </w:rPr>
        <w:t xml:space="preserve">12. 如采购项目涉及采购标的的知识产权归属的，产权归属为甲方。   </w:t>
      </w:r>
    </w:p>
    <w:p w14:paraId="2EC14829">
      <w:pPr>
        <w:snapToGrid w:val="0"/>
        <w:spacing w:before="120" w:after="120" w:line="320" w:lineRule="exact"/>
        <w:rPr>
          <w:rFonts w:hint="eastAsia"/>
          <w:color w:val="auto"/>
          <w:szCs w:val="21"/>
          <w:highlight w:val="none"/>
        </w:rPr>
      </w:pPr>
      <w:r>
        <w:rPr>
          <w:rFonts w:hint="eastAsia"/>
          <w:color w:val="auto"/>
          <w:szCs w:val="21"/>
          <w:highlight w:val="none"/>
        </w:rPr>
        <w:t>13. 处理方式：甲方在中华人民共和国境内使用供应商提供的产品及服务时免受第三方提出的侵犯其专利权或其它知识产权的起诉。如果第三方提出侵权指控，乙方应承担由此而引起的一切法律责任和费用。</w:t>
      </w:r>
    </w:p>
    <w:p w14:paraId="45C0B808">
      <w:pPr>
        <w:snapToGrid w:val="0"/>
        <w:spacing w:before="120" w:after="120" w:line="320" w:lineRule="exact"/>
        <w:rPr>
          <w:b/>
          <w:bCs/>
          <w:color w:val="auto"/>
          <w:szCs w:val="21"/>
          <w:highlight w:val="none"/>
        </w:rPr>
      </w:pPr>
      <w:r>
        <w:rPr>
          <w:rFonts w:hint="eastAsia"/>
          <w:b/>
          <w:bCs/>
          <w:color w:val="auto"/>
          <w:szCs w:val="21"/>
          <w:highlight w:val="none"/>
        </w:rPr>
        <w:t>第九条 乙方权利和义务</w:t>
      </w:r>
    </w:p>
    <w:p w14:paraId="054D1405">
      <w:pPr>
        <w:snapToGrid w:val="0"/>
        <w:spacing w:before="120" w:after="120" w:line="320" w:lineRule="exact"/>
        <w:rPr>
          <w:color w:val="auto"/>
          <w:szCs w:val="21"/>
          <w:highlight w:val="none"/>
        </w:rPr>
      </w:pPr>
      <w:r>
        <w:rPr>
          <w:rFonts w:hint="eastAsia"/>
          <w:color w:val="auto"/>
          <w:szCs w:val="21"/>
          <w:highlight w:val="none"/>
        </w:rPr>
        <w:t>1．乙方应当遵守采购人按照本协议规定的选定成交供应商的方式获得成交供应商资格。</w:t>
      </w:r>
    </w:p>
    <w:p w14:paraId="457D9092">
      <w:pPr>
        <w:snapToGrid w:val="0"/>
        <w:spacing w:before="120" w:after="120" w:line="320" w:lineRule="exact"/>
        <w:rPr>
          <w:color w:val="auto"/>
          <w:szCs w:val="21"/>
          <w:highlight w:val="none"/>
        </w:rPr>
      </w:pPr>
      <w:r>
        <w:rPr>
          <w:rFonts w:hint="eastAsia"/>
          <w:color w:val="auto"/>
          <w:szCs w:val="21"/>
          <w:highlight w:val="none"/>
        </w:rPr>
        <w:t>2．乙方提供的产品或服务应符合国家标准和征集文件中要求的标准。</w:t>
      </w:r>
    </w:p>
    <w:p w14:paraId="720CA727">
      <w:pPr>
        <w:snapToGrid w:val="0"/>
        <w:spacing w:before="120" w:after="120" w:line="320" w:lineRule="exact"/>
        <w:rPr>
          <w:color w:val="auto"/>
          <w:szCs w:val="21"/>
          <w:highlight w:val="none"/>
        </w:rPr>
      </w:pPr>
      <w:r>
        <w:rPr>
          <w:rFonts w:hint="eastAsia"/>
          <w:color w:val="auto"/>
          <w:szCs w:val="21"/>
          <w:highlight w:val="none"/>
        </w:rPr>
        <w:t>3．乙方应保证依据征集文件要求及响应承诺，向采购人提供质量不降低，价格不提高的产品、以及与之配套的耗材、配件。</w:t>
      </w:r>
    </w:p>
    <w:p w14:paraId="4FF4B3E3">
      <w:pPr>
        <w:snapToGrid w:val="0"/>
        <w:spacing w:before="120" w:after="120" w:line="320" w:lineRule="exact"/>
        <w:rPr>
          <w:color w:val="auto"/>
          <w:szCs w:val="21"/>
          <w:highlight w:val="none"/>
        </w:rPr>
      </w:pPr>
      <w:r>
        <w:rPr>
          <w:rFonts w:hint="eastAsia"/>
          <w:color w:val="auto"/>
          <w:szCs w:val="21"/>
          <w:highlight w:val="none"/>
        </w:rPr>
        <w:t>4．乙方应接受并配合甲方的评价及反馈机制，严格履行服务承诺。</w:t>
      </w:r>
    </w:p>
    <w:p w14:paraId="7CDF429B">
      <w:pPr>
        <w:snapToGrid w:val="0"/>
        <w:spacing w:before="120" w:after="120" w:line="320" w:lineRule="exact"/>
        <w:rPr>
          <w:rFonts w:hint="eastAsia"/>
          <w:color w:val="auto"/>
          <w:szCs w:val="21"/>
          <w:highlight w:val="none"/>
        </w:rPr>
      </w:pPr>
      <w:r>
        <w:rPr>
          <w:rFonts w:hint="eastAsia"/>
          <w:color w:val="auto"/>
          <w:szCs w:val="21"/>
          <w:highlight w:val="none"/>
        </w:rPr>
        <w:t>5．乙方无正当理由，不得主动放弃入围资格或者退出框架协议，否则，乙方不得参加同一封闭式框架协议补充征集，或者重新申请加入同一开放式框架协议。甲方保留对乙方追究责任的权利。</w:t>
      </w:r>
    </w:p>
    <w:p w14:paraId="5EC8527F">
      <w:pPr>
        <w:snapToGrid w:val="0"/>
        <w:spacing w:before="120" w:after="120" w:line="320" w:lineRule="exact"/>
        <w:rPr>
          <w:rFonts w:hint="eastAsia"/>
          <w:color w:val="auto"/>
          <w:szCs w:val="21"/>
          <w:highlight w:val="none"/>
        </w:rPr>
      </w:pPr>
      <w:r>
        <w:rPr>
          <w:rFonts w:hint="eastAsia"/>
          <w:color w:val="auto"/>
          <w:szCs w:val="21"/>
          <w:highlight w:val="none"/>
        </w:rPr>
        <w:t>6．乙方应按照征集文件评审办法要求（如有）提供需要核查的原件，如原件与响应文件中提供的不一致或虚假的或未提供的，甲方有权取消乙方入围资格，另行确定入围供应商。</w:t>
      </w:r>
    </w:p>
    <w:p w14:paraId="00428D19">
      <w:pPr>
        <w:snapToGrid w:val="0"/>
        <w:spacing w:before="120" w:after="120" w:line="320" w:lineRule="exact"/>
        <w:rPr>
          <w:rFonts w:hint="eastAsia"/>
          <w:color w:val="auto"/>
          <w:szCs w:val="21"/>
          <w:highlight w:val="none"/>
        </w:rPr>
      </w:pPr>
      <w:r>
        <w:rPr>
          <w:rFonts w:hint="eastAsia"/>
          <w:color w:val="auto"/>
          <w:szCs w:val="21"/>
          <w:highlight w:val="none"/>
        </w:rPr>
        <w:t>7. 严格履行合同文件（含征集文件、响应文件等）约定和承诺的服务内容和质量标准，保证甲方项目的相关工作质量和进度。</w:t>
      </w:r>
    </w:p>
    <w:p w14:paraId="39D7A133">
      <w:pPr>
        <w:snapToGrid w:val="0"/>
        <w:spacing w:before="120" w:after="120" w:line="320" w:lineRule="exact"/>
        <w:rPr>
          <w:rFonts w:hint="eastAsia"/>
          <w:color w:val="auto"/>
          <w:szCs w:val="21"/>
          <w:highlight w:val="none"/>
        </w:rPr>
      </w:pPr>
      <w:r>
        <w:rPr>
          <w:rFonts w:hint="eastAsia"/>
          <w:color w:val="auto"/>
          <w:szCs w:val="21"/>
          <w:highlight w:val="none"/>
        </w:rPr>
        <w:t>8. 必须严格实施乙方响应文件中承诺的人力资源配置。在必须补充或更换人员时，必须补充或更换优于或等同于响应文件所承诺资质的评审人员（包括主审、协审人员），并需取得甲方书面同意。</w:t>
      </w:r>
    </w:p>
    <w:p w14:paraId="41205816">
      <w:pPr>
        <w:snapToGrid w:val="0"/>
        <w:spacing w:before="120" w:after="120" w:line="320" w:lineRule="exact"/>
        <w:rPr>
          <w:rFonts w:hint="eastAsia"/>
          <w:color w:val="auto"/>
          <w:szCs w:val="21"/>
          <w:highlight w:val="none"/>
        </w:rPr>
      </w:pPr>
      <w:r>
        <w:rPr>
          <w:rFonts w:hint="eastAsia"/>
          <w:color w:val="auto"/>
          <w:szCs w:val="21"/>
          <w:highlight w:val="none"/>
        </w:rPr>
        <w:t>在框架协议有效期内，如乙方在第二阶段签订合同时需要调整人员，调整的人员应当是响应文件中承诺的拟投入人员，且签订合同前须提供人员名单送甲方审核。</w:t>
      </w:r>
    </w:p>
    <w:p w14:paraId="34019E24">
      <w:pPr>
        <w:snapToGrid w:val="0"/>
        <w:spacing w:before="120" w:after="120" w:line="320" w:lineRule="exact"/>
        <w:rPr>
          <w:rFonts w:hint="eastAsia"/>
          <w:color w:val="auto"/>
          <w:szCs w:val="21"/>
          <w:highlight w:val="none"/>
        </w:rPr>
      </w:pPr>
      <w:r>
        <w:rPr>
          <w:rFonts w:hint="eastAsia"/>
          <w:color w:val="auto"/>
          <w:szCs w:val="21"/>
          <w:highlight w:val="none"/>
        </w:rPr>
        <w:t>9.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1568A8FD">
      <w:pPr>
        <w:snapToGrid w:val="0"/>
        <w:spacing w:before="120" w:after="120" w:line="320" w:lineRule="exact"/>
        <w:rPr>
          <w:rFonts w:hint="eastAsia"/>
          <w:color w:val="auto"/>
          <w:szCs w:val="21"/>
          <w:highlight w:val="none"/>
        </w:rPr>
      </w:pPr>
      <w:r>
        <w:rPr>
          <w:rFonts w:hint="eastAsia"/>
          <w:color w:val="auto"/>
          <w:szCs w:val="21"/>
          <w:highlight w:val="none"/>
        </w:rPr>
        <w:t>10.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5882493A">
      <w:pPr>
        <w:snapToGrid w:val="0"/>
        <w:spacing w:before="120" w:after="120" w:line="320" w:lineRule="exact"/>
        <w:rPr>
          <w:rFonts w:hint="eastAsia"/>
          <w:color w:val="auto"/>
          <w:szCs w:val="21"/>
          <w:highlight w:val="none"/>
        </w:rPr>
      </w:pPr>
      <w:r>
        <w:rPr>
          <w:rFonts w:hint="eastAsia"/>
          <w:color w:val="auto"/>
          <w:szCs w:val="21"/>
          <w:highlight w:val="none"/>
        </w:rPr>
        <w:t>11. 乙方评审人员（包括主审、协审人员）应签订保密协议并履行保密义务。如乙方因违反本条约定给甲方造成损失的，乙方应当承担相应的法律责任，并赔偿由此给甲方造成的一切损失。</w:t>
      </w:r>
    </w:p>
    <w:p w14:paraId="60BFEFC9">
      <w:pPr>
        <w:snapToGrid w:val="0"/>
        <w:spacing w:before="120" w:after="120" w:line="320" w:lineRule="exact"/>
        <w:rPr>
          <w:rFonts w:hint="eastAsia"/>
          <w:color w:val="auto"/>
          <w:szCs w:val="21"/>
          <w:highlight w:val="none"/>
        </w:rPr>
      </w:pPr>
      <w:r>
        <w:rPr>
          <w:rFonts w:hint="eastAsia"/>
          <w:color w:val="auto"/>
          <w:szCs w:val="21"/>
          <w:highlight w:val="none"/>
        </w:rPr>
        <w:t xml:space="preserve">12. 乙方应履行回避义务。乙方以及乙方评审人员（包括主审、协审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存在利益关联，应主动告知甲方并更换评审人员。 </w:t>
      </w:r>
    </w:p>
    <w:p w14:paraId="6FCD15A2">
      <w:pPr>
        <w:snapToGrid w:val="0"/>
        <w:spacing w:before="120" w:after="120" w:line="320" w:lineRule="exact"/>
        <w:rPr>
          <w:rFonts w:hint="eastAsia"/>
          <w:color w:val="auto"/>
          <w:szCs w:val="21"/>
          <w:highlight w:val="none"/>
        </w:rPr>
      </w:pPr>
      <w:r>
        <w:rPr>
          <w:rFonts w:hint="eastAsia"/>
          <w:color w:val="auto"/>
          <w:szCs w:val="21"/>
          <w:highlight w:val="none"/>
        </w:rPr>
        <w:t>13. 按照合同约定收取服务费，当甲方出现无故拖欠费用时，乙方有权采取适当方式进行催缴，若甲方仍未支付费用，乙方有权停止工作。</w:t>
      </w:r>
    </w:p>
    <w:p w14:paraId="624D59BF">
      <w:pPr>
        <w:snapToGrid w:val="0"/>
        <w:spacing w:before="120" w:after="120" w:line="320" w:lineRule="exact"/>
        <w:rPr>
          <w:rFonts w:hint="eastAsia"/>
          <w:color w:val="auto"/>
          <w:szCs w:val="21"/>
          <w:highlight w:val="none"/>
        </w:rPr>
      </w:pPr>
      <w:r>
        <w:rPr>
          <w:rFonts w:hint="eastAsia"/>
          <w:color w:val="auto"/>
          <w:szCs w:val="21"/>
          <w:highlight w:val="none"/>
        </w:rPr>
        <w:t>14. 有义务妥善保管甲方提供的资料，并在审核工作完成后，完整交回甲方。</w:t>
      </w:r>
    </w:p>
    <w:p w14:paraId="7B6F3E78">
      <w:pPr>
        <w:snapToGrid w:val="0"/>
        <w:spacing w:before="120" w:after="120" w:line="320" w:lineRule="exact"/>
        <w:rPr>
          <w:rFonts w:hint="eastAsia"/>
          <w:color w:val="auto"/>
          <w:szCs w:val="21"/>
          <w:highlight w:val="none"/>
        </w:rPr>
      </w:pPr>
      <w:r>
        <w:rPr>
          <w:rFonts w:hint="eastAsia"/>
          <w:color w:val="auto"/>
          <w:szCs w:val="21"/>
          <w:highlight w:val="none"/>
        </w:rPr>
        <w:t>15. 乙方应服从甲方对可能委托项目的指派及分配，并了解本项目签订框架协议后仅代表取得入围本项目服务资格，不等同于可确保直接承接相应数量的项目评审工作并获得相应项目的服务费用。</w:t>
      </w:r>
    </w:p>
    <w:p w14:paraId="4FF6B541">
      <w:pPr>
        <w:snapToGrid w:val="0"/>
        <w:spacing w:before="120" w:after="120" w:line="320" w:lineRule="exact"/>
        <w:rPr>
          <w:rFonts w:hint="eastAsia"/>
          <w:color w:val="auto"/>
          <w:szCs w:val="21"/>
          <w:highlight w:val="none"/>
        </w:rPr>
      </w:pPr>
      <w:r>
        <w:rPr>
          <w:rFonts w:hint="eastAsia"/>
          <w:color w:val="auto"/>
          <w:szCs w:val="21"/>
          <w:highlight w:val="none"/>
        </w:rPr>
        <w:t>16.甲方不定期对乙方配备在贺州市或钟山县的专业技术人员到位情况进行检查。如发现人员不到位的的情况，由乙方通知缺位人员在一天内到位并经甲方确认，否则中止其评审业务工作安排，经甲方检查配备在贺州市或钟山县的专业技术人员全部到位后再恢复评审业务工作。（本条适用于乙方在响应文件中承诺有常驻贺州市或钟山县的人员）</w:t>
      </w:r>
    </w:p>
    <w:p w14:paraId="436321DC">
      <w:pPr>
        <w:snapToGrid w:val="0"/>
        <w:spacing w:before="120" w:after="120" w:line="320" w:lineRule="exact"/>
        <w:rPr>
          <w:rFonts w:hint="eastAsia"/>
          <w:color w:val="auto"/>
          <w:szCs w:val="21"/>
          <w:highlight w:val="none"/>
        </w:rPr>
      </w:pPr>
      <w:r>
        <w:rPr>
          <w:rFonts w:hint="eastAsia"/>
          <w:color w:val="auto"/>
          <w:szCs w:val="21"/>
          <w:highlight w:val="none"/>
        </w:rPr>
        <w:t>17.乙方应当签订保密协议（附后）及廉洁承诺书（附后）。</w:t>
      </w:r>
    </w:p>
    <w:p w14:paraId="7BA34984">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第</w:t>
      </w:r>
      <w:r>
        <w:rPr>
          <w:rFonts w:hint="eastAsia" w:ascii="Times New Roman" w:hAnsi="Times New Roman" w:eastAsia="宋体" w:cs="Times New Roman"/>
          <w:b/>
          <w:color w:val="auto"/>
          <w:szCs w:val="21"/>
          <w:highlight w:val="none"/>
        </w:rPr>
        <w:t>十</w:t>
      </w:r>
      <w:r>
        <w:rPr>
          <w:rFonts w:ascii="Times New Roman" w:hAnsi="Times New Roman" w:eastAsia="宋体" w:cs="Times New Roman"/>
          <w:b/>
          <w:color w:val="auto"/>
          <w:szCs w:val="21"/>
          <w:highlight w:val="none"/>
        </w:rPr>
        <w:t xml:space="preserve">条  </w:t>
      </w:r>
      <w:r>
        <w:rPr>
          <w:rFonts w:hint="eastAsia" w:ascii="Times New Roman" w:hAnsi="Times New Roman" w:eastAsia="宋体" w:cs="Times New Roman"/>
          <w:b/>
          <w:color w:val="auto"/>
          <w:szCs w:val="21"/>
          <w:highlight w:val="none"/>
        </w:rPr>
        <w:t>履约</w:t>
      </w:r>
      <w:r>
        <w:rPr>
          <w:rFonts w:ascii="Times New Roman" w:hAnsi="Times New Roman" w:eastAsia="宋体" w:cs="Times New Roman"/>
          <w:b/>
          <w:color w:val="auto"/>
          <w:szCs w:val="21"/>
          <w:highlight w:val="none"/>
        </w:rPr>
        <w:t>验收</w:t>
      </w:r>
    </w:p>
    <w:p w14:paraId="10AB9D65">
      <w:pPr>
        <w:snapToGrid w:val="0"/>
        <w:spacing w:before="120" w:after="120" w:line="32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乙方提供不符合</w:t>
      </w:r>
      <w:r>
        <w:rPr>
          <w:rFonts w:hint="eastAsia" w:ascii="Times New Roman" w:hAnsi="Times New Roman" w:eastAsia="宋体" w:cs="Times New Roman"/>
          <w:color w:val="auto"/>
          <w:szCs w:val="21"/>
          <w:highlight w:val="none"/>
        </w:rPr>
        <w:t>征集文件、响应文件</w:t>
      </w:r>
      <w:r>
        <w:rPr>
          <w:rFonts w:ascii="Times New Roman" w:hAnsi="Times New Roman" w:eastAsia="宋体" w:cs="Times New Roman"/>
          <w:color w:val="auto"/>
          <w:szCs w:val="21"/>
          <w:highlight w:val="none"/>
        </w:rPr>
        <w:t>和本合同规定的服务</w:t>
      </w:r>
      <w:r>
        <w:rPr>
          <w:rFonts w:hint="eastAsia" w:ascii="Times New Roman" w:hAnsi="Times New Roman" w:eastAsia="宋体" w:cs="Times New Roman"/>
          <w:color w:val="auto"/>
          <w:szCs w:val="21"/>
          <w:highlight w:val="none"/>
        </w:rPr>
        <w:t>的</w:t>
      </w:r>
      <w:r>
        <w:rPr>
          <w:rFonts w:ascii="Times New Roman" w:hAnsi="Times New Roman" w:eastAsia="宋体" w:cs="Times New Roman"/>
          <w:color w:val="auto"/>
          <w:szCs w:val="21"/>
          <w:highlight w:val="none"/>
        </w:rPr>
        <w:t>，甲方有权拒绝接受</w:t>
      </w:r>
      <w:r>
        <w:rPr>
          <w:rFonts w:hint="eastAsia" w:ascii="Times New Roman" w:hAnsi="Times New Roman" w:eastAsia="宋体" w:cs="Times New Roman"/>
          <w:color w:val="auto"/>
          <w:szCs w:val="21"/>
          <w:highlight w:val="none"/>
        </w:rPr>
        <w:t xml:space="preserve">。 </w:t>
      </w:r>
    </w:p>
    <w:p w14:paraId="30957EA1">
      <w:pPr>
        <w:snapToGrid w:val="0"/>
        <w:spacing w:before="120" w:after="120" w:line="32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 甲方委托第三方组织的验收项目，其验收时间以该项目验收方案确定的验收时间为准，验收结果以该项目验收报告结论为准。在验收过程中发现乙方有违约问题，可暂缓资金结算</w:t>
      </w:r>
      <w:r>
        <w:rPr>
          <w:rFonts w:hint="eastAsia" w:ascii="Times New Roman" w:hAnsi="Times New Roman" w:eastAsia="宋体" w:cs="Times New Roman"/>
          <w:color w:val="auto"/>
          <w:szCs w:val="21"/>
          <w:highlight w:val="none"/>
        </w:rPr>
        <w:t>并停止向乙方委派业务</w:t>
      </w:r>
      <w:r>
        <w:rPr>
          <w:rFonts w:ascii="Times New Roman" w:hAnsi="Times New Roman" w:eastAsia="宋体" w:cs="Times New Roman"/>
          <w:color w:val="auto"/>
          <w:szCs w:val="21"/>
          <w:highlight w:val="none"/>
        </w:rPr>
        <w:t>，待违约问题解决后，方可办理资金结算事宜</w:t>
      </w:r>
      <w:r>
        <w:rPr>
          <w:rFonts w:hint="eastAsia" w:ascii="Times New Roman" w:hAnsi="Times New Roman" w:eastAsia="宋体" w:cs="Times New Roman"/>
          <w:color w:val="auto"/>
          <w:szCs w:val="21"/>
          <w:highlight w:val="none"/>
        </w:rPr>
        <w:t>并未委派业务</w:t>
      </w:r>
      <w:r>
        <w:rPr>
          <w:rFonts w:ascii="Times New Roman" w:hAnsi="Times New Roman" w:eastAsia="宋体" w:cs="Times New Roman"/>
          <w:color w:val="auto"/>
          <w:szCs w:val="21"/>
          <w:highlight w:val="none"/>
        </w:rPr>
        <w:t>。</w:t>
      </w:r>
    </w:p>
    <w:p w14:paraId="12A53FC9">
      <w:pPr>
        <w:snapToGrid w:val="0"/>
        <w:spacing w:before="120" w:after="120" w:line="32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甲方对验收有异议的，在验收后五个工作日内以书面形式向乙方提出，乙方应自收到甲方书面异议后 7 日内及时予以解决。</w:t>
      </w:r>
    </w:p>
    <w:p w14:paraId="0803D716">
      <w:pPr>
        <w:snapToGrid w:val="0"/>
        <w:spacing w:before="120" w:after="120" w:line="32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4272F703">
      <w:pPr>
        <w:snapToGrid w:val="0"/>
        <w:spacing w:before="120" w:after="120" w:line="32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履约验收方案详见附件。</w:t>
      </w:r>
    </w:p>
    <w:p w14:paraId="0F65493D">
      <w:pPr>
        <w:snapToGrid w:val="0"/>
        <w:spacing w:line="360" w:lineRule="exact"/>
        <w:rPr>
          <w:rFonts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 xml:space="preserve">第十一条 </w:t>
      </w:r>
      <w:r>
        <w:rPr>
          <w:rFonts w:ascii="Times New Roman" w:hAnsi="Times New Roman" w:eastAsia="宋体" w:cs="Times New Roman"/>
          <w:b/>
          <w:color w:val="auto"/>
          <w:szCs w:val="21"/>
          <w:highlight w:val="none"/>
        </w:rPr>
        <w:t>违约责任</w:t>
      </w:r>
    </w:p>
    <w:p w14:paraId="0F43FC74">
      <w:pPr>
        <w:snapToGrid w:val="0"/>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ascii="Times New Roman" w:hAnsi="Times New Roman" w:eastAsia="微软雅黑" w:cs="Times New Roman"/>
          <w:color w:val="auto"/>
          <w:szCs w:val="21"/>
          <w:highlight w:val="none"/>
        </w:rPr>
        <w:t xml:space="preserve"> </w:t>
      </w:r>
      <w:r>
        <w:rPr>
          <w:rFonts w:ascii="Times New Roman" w:hAnsi="Times New Roman" w:eastAsia="宋体" w:cs="Times New Roman"/>
          <w:color w:val="auto"/>
          <w:szCs w:val="21"/>
          <w:highlight w:val="none"/>
        </w:rPr>
        <w:t>若因乙方原因而未能履行合同或未达到合同约定的要求，甲方有权书面</w:t>
      </w:r>
      <w:r>
        <w:rPr>
          <w:rFonts w:hint="eastAsia" w:ascii="Times New Roman" w:hAnsi="Times New Roman" w:eastAsia="宋体" w:cs="Times New Roman"/>
          <w:color w:val="auto"/>
          <w:szCs w:val="21"/>
          <w:highlight w:val="none"/>
        </w:rPr>
        <w:t>督促</w:t>
      </w:r>
      <w:r>
        <w:rPr>
          <w:rFonts w:ascii="Times New Roman" w:hAnsi="Times New Roman" w:eastAsia="宋体" w:cs="Times New Roman"/>
          <w:color w:val="auto"/>
          <w:szCs w:val="21"/>
          <w:highlight w:val="none"/>
        </w:rPr>
        <w:t>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付出的所有服务费用，并赔偿由此给甲方造成的全部损失。</w:t>
      </w:r>
    </w:p>
    <w:p w14:paraId="54542959">
      <w:pPr>
        <w:snapToGrid w:val="0"/>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5BF42C60">
      <w:pPr>
        <w:snapToGrid w:val="0"/>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乙方或乙方人员违反保密义务时，甲方有权书面通知乙方解除合同，且无需支付合同解除后的合同后续费用。同时，</w:t>
      </w:r>
      <w:r>
        <w:rPr>
          <w:rFonts w:hint="eastAsia" w:ascii="Times New Roman" w:hAnsi="Times New Roman" w:eastAsia="宋体" w:cs="Times New Roman"/>
          <w:color w:val="auto"/>
          <w:szCs w:val="21"/>
          <w:highlight w:val="none"/>
        </w:rPr>
        <w:t>甲方停止委派业务给乙方，</w:t>
      </w:r>
      <w:r>
        <w:rPr>
          <w:rFonts w:ascii="Times New Roman" w:hAnsi="Times New Roman" w:eastAsia="宋体" w:cs="Times New Roman"/>
          <w:color w:val="auto"/>
          <w:szCs w:val="21"/>
          <w:highlight w:val="none"/>
        </w:rPr>
        <w:t>乙方必须退还甲方已付出的所有咨询费用，并赔偿由此给甲方造成的全部损失。</w:t>
      </w:r>
    </w:p>
    <w:p w14:paraId="72FDA4EE">
      <w:pPr>
        <w:snapToGrid w:val="0"/>
        <w:spacing w:line="360" w:lineRule="exact"/>
        <w:ind w:firstLine="420" w:firstLineChars="20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 乙方提供的服务如侵犯了第三方合法权益而引发的任何纠纷或诉讼，均由乙方负责交涉并承担全部责任。</w:t>
      </w:r>
    </w:p>
    <w:p w14:paraId="0B913EAC">
      <w:pPr>
        <w:snapToGrid w:val="0"/>
        <w:spacing w:line="360" w:lineRule="exact"/>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乙方出现</w:t>
      </w:r>
      <w:r>
        <w:rPr>
          <w:rFonts w:hint="eastAsia" w:ascii="Times New Roman" w:hAnsi="Times New Roman" w:eastAsia="宋体" w:cs="Times New Roman"/>
          <w:color w:val="auto"/>
          <w:szCs w:val="21"/>
          <w:highlight w:val="none"/>
          <w:u w:val="single"/>
        </w:rPr>
        <w:t>1</w:t>
      </w:r>
      <w:r>
        <w:rPr>
          <w:rFonts w:hint="eastAsia" w:ascii="Times New Roman" w:hAnsi="Times New Roman" w:eastAsia="宋体" w:cs="Times New Roman"/>
          <w:color w:val="auto"/>
          <w:szCs w:val="21"/>
          <w:highlight w:val="none"/>
        </w:rPr>
        <w:t>次损坏审核资料的，给予警告一次；出现</w:t>
      </w:r>
      <w:r>
        <w:rPr>
          <w:rFonts w:hint="eastAsia" w:ascii="Times New Roman" w:hAnsi="Times New Roman" w:eastAsia="宋体" w:cs="Times New Roman"/>
          <w:color w:val="auto"/>
          <w:szCs w:val="21"/>
          <w:highlight w:val="none"/>
          <w:u w:val="single"/>
        </w:rPr>
        <w:t>2</w:t>
      </w:r>
      <w:r>
        <w:rPr>
          <w:rFonts w:hint="eastAsia" w:ascii="Times New Roman" w:hAnsi="Times New Roman" w:eastAsia="宋体" w:cs="Times New Roman"/>
          <w:color w:val="auto"/>
          <w:szCs w:val="21"/>
          <w:highlight w:val="none"/>
        </w:rPr>
        <w:t>次损坏审核资料或</w:t>
      </w:r>
      <w:r>
        <w:rPr>
          <w:rFonts w:hint="eastAsia" w:ascii="Times New Roman" w:hAnsi="Times New Roman" w:eastAsia="宋体" w:cs="Times New Roman"/>
          <w:color w:val="auto"/>
          <w:szCs w:val="21"/>
          <w:highlight w:val="none"/>
          <w:u w:val="single"/>
        </w:rPr>
        <w:t>1</w:t>
      </w:r>
      <w:r>
        <w:rPr>
          <w:rFonts w:hint="eastAsia" w:ascii="Times New Roman" w:hAnsi="Times New Roman" w:eastAsia="宋体" w:cs="Times New Roman"/>
          <w:color w:val="auto"/>
          <w:szCs w:val="21"/>
          <w:highlight w:val="none"/>
        </w:rPr>
        <w:t>次丢失审核资料，终止合同，并按情节轻重究其责任。</w:t>
      </w:r>
    </w:p>
    <w:p w14:paraId="5900F549">
      <w:pPr>
        <w:snapToGrid w:val="0"/>
        <w:spacing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 乙方未按本合同和响应文件中规定的服务承诺提供售后服务的，乙方应按本合同合计金额</w:t>
      </w:r>
      <w:r>
        <w:rPr>
          <w:rFonts w:ascii="Times New Roman" w:hAnsi="Times New Roman" w:eastAsia="宋体" w:cs="Times New Roman"/>
          <w:color w:val="auto"/>
          <w:szCs w:val="21"/>
          <w:highlight w:val="none"/>
          <w:u w:val="single"/>
        </w:rPr>
        <w:t xml:space="preserve"> 5%</w:t>
      </w:r>
      <w:r>
        <w:rPr>
          <w:rFonts w:ascii="Times New Roman" w:hAnsi="Times New Roman" w:eastAsia="宋体" w:cs="Times New Roman"/>
          <w:color w:val="auto"/>
          <w:szCs w:val="21"/>
          <w:highlight w:val="none"/>
        </w:rPr>
        <w:t>向甲方支付违约金。</w:t>
      </w:r>
    </w:p>
    <w:p w14:paraId="29E41A64">
      <w:pPr>
        <w:snapToGrid w:val="0"/>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szCs w:val="21"/>
          <w:highlight w:val="none"/>
        </w:rPr>
        <w:t>7.乙方不得将委托的服务工作内容透露给除甲方或采购人以外的任何单位或个人。如发现并经查实的，甲方有权终止框架协议并追究违约责任。</w:t>
      </w:r>
    </w:p>
    <w:p w14:paraId="3D68341E">
      <w:pPr>
        <w:snapToGrid w:val="0"/>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8.乙方已接受委托审核某工程项目上限控制价的，不能代理该项目招标代理工作，不能与该工程项目有关的投标人提供与该工程项目投标有关的服务；如发现并经查实的，甲方有权终止框架协议并追究违约责任。</w:t>
      </w:r>
    </w:p>
    <w:p w14:paraId="44E1CFD7">
      <w:pPr>
        <w:snapToGrid w:val="0"/>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9.乙方及其审核人员工作出现重大过失，故意提供不实或内容虚假的审核工作底稿，给审核工作造成损失或严重后果的，不得再参与财政投资审核业务。有触犯相关法律的，将承担相应的法律责任。</w:t>
      </w:r>
    </w:p>
    <w:p w14:paraId="56F9B49C">
      <w:pPr>
        <w:snapToGrid w:val="0"/>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10.乙方审核人员在审核业务中因涉嫌玩忽职守、徇私舞弊或违反回避制度等行为，给审核工作造成损失或严重后果的，将按国家有关规定给予相应处罚。</w:t>
      </w:r>
    </w:p>
    <w:p w14:paraId="21D361D7">
      <w:pPr>
        <w:snapToGrid w:val="0"/>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11.实行廉政建设一票否决制。审核服务期内乙方审核人员发生违规违纪现象的，由甲方或采购人责令其限期整改，情节严重的将终止框架协议，并提请有关部门对相关人员和乙方依法处理。</w:t>
      </w:r>
    </w:p>
    <w:p w14:paraId="55F25070">
      <w:pPr>
        <w:snapToGrid w:val="0"/>
        <w:spacing w:line="3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13</w:t>
      </w:r>
      <w:r>
        <w:rPr>
          <w:rFonts w:ascii="Times New Roman" w:hAnsi="Times New Roman" w:eastAsia="宋体" w:cs="Times New Roman"/>
          <w:color w:val="auto"/>
          <w:szCs w:val="21"/>
          <w:highlight w:val="none"/>
        </w:rPr>
        <w:t>. 其它违约行为按违约服务成果费用金额5%收取违约金并赔偿经济损失。</w:t>
      </w:r>
    </w:p>
    <w:p w14:paraId="01CA1F37">
      <w:pPr>
        <w:snapToGrid w:val="0"/>
        <w:spacing w:line="360" w:lineRule="exact"/>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第十</w:t>
      </w:r>
      <w:r>
        <w:rPr>
          <w:rFonts w:hint="eastAsia" w:ascii="Times New Roman" w:hAnsi="Times New Roman" w:eastAsia="宋体" w:cs="Times New Roman"/>
          <w:b/>
          <w:color w:val="auto"/>
          <w:szCs w:val="21"/>
          <w:highlight w:val="none"/>
        </w:rPr>
        <w:t>二</w:t>
      </w:r>
      <w:r>
        <w:rPr>
          <w:rFonts w:ascii="Times New Roman" w:hAnsi="Times New Roman" w:eastAsia="宋体" w:cs="Times New Roman"/>
          <w:b/>
          <w:color w:val="auto"/>
          <w:szCs w:val="21"/>
          <w:highlight w:val="none"/>
        </w:rPr>
        <w:t>条 不可抗力事件处理</w:t>
      </w:r>
    </w:p>
    <w:p w14:paraId="3F12887A">
      <w:pPr>
        <w:snapToGrid w:val="0"/>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在合同有效期内，任何一方因不可抗力事件导致不能履行合同，则合同履行期可延长，其延长期与不可抗力影响期相同。</w:t>
      </w:r>
    </w:p>
    <w:p w14:paraId="4E0B0A3A">
      <w:pPr>
        <w:snapToGrid w:val="0"/>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不可抗力事件发生后，应立即通知对方，并寄送有关权威机构出具的证明。</w:t>
      </w:r>
    </w:p>
    <w:p w14:paraId="315399E9">
      <w:pPr>
        <w:snapToGrid w:val="0"/>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不可抗力事件延续</w:t>
      </w:r>
      <w:r>
        <w:rPr>
          <w:rFonts w:hint="eastAsia" w:ascii="Times New Roman" w:hAnsi="Times New Roman" w:eastAsia="宋体" w:cs="Times New Roman"/>
          <w:color w:val="auto"/>
          <w:szCs w:val="21"/>
          <w:highlight w:val="none"/>
        </w:rPr>
        <w:t>三十</w:t>
      </w:r>
      <w:r>
        <w:rPr>
          <w:rFonts w:ascii="Times New Roman" w:hAnsi="Times New Roman" w:eastAsia="宋体" w:cs="Times New Roman"/>
          <w:color w:val="auto"/>
          <w:szCs w:val="21"/>
          <w:highlight w:val="none"/>
        </w:rPr>
        <w:t>天以上，双方应通过友好协商，确定是否继续履行合同。</w:t>
      </w:r>
    </w:p>
    <w:p w14:paraId="6CD83173">
      <w:pPr>
        <w:snapToGrid w:val="0"/>
        <w:spacing w:line="360" w:lineRule="exact"/>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第十</w:t>
      </w:r>
      <w:r>
        <w:rPr>
          <w:rFonts w:hint="eastAsia" w:ascii="Times New Roman" w:hAnsi="Times New Roman" w:eastAsia="宋体" w:cs="Times New Roman"/>
          <w:b/>
          <w:color w:val="auto"/>
          <w:szCs w:val="21"/>
          <w:highlight w:val="none"/>
        </w:rPr>
        <w:t>三</w:t>
      </w:r>
      <w:r>
        <w:rPr>
          <w:rFonts w:ascii="Times New Roman" w:hAnsi="Times New Roman" w:eastAsia="宋体" w:cs="Times New Roman"/>
          <w:b/>
          <w:color w:val="auto"/>
          <w:szCs w:val="21"/>
          <w:highlight w:val="none"/>
        </w:rPr>
        <w:t>条</w:t>
      </w:r>
      <w:r>
        <w:rPr>
          <w:rFonts w:hint="eastAsia" w:ascii="Times New Roman" w:hAnsi="Times New Roman" w:eastAsia="宋体" w:cs="Times New Roman"/>
          <w:b/>
          <w:color w:val="auto"/>
          <w:szCs w:val="21"/>
          <w:highlight w:val="none"/>
        </w:rPr>
        <w:t xml:space="preserve"> </w:t>
      </w:r>
      <w:r>
        <w:rPr>
          <w:rFonts w:ascii="Times New Roman" w:hAnsi="Times New Roman" w:eastAsia="宋体" w:cs="Times New Roman"/>
          <w:b/>
          <w:color w:val="auto"/>
          <w:szCs w:val="21"/>
          <w:highlight w:val="none"/>
        </w:rPr>
        <w:t>争议解决</w:t>
      </w:r>
    </w:p>
    <w:p w14:paraId="41376632">
      <w:pPr>
        <w:snapToGrid w:val="0"/>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 因服务成果质量问题发生争议的，应邀请国家认</w:t>
      </w:r>
      <w:r>
        <w:rPr>
          <w:rFonts w:hint="eastAsia" w:ascii="Times New Roman" w:hAnsi="Times New Roman" w:eastAsia="宋体" w:cs="Times New Roman"/>
          <w:color w:val="auto"/>
          <w:szCs w:val="21"/>
          <w:highlight w:val="none"/>
        </w:rPr>
        <w:t>定</w:t>
      </w:r>
      <w:r>
        <w:rPr>
          <w:rFonts w:ascii="Times New Roman" w:hAnsi="Times New Roman" w:eastAsia="宋体" w:cs="Times New Roman"/>
          <w:color w:val="auto"/>
          <w:szCs w:val="21"/>
          <w:highlight w:val="none"/>
        </w:rPr>
        <w:t>的评估机构按照标准对服务成果质量进行验收。服务成果符合标准的，鉴定费由甲方承担；服务成果不符合标准的，鉴定费由乙方承担。</w:t>
      </w:r>
    </w:p>
    <w:p w14:paraId="36E71DBB">
      <w:pPr>
        <w:snapToGrid w:val="0"/>
        <w:spacing w:line="36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因履行本合同引起的或与本合同有关的争议，甲乙双方应首先通过友好协商解决，如果协商不能解决，可向甲方所在地人民法院提起诉讼。</w:t>
      </w:r>
    </w:p>
    <w:p w14:paraId="282BC384">
      <w:pPr>
        <w:snapToGrid w:val="0"/>
        <w:spacing w:before="120" w:after="120" w:line="320" w:lineRule="exact"/>
        <w:ind w:firstLine="420" w:firstLineChars="200"/>
        <w:rPr>
          <w:rFonts w:hint="eastAsia" w:ascii="Times New Roman" w:hAnsi="Times New Roman" w:eastAsia="宋体" w:cs="Times New Roman"/>
          <w:b/>
          <w:bCs/>
          <w:color w:val="auto"/>
          <w:szCs w:val="21"/>
          <w:highlight w:val="none"/>
        </w:rPr>
      </w:pPr>
      <w:r>
        <w:rPr>
          <w:rFonts w:ascii="Times New Roman" w:hAnsi="Times New Roman" w:eastAsia="宋体" w:cs="Times New Roman"/>
          <w:color w:val="auto"/>
          <w:szCs w:val="21"/>
          <w:highlight w:val="none"/>
        </w:rPr>
        <w:t>3. 诉讼期间，本合同继续履行。</w:t>
      </w:r>
    </w:p>
    <w:p w14:paraId="2E912991">
      <w:pPr>
        <w:snapToGrid w:val="0"/>
        <w:spacing w:before="120" w:after="120" w:line="320" w:lineRule="exact"/>
        <w:rPr>
          <w:rFonts w:hint="eastAsia"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第十四条 其他</w:t>
      </w:r>
    </w:p>
    <w:p w14:paraId="3782371A">
      <w:pPr>
        <w:snapToGrid w:val="0"/>
        <w:spacing w:before="120" w:after="120" w:line="320" w:lineRule="exact"/>
        <w:ind w:firstLine="420" w:firstLineChars="200"/>
        <w:rPr>
          <w:rFonts w:hint="eastAsia" w:ascii="Times New Roman" w:hAnsi="Times New Roman" w:eastAsia="宋体" w:cs="Times New Roman"/>
          <w:b/>
          <w:bCs/>
          <w:color w:val="auto"/>
          <w:szCs w:val="21"/>
          <w:highlight w:val="none"/>
        </w:rPr>
      </w:pPr>
      <w:r>
        <w:rPr>
          <w:rFonts w:hint="eastAsia" w:ascii="Times New Roman" w:hAnsi="Times New Roman" w:eastAsia="宋体" w:cs="Times New Roman"/>
          <w:color w:val="auto"/>
          <w:szCs w:val="21"/>
          <w:highlight w:val="none"/>
        </w:rPr>
        <w:t>1．本协议原则上由双方代表人签订并加盖单位公章后生效。</w:t>
      </w:r>
      <w:r>
        <w:rPr>
          <w:rFonts w:hint="eastAsia" w:ascii="Times New Roman" w:hAnsi="Times New Roman" w:eastAsia="宋体" w:cs="Times New Roman"/>
          <w:b/>
          <w:bCs/>
          <w:color w:val="auto"/>
          <w:szCs w:val="21"/>
          <w:highlight w:val="none"/>
        </w:rPr>
        <w:t xml:space="preserve"> </w:t>
      </w:r>
    </w:p>
    <w:p w14:paraId="2B756A57">
      <w:pPr>
        <w:snapToGrid w:val="0"/>
        <w:spacing w:before="120" w:after="120" w:line="320" w:lineRule="exact"/>
        <w:ind w:firstLine="420" w:firstLineChars="200"/>
        <w:jc w:val="left"/>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2．本协议为框架协议，具体项目具体事宜需在采购合同中进一步予以明确。框架协议与采购合同构成不可分割的整体。</w:t>
      </w:r>
    </w:p>
    <w:p w14:paraId="7F714CAC">
      <w:pPr>
        <w:snapToGrid w:val="0"/>
        <w:spacing w:before="120" w:after="120" w:line="320" w:lineRule="exact"/>
        <w:ind w:firstLine="420" w:firstLineChars="200"/>
        <w:jc w:val="left"/>
        <w:rPr>
          <w:color w:val="auto"/>
          <w:szCs w:val="21"/>
          <w:highlight w:val="none"/>
        </w:rPr>
      </w:pPr>
      <w:r>
        <w:rPr>
          <w:rFonts w:hint="eastAsia" w:ascii="Times New Roman" w:hAnsi="Times New Roman" w:eastAsia="宋体" w:cs="Times New Roman"/>
          <w:color w:val="auto"/>
          <w:szCs w:val="21"/>
          <w:highlight w:val="none"/>
        </w:rPr>
        <w:t>3．本协议一式五份，双方各执二份，采购代理机构一份，具有同等法律效力。</w:t>
      </w:r>
    </w:p>
    <w:p w14:paraId="25711433">
      <w:pPr>
        <w:snapToGrid w:val="0"/>
        <w:spacing w:before="120" w:after="120" w:line="320" w:lineRule="exact"/>
        <w:jc w:val="left"/>
        <w:rPr>
          <w:rFonts w:hint="eastAsia"/>
          <w:color w:val="auto"/>
          <w:szCs w:val="21"/>
          <w:highlight w:val="none"/>
        </w:rPr>
      </w:pPr>
    </w:p>
    <w:p w14:paraId="3C6FCD4D">
      <w:pPr>
        <w:snapToGrid w:val="0"/>
        <w:spacing w:before="120" w:after="120" w:line="320" w:lineRule="exact"/>
        <w:jc w:val="left"/>
        <w:rPr>
          <w:rFonts w:hint="eastAsia"/>
          <w:color w:val="auto"/>
          <w:szCs w:val="21"/>
          <w:highlight w:val="none"/>
        </w:rPr>
      </w:pPr>
    </w:p>
    <w:p w14:paraId="289A3518">
      <w:pPr>
        <w:snapToGrid w:val="0"/>
        <w:spacing w:before="120" w:after="120" w:line="320" w:lineRule="exact"/>
        <w:jc w:val="left"/>
        <w:rPr>
          <w:color w:val="auto"/>
          <w:szCs w:val="21"/>
          <w:highlight w:val="none"/>
        </w:rPr>
      </w:pPr>
    </w:p>
    <w:p w14:paraId="78320051">
      <w:pPr>
        <w:snapToGrid w:val="0"/>
        <w:spacing w:before="120" w:after="120" w:line="320" w:lineRule="exact"/>
        <w:jc w:val="left"/>
        <w:rPr>
          <w:color w:val="auto"/>
          <w:szCs w:val="21"/>
          <w:highlight w:val="none"/>
        </w:rPr>
      </w:pPr>
      <w:r>
        <w:rPr>
          <w:rFonts w:hint="eastAsia"/>
          <w:color w:val="auto"/>
          <w:szCs w:val="21"/>
          <w:highlight w:val="none"/>
        </w:rPr>
        <w:t xml:space="preserve">协议甲方名称（盖章）：_________ </w:t>
      </w:r>
      <w:r>
        <w:rPr>
          <w:color w:val="auto"/>
          <w:szCs w:val="21"/>
          <w:highlight w:val="none"/>
        </w:rPr>
        <w:t xml:space="preserve">            </w:t>
      </w:r>
      <w:r>
        <w:rPr>
          <w:rFonts w:hint="eastAsia"/>
          <w:color w:val="auto"/>
          <w:szCs w:val="21"/>
          <w:highlight w:val="none"/>
        </w:rPr>
        <w:t>协议乙方名称（盖章）：_____________</w:t>
      </w:r>
    </w:p>
    <w:p w14:paraId="5A32FCAA">
      <w:pPr>
        <w:snapToGrid w:val="0"/>
        <w:spacing w:before="120" w:after="120" w:line="320" w:lineRule="exact"/>
        <w:jc w:val="left"/>
        <w:rPr>
          <w:color w:val="auto"/>
          <w:szCs w:val="21"/>
          <w:highlight w:val="none"/>
          <w:u w:val="single"/>
        </w:rPr>
      </w:pPr>
      <w:r>
        <w:rPr>
          <w:rFonts w:hint="eastAsia"/>
          <w:color w:val="auto"/>
          <w:szCs w:val="21"/>
          <w:highlight w:val="none"/>
        </w:rPr>
        <w:t xml:space="preserve">地址：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地址：</w:t>
      </w:r>
      <w:r>
        <w:rPr>
          <w:rFonts w:hint="eastAsia"/>
          <w:color w:val="auto"/>
          <w:szCs w:val="21"/>
          <w:highlight w:val="none"/>
          <w:u w:val="single"/>
        </w:rPr>
        <w:t xml:space="preserve"> </w:t>
      </w:r>
      <w:r>
        <w:rPr>
          <w:color w:val="auto"/>
          <w:szCs w:val="21"/>
          <w:highlight w:val="none"/>
          <w:u w:val="single"/>
        </w:rPr>
        <w:t xml:space="preserve">               </w:t>
      </w:r>
    </w:p>
    <w:p w14:paraId="2635F89D">
      <w:pPr>
        <w:snapToGrid w:val="0"/>
        <w:spacing w:before="120" w:after="120" w:line="320" w:lineRule="exact"/>
        <w:jc w:val="left"/>
        <w:rPr>
          <w:rFonts w:hint="eastAsia"/>
          <w:color w:val="auto"/>
          <w:szCs w:val="21"/>
          <w:highlight w:val="none"/>
        </w:rPr>
      </w:pPr>
      <w:r>
        <w:rPr>
          <w:rFonts w:hint="eastAsia"/>
          <w:color w:val="auto"/>
          <w:szCs w:val="21"/>
          <w:highlight w:val="none"/>
        </w:rPr>
        <w:t>联系方式：</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联系方式：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04522389">
      <w:pPr>
        <w:snapToGrid w:val="0"/>
        <w:spacing w:before="120" w:after="120" w:line="320" w:lineRule="exact"/>
        <w:jc w:val="left"/>
        <w:rPr>
          <w:rFonts w:hint="eastAsia"/>
          <w:color w:val="auto"/>
          <w:szCs w:val="21"/>
          <w:highlight w:val="none"/>
        </w:rPr>
      </w:pPr>
      <w:r>
        <w:rPr>
          <w:rFonts w:hint="eastAsia"/>
          <w:color w:val="auto"/>
          <w:szCs w:val="21"/>
          <w:highlight w:val="none"/>
          <w:lang w:val="en-US" w:eastAsia="zh-CN"/>
        </w:rPr>
        <w:t>法定</w:t>
      </w:r>
      <w:r>
        <w:rPr>
          <w:rFonts w:hint="eastAsia"/>
          <w:color w:val="auto"/>
          <w:szCs w:val="21"/>
          <w:highlight w:val="none"/>
        </w:rPr>
        <w:t>代表</w:t>
      </w:r>
      <w:r>
        <w:rPr>
          <w:rFonts w:hint="eastAsia"/>
          <w:color w:val="auto"/>
          <w:szCs w:val="21"/>
          <w:highlight w:val="none"/>
          <w:lang w:val="en-US" w:eastAsia="zh-CN"/>
        </w:rPr>
        <w:t>人或授权人</w:t>
      </w:r>
      <w:r>
        <w:rPr>
          <w:rFonts w:hint="eastAsia"/>
          <w:color w:val="auto"/>
          <w:szCs w:val="21"/>
          <w:highlight w:val="none"/>
        </w:rPr>
        <w:t xml:space="preserve">签字：_________      </w:t>
      </w:r>
      <w:r>
        <w:rPr>
          <w:color w:val="auto"/>
          <w:szCs w:val="21"/>
          <w:highlight w:val="none"/>
        </w:rPr>
        <w:t xml:space="preserve">    </w:t>
      </w:r>
      <w:r>
        <w:rPr>
          <w:rFonts w:hint="eastAsia"/>
          <w:color w:val="auto"/>
          <w:szCs w:val="21"/>
          <w:highlight w:val="none"/>
        </w:rPr>
        <w:t>法定代表人或授权人签字：_________</w:t>
      </w:r>
    </w:p>
    <w:p w14:paraId="39900B46">
      <w:pPr>
        <w:snapToGrid w:val="0"/>
        <w:spacing w:before="120" w:after="120" w:line="320" w:lineRule="exact"/>
        <w:jc w:val="left"/>
        <w:rPr>
          <w:rFonts w:hint="eastAsia"/>
          <w:color w:val="auto"/>
          <w:szCs w:val="21"/>
          <w:highlight w:val="none"/>
        </w:rPr>
      </w:pPr>
      <w:r>
        <w:rPr>
          <w:rFonts w:hint="eastAsia"/>
          <w:color w:val="auto"/>
          <w:szCs w:val="21"/>
          <w:highlight w:val="none"/>
        </w:rPr>
        <w:t xml:space="preserve">日期：____年____月____日 </w:t>
      </w:r>
      <w:r>
        <w:rPr>
          <w:color w:val="auto"/>
          <w:szCs w:val="21"/>
          <w:highlight w:val="none"/>
        </w:rPr>
        <w:t xml:space="preserve">                  </w:t>
      </w:r>
      <w:r>
        <w:rPr>
          <w:rFonts w:hint="eastAsia"/>
          <w:color w:val="auto"/>
          <w:szCs w:val="21"/>
          <w:highlight w:val="none"/>
        </w:rPr>
        <w:t>日期：____年____月____日</w:t>
      </w:r>
    </w:p>
    <w:p w14:paraId="506521FF">
      <w:pPr>
        <w:snapToGrid w:val="0"/>
        <w:spacing w:before="120" w:after="120" w:line="320" w:lineRule="exact"/>
        <w:jc w:val="left"/>
        <w:rPr>
          <w:rFonts w:hint="eastAsia" w:ascii="Times New Roman" w:hAnsi="Times New Roman" w:eastAsia="宋体" w:cs="Times New Roman"/>
          <w:b/>
          <w:bCs/>
          <w:color w:val="auto"/>
          <w:kern w:val="0"/>
          <w:szCs w:val="21"/>
          <w:highlight w:val="none"/>
        </w:rPr>
      </w:pPr>
      <w:r>
        <w:rPr>
          <w:rFonts w:ascii="仿宋" w:hAnsi="仿宋" w:eastAsia="仿宋"/>
          <w:color w:val="auto"/>
          <w:szCs w:val="21"/>
          <w:highlight w:val="none"/>
          <w:u w:val="single"/>
        </w:rPr>
        <w:br w:type="page"/>
      </w:r>
      <w:r>
        <w:rPr>
          <w:rFonts w:ascii="Times New Roman" w:hAnsi="Times New Roman" w:eastAsia="宋体" w:cs="Times New Roman"/>
          <w:b/>
          <w:bCs/>
          <w:color w:val="auto"/>
          <w:kern w:val="0"/>
          <w:szCs w:val="21"/>
          <w:highlight w:val="none"/>
        </w:rPr>
        <w:t>附件</w:t>
      </w:r>
      <w:r>
        <w:rPr>
          <w:rFonts w:hint="eastAsia" w:ascii="Times New Roman" w:hAnsi="Times New Roman" w:eastAsia="宋体" w:cs="Times New Roman"/>
          <w:b/>
          <w:bCs/>
          <w:color w:val="auto"/>
          <w:kern w:val="0"/>
          <w:szCs w:val="21"/>
          <w:highlight w:val="none"/>
        </w:rPr>
        <w:t>1</w:t>
      </w:r>
    </w:p>
    <w:p w14:paraId="4619A7DB">
      <w:pPr>
        <w:snapToGrid w:val="0"/>
        <w:spacing w:line="360" w:lineRule="exact"/>
        <w:jc w:val="center"/>
        <w:rPr>
          <w:rFonts w:ascii="Times New Roman" w:hAnsi="Times New Roman" w:eastAsia="宋体" w:cs="Times New Roman"/>
          <w:b/>
          <w:bCs/>
          <w:color w:val="auto"/>
          <w:szCs w:val="21"/>
          <w:highlight w:val="none"/>
        </w:rPr>
      </w:pPr>
    </w:p>
    <w:p w14:paraId="2BAB87B6">
      <w:pPr>
        <w:snapToGrid w:val="0"/>
        <w:spacing w:line="360" w:lineRule="exact"/>
        <w:jc w:val="center"/>
        <w:rPr>
          <w:rFonts w:ascii="Times New Roman" w:hAnsi="Times New Roman" w:eastAsia="宋体" w:cs="Times New Roman"/>
          <w:b/>
          <w:bCs/>
          <w:color w:val="auto"/>
          <w:sz w:val="24"/>
          <w:highlight w:val="none"/>
        </w:rPr>
      </w:pPr>
      <w:r>
        <w:rPr>
          <w:rFonts w:ascii="Times New Roman" w:hAnsi="Times New Roman" w:eastAsia="宋体" w:cs="Times New Roman"/>
          <w:b/>
          <w:bCs/>
          <w:color w:val="auto"/>
          <w:sz w:val="24"/>
          <w:highlight w:val="none"/>
        </w:rPr>
        <w:t>履约</w:t>
      </w:r>
      <w:r>
        <w:rPr>
          <w:rFonts w:hint="eastAsia" w:ascii="Times New Roman" w:hAnsi="Times New Roman" w:eastAsia="宋体" w:cs="Times New Roman"/>
          <w:b/>
          <w:bCs/>
          <w:color w:val="auto"/>
          <w:sz w:val="24"/>
          <w:highlight w:val="none"/>
        </w:rPr>
        <w:t>验收方案</w:t>
      </w:r>
    </w:p>
    <w:p w14:paraId="6E1FB480">
      <w:pPr>
        <w:widowControl/>
        <w:jc w:val="left"/>
        <w:rPr>
          <w:rFonts w:ascii="Times New Roman" w:hAnsi="Times New Roman" w:eastAsia="宋体" w:cs="Times New Roman"/>
          <w:color w:val="auto"/>
          <w:szCs w:val="21"/>
          <w:highlight w:val="none"/>
        </w:rPr>
      </w:pPr>
    </w:p>
    <w:p w14:paraId="57174DFE">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1.履约验收工作参加人员</w:t>
      </w:r>
    </w:p>
    <w:p w14:paraId="350E5DAB">
      <w:pPr>
        <w:spacing w:before="120" w:line="320" w:lineRule="exact"/>
        <w:ind w:firstLine="422" w:firstLineChars="200"/>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1.1履约验收主体单位</w:t>
      </w:r>
    </w:p>
    <w:p w14:paraId="47AFFDF0">
      <w:pPr>
        <w:spacing w:before="120" w:line="320" w:lineRule="exact"/>
        <w:ind w:firstLine="420" w:firstLineChars="200"/>
        <w:jc w:val="left"/>
        <w:rPr>
          <w:rFonts w:ascii="宋体" w:hAnsi="宋体" w:eastAsia="宋体" w:cs="宋体"/>
          <w:color w:val="auto"/>
          <w:szCs w:val="21"/>
          <w:highlight w:val="none"/>
          <w:u w:val="single"/>
        </w:rPr>
      </w:pPr>
      <w:r>
        <w:rPr>
          <w:rStyle w:val="58"/>
          <w:rFonts w:hint="eastAsia" w:ascii="Times New Roman" w:hAnsi="Times New Roman" w:eastAsia="宋体" w:cs="Times New Roman"/>
          <w:color w:val="auto"/>
          <w:highlight w:val="none"/>
        </w:rPr>
        <w:t>采购人或采购人委托的机构</w:t>
      </w:r>
    </w:p>
    <w:p w14:paraId="7DE983D3">
      <w:pPr>
        <w:spacing w:before="120" w:line="320" w:lineRule="exact"/>
        <w:ind w:firstLine="422" w:firstLineChars="200"/>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1.2履约验收参加人员</w:t>
      </w:r>
    </w:p>
    <w:p w14:paraId="307F6766">
      <w:pPr>
        <w:spacing w:before="120" w:line="320" w:lineRule="exact"/>
        <w:ind w:firstLine="420" w:firstLineChars="200"/>
        <w:jc w:val="left"/>
        <w:rPr>
          <w:rFonts w:ascii="宋体" w:hAnsi="宋体" w:eastAsia="宋体" w:cs="宋体"/>
          <w:color w:val="auto"/>
          <w:szCs w:val="21"/>
          <w:highlight w:val="none"/>
          <w:u w:val="single"/>
        </w:rPr>
      </w:pPr>
      <w:r>
        <w:rPr>
          <w:rFonts w:hint="eastAsia" w:ascii="Times New Roman" w:hAnsi="Times New Roman" w:eastAsia="宋体" w:cs="Times New Roman"/>
          <w:color w:val="auto"/>
          <w:highlight w:val="none"/>
        </w:rPr>
        <w:t>采购人代表、委托机构代表、成交供应商代表及采购人邀请的其他人员</w:t>
      </w:r>
    </w:p>
    <w:p w14:paraId="238E01CC">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2.履约验收时间</w:t>
      </w:r>
    </w:p>
    <w:p w14:paraId="49FB8EDB">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20XX年XX月XX日</w:t>
      </w:r>
    </w:p>
    <w:p w14:paraId="22B55E40">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3.履约验收地点</w:t>
      </w:r>
    </w:p>
    <w:p w14:paraId="6E88475F">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XX市XX区XX路XX号</w:t>
      </w:r>
    </w:p>
    <w:p w14:paraId="30C6242B">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4.履约验收方式</w:t>
      </w:r>
    </w:p>
    <w:p w14:paraId="3CAF79B9">
      <w:pPr>
        <w:spacing w:before="120" w:line="320" w:lineRule="exact"/>
        <w:ind w:firstLine="420" w:firstLineChars="200"/>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采购人自行验收</w:t>
      </w:r>
    </w:p>
    <w:p w14:paraId="16E3BF39">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5.履约验收程序</w:t>
      </w:r>
    </w:p>
    <w:p w14:paraId="74CB3662">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5.1成立验收小组</w:t>
      </w:r>
    </w:p>
    <w:p w14:paraId="72C0E0B4">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量化验收标准</w:t>
      </w:r>
    </w:p>
    <w:p w14:paraId="0A6C3475">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3</w:t>
      </w:r>
      <w:r>
        <w:rPr>
          <w:rFonts w:hint="eastAsia" w:ascii="宋体" w:hAnsi="宋体" w:eastAsia="宋体" w:cs="宋体"/>
          <w:b/>
          <w:bCs/>
          <w:color w:val="auto"/>
          <w:szCs w:val="21"/>
          <w:highlight w:val="none"/>
        </w:rPr>
        <w:t>组织验收</w:t>
      </w:r>
    </w:p>
    <w:p w14:paraId="57A9AAA5">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4</w:t>
      </w:r>
      <w:r>
        <w:rPr>
          <w:rFonts w:hint="eastAsia" w:ascii="宋体" w:hAnsi="宋体" w:eastAsia="宋体" w:cs="宋体"/>
          <w:b/>
          <w:bCs/>
          <w:color w:val="auto"/>
          <w:szCs w:val="21"/>
          <w:highlight w:val="none"/>
        </w:rPr>
        <w:t>出具验收报告</w:t>
      </w:r>
    </w:p>
    <w:p w14:paraId="2BA411EE">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5</w:t>
      </w:r>
      <w:r>
        <w:rPr>
          <w:rFonts w:hint="eastAsia" w:ascii="宋体" w:hAnsi="宋体" w:eastAsia="宋体" w:cs="宋体"/>
          <w:b/>
          <w:bCs/>
          <w:color w:val="auto"/>
          <w:szCs w:val="21"/>
          <w:highlight w:val="none"/>
        </w:rPr>
        <w:t>验收结果公告</w:t>
      </w:r>
    </w:p>
    <w:p w14:paraId="5538EF66">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6</w:t>
      </w:r>
      <w:r>
        <w:rPr>
          <w:rFonts w:hint="eastAsia" w:ascii="宋体" w:hAnsi="宋体" w:eastAsia="宋体" w:cs="宋体"/>
          <w:b/>
          <w:bCs/>
          <w:color w:val="auto"/>
          <w:szCs w:val="21"/>
          <w:highlight w:val="none"/>
        </w:rPr>
        <w:t>验收资料归档</w:t>
      </w:r>
    </w:p>
    <w:p w14:paraId="7A487411">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采购合同项目完成验收后，采购人整理好验收原始记录等资料后妥善保管，不得变造、隐匿或者销毁，验收资料保存期为采购结束之日起至少保存15年。</w:t>
      </w:r>
    </w:p>
    <w:p w14:paraId="0405BEE9">
      <w:pPr>
        <w:spacing w:before="120" w:line="320" w:lineRule="exact"/>
        <w:ind w:firstLine="422" w:firstLineChars="200"/>
        <w:jc w:val="left"/>
        <w:rPr>
          <w:rFonts w:ascii="宋体" w:hAnsi="宋体" w:eastAsia="宋体" w:cs="宋体"/>
          <w:b/>
          <w:bCs/>
          <w:iCs/>
          <w:color w:val="auto"/>
          <w:szCs w:val="21"/>
          <w:highlight w:val="none"/>
        </w:rPr>
      </w:pPr>
      <w:r>
        <w:rPr>
          <w:rFonts w:hint="eastAsia" w:ascii="宋体" w:hAnsi="宋体" w:eastAsia="宋体" w:cs="宋体"/>
          <w:b/>
          <w:bCs/>
          <w:color w:val="auto"/>
          <w:szCs w:val="21"/>
          <w:highlight w:val="none"/>
        </w:rPr>
        <w:t>6.履约验收内容</w:t>
      </w:r>
    </w:p>
    <w:p w14:paraId="2D1917E9">
      <w:pPr>
        <w:spacing w:before="120" w:line="320" w:lineRule="exact"/>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对采购服务的人员选派及工作配合情况、评审时效、评审质量、评审报告编写及文本情况、急件项目加分、质量时效问题、廉政职业道德等进行验收，按</w:t>
      </w:r>
      <w:r>
        <w:rPr>
          <w:rFonts w:hint="eastAsia" w:ascii="Times New Roman" w:hAnsi="Times New Roman" w:eastAsia="宋体" w:cs="Times New Roman"/>
          <w:color w:val="auto"/>
          <w:szCs w:val="21"/>
          <w:highlight w:val="none"/>
        </w:rPr>
        <w:t>《广西壮族自治区财政投资评审中心协作机构考评办法》执行</w:t>
      </w:r>
      <w:r>
        <w:rPr>
          <w:rFonts w:hint="eastAsia" w:ascii="宋体" w:hAnsi="宋体" w:eastAsia="宋体" w:cs="宋体"/>
          <w:color w:val="auto"/>
          <w:szCs w:val="21"/>
          <w:highlight w:val="none"/>
        </w:rPr>
        <w:t>。</w:t>
      </w:r>
    </w:p>
    <w:p w14:paraId="177DDAED">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7.履约验收标准</w:t>
      </w:r>
    </w:p>
    <w:p w14:paraId="2F30B362">
      <w:pPr>
        <w:pStyle w:val="171"/>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6247573">
      <w:pPr>
        <w:pStyle w:val="171"/>
        <w:spacing w:before="120" w:line="320" w:lineRule="exact"/>
        <w:ind w:firstLine="420"/>
        <w:rPr>
          <w:rFonts w:ascii="宋体" w:hAnsi="宋体" w:cs="宋体"/>
          <w:color w:val="auto"/>
          <w:sz w:val="21"/>
          <w:szCs w:val="21"/>
          <w:highlight w:val="none"/>
        </w:rPr>
      </w:pPr>
      <w:r>
        <w:rPr>
          <w:rFonts w:hint="eastAsia" w:ascii="宋体" w:hAnsi="宋体" w:eastAsia="宋体" w:cs="宋体"/>
          <w:color w:val="auto"/>
          <w:kern w:val="2"/>
          <w:sz w:val="21"/>
          <w:szCs w:val="21"/>
          <w:highlight w:val="none"/>
        </w:rPr>
        <w:t>（1）成交供应商应提供完备的技术或服务资料等，并派遣坐班人员进行驻场服务。验收合格条件如下：</w:t>
      </w:r>
    </w:p>
    <w:p w14:paraId="7D3884A9">
      <w:pPr>
        <w:spacing w:before="120" w:line="3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78F49B8E">
      <w:pPr>
        <w:spacing w:before="120" w:line="3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①供应商响应文件响应表或证明材料中满足或优于的技术参数，在验收时实际不满足技术参数要求的，视为供货商违约，采购人有权终止合同，并追究供应商责任，同时报财政部门备案。</w:t>
      </w:r>
    </w:p>
    <w:p w14:paraId="198B0D01">
      <w:pPr>
        <w:spacing w:before="120" w:line="3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②供应商响应文件响应表或证明材料中优于的技术参数，在验收时实际仅满足并未优于技术参数要求的，视为供货商违约，采购人有权终止合同，并追究供应商责任，同时报财政部门备案。</w:t>
      </w:r>
    </w:p>
    <w:p w14:paraId="44B21DDA">
      <w:pPr>
        <w:spacing w:before="120" w:line="3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③供应商响应文件响应表或证明材料中不满足的技术参数，在验收时实际满足技术参数的要求，以满足技术参数的要求验收。 </w:t>
      </w:r>
    </w:p>
    <w:p w14:paraId="5B0F4447">
      <w:pPr>
        <w:spacing w:before="120" w:line="3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④供应商响应文件响应表或证明材料中满足的技术参数，在验收时实际优于技术参数的要求，以满足技术参数的要求验收。</w:t>
      </w:r>
    </w:p>
    <w:p w14:paraId="23E3C78B">
      <w:pPr>
        <w:spacing w:before="120" w:line="3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7FD7500A">
      <w:pPr>
        <w:spacing w:before="120" w:line="32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⑥实际投入人员与响应拟投入人员不一致的，验收时不论实际是优于还是满足技术参数的要求，采购人均有权终止合同。如影响服务的使用、质量、档次及采购人需求的，还可视为供货商违约，追究供应商责任，同时报财政部门备案。</w:t>
      </w:r>
    </w:p>
    <w:p w14:paraId="6461E2FF">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（2）技术资料、评审报告等资料齐全。</w:t>
      </w:r>
    </w:p>
    <w:p w14:paraId="4474C589">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（3）在服务期间所出现的问题得到解决，并工作正常。</w:t>
      </w:r>
    </w:p>
    <w:p w14:paraId="7F882604">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（4）在规定时间内完成服务及验收，并经采购人确认。</w:t>
      </w:r>
    </w:p>
    <w:p w14:paraId="7608DD0B">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（5）服务在符合采购人要求后，才作为最终验收。</w:t>
      </w:r>
    </w:p>
    <w:p w14:paraId="47A90DBC">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（6）成交供应商提供的服务未达到征集文件规定要求，且对采购人造成损失的，由成交供应商承担一切责任，并赔偿所造成的损失。</w:t>
      </w:r>
    </w:p>
    <w:p w14:paraId="0E41D5AA">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（7）采购人需要其他有关单位对成交供应商交付的产品或服务进行确认的，相关配合事项由成交供应商与其他有关单位协调。</w:t>
      </w:r>
    </w:p>
    <w:p w14:paraId="54E2F814">
      <w:pPr>
        <w:spacing w:before="120" w:line="32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（8）政府采购合同约定的其他要求及响应文件响应的其他标准。</w:t>
      </w:r>
    </w:p>
    <w:p w14:paraId="069F226B">
      <w:pPr>
        <w:spacing w:before="120" w:line="32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8.履约验收其他事项</w:t>
      </w:r>
    </w:p>
    <w:p w14:paraId="6F17BB98">
      <w:pPr>
        <w:snapToGrid w:val="0"/>
        <w:spacing w:before="120" w:after="120" w:line="320" w:lineRule="exact"/>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14:paraId="2A072B8F">
      <w:pPr>
        <w:spacing w:before="120" w:line="320" w:lineRule="exact"/>
        <w:rPr>
          <w:rFonts w:hint="eastAsia" w:ascii="Times New Roman" w:hAnsi="Times New Roman" w:eastAsia="宋体" w:cs="Times New Roman"/>
          <w:b/>
          <w:bCs/>
          <w:color w:val="auto"/>
          <w:kern w:val="0"/>
          <w:szCs w:val="21"/>
          <w:highlight w:val="none"/>
        </w:rPr>
      </w:pPr>
      <w:r>
        <w:rPr>
          <w:rFonts w:ascii="仿宋" w:hAnsi="仿宋" w:eastAsia="仿宋" w:cs="Times New Roman"/>
          <w:color w:val="auto"/>
          <w:szCs w:val="21"/>
          <w:highlight w:val="none"/>
          <w:u w:val="single"/>
        </w:rPr>
        <w:br w:type="page"/>
      </w:r>
      <w:r>
        <w:rPr>
          <w:rFonts w:hint="eastAsia" w:ascii="Times New Roman" w:hAnsi="Times New Roman" w:eastAsia="宋体" w:cs="Times New Roman"/>
          <w:b/>
          <w:bCs/>
          <w:color w:val="auto"/>
          <w:kern w:val="0"/>
          <w:szCs w:val="21"/>
          <w:highlight w:val="none"/>
        </w:rPr>
        <w:t>附件2保密协议</w:t>
      </w:r>
    </w:p>
    <w:p w14:paraId="2B73AB1D">
      <w:pPr>
        <w:widowControl/>
        <w:spacing w:line="470" w:lineRule="exact"/>
        <w:jc w:val="center"/>
        <w:rPr>
          <w:rFonts w:hint="eastAsia" w:ascii="宋体" w:hAnsi="宋体" w:eastAsia="宋体" w:cs="宋体"/>
          <w:bCs/>
          <w:color w:val="auto"/>
          <w:kern w:val="0"/>
          <w:szCs w:val="21"/>
          <w:highlight w:val="none"/>
          <w:shd w:val="clear" w:color="auto" w:fill="FFFFFF"/>
          <w:lang w:bidi="ar"/>
        </w:rPr>
      </w:pPr>
      <w:bookmarkStart w:id="79" w:name="_Toc29004"/>
      <w:bookmarkStart w:id="80" w:name="_Toc8557"/>
      <w:bookmarkStart w:id="81" w:name="_Toc3393"/>
      <w:bookmarkStart w:id="82" w:name="_Toc14863"/>
      <w:r>
        <w:rPr>
          <w:rFonts w:hint="eastAsia" w:ascii="宋体" w:hAnsi="宋体" w:eastAsia="宋体" w:cs="宋体"/>
          <w:bCs/>
          <w:color w:val="auto"/>
          <w:kern w:val="0"/>
          <w:szCs w:val="21"/>
          <w:highlight w:val="none"/>
          <w:shd w:val="clear" w:color="auto" w:fill="FFFFFF"/>
          <w:lang w:bidi="ar"/>
        </w:rPr>
        <w:t>保密协议</w:t>
      </w:r>
    </w:p>
    <w:p w14:paraId="2A480CF3">
      <w:pPr>
        <w:widowControl/>
        <w:spacing w:after="120" w:line="470" w:lineRule="exact"/>
        <w:ind w:left="210" w:leftChars="100"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为确保</w:t>
      </w:r>
      <w:r>
        <w:rPr>
          <w:rFonts w:hint="eastAsia" w:ascii="宋体" w:hAnsi="宋体" w:eastAsia="宋体" w:cs="宋体"/>
          <w:color w:val="auto"/>
          <w:szCs w:val="21"/>
          <w:highlight w:val="none"/>
        </w:rPr>
        <w:t>协审项目</w:t>
      </w:r>
      <w:r>
        <w:rPr>
          <w:rFonts w:hint="eastAsia" w:ascii="宋体" w:hAnsi="宋体" w:eastAsia="宋体" w:cs="宋体"/>
          <w:color w:val="auto"/>
          <w:szCs w:val="21"/>
          <w:highlight w:val="none"/>
          <w:lang w:val="zh-CN"/>
        </w:rPr>
        <w:t>的安全性、保密性，规范项目行为，根据国家保密以及有关规定，就参与本项目的保密承诺如下：</w:t>
      </w:r>
    </w:p>
    <w:p w14:paraId="172E0C68">
      <w:pPr>
        <w:widowControl/>
        <w:spacing w:after="120" w:line="47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承诺保守本项目涉及的保密信息，包括项目相关资料、项目现状、建设内容、等。</w:t>
      </w:r>
    </w:p>
    <w:p w14:paraId="55956122">
      <w:pPr>
        <w:widowControl/>
        <w:spacing w:after="120" w:line="47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承诺按国家相关保密法律法规规定进行项目管理，未经</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zh-CN"/>
        </w:rPr>
        <w:t>批准，不将该项目保密信息以任何形式泄露给任何个人、单位、</w:t>
      </w:r>
      <w:r>
        <w:rPr>
          <w:rFonts w:hint="eastAsia" w:ascii="宋体" w:hAnsi="宋体" w:eastAsia="宋体" w:cs="宋体"/>
          <w:color w:val="auto"/>
          <w:szCs w:val="21"/>
          <w:highlight w:val="none"/>
        </w:rPr>
        <w:t>团</w:t>
      </w:r>
      <w:r>
        <w:rPr>
          <w:rFonts w:hint="eastAsia" w:ascii="宋体" w:hAnsi="宋体" w:eastAsia="宋体" w:cs="宋体"/>
          <w:color w:val="auto"/>
          <w:szCs w:val="21"/>
          <w:highlight w:val="none"/>
          <w:lang w:val="zh-CN"/>
        </w:rPr>
        <w:t>体、机关、公司、实体及其他组织，不擅自扩大知悉范围。</w:t>
      </w:r>
    </w:p>
    <w:p w14:paraId="52E18C28">
      <w:pPr>
        <w:widowControl/>
        <w:spacing w:after="120" w:line="47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承诺本项目相关信息仅在参与该项目的负责人和项目相关干系人范围内知悉。</w:t>
      </w:r>
    </w:p>
    <w:p w14:paraId="69E57035">
      <w:pPr>
        <w:widowControl/>
        <w:spacing w:after="120" w:line="47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承诺于项目结束后及时清退项目相关资料和密件，不采取抄写、复印、拷贝等任何方式私自留存或转移。</w:t>
      </w:r>
    </w:p>
    <w:p w14:paraId="50245A2D">
      <w:pPr>
        <w:widowControl/>
        <w:spacing w:after="120" w:line="47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承担保密义务的期限为无限期保密，直至</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zh-CN"/>
        </w:rPr>
        <w:t>宣布解密或者秘密信息实际己公开。</w:t>
      </w:r>
    </w:p>
    <w:p w14:paraId="61A55308">
      <w:pPr>
        <w:widowControl/>
        <w:spacing w:after="120" w:line="47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本协议未尽内容，将严格按照国家保密有关法律法规执行。</w:t>
      </w:r>
    </w:p>
    <w:p w14:paraId="405C0296">
      <w:pPr>
        <w:widowControl/>
        <w:spacing w:after="120" w:line="47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如违反本协议的规定，</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zh-CN"/>
        </w:rPr>
        <w:t>有权限根据国家有关法律法规，追究责任；构成犯罪的，提交国家司法部门依法追究刑事责任。</w:t>
      </w:r>
    </w:p>
    <w:p w14:paraId="6BCA18E7">
      <w:pPr>
        <w:widowControl/>
        <w:spacing w:after="120" w:line="47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本</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val="zh-CN"/>
        </w:rPr>
        <w:t>承诺愿意接受本保密承诺书的法律约束。</w:t>
      </w:r>
    </w:p>
    <w:p w14:paraId="34DAFC4A">
      <w:pPr>
        <w:widowControl/>
        <w:spacing w:after="120" w:line="47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本保密</w:t>
      </w:r>
      <w:r>
        <w:rPr>
          <w:rFonts w:hint="eastAsia" w:ascii="宋体" w:hAnsi="宋体" w:eastAsia="宋体" w:cs="宋体"/>
          <w:color w:val="auto"/>
          <w:szCs w:val="21"/>
          <w:highlight w:val="none"/>
        </w:rPr>
        <w:t>协议</w:t>
      </w:r>
      <w:r>
        <w:rPr>
          <w:rFonts w:hint="eastAsia" w:ascii="宋体" w:hAnsi="宋体" w:eastAsia="宋体" w:cs="宋体"/>
          <w:color w:val="auto"/>
          <w:szCs w:val="21"/>
          <w:highlight w:val="none"/>
          <w:lang w:val="zh-CN"/>
        </w:rPr>
        <w:t>自签</w:t>
      </w:r>
      <w:r>
        <w:rPr>
          <w:rFonts w:hint="eastAsia" w:ascii="宋体" w:hAnsi="宋体" w:eastAsia="宋体" w:cs="宋体"/>
          <w:color w:val="auto"/>
          <w:szCs w:val="21"/>
          <w:highlight w:val="none"/>
        </w:rPr>
        <w:t>字</w:t>
      </w:r>
      <w:r>
        <w:rPr>
          <w:rFonts w:hint="eastAsia" w:ascii="宋体" w:hAnsi="宋体" w:eastAsia="宋体" w:cs="宋体"/>
          <w:color w:val="auto"/>
          <w:szCs w:val="21"/>
          <w:highlight w:val="none"/>
          <w:lang w:val="zh-CN"/>
        </w:rPr>
        <w:t>之日起生效。</w:t>
      </w:r>
    </w:p>
    <w:p w14:paraId="1388FE7B">
      <w:pPr>
        <w:widowControl/>
        <w:wordWrap w:val="0"/>
        <w:spacing w:after="120" w:line="470" w:lineRule="exact"/>
        <w:ind w:firstLine="420" w:firstLineChars="2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承诺人</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盖章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single"/>
        </w:rPr>
        <w:t xml:space="preserve">            </w:t>
      </w:r>
    </w:p>
    <w:p w14:paraId="53672900">
      <w:pPr>
        <w:spacing w:before="120" w:line="320" w:lineRule="exact"/>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日</w:t>
      </w:r>
      <w:bookmarkEnd w:id="79"/>
      <w:bookmarkEnd w:id="80"/>
      <w:bookmarkEnd w:id="81"/>
      <w:bookmarkEnd w:id="82"/>
    </w:p>
    <w:p w14:paraId="4AB61A2F">
      <w:pPr>
        <w:spacing w:before="120" w:line="320" w:lineRule="exact"/>
        <w:jc w:val="left"/>
        <w:rPr>
          <w:rFonts w:ascii="仿宋" w:hAnsi="仿宋" w:eastAsia="仿宋" w:cs="Times New Roman"/>
          <w:color w:val="auto"/>
          <w:szCs w:val="21"/>
          <w:highlight w:val="none"/>
          <w:u w:val="single"/>
        </w:rPr>
      </w:pPr>
      <w:r>
        <w:rPr>
          <w:rFonts w:hint="eastAsia" w:ascii="Times New Roman" w:hAnsi="Times New Roman" w:eastAsia="宋体" w:cs="Times New Roman"/>
          <w:b/>
          <w:bCs/>
          <w:color w:val="auto"/>
          <w:kern w:val="0"/>
          <w:szCs w:val="21"/>
          <w:highlight w:val="none"/>
        </w:rPr>
        <w:br w:type="page"/>
      </w:r>
      <w:r>
        <w:rPr>
          <w:rFonts w:hint="eastAsia" w:ascii="Times New Roman" w:hAnsi="Times New Roman" w:eastAsia="宋体" w:cs="Times New Roman"/>
          <w:b/>
          <w:bCs/>
          <w:color w:val="auto"/>
          <w:kern w:val="0"/>
          <w:szCs w:val="21"/>
          <w:highlight w:val="none"/>
        </w:rPr>
        <w:t>附件3廉洁承诺书</w:t>
      </w:r>
    </w:p>
    <w:p w14:paraId="0E4F7117">
      <w:pPr>
        <w:spacing w:line="620" w:lineRule="exact"/>
        <w:ind w:firstLine="422" w:firstLineChars="20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廉洁承诺书</w:t>
      </w:r>
    </w:p>
    <w:p w14:paraId="7AC75972">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为加强政府投资项目评审服务工作的廉洁建设，根据国家、自治区有关法律法规，我单位作如下承诺：</w:t>
      </w:r>
    </w:p>
    <w:p w14:paraId="70487C51">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第一条  自觉遵守国家、广西壮族自治区的政策法规和钟山县财政局的各项管理制度；严格按照财政投资项目评审操作规程和财政投资评审质量控制办法实施评审工作，坚持原则，秉公办事，维护国家、社会公众利益；严格执行国家及行业有关法规规章，履行岗位职责，忠于职守，严格把关。</w:t>
      </w:r>
    </w:p>
    <w:p w14:paraId="287FE98A">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第二条  不向甲方工作人员请客、送礼及组织其它有可能影响客观公正评审的活动。</w:t>
      </w:r>
    </w:p>
    <w:p w14:paraId="0935BDDD">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第三条  不向项目业主或施工单位等相关单位、人员接受或索要回扣、礼金、有价证券、贵重物品等。</w:t>
      </w:r>
    </w:p>
    <w:p w14:paraId="7C0680D0">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第四条  不向评审对象报销应由个人支付的费用。</w:t>
      </w:r>
    </w:p>
    <w:p w14:paraId="4892E08F">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第五条  不与项目业主或施工单位串通，有意增大或减少工程量、弄虚作假增加评审额、有意使工程量清单漏项，影响项目评审的客观、公正性。</w:t>
      </w:r>
    </w:p>
    <w:p w14:paraId="0FB6C821">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第六条  不向外界泄露评审工作机密。</w:t>
      </w:r>
    </w:p>
    <w:p w14:paraId="317C9D4D">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第七条  不私下接触评审对象及相关人员。</w:t>
      </w:r>
    </w:p>
    <w:p w14:paraId="0808266A">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第八条  不为经济违法单位和个人出谋划策，通风报信，开脱责任，隐瞒实情，出具伪证。</w:t>
      </w:r>
    </w:p>
    <w:p w14:paraId="15DDE5D3">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第九条  评审工作不推诿、不拖拉、不扯皮、不敷衍塞责，不刁难、不报复评审对象。</w:t>
      </w:r>
    </w:p>
    <w:p w14:paraId="78FD9AE1">
      <w:pPr>
        <w:spacing w:line="6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第十条  如有违反上述规定，按相关规定接受处罚；给相关单位造成经济损失的，予以赔偿。</w:t>
      </w:r>
    </w:p>
    <w:p w14:paraId="13A64D78">
      <w:pPr>
        <w:widowControl/>
        <w:wordWrap w:val="0"/>
        <w:spacing w:after="120" w:line="470" w:lineRule="exact"/>
        <w:ind w:firstLine="420" w:firstLineChars="200"/>
        <w:jc w:val="right"/>
        <w:rPr>
          <w:rFonts w:hint="eastAsia" w:ascii="宋体" w:hAnsi="宋体" w:eastAsia="宋体" w:cs="宋体"/>
          <w:color w:val="auto"/>
          <w:szCs w:val="21"/>
          <w:highlight w:val="none"/>
          <w:u w:val="single"/>
        </w:rPr>
      </w:pPr>
      <w:r>
        <w:rPr>
          <w:rFonts w:hint="eastAsia" w:ascii="宋体" w:hAnsi="宋体" w:eastAsia="宋体" w:cs="Times New Roman"/>
          <w:color w:val="auto"/>
          <w:szCs w:val="21"/>
          <w:highlight w:val="none"/>
        </w:rPr>
        <w:t xml:space="preserve">                                                    </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盖章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single"/>
        </w:rPr>
        <w:t xml:space="preserve">            </w:t>
      </w:r>
    </w:p>
    <w:p w14:paraId="37DE80B0">
      <w:pPr>
        <w:pStyle w:val="207"/>
        <w:ind w:firstLine="5750" w:firstLineChars="2500"/>
        <w:jc w:val="left"/>
        <w:rPr>
          <w:rFonts w:ascii="Times New Roman" w:hAnsi="Times New Roman" w:eastAsia="宋体" w:cs="Times New Roman"/>
          <w:color w:val="auto"/>
          <w:highlight w:val="none"/>
          <w:u w:val="single"/>
        </w:rPr>
      </w:pPr>
      <w:r>
        <w:rPr>
          <w:rFonts w:hint="eastAsia" w:ascii="宋体" w:hAnsi="宋体" w:eastAsia="宋体" w:cs="宋体"/>
          <w:color w:val="auto"/>
          <w:sz w:val="21"/>
          <w:szCs w:val="21"/>
          <w:highlight w:val="none"/>
        </w:rPr>
        <w:t>法定代表人（签字</w:t>
      </w:r>
      <w:r>
        <w:rPr>
          <w:rFonts w:hint="eastAsia" w:ascii="宋体" w:hAnsi="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0EC414B">
      <w:pPr>
        <w:spacing w:before="120" w:line="320" w:lineRule="exact"/>
        <w:jc w:val="right"/>
        <w:rPr>
          <w:rFonts w:ascii="仿宋" w:hAnsi="仿宋" w:eastAsia="仿宋"/>
          <w:color w:val="auto"/>
          <w:szCs w:val="21"/>
          <w:highlight w:val="none"/>
          <w:u w:val="single"/>
        </w:rPr>
      </w:pP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日</w:t>
      </w:r>
    </w:p>
    <w:p w14:paraId="0D50F56D">
      <w:pPr>
        <w:pStyle w:val="26"/>
        <w:tabs>
          <w:tab w:val="left" w:pos="630"/>
          <w:tab w:val="center" w:pos="4535"/>
        </w:tabs>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highlight w:val="none"/>
        </w:rPr>
        <w:br w:type="page"/>
      </w:r>
      <w:bookmarkEnd w:id="76"/>
      <w:bookmarkStart w:id="83" w:name="_Toc16303"/>
      <w:bookmarkStart w:id="84" w:name="_Toc22018"/>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六</w:t>
      </w:r>
      <w:r>
        <w:rPr>
          <w:rFonts w:ascii="Times New Roman" w:hAnsi="Times New Roman" w:cs="Times New Roman"/>
          <w:color w:val="auto"/>
          <w:sz w:val="32"/>
          <w:szCs w:val="32"/>
          <w:highlight w:val="none"/>
        </w:rPr>
        <w:t>章  合同主要条款格式</w:t>
      </w:r>
      <w:bookmarkEnd w:id="83"/>
      <w:bookmarkEnd w:id="84"/>
    </w:p>
    <w:p w14:paraId="126C6182">
      <w:pPr>
        <w:jc w:val="center"/>
        <w:rPr>
          <w:rFonts w:hint="eastAsia" w:ascii="Times New Roman" w:hAnsi="Times New Roman" w:eastAsia="宋体" w:cs="Times New Roman"/>
          <w:bCs/>
          <w:color w:val="auto"/>
          <w:sz w:val="22"/>
          <w:szCs w:val="22"/>
          <w:highlight w:val="none"/>
          <w:u w:val="single"/>
        </w:rPr>
      </w:pPr>
      <w:r>
        <w:rPr>
          <w:rFonts w:hint="eastAsia" w:ascii="Times New Roman" w:hAnsi="Times New Roman" w:eastAsia="宋体" w:cs="Times New Roman"/>
          <w:b/>
          <w:bCs/>
          <w:color w:val="auto"/>
          <w:sz w:val="24"/>
          <w:highlight w:val="none"/>
          <w:u w:val="single"/>
        </w:rPr>
        <w:t>（项目名称及编号）</w:t>
      </w:r>
      <w:r>
        <w:rPr>
          <w:rFonts w:hint="eastAsia" w:ascii="Times New Roman" w:hAnsi="Times New Roman" w:eastAsia="宋体" w:cs="Times New Roman"/>
          <w:b/>
          <w:bCs/>
          <w:color w:val="auto"/>
          <w:sz w:val="24"/>
          <w:highlight w:val="none"/>
        </w:rPr>
        <w:t>项目评审服务合同</w:t>
      </w:r>
      <w:r>
        <w:rPr>
          <w:rFonts w:ascii="Times New Roman" w:hAnsi="Times New Roman" w:eastAsia="宋体" w:cs="Times New Roman"/>
          <w:b/>
          <w:bCs/>
          <w:color w:val="auto"/>
          <w:sz w:val="24"/>
          <w:highlight w:val="none"/>
        </w:rPr>
        <w:t xml:space="preserve"> </w:t>
      </w:r>
    </w:p>
    <w:p w14:paraId="20692476">
      <w:pPr>
        <w:snapToGrid w:val="0"/>
        <w:spacing w:line="360" w:lineRule="exact"/>
        <w:ind w:right="480" w:firstLine="5985" w:firstLineChars="2850"/>
        <w:rPr>
          <w:rFonts w:ascii="Times New Roman" w:hAnsi="Times New Roman" w:eastAsia="宋体" w:cs="Times New Roman"/>
          <w:bCs/>
          <w:color w:val="auto"/>
          <w:szCs w:val="21"/>
          <w:highlight w:val="none"/>
          <w:u w:val="single"/>
        </w:rPr>
      </w:pPr>
      <w:r>
        <w:rPr>
          <w:rFonts w:ascii="Times New Roman" w:hAnsi="Times New Roman" w:eastAsia="宋体" w:cs="Times New Roman"/>
          <w:bCs/>
          <w:color w:val="auto"/>
          <w:szCs w:val="21"/>
          <w:highlight w:val="none"/>
        </w:rPr>
        <w:t>合同编号：</w:t>
      </w:r>
    </w:p>
    <w:p w14:paraId="3A842BD0">
      <w:pPr>
        <w:snapToGrid w:val="0"/>
        <w:spacing w:line="360" w:lineRule="exact"/>
        <w:rPr>
          <w:rFonts w:ascii="Times New Roman" w:hAnsi="Times New Roman" w:eastAsia="宋体" w:cs="Times New Roman"/>
          <w:color w:val="auto"/>
          <w:szCs w:val="21"/>
          <w:highlight w:val="none"/>
        </w:rPr>
      </w:pPr>
    </w:p>
    <w:p w14:paraId="37207728">
      <w:pPr>
        <w:snapToGrid w:val="0"/>
        <w:spacing w:line="400" w:lineRule="exac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采购</w:t>
      </w:r>
      <w:r>
        <w:rPr>
          <w:rFonts w:hint="eastAsia" w:ascii="Times New Roman" w:hAnsi="Times New Roman" w:eastAsia="宋体" w:cs="Times New Roman"/>
          <w:color w:val="auto"/>
          <w:szCs w:val="21"/>
          <w:highlight w:val="none"/>
        </w:rPr>
        <w:t>人</w:t>
      </w:r>
      <w:r>
        <w:rPr>
          <w:rFonts w:ascii="Times New Roman" w:hAnsi="Times New Roman" w:eastAsia="宋体" w:cs="Times New Roman"/>
          <w:color w:val="auto"/>
          <w:szCs w:val="21"/>
          <w:highlight w:val="none"/>
        </w:rPr>
        <w:t>（甲方）</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p>
    <w:p w14:paraId="6C97CE17">
      <w:pPr>
        <w:snapToGrid w:val="0"/>
        <w:spacing w:line="400" w:lineRule="exact"/>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成交</w:t>
      </w:r>
      <w:r>
        <w:rPr>
          <w:rFonts w:ascii="Times New Roman" w:hAnsi="Times New Roman" w:eastAsia="宋体" w:cs="Times New Roman"/>
          <w:color w:val="auto"/>
          <w:szCs w:val="21"/>
          <w:highlight w:val="none"/>
        </w:rPr>
        <w:t>供应商（乙方）</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3B2E0ED1">
      <w:pPr>
        <w:snapToGrid w:val="0"/>
        <w:spacing w:line="400" w:lineRule="exact"/>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签  订  地  点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签 订 时 间</w:t>
      </w:r>
      <w:r>
        <w:rPr>
          <w:rFonts w:ascii="Times New Roman" w:hAnsi="Times New Roman" w:eastAsia="宋体" w:cs="Times New Roman"/>
          <w:color w:val="auto"/>
          <w:szCs w:val="21"/>
          <w:highlight w:val="none"/>
          <w:u w:val="single"/>
        </w:rPr>
        <w:t xml:space="preserve">                       </w:t>
      </w:r>
    </w:p>
    <w:p w14:paraId="0FA86732">
      <w:pPr>
        <w:adjustRightInd w:val="0"/>
        <w:snapToGrid w:val="0"/>
        <w:spacing w:line="400" w:lineRule="exact"/>
        <w:ind w:firstLine="420" w:firstLineChars="200"/>
        <w:rPr>
          <w:rFonts w:ascii="Times New Roman" w:hAnsi="Times New Roman" w:eastAsia="宋体" w:cs="Times New Roman"/>
          <w:color w:val="auto"/>
          <w:szCs w:val="21"/>
          <w:highlight w:val="none"/>
        </w:rPr>
      </w:pPr>
    </w:p>
    <w:p w14:paraId="3B66C97A">
      <w:pPr>
        <w:adjustRightInd w:val="0"/>
        <w:snapToGrid w:val="0"/>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根据《中华人民共和国政府采购法》等法律、法规规定，按照征集文件</w:t>
      </w:r>
      <w:r>
        <w:rPr>
          <w:rFonts w:hint="eastAsia" w:ascii="Times New Roman" w:hAnsi="Times New Roman" w:eastAsia="宋体" w:cs="Times New Roman"/>
          <w:color w:val="auto"/>
          <w:szCs w:val="21"/>
          <w:highlight w:val="none"/>
        </w:rPr>
        <w:t>及框架协议</w:t>
      </w:r>
      <w:r>
        <w:rPr>
          <w:rFonts w:ascii="Times New Roman" w:hAnsi="Times New Roman" w:eastAsia="宋体" w:cs="Times New Roman"/>
          <w:color w:val="auto"/>
          <w:szCs w:val="21"/>
          <w:highlight w:val="none"/>
        </w:rPr>
        <w:t>规定条款和乙方响应文件及其承诺，甲乙双方签订本合同。</w:t>
      </w:r>
    </w:p>
    <w:p w14:paraId="32F5146F">
      <w:pPr>
        <w:adjustRightInd w:val="0"/>
        <w:snapToGrid w:val="0"/>
        <w:spacing w:line="40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第一条　项目概况及服务范围</w:t>
      </w:r>
    </w:p>
    <w:p w14:paraId="2867DC76">
      <w:pPr>
        <w:adjustRightInd w:val="0"/>
        <w:snapToGrid w:val="0"/>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1.项目名称</w:t>
      </w:r>
      <w:r>
        <w:rPr>
          <w:rFonts w:hint="eastAsia" w:ascii="Times New Roman" w:hAnsi="Times New Roman" w:eastAsia="宋体" w:cs="Times New Roman"/>
          <w:color w:val="auto"/>
          <w:szCs w:val="21"/>
          <w:highlight w:val="none"/>
        </w:rPr>
        <w:t>及编号</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 xml:space="preserve">； </w:t>
      </w:r>
    </w:p>
    <w:p w14:paraId="0FCC3A0C">
      <w:pPr>
        <w:adjustRightInd w:val="0"/>
        <w:snapToGrid w:val="0"/>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2.服务内容：</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p>
    <w:p w14:paraId="261CB2CA">
      <w:pPr>
        <w:adjustRightInd w:val="0"/>
        <w:snapToGrid w:val="0"/>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3.服务期：</w:t>
      </w:r>
      <w:r>
        <w:rPr>
          <w:rFonts w:hint="eastAsia" w:ascii="Times New Roman" w:hAnsi="Times New Roman" w:eastAsia="宋体" w:cs="Times New Roman"/>
          <w:color w:val="auto"/>
          <w:szCs w:val="21"/>
          <w:highlight w:val="none"/>
          <w:u w:val="single"/>
        </w:rPr>
        <w:t>按框架协议规定执行</w:t>
      </w:r>
      <w:r>
        <w:rPr>
          <w:rFonts w:ascii="Times New Roman" w:hAnsi="Times New Roman" w:eastAsia="宋体" w:cs="Times New Roman"/>
          <w:color w:val="auto"/>
          <w:szCs w:val="21"/>
          <w:highlight w:val="none"/>
        </w:rPr>
        <w:t>；</w:t>
      </w:r>
    </w:p>
    <w:p w14:paraId="455D25C3">
      <w:pPr>
        <w:adjustRightInd w:val="0"/>
        <w:snapToGrid w:val="0"/>
        <w:spacing w:line="400" w:lineRule="exact"/>
        <w:ind w:firstLine="420" w:firstLineChars="200"/>
        <w:rPr>
          <w:rFonts w:ascii="宋体" w:hAnsi="Courier New" w:eastAsia="宋体" w:cs="Courier New"/>
          <w:color w:val="auto"/>
          <w:szCs w:val="21"/>
          <w:highlight w:val="none"/>
        </w:rPr>
      </w:pPr>
      <w:r>
        <w:rPr>
          <w:rFonts w:ascii="Times New Roman" w:hAnsi="Times New Roman" w:eastAsia="宋体" w:cs="Times New Roman"/>
          <w:color w:val="auto"/>
          <w:szCs w:val="21"/>
          <w:highlight w:val="none"/>
        </w:rPr>
        <w:t>4.</w:t>
      </w:r>
      <w:bookmarkStart w:id="85" w:name="_Hlk77611311"/>
      <w:r>
        <w:rPr>
          <w:rFonts w:hint="eastAsia" w:ascii="Times New Roman" w:hAnsi="Times New Roman" w:eastAsia="宋体" w:cs="Times New Roman"/>
          <w:color w:val="auto"/>
          <w:szCs w:val="21"/>
          <w:highlight w:val="none"/>
        </w:rPr>
        <w:t>协议价格：</w:t>
      </w:r>
      <w:r>
        <w:rPr>
          <w:rFonts w:hint="eastAsia" w:ascii="Times New Roman" w:hAnsi="Times New Roman" w:eastAsia="宋体" w:cs="Times New Roman"/>
          <w:color w:val="auto"/>
          <w:szCs w:val="21"/>
          <w:highlight w:val="none"/>
          <w:u w:val="single"/>
        </w:rPr>
        <w:t>按框架协议规定执行</w:t>
      </w:r>
      <w:r>
        <w:rPr>
          <w:rFonts w:hint="eastAsia" w:ascii="Times New Roman" w:hAnsi="Times New Roman" w:eastAsia="宋体" w:cs="Times New Roman"/>
          <w:color w:val="auto"/>
          <w:szCs w:val="21"/>
          <w:highlight w:val="none"/>
        </w:rPr>
        <w:t>。</w:t>
      </w:r>
    </w:p>
    <w:bookmarkEnd w:id="85"/>
    <w:p w14:paraId="27FF09A6">
      <w:pPr>
        <w:adjustRightInd w:val="0"/>
        <w:snapToGrid w:val="0"/>
        <w:spacing w:line="400" w:lineRule="exact"/>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w:t>
      </w:r>
      <w:r>
        <w:rPr>
          <w:rFonts w:hint="eastAsia" w:ascii="Times New Roman" w:hAnsi="Times New Roman" w:eastAsia="宋体" w:cs="Times New Roman"/>
          <w:b/>
          <w:color w:val="auto"/>
          <w:szCs w:val="21"/>
          <w:highlight w:val="none"/>
        </w:rPr>
        <w:t>二</w:t>
      </w:r>
      <w:r>
        <w:rPr>
          <w:rFonts w:ascii="Times New Roman" w:hAnsi="Times New Roman" w:eastAsia="宋体" w:cs="Times New Roman"/>
          <w:b/>
          <w:color w:val="auto"/>
          <w:szCs w:val="21"/>
          <w:highlight w:val="none"/>
        </w:rPr>
        <w:t>条　签订本合同依据</w:t>
      </w:r>
    </w:p>
    <w:p w14:paraId="410984E2">
      <w:pPr>
        <w:adjustRightInd w:val="0"/>
        <w:snapToGrid w:val="0"/>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框架协议</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采购征集文件</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乙方提供的响应文件；</w:t>
      </w:r>
      <w:r>
        <w:rPr>
          <w:rFonts w:ascii="Times New Roman" w:hAnsi="Times New Roman" w:eastAsia="宋体" w:cs="Times New Roman"/>
          <w:color w:val="auto"/>
          <w:szCs w:val="21"/>
          <w:highlight w:val="none"/>
        </w:rPr>
        <w:t xml:space="preserve"> 4.入围通知书。</w:t>
      </w:r>
    </w:p>
    <w:p w14:paraId="460EC059">
      <w:pPr>
        <w:adjustRightInd w:val="0"/>
        <w:snapToGrid w:val="0"/>
        <w:spacing w:line="400" w:lineRule="exact"/>
        <w:ind w:firstLine="422" w:firstLineChars="200"/>
        <w:rPr>
          <w:rFonts w:hint="eastAsia"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w:t>
      </w:r>
      <w:r>
        <w:rPr>
          <w:rFonts w:hint="eastAsia" w:ascii="Times New Roman" w:hAnsi="Times New Roman" w:eastAsia="宋体" w:cs="Times New Roman"/>
          <w:b/>
          <w:color w:val="auto"/>
          <w:szCs w:val="21"/>
          <w:highlight w:val="none"/>
        </w:rPr>
        <w:t>三</w:t>
      </w:r>
      <w:r>
        <w:rPr>
          <w:rFonts w:ascii="Times New Roman" w:hAnsi="Times New Roman" w:eastAsia="宋体" w:cs="Times New Roman"/>
          <w:b/>
          <w:color w:val="auto"/>
          <w:szCs w:val="21"/>
          <w:highlight w:val="none"/>
        </w:rPr>
        <w:t xml:space="preserve">条 </w:t>
      </w:r>
      <w:r>
        <w:rPr>
          <w:rFonts w:hint="eastAsia" w:ascii="Times New Roman" w:hAnsi="Times New Roman" w:eastAsia="宋体" w:cs="Times New Roman"/>
          <w:b/>
          <w:color w:val="auto"/>
          <w:szCs w:val="21"/>
          <w:highlight w:val="none"/>
        </w:rPr>
        <w:t xml:space="preserve">其他约定 </w:t>
      </w:r>
    </w:p>
    <w:p w14:paraId="4FE41F9F">
      <w:pPr>
        <w:adjustRightInd w:val="0"/>
        <w:snapToGrid w:val="0"/>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1.本合同基于甲乙双方签订的钟山县财政局2026～2028年度政府投资项目评审服务项目框架协议授予。</w:t>
      </w:r>
    </w:p>
    <w:p w14:paraId="3CF633FB">
      <w:pPr>
        <w:adjustRightInd w:val="0"/>
        <w:snapToGrid w:val="0"/>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2.本合同未尽事宜，遵照《民法典》有关条文执行。 </w:t>
      </w:r>
    </w:p>
    <w:p w14:paraId="39AB3448">
      <w:pPr>
        <w:adjustRightInd w:val="0"/>
        <w:snapToGrid w:val="0"/>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3.合同执行中，如需修改或补充合同内容，由双方协商另签署书面修改或补充合同。但补充内容不得改变框架协议约定的合同实质性条款。</w:t>
      </w:r>
    </w:p>
    <w:p w14:paraId="7D261F87">
      <w:pPr>
        <w:adjustRightInd w:val="0"/>
        <w:snapToGrid w:val="0"/>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4.除《中华人民共和国政府采购法》第五十条规定的情形外，本合同一经签订，甲乙双方不得擅自变更、中止或终止。 </w:t>
      </w:r>
    </w:p>
    <w:p w14:paraId="70FC8076">
      <w:pPr>
        <w:adjustRightInd w:val="0"/>
        <w:snapToGrid w:val="0"/>
        <w:spacing w:line="40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5.未经甲方书面同意，乙方不得擅自转让其应履行的合同义务。</w:t>
      </w:r>
    </w:p>
    <w:p w14:paraId="311B930E">
      <w:pPr>
        <w:adjustRightInd w:val="0"/>
        <w:snapToGrid w:val="0"/>
        <w:spacing w:line="400" w:lineRule="exact"/>
        <w:ind w:firstLine="422" w:firstLineChars="200"/>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第</w:t>
      </w:r>
      <w:r>
        <w:rPr>
          <w:rFonts w:hint="eastAsia" w:ascii="Times New Roman" w:hAnsi="Times New Roman" w:eastAsia="宋体" w:cs="Times New Roman"/>
          <w:b/>
          <w:color w:val="auto"/>
          <w:szCs w:val="21"/>
          <w:highlight w:val="none"/>
        </w:rPr>
        <w:t>四</w:t>
      </w:r>
      <w:r>
        <w:rPr>
          <w:rFonts w:ascii="Times New Roman" w:hAnsi="Times New Roman" w:eastAsia="宋体" w:cs="Times New Roman"/>
          <w:b/>
          <w:color w:val="auto"/>
          <w:szCs w:val="21"/>
          <w:highlight w:val="none"/>
        </w:rPr>
        <w:t>条　</w:t>
      </w:r>
      <w:r>
        <w:rPr>
          <w:rFonts w:ascii="Times New Roman" w:hAnsi="Times New Roman" w:eastAsia="宋体" w:cs="Times New Roman"/>
          <w:color w:val="auto"/>
          <w:szCs w:val="21"/>
          <w:highlight w:val="none"/>
        </w:rPr>
        <w:t>本合同一式</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份，</w:t>
      </w:r>
      <w:r>
        <w:rPr>
          <w:rFonts w:hint="eastAsia" w:ascii="Times New Roman" w:hAnsi="Times New Roman" w:eastAsia="宋体" w:cs="Times New Roman"/>
          <w:color w:val="auto"/>
          <w:szCs w:val="21"/>
          <w:highlight w:val="none"/>
        </w:rPr>
        <w:t>双方各一份，</w:t>
      </w:r>
      <w:r>
        <w:rPr>
          <w:rFonts w:ascii="Times New Roman" w:hAnsi="Times New Roman" w:eastAsia="宋体" w:cs="Times New Roman"/>
          <w:color w:val="auto"/>
          <w:szCs w:val="21"/>
          <w:highlight w:val="none"/>
        </w:rPr>
        <w:t>具有同等法律效力。</w:t>
      </w:r>
    </w:p>
    <w:p w14:paraId="62D55BE2">
      <w:pPr>
        <w:adjustRightInd w:val="0"/>
        <w:snapToGrid w:val="0"/>
        <w:spacing w:line="4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本合同经甲乙双方法定代表人或被授权代表签字并加盖单位公章后生效。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777"/>
      </w:tblGrid>
      <w:tr w14:paraId="11DF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522" w:type="dxa"/>
            <w:noWrap w:val="0"/>
            <w:vAlign w:val="center"/>
          </w:tcPr>
          <w:p w14:paraId="3772B8E6">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甲方（章）      </w:t>
            </w:r>
          </w:p>
          <w:p w14:paraId="6794E978">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w:t>
            </w:r>
          </w:p>
          <w:p w14:paraId="75297F81">
            <w:pPr>
              <w:snapToGrid w:val="0"/>
              <w:spacing w:line="360" w:lineRule="exact"/>
              <w:ind w:firstLine="945" w:firstLineChars="450"/>
              <w:jc w:val="righ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年    月    日</w:t>
            </w:r>
          </w:p>
        </w:tc>
        <w:tc>
          <w:tcPr>
            <w:tcW w:w="4777" w:type="dxa"/>
            <w:noWrap w:val="0"/>
            <w:vAlign w:val="center"/>
          </w:tcPr>
          <w:p w14:paraId="682174C4">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乙方（章）       </w:t>
            </w:r>
          </w:p>
          <w:p w14:paraId="1596441A">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w:t>
            </w:r>
          </w:p>
          <w:p w14:paraId="34FDFB63">
            <w:pPr>
              <w:snapToGrid w:val="0"/>
              <w:spacing w:line="360" w:lineRule="exact"/>
              <w:jc w:val="righ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年    月    日</w:t>
            </w:r>
          </w:p>
        </w:tc>
      </w:tr>
      <w:tr w14:paraId="75F3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4522" w:type="dxa"/>
            <w:noWrap w:val="0"/>
            <w:vAlign w:val="center"/>
          </w:tcPr>
          <w:p w14:paraId="311312D9">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r>
              <w:rPr>
                <w:rFonts w:hint="eastAsia" w:ascii="Times New Roman" w:hAnsi="Times New Roman" w:eastAsia="宋体" w:cs="Times New Roman"/>
                <w:color w:val="auto"/>
                <w:szCs w:val="21"/>
                <w:highlight w:val="none"/>
              </w:rPr>
              <w:t>或</w:t>
            </w:r>
            <w:r>
              <w:rPr>
                <w:rFonts w:ascii="Times New Roman" w:hAnsi="Times New Roman" w:eastAsia="宋体" w:cs="Times New Roman"/>
                <w:color w:val="auto"/>
                <w:szCs w:val="21"/>
                <w:highlight w:val="none"/>
              </w:rPr>
              <w:t>委托代理人：</w:t>
            </w:r>
          </w:p>
        </w:tc>
        <w:tc>
          <w:tcPr>
            <w:tcW w:w="4777" w:type="dxa"/>
            <w:noWrap w:val="0"/>
            <w:vAlign w:val="center"/>
          </w:tcPr>
          <w:p w14:paraId="35089662">
            <w:pPr>
              <w:snapToGrid w:val="0"/>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r>
              <w:rPr>
                <w:rFonts w:hint="eastAsia" w:ascii="Times New Roman" w:hAnsi="Times New Roman" w:eastAsia="宋体" w:cs="Times New Roman"/>
                <w:color w:val="auto"/>
                <w:szCs w:val="21"/>
                <w:highlight w:val="none"/>
              </w:rPr>
              <w:t>或委托代理人</w:t>
            </w:r>
            <w:r>
              <w:rPr>
                <w:rFonts w:ascii="Times New Roman" w:hAnsi="Times New Roman" w:eastAsia="宋体" w:cs="Times New Roman"/>
                <w:color w:val="auto"/>
                <w:szCs w:val="21"/>
                <w:highlight w:val="none"/>
              </w:rPr>
              <w:t>：</w:t>
            </w:r>
          </w:p>
        </w:tc>
      </w:tr>
    </w:tbl>
    <w:p w14:paraId="5793A408">
      <w:pPr>
        <w:widowControl/>
        <w:jc w:val="left"/>
        <w:rPr>
          <w:rFonts w:ascii="仿宋" w:hAnsi="仿宋" w:eastAsia="仿宋"/>
          <w:color w:val="auto"/>
          <w:szCs w:val="21"/>
          <w:highlight w:val="none"/>
          <w:u w:val="single"/>
        </w:rPr>
      </w:pPr>
    </w:p>
    <w:p w14:paraId="2105C31B">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86" w:name="_Toc11046"/>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七</w:t>
      </w:r>
      <w:r>
        <w:rPr>
          <w:rFonts w:ascii="Times New Roman" w:hAnsi="Times New Roman" w:cs="Times New Roman"/>
          <w:color w:val="auto"/>
          <w:sz w:val="32"/>
          <w:szCs w:val="32"/>
          <w:highlight w:val="none"/>
        </w:rPr>
        <w:t>章  响应文件格式</w:t>
      </w:r>
      <w:bookmarkEnd w:id="86"/>
    </w:p>
    <w:p w14:paraId="67BB729D">
      <w:pPr>
        <w:rPr>
          <w:rFonts w:hint="eastAsia"/>
          <w:color w:val="auto"/>
          <w:sz w:val="28"/>
          <w:szCs w:val="28"/>
          <w:highlight w:val="none"/>
        </w:rPr>
      </w:pPr>
    </w:p>
    <w:p w14:paraId="30D5B2BF">
      <w:pPr>
        <w:rPr>
          <w:rFonts w:hint="eastAsia"/>
          <w:color w:val="auto"/>
          <w:sz w:val="28"/>
          <w:szCs w:val="28"/>
          <w:highlight w:val="none"/>
        </w:rPr>
      </w:pPr>
    </w:p>
    <w:p w14:paraId="34EE1FB7">
      <w:pPr>
        <w:rPr>
          <w:rFonts w:hint="eastAsia"/>
          <w:color w:val="auto"/>
          <w:sz w:val="28"/>
          <w:szCs w:val="28"/>
          <w:highlight w:val="none"/>
        </w:rPr>
      </w:pPr>
    </w:p>
    <w:p w14:paraId="5FEAB664">
      <w:pPr>
        <w:rPr>
          <w:rFonts w:hint="eastAsia"/>
          <w:color w:val="auto"/>
          <w:sz w:val="28"/>
          <w:szCs w:val="28"/>
          <w:highlight w:val="none"/>
        </w:rPr>
      </w:pPr>
    </w:p>
    <w:p w14:paraId="5FE7100B">
      <w:pPr>
        <w:spacing w:line="500" w:lineRule="exact"/>
        <w:ind w:firstLine="560" w:firstLineChars="200"/>
        <w:rPr>
          <w:color w:val="auto"/>
          <w:sz w:val="28"/>
          <w:szCs w:val="28"/>
          <w:highlight w:val="none"/>
        </w:rPr>
      </w:pPr>
      <w:r>
        <w:rPr>
          <w:rFonts w:hint="eastAsia"/>
          <w:color w:val="auto"/>
          <w:sz w:val="28"/>
          <w:szCs w:val="28"/>
          <w:highlight w:val="none"/>
        </w:rPr>
        <w:t>注：有签字、盖章要求的应按要求</w:t>
      </w:r>
      <w:bookmarkStart w:id="87" w:name="_Hlk89032274"/>
      <w:r>
        <w:rPr>
          <w:rFonts w:hint="eastAsia"/>
          <w:color w:val="auto"/>
          <w:sz w:val="28"/>
          <w:szCs w:val="28"/>
          <w:highlight w:val="none"/>
        </w:rPr>
        <w:t>签字（签章）、盖章（签章）</w:t>
      </w:r>
      <w:bookmarkEnd w:id="87"/>
      <w:r>
        <w:rPr>
          <w:rFonts w:hint="eastAsia"/>
          <w:color w:val="auto"/>
          <w:sz w:val="28"/>
          <w:szCs w:val="28"/>
          <w:highlight w:val="none"/>
        </w:rPr>
        <w:t>。</w:t>
      </w:r>
    </w:p>
    <w:p w14:paraId="7D552E28">
      <w:pPr>
        <w:snapToGrid w:val="0"/>
        <w:spacing w:before="120" w:beforeLines="50" w:after="50" w:line="440" w:lineRule="exact"/>
        <w:jc w:val="left"/>
        <w:outlineLvl w:val="1"/>
        <w:rPr>
          <w:bCs/>
          <w:color w:val="auto"/>
          <w:sz w:val="24"/>
          <w:highlight w:val="none"/>
        </w:rPr>
      </w:pPr>
      <w:r>
        <w:rPr>
          <w:color w:val="auto"/>
          <w:highlight w:val="none"/>
        </w:rPr>
        <w:br w:type="page"/>
      </w:r>
      <w:bookmarkStart w:id="88" w:name="_Toc254970698"/>
      <w:bookmarkStart w:id="89" w:name="_Toc254970557"/>
      <w:r>
        <w:rPr>
          <w:rFonts w:hint="eastAsia"/>
          <w:bCs/>
          <w:color w:val="auto"/>
          <w:sz w:val="24"/>
          <w:highlight w:val="none"/>
        </w:rPr>
        <w:t>1</w:t>
      </w:r>
      <w:r>
        <w:rPr>
          <w:bCs/>
          <w:color w:val="auto"/>
          <w:sz w:val="24"/>
          <w:highlight w:val="none"/>
        </w:rPr>
        <w:t>．响应文件封面参考格式</w:t>
      </w:r>
      <w:r>
        <w:rPr>
          <w:rFonts w:hint="eastAsia"/>
          <w:bCs/>
          <w:color w:val="auto"/>
          <w:sz w:val="24"/>
          <w:highlight w:val="none"/>
        </w:rPr>
        <w:t>（资格证明文件）</w:t>
      </w:r>
      <w:r>
        <w:rPr>
          <w:bCs/>
          <w:color w:val="auto"/>
          <w:sz w:val="24"/>
          <w:highlight w:val="none"/>
        </w:rPr>
        <w:t xml:space="preserve">： </w:t>
      </w:r>
    </w:p>
    <w:p w14:paraId="0FC6585F">
      <w:pPr>
        <w:snapToGrid w:val="0"/>
        <w:spacing w:before="120" w:beforeLines="50" w:after="50" w:line="360" w:lineRule="exact"/>
        <w:rPr>
          <w:color w:val="auto"/>
          <w:sz w:val="24"/>
          <w:highlight w:val="none"/>
        </w:rPr>
      </w:pPr>
    </w:p>
    <w:p w14:paraId="41922444">
      <w:pPr>
        <w:snapToGrid w:val="0"/>
        <w:spacing w:before="120" w:beforeLines="50" w:after="50" w:line="360" w:lineRule="exact"/>
        <w:jc w:val="center"/>
        <w:rPr>
          <w:bCs/>
          <w:color w:val="auto"/>
          <w:sz w:val="24"/>
          <w:highlight w:val="none"/>
        </w:rPr>
      </w:pPr>
    </w:p>
    <w:p w14:paraId="2C0F4560">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3C2664B8">
      <w:pPr>
        <w:snapToGrid w:val="0"/>
        <w:spacing w:before="120" w:beforeLines="50" w:after="50" w:line="360" w:lineRule="exact"/>
        <w:jc w:val="center"/>
        <w:rPr>
          <w:b/>
          <w:bCs/>
          <w:color w:val="auto"/>
          <w:sz w:val="44"/>
          <w:szCs w:val="44"/>
          <w:highlight w:val="none"/>
        </w:rPr>
      </w:pPr>
    </w:p>
    <w:p w14:paraId="1292A0CB">
      <w:pPr>
        <w:snapToGrid w:val="0"/>
        <w:spacing w:before="120" w:beforeLines="50" w:after="50" w:line="360" w:lineRule="exact"/>
        <w:jc w:val="center"/>
        <w:rPr>
          <w:b/>
          <w:bCs/>
          <w:color w:val="auto"/>
          <w:sz w:val="44"/>
          <w:szCs w:val="44"/>
          <w:highlight w:val="none"/>
        </w:rPr>
      </w:pPr>
    </w:p>
    <w:p w14:paraId="5447B451">
      <w:pPr>
        <w:snapToGrid w:val="0"/>
        <w:spacing w:before="120" w:beforeLines="50" w:after="50" w:line="360" w:lineRule="exact"/>
        <w:jc w:val="center"/>
        <w:rPr>
          <w:b/>
          <w:bCs/>
          <w:color w:val="auto"/>
          <w:sz w:val="44"/>
          <w:szCs w:val="44"/>
          <w:highlight w:val="none"/>
        </w:rPr>
      </w:pPr>
      <w:r>
        <w:rPr>
          <w:b/>
          <w:bCs/>
          <w:color w:val="auto"/>
          <w:sz w:val="44"/>
          <w:szCs w:val="44"/>
          <w:highlight w:val="none"/>
        </w:rPr>
        <w:t>资格</w:t>
      </w:r>
      <w:r>
        <w:rPr>
          <w:rFonts w:hint="eastAsia"/>
          <w:b/>
          <w:bCs/>
          <w:color w:val="auto"/>
          <w:sz w:val="44"/>
          <w:szCs w:val="44"/>
          <w:highlight w:val="none"/>
        </w:rPr>
        <w:t>证明</w:t>
      </w:r>
      <w:r>
        <w:rPr>
          <w:b/>
          <w:bCs/>
          <w:color w:val="auto"/>
          <w:sz w:val="44"/>
          <w:szCs w:val="44"/>
          <w:highlight w:val="none"/>
        </w:rPr>
        <w:t>文件</w:t>
      </w:r>
    </w:p>
    <w:p w14:paraId="278FDB1A">
      <w:pPr>
        <w:snapToGrid w:val="0"/>
        <w:spacing w:before="120" w:beforeLines="50" w:after="50" w:line="360" w:lineRule="exact"/>
        <w:rPr>
          <w:bCs/>
          <w:color w:val="auto"/>
          <w:sz w:val="24"/>
          <w:highlight w:val="none"/>
        </w:rPr>
      </w:pPr>
    </w:p>
    <w:p w14:paraId="5890B521">
      <w:pPr>
        <w:snapToGrid w:val="0"/>
        <w:spacing w:before="120" w:beforeLines="50" w:after="50" w:line="360" w:lineRule="exact"/>
        <w:rPr>
          <w:bCs/>
          <w:color w:val="auto"/>
          <w:sz w:val="24"/>
          <w:highlight w:val="none"/>
        </w:rPr>
      </w:pPr>
    </w:p>
    <w:p w14:paraId="0103ED77">
      <w:pPr>
        <w:snapToGrid w:val="0"/>
        <w:spacing w:before="120" w:beforeLines="50" w:after="50" w:line="360" w:lineRule="exact"/>
        <w:rPr>
          <w:bCs/>
          <w:color w:val="auto"/>
          <w:sz w:val="24"/>
          <w:highlight w:val="none"/>
        </w:rPr>
      </w:pPr>
    </w:p>
    <w:p w14:paraId="05F9270B">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04AEB20A">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29C542B7">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DF17CF9">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6C20B8C6">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34900D7C">
      <w:pPr>
        <w:pStyle w:val="7"/>
        <w:snapToGrid w:val="0"/>
        <w:spacing w:before="50" w:after="50" w:line="360" w:lineRule="exact"/>
        <w:ind w:firstLine="960" w:firstLineChars="400"/>
        <w:rPr>
          <w:bCs/>
          <w:color w:val="auto"/>
          <w:sz w:val="24"/>
          <w:szCs w:val="24"/>
          <w:highlight w:val="none"/>
        </w:rPr>
      </w:pPr>
    </w:p>
    <w:p w14:paraId="18F10C8F">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0BD0B440">
      <w:pPr>
        <w:snapToGrid w:val="0"/>
        <w:spacing w:before="120" w:beforeLines="50" w:after="50" w:line="360" w:lineRule="exact"/>
        <w:rPr>
          <w:b/>
          <w:bCs/>
          <w:color w:val="auto"/>
          <w:sz w:val="24"/>
          <w:highlight w:val="none"/>
        </w:rPr>
      </w:pPr>
      <w:r>
        <w:rPr>
          <w:color w:val="auto"/>
          <w:highlight w:val="none"/>
        </w:rPr>
        <w:br w:type="page"/>
      </w:r>
      <w:bookmarkEnd w:id="88"/>
      <w:bookmarkEnd w:id="89"/>
      <w:r>
        <w:rPr>
          <w:b/>
          <w:bCs/>
          <w:color w:val="auto"/>
          <w:sz w:val="24"/>
          <w:highlight w:val="none"/>
        </w:rPr>
        <w:t xml:space="preserve"> </w:t>
      </w:r>
    </w:p>
    <w:p w14:paraId="2ED872A0">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352A4A8F">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6E74FB12">
      <w:pPr>
        <w:snapToGrid w:val="0"/>
        <w:spacing w:before="50" w:after="50" w:line="440" w:lineRule="exact"/>
        <w:rPr>
          <w:rFonts w:ascii="Calibri" w:hAnsi="Calibri" w:eastAsia="宋体" w:cs="Times New Roman"/>
          <w:b/>
          <w:color w:val="auto"/>
          <w:sz w:val="24"/>
          <w:highlight w:val="none"/>
        </w:rPr>
      </w:pPr>
      <w:r>
        <w:rPr>
          <w:b/>
          <w:color w:val="auto"/>
          <w:sz w:val="24"/>
          <w:highlight w:val="none"/>
        </w:rPr>
        <w:br w:type="page"/>
      </w:r>
      <w:r>
        <w:rPr>
          <w:rFonts w:ascii="Calibri" w:hAnsi="Calibri" w:eastAsia="宋体" w:cs="Times New Roman"/>
          <w:b/>
          <w:color w:val="auto"/>
          <w:szCs w:val="21"/>
          <w:highlight w:val="none"/>
        </w:rPr>
        <w:t>1．</w:t>
      </w:r>
      <w:r>
        <w:rPr>
          <w:rFonts w:hint="eastAsia" w:ascii="Calibri" w:hAnsi="Calibri" w:eastAsia="宋体" w:cs="Times New Roman"/>
          <w:b/>
          <w:color w:val="auto"/>
          <w:szCs w:val="21"/>
          <w:highlight w:val="none"/>
        </w:rPr>
        <w:t>贺州市政府采购供应商信用承诺函</w:t>
      </w:r>
      <w:r>
        <w:rPr>
          <w:rFonts w:ascii="Calibri" w:hAnsi="Calibri" w:eastAsia="宋体" w:cs="Times New Roman"/>
          <w:b/>
          <w:color w:val="auto"/>
          <w:szCs w:val="21"/>
          <w:highlight w:val="none"/>
        </w:rPr>
        <w:t>格式：</w:t>
      </w:r>
    </w:p>
    <w:p w14:paraId="0DF7BAE0">
      <w:pPr>
        <w:snapToGrid w:val="0"/>
        <w:spacing w:before="50" w:after="50" w:line="440" w:lineRule="exact"/>
        <w:ind w:firstLine="103" w:firstLineChars="49"/>
        <w:jc w:val="center"/>
        <w:rPr>
          <w:rFonts w:ascii="Calibri" w:hAnsi="Calibri" w:eastAsia="宋体" w:cs="Times New Roman"/>
          <w:b/>
          <w:bCs/>
          <w:color w:val="auto"/>
          <w:sz w:val="32"/>
          <w:szCs w:val="32"/>
          <w:highlight w:val="none"/>
        </w:rPr>
      </w:pPr>
      <w:r>
        <w:rPr>
          <w:rFonts w:hint="eastAsia" w:ascii="Times New Roman" w:hAnsi="Times New Roman" w:eastAsia="宋体" w:cs="Times New Roman"/>
          <w:b/>
          <w:color w:val="auto"/>
          <w:szCs w:val="21"/>
          <w:highlight w:val="none"/>
        </w:rPr>
        <w:t>贺州市政府采购供应商信用承诺函</w:t>
      </w:r>
    </w:p>
    <w:p w14:paraId="211A4AFD">
      <w:pPr>
        <w:spacing w:line="5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致（采购人或采购代理机构）：</w:t>
      </w:r>
    </w:p>
    <w:p w14:paraId="6B30E010">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p>
    <w:p w14:paraId="22208B11">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p w14:paraId="2FD2DADE">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供应商地址：</w:t>
      </w:r>
    </w:p>
    <w:p w14:paraId="5A7C9FF2">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07C4B2E">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1.我单位具有符合采购文件资格要求独立承担民事责任的能力。</w:t>
      </w:r>
    </w:p>
    <w:p w14:paraId="008031E7">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2.我单位具有符合采购文件资格要求的财务状况报告。</w:t>
      </w:r>
    </w:p>
    <w:p w14:paraId="71CB0EFD">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3.我单位具有符合采购文件资格要求的依法缴纳税收和社会保障记录的良好记录。</w:t>
      </w:r>
    </w:p>
    <w:p w14:paraId="121F430B">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4.我单位具有符合采购文件资格要求履行合同所必需的设备和专业技术能力。</w:t>
      </w:r>
    </w:p>
    <w:p w14:paraId="2FDC6602">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5F536B04">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若我单位承诺不实，自愿承担提供虚假材料谋取中标、成交的法律责任。</w:t>
      </w:r>
    </w:p>
    <w:p w14:paraId="6B8FC014">
      <w:pPr>
        <w:spacing w:line="560" w:lineRule="exact"/>
        <w:ind w:firstLine="420" w:firstLineChars="200"/>
        <w:rPr>
          <w:rFonts w:ascii="宋体" w:hAnsi="宋体" w:eastAsia="宋体" w:cs="宋体"/>
          <w:color w:val="auto"/>
          <w:szCs w:val="21"/>
          <w:highlight w:val="none"/>
        </w:rPr>
      </w:pPr>
    </w:p>
    <w:p w14:paraId="526C9E84">
      <w:pPr>
        <w:wordWrap w:val="0"/>
        <w:spacing w:line="560" w:lineRule="exact"/>
        <w:ind w:firstLine="2415" w:firstLineChars="115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供应商名称（公章）：     </w:t>
      </w:r>
    </w:p>
    <w:p w14:paraId="71AF01A7">
      <w:pPr>
        <w:wordWrap w:val="0"/>
        <w:spacing w:line="560" w:lineRule="exact"/>
        <w:ind w:firstLine="1470" w:firstLineChars="70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法定代表人或授权代表(签名或盖章)：     </w:t>
      </w:r>
    </w:p>
    <w:p w14:paraId="59BE5360">
      <w:pPr>
        <w:spacing w:line="560" w:lineRule="exact"/>
        <w:ind w:firstLine="2940" w:firstLineChars="1400"/>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E1B230A">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注：1.供应商须在投标（响应）文件中按此模板提供承诺函，未提供视为未实质性响应招标（采购）文件要求，按无效投标（响应）处理。</w:t>
      </w:r>
    </w:p>
    <w:p w14:paraId="21A8DDC3">
      <w:pPr>
        <w:spacing w:line="560" w:lineRule="exact"/>
        <w:ind w:firstLine="420" w:firstLineChars="200"/>
        <w:rPr>
          <w:rFonts w:hint="eastAsia"/>
          <w:color w:val="auto"/>
          <w:highlight w:val="none"/>
        </w:rPr>
      </w:pPr>
      <w:r>
        <w:rPr>
          <w:rFonts w:hint="eastAsia" w:ascii="宋体" w:hAnsi="宋体" w:eastAsia="宋体" w:cs="宋体"/>
          <w:color w:val="auto"/>
          <w:szCs w:val="21"/>
          <w:highlight w:val="none"/>
        </w:rPr>
        <w:t>2.供应商的法定代表人（其他组织的为负责人）或者授权代表的签名或盖章应真实、有效，如由授权代表签名或盖章的，应提供“法定代表人授权书”。</w:t>
      </w:r>
    </w:p>
    <w:p w14:paraId="38A28E38">
      <w:pPr>
        <w:snapToGrid w:val="0"/>
        <w:spacing w:before="120" w:beforeLines="50" w:after="50" w:line="360" w:lineRule="exact"/>
        <w:rPr>
          <w:color w:val="auto"/>
          <w:szCs w:val="21"/>
          <w:highlight w:val="none"/>
        </w:rPr>
      </w:pPr>
    </w:p>
    <w:p w14:paraId="59335D3C">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2</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（如征集文件有要求时提供）</w:t>
      </w:r>
    </w:p>
    <w:p w14:paraId="7ED56BF6">
      <w:pPr>
        <w:snapToGrid w:val="0"/>
        <w:spacing w:before="50" w:after="120" w:afterLines="50" w:line="360" w:lineRule="auto"/>
        <w:jc w:val="left"/>
        <w:rPr>
          <w:color w:val="auto"/>
          <w:szCs w:val="21"/>
          <w:highlight w:val="none"/>
        </w:rPr>
      </w:pPr>
      <w:r>
        <w:rPr>
          <w:color w:val="auto"/>
          <w:szCs w:val="21"/>
          <w:highlight w:val="none"/>
        </w:rPr>
        <w:br w:type="page"/>
      </w:r>
      <w:r>
        <w:rPr>
          <w:rFonts w:hint="eastAsia"/>
          <w:color w:val="auto"/>
          <w:szCs w:val="21"/>
          <w:highlight w:val="none"/>
          <w:lang w:val="en-US" w:eastAsia="zh-CN"/>
        </w:rPr>
        <w:t>2</w:t>
      </w:r>
      <w:r>
        <w:rPr>
          <w:color w:val="auto"/>
          <w:szCs w:val="21"/>
          <w:highlight w:val="none"/>
        </w:rPr>
        <w:t>.1</w:t>
      </w:r>
      <w:r>
        <w:rPr>
          <w:rFonts w:hint="eastAsia"/>
          <w:color w:val="auto"/>
          <w:szCs w:val="21"/>
          <w:highlight w:val="none"/>
        </w:rPr>
        <w:t>供应商直接控股股东信息表</w:t>
      </w:r>
    </w:p>
    <w:tbl>
      <w:tblPr>
        <w:tblStyle w:val="51"/>
        <w:tblW w:w="0" w:type="auto"/>
        <w:tblInd w:w="125" w:type="dxa"/>
        <w:shd w:val="clear" w:color="auto" w:fill="FFFFFF"/>
        <w:tblLayout w:type="fixed"/>
        <w:tblCellMar>
          <w:top w:w="0" w:type="dxa"/>
          <w:left w:w="0" w:type="dxa"/>
          <w:bottom w:w="0" w:type="dxa"/>
          <w:right w:w="0" w:type="dxa"/>
        </w:tblCellMar>
      </w:tblPr>
      <w:tblGrid>
        <w:gridCol w:w="828"/>
        <w:gridCol w:w="2269"/>
        <w:gridCol w:w="1239"/>
        <w:gridCol w:w="3722"/>
        <w:gridCol w:w="1418"/>
      </w:tblGrid>
      <w:tr w14:paraId="77CDA182">
        <w:tblPrEx>
          <w:shd w:val="clear" w:color="auto" w:fill="FFFFFF"/>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75D05A8">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49DF5E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04B6AC6">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B706A1E">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ABACB10">
            <w:pPr>
              <w:spacing w:line="360" w:lineRule="auto"/>
              <w:jc w:val="center"/>
              <w:rPr>
                <w:color w:val="auto"/>
                <w:szCs w:val="21"/>
                <w:highlight w:val="none"/>
              </w:rPr>
            </w:pPr>
            <w:r>
              <w:rPr>
                <w:rFonts w:hint="eastAsia"/>
                <w:color w:val="auto"/>
                <w:szCs w:val="21"/>
                <w:highlight w:val="none"/>
              </w:rPr>
              <w:t>备注</w:t>
            </w:r>
          </w:p>
        </w:tc>
      </w:tr>
      <w:tr w14:paraId="0DF8801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37ED33B">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593D07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1BA256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E314D7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99C42B9">
            <w:pPr>
              <w:spacing w:line="360" w:lineRule="auto"/>
              <w:jc w:val="center"/>
              <w:rPr>
                <w:color w:val="auto"/>
                <w:szCs w:val="21"/>
                <w:highlight w:val="none"/>
              </w:rPr>
            </w:pPr>
          </w:p>
        </w:tc>
      </w:tr>
      <w:tr w14:paraId="373794F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253695C">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419674B">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4154559">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649EB1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A7A5CD4">
            <w:pPr>
              <w:spacing w:line="360" w:lineRule="auto"/>
              <w:jc w:val="center"/>
              <w:rPr>
                <w:color w:val="auto"/>
                <w:szCs w:val="21"/>
                <w:highlight w:val="none"/>
              </w:rPr>
            </w:pPr>
          </w:p>
        </w:tc>
      </w:tr>
      <w:tr w14:paraId="5D6C28C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4810EFE">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AC3C9AD">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3B2A53C">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17FFD10">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8B31DB6">
            <w:pPr>
              <w:spacing w:line="360" w:lineRule="auto"/>
              <w:jc w:val="center"/>
              <w:rPr>
                <w:color w:val="auto"/>
                <w:szCs w:val="21"/>
                <w:highlight w:val="none"/>
              </w:rPr>
            </w:pPr>
          </w:p>
        </w:tc>
      </w:tr>
      <w:tr w14:paraId="6DA8DD6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C35F7E8">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A7F1051">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8EB309A">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628AA7F">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0466C9D">
            <w:pPr>
              <w:spacing w:line="360" w:lineRule="auto"/>
              <w:jc w:val="center"/>
              <w:rPr>
                <w:color w:val="auto"/>
                <w:szCs w:val="21"/>
                <w:highlight w:val="none"/>
              </w:rPr>
            </w:pPr>
          </w:p>
        </w:tc>
      </w:tr>
    </w:tbl>
    <w:p w14:paraId="56B6AA4A">
      <w:pPr>
        <w:snapToGrid w:val="0"/>
        <w:spacing w:line="360" w:lineRule="auto"/>
        <w:jc w:val="left"/>
        <w:rPr>
          <w:color w:val="auto"/>
          <w:szCs w:val="21"/>
          <w:highlight w:val="none"/>
        </w:rPr>
      </w:pPr>
      <w:r>
        <w:rPr>
          <w:rFonts w:hint="eastAsia"/>
          <w:color w:val="auto"/>
          <w:szCs w:val="21"/>
          <w:highlight w:val="none"/>
        </w:rPr>
        <w:t>注：</w:t>
      </w:r>
    </w:p>
    <w:p w14:paraId="7A563AD6">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5C423D4">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73E36FD3">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66273E40">
      <w:pPr>
        <w:snapToGrid w:val="0"/>
        <w:spacing w:line="360" w:lineRule="auto"/>
        <w:jc w:val="left"/>
        <w:rPr>
          <w:color w:val="auto"/>
          <w:szCs w:val="21"/>
          <w:highlight w:val="none"/>
        </w:rPr>
      </w:pPr>
    </w:p>
    <w:p w14:paraId="0787E389">
      <w:pPr>
        <w:snapToGrid w:val="0"/>
        <w:spacing w:line="360" w:lineRule="auto"/>
        <w:jc w:val="left"/>
        <w:rPr>
          <w:color w:val="auto"/>
          <w:szCs w:val="21"/>
          <w:highlight w:val="none"/>
        </w:rPr>
      </w:pPr>
    </w:p>
    <w:p w14:paraId="262F6050">
      <w:pPr>
        <w:snapToGrid w:val="0"/>
        <w:spacing w:line="360" w:lineRule="auto"/>
        <w:jc w:val="left"/>
        <w:rPr>
          <w:color w:val="auto"/>
          <w:szCs w:val="21"/>
          <w:highlight w:val="none"/>
        </w:rPr>
      </w:pPr>
    </w:p>
    <w:p w14:paraId="2BD6F418">
      <w:pPr>
        <w:snapToGrid w:val="0"/>
        <w:spacing w:line="360" w:lineRule="auto"/>
        <w:jc w:val="left"/>
        <w:rPr>
          <w:color w:val="auto"/>
          <w:szCs w:val="21"/>
          <w:highlight w:val="none"/>
        </w:rPr>
      </w:pPr>
    </w:p>
    <w:p w14:paraId="0762586F">
      <w:pPr>
        <w:snapToGrid w:val="0"/>
        <w:spacing w:line="360" w:lineRule="auto"/>
        <w:jc w:val="left"/>
        <w:rPr>
          <w:color w:val="auto"/>
          <w:szCs w:val="21"/>
          <w:highlight w:val="none"/>
        </w:rPr>
      </w:pPr>
    </w:p>
    <w:p w14:paraId="02963DD2">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74C8AEFB">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853B5AB">
      <w:pPr>
        <w:snapToGrid w:val="0"/>
        <w:spacing w:line="360" w:lineRule="auto"/>
        <w:jc w:val="left"/>
        <w:rPr>
          <w:color w:val="auto"/>
          <w:szCs w:val="21"/>
          <w:highlight w:val="none"/>
        </w:rPr>
      </w:pPr>
      <w:r>
        <w:rPr>
          <w:color w:val="auto"/>
          <w:szCs w:val="21"/>
          <w:highlight w:val="none"/>
        </w:rPr>
        <w:br w:type="page"/>
      </w:r>
      <w:r>
        <w:rPr>
          <w:rFonts w:hint="eastAsia"/>
          <w:color w:val="auto"/>
          <w:szCs w:val="21"/>
          <w:highlight w:val="none"/>
          <w:lang w:val="en-US" w:eastAsia="zh-CN"/>
        </w:rPr>
        <w:t>2</w:t>
      </w:r>
      <w:r>
        <w:rPr>
          <w:color w:val="auto"/>
          <w:szCs w:val="21"/>
          <w:highlight w:val="none"/>
        </w:rPr>
        <w:t>.2</w:t>
      </w:r>
      <w:r>
        <w:rPr>
          <w:rFonts w:hint="eastAsia"/>
          <w:color w:val="auto"/>
          <w:szCs w:val="21"/>
          <w:highlight w:val="none"/>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5E5C25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3215D4E">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B576B92">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FBA7EE1">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B851FB7">
            <w:pPr>
              <w:spacing w:line="360" w:lineRule="auto"/>
              <w:jc w:val="center"/>
              <w:rPr>
                <w:color w:val="auto"/>
                <w:szCs w:val="21"/>
                <w:highlight w:val="none"/>
              </w:rPr>
            </w:pPr>
            <w:r>
              <w:rPr>
                <w:rFonts w:hint="eastAsia"/>
                <w:color w:val="auto"/>
                <w:szCs w:val="21"/>
                <w:highlight w:val="none"/>
              </w:rPr>
              <w:t>备注</w:t>
            </w:r>
          </w:p>
        </w:tc>
      </w:tr>
      <w:tr w14:paraId="723269D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344F622">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EB93045">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1CC20E7">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4CE8AE0">
            <w:pPr>
              <w:spacing w:line="360" w:lineRule="auto"/>
              <w:jc w:val="center"/>
              <w:rPr>
                <w:color w:val="auto"/>
                <w:szCs w:val="21"/>
                <w:highlight w:val="none"/>
              </w:rPr>
            </w:pPr>
          </w:p>
        </w:tc>
      </w:tr>
      <w:tr w14:paraId="1B1925F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53BBC3F">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D9BD36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4916C43">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269C8DE">
            <w:pPr>
              <w:spacing w:line="360" w:lineRule="auto"/>
              <w:jc w:val="center"/>
              <w:rPr>
                <w:color w:val="auto"/>
                <w:szCs w:val="21"/>
                <w:highlight w:val="none"/>
              </w:rPr>
            </w:pPr>
          </w:p>
        </w:tc>
      </w:tr>
      <w:tr w14:paraId="35ED887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0BBE6C3">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7525ED6">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8EB3D8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6834D22">
            <w:pPr>
              <w:spacing w:line="360" w:lineRule="auto"/>
              <w:jc w:val="center"/>
              <w:rPr>
                <w:color w:val="auto"/>
                <w:szCs w:val="21"/>
                <w:highlight w:val="none"/>
              </w:rPr>
            </w:pPr>
          </w:p>
        </w:tc>
      </w:tr>
      <w:tr w14:paraId="4ED6443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B3C39EC">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2469F30A">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9650BA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981F9B3">
            <w:pPr>
              <w:spacing w:line="360" w:lineRule="auto"/>
              <w:jc w:val="center"/>
              <w:rPr>
                <w:color w:val="auto"/>
                <w:szCs w:val="21"/>
                <w:highlight w:val="none"/>
              </w:rPr>
            </w:pPr>
          </w:p>
        </w:tc>
      </w:tr>
    </w:tbl>
    <w:p w14:paraId="1AC329BD">
      <w:pPr>
        <w:snapToGrid w:val="0"/>
        <w:spacing w:line="360" w:lineRule="auto"/>
        <w:jc w:val="left"/>
        <w:rPr>
          <w:color w:val="auto"/>
          <w:szCs w:val="21"/>
          <w:highlight w:val="none"/>
        </w:rPr>
      </w:pPr>
      <w:r>
        <w:rPr>
          <w:rFonts w:hint="eastAsia"/>
          <w:color w:val="auto"/>
          <w:szCs w:val="21"/>
          <w:highlight w:val="none"/>
        </w:rPr>
        <w:t>注：</w:t>
      </w:r>
    </w:p>
    <w:p w14:paraId="5BA4CA4D">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617023F9">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1B7C0332">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27ADA6B5">
      <w:pPr>
        <w:snapToGrid w:val="0"/>
        <w:spacing w:line="360" w:lineRule="auto"/>
        <w:jc w:val="left"/>
        <w:rPr>
          <w:color w:val="auto"/>
          <w:szCs w:val="21"/>
          <w:highlight w:val="none"/>
        </w:rPr>
      </w:pPr>
    </w:p>
    <w:p w14:paraId="3E6786EF">
      <w:pPr>
        <w:snapToGrid w:val="0"/>
        <w:spacing w:line="360" w:lineRule="auto"/>
        <w:jc w:val="left"/>
        <w:rPr>
          <w:color w:val="auto"/>
          <w:szCs w:val="21"/>
          <w:highlight w:val="none"/>
        </w:rPr>
      </w:pPr>
    </w:p>
    <w:p w14:paraId="1D079B2E">
      <w:pPr>
        <w:snapToGrid w:val="0"/>
        <w:spacing w:line="360" w:lineRule="auto"/>
        <w:jc w:val="left"/>
        <w:rPr>
          <w:color w:val="auto"/>
          <w:szCs w:val="21"/>
          <w:highlight w:val="none"/>
        </w:rPr>
      </w:pPr>
    </w:p>
    <w:p w14:paraId="38BD1D7D">
      <w:pPr>
        <w:snapToGrid w:val="0"/>
        <w:spacing w:line="360" w:lineRule="auto"/>
        <w:jc w:val="left"/>
        <w:rPr>
          <w:color w:val="auto"/>
          <w:szCs w:val="21"/>
          <w:highlight w:val="none"/>
        </w:rPr>
      </w:pPr>
    </w:p>
    <w:p w14:paraId="1F6C5229">
      <w:pPr>
        <w:snapToGrid w:val="0"/>
        <w:spacing w:line="360" w:lineRule="auto"/>
        <w:jc w:val="left"/>
        <w:rPr>
          <w:color w:val="auto"/>
          <w:szCs w:val="21"/>
          <w:highlight w:val="none"/>
        </w:rPr>
      </w:pPr>
    </w:p>
    <w:p w14:paraId="04CD505F">
      <w:pPr>
        <w:snapToGrid w:val="0"/>
        <w:spacing w:line="360" w:lineRule="auto"/>
        <w:jc w:val="left"/>
        <w:rPr>
          <w:color w:val="auto"/>
          <w:szCs w:val="21"/>
          <w:highlight w:val="none"/>
        </w:rPr>
      </w:pPr>
    </w:p>
    <w:p w14:paraId="64EBCC30">
      <w:pPr>
        <w:snapToGrid w:val="0"/>
        <w:spacing w:line="360" w:lineRule="auto"/>
        <w:jc w:val="left"/>
        <w:rPr>
          <w:color w:val="auto"/>
          <w:szCs w:val="21"/>
          <w:highlight w:val="none"/>
        </w:rPr>
      </w:pPr>
    </w:p>
    <w:p w14:paraId="4D48E1BE">
      <w:pPr>
        <w:snapToGrid w:val="0"/>
        <w:spacing w:line="360" w:lineRule="auto"/>
        <w:jc w:val="left"/>
        <w:rPr>
          <w:color w:val="auto"/>
          <w:szCs w:val="21"/>
          <w:highlight w:val="none"/>
        </w:rPr>
      </w:pPr>
    </w:p>
    <w:p w14:paraId="02AC1E03">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0DB7F722">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EE8798A">
      <w:pPr>
        <w:snapToGrid w:val="0"/>
        <w:spacing w:before="50" w:after="120" w:afterLines="50" w:line="440" w:lineRule="exact"/>
        <w:jc w:val="left"/>
        <w:rPr>
          <w:rFonts w:hint="eastAsia"/>
          <w:b/>
          <w:color w:val="auto"/>
          <w:szCs w:val="21"/>
          <w:highlight w:val="none"/>
        </w:rPr>
      </w:pPr>
    </w:p>
    <w:p w14:paraId="07C362C3">
      <w:pPr>
        <w:snapToGrid w:val="0"/>
        <w:spacing w:before="50" w:after="120" w:afterLines="50" w:line="440" w:lineRule="exact"/>
        <w:jc w:val="left"/>
        <w:rPr>
          <w:rFonts w:hint="eastAsia"/>
          <w:b/>
          <w:color w:val="auto"/>
          <w:szCs w:val="21"/>
          <w:highlight w:val="none"/>
        </w:rPr>
      </w:pPr>
      <w:r>
        <w:rPr>
          <w:b/>
          <w:color w:val="auto"/>
          <w:szCs w:val="21"/>
          <w:highlight w:val="none"/>
        </w:rPr>
        <w:br w:type="page"/>
      </w:r>
      <w:r>
        <w:rPr>
          <w:rFonts w:hint="eastAsia"/>
          <w:color w:val="auto"/>
          <w:szCs w:val="21"/>
          <w:highlight w:val="none"/>
          <w:lang w:val="en-US" w:eastAsia="zh-CN"/>
        </w:rPr>
        <w:t>3</w:t>
      </w:r>
      <w:r>
        <w:rPr>
          <w:color w:val="auto"/>
          <w:szCs w:val="21"/>
          <w:highlight w:val="none"/>
        </w:rPr>
        <w:t>．响应保证金缴纳证明</w:t>
      </w:r>
      <w:r>
        <w:rPr>
          <w:rFonts w:hint="eastAsia"/>
          <w:color w:val="auto"/>
          <w:szCs w:val="21"/>
          <w:highlight w:val="none"/>
        </w:rPr>
        <w:t>。</w:t>
      </w:r>
      <w:r>
        <w:rPr>
          <w:rFonts w:hint="eastAsia"/>
          <w:b/>
          <w:color w:val="auto"/>
          <w:szCs w:val="21"/>
          <w:highlight w:val="none"/>
        </w:rPr>
        <w:t>（如征集文件有要求时提供）</w:t>
      </w:r>
    </w:p>
    <w:p w14:paraId="092A88BE">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rFonts w:hint="eastAsia"/>
          <w:color w:val="auto"/>
          <w:highlight w:val="none"/>
        </w:rPr>
        <w:t>供应商电子签章；</w:t>
      </w:r>
    </w:p>
    <w:p w14:paraId="10570D0B">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3E57F876">
      <w:pPr>
        <w:snapToGrid w:val="0"/>
        <w:spacing w:before="50" w:after="120" w:afterLines="50" w:line="440" w:lineRule="exact"/>
        <w:jc w:val="center"/>
        <w:rPr>
          <w:rFonts w:hint="eastAsia"/>
          <w:b/>
          <w:bCs/>
          <w:color w:val="auto"/>
          <w:sz w:val="24"/>
          <w:szCs w:val="32"/>
          <w:highlight w:val="none"/>
        </w:rPr>
      </w:pPr>
      <w:r>
        <w:rPr>
          <w:rFonts w:hint="eastAsia"/>
          <w:b/>
          <w:bCs/>
          <w:color w:val="auto"/>
          <w:sz w:val="24"/>
          <w:szCs w:val="32"/>
          <w:highlight w:val="none"/>
        </w:rPr>
        <w:t>响应保函格式</w:t>
      </w:r>
    </w:p>
    <w:p w14:paraId="716A34C6">
      <w:pPr>
        <w:snapToGrid w:val="0"/>
        <w:spacing w:before="50" w:after="120" w:afterLines="50" w:line="276" w:lineRule="auto"/>
        <w:jc w:val="left"/>
        <w:rPr>
          <w:color w:val="auto"/>
          <w:highlight w:val="none"/>
        </w:rPr>
      </w:pPr>
      <w:r>
        <w:rPr>
          <w:rFonts w:hint="eastAsia"/>
          <w:color w:val="auto"/>
          <w:highlight w:val="none"/>
        </w:rPr>
        <w:t>编号：</w:t>
      </w:r>
      <w:r>
        <w:rPr>
          <w:color w:val="auto"/>
          <w:highlight w:val="none"/>
        </w:rPr>
        <w:t xml:space="preserve">           </w:t>
      </w:r>
    </w:p>
    <w:p w14:paraId="2C5D7BB2">
      <w:pPr>
        <w:snapToGrid w:val="0"/>
        <w:spacing w:before="50" w:after="120" w:afterLines="50" w:line="276" w:lineRule="auto"/>
        <w:jc w:val="left"/>
        <w:rPr>
          <w:color w:val="auto"/>
          <w:highlight w:val="none"/>
        </w:rPr>
      </w:pPr>
      <w:r>
        <w:rPr>
          <w:rFonts w:hint="eastAsia"/>
          <w:color w:val="auto"/>
          <w:highlight w:val="none"/>
        </w:rPr>
        <w:t>申请人：</w:t>
      </w:r>
    </w:p>
    <w:p w14:paraId="0D15914B">
      <w:pPr>
        <w:snapToGrid w:val="0"/>
        <w:spacing w:before="50" w:after="120" w:afterLines="50" w:line="276" w:lineRule="auto"/>
        <w:jc w:val="left"/>
        <w:rPr>
          <w:color w:val="auto"/>
          <w:highlight w:val="none"/>
        </w:rPr>
      </w:pPr>
      <w:r>
        <w:rPr>
          <w:rFonts w:hint="eastAsia"/>
          <w:color w:val="auto"/>
          <w:highlight w:val="none"/>
        </w:rPr>
        <w:t>地址：</w:t>
      </w:r>
    </w:p>
    <w:p w14:paraId="7785FB02">
      <w:pPr>
        <w:snapToGrid w:val="0"/>
        <w:spacing w:before="50" w:after="120" w:afterLines="50" w:line="276" w:lineRule="auto"/>
        <w:jc w:val="left"/>
        <w:rPr>
          <w:color w:val="auto"/>
          <w:highlight w:val="none"/>
        </w:rPr>
      </w:pPr>
      <w:r>
        <w:rPr>
          <w:rFonts w:hint="eastAsia"/>
          <w:color w:val="auto"/>
          <w:highlight w:val="none"/>
        </w:rPr>
        <w:t>受益人：广西机电设备招标有限公司</w:t>
      </w:r>
      <w:r>
        <w:rPr>
          <w:color w:val="auto"/>
          <w:highlight w:val="none"/>
        </w:rPr>
        <w:t xml:space="preserve"> </w:t>
      </w:r>
    </w:p>
    <w:p w14:paraId="68C60B33">
      <w:pPr>
        <w:snapToGrid w:val="0"/>
        <w:spacing w:before="50" w:after="120" w:afterLines="50" w:line="276" w:lineRule="auto"/>
        <w:jc w:val="left"/>
        <w:rPr>
          <w:color w:val="auto"/>
          <w:highlight w:val="none"/>
        </w:rPr>
      </w:pPr>
      <w:r>
        <w:rPr>
          <w:rFonts w:hint="eastAsia"/>
          <w:color w:val="auto"/>
          <w:highlight w:val="none"/>
        </w:rPr>
        <w:t>地址：</w:t>
      </w:r>
    </w:p>
    <w:p w14:paraId="35A53233">
      <w:pPr>
        <w:snapToGrid w:val="0"/>
        <w:spacing w:before="50" w:after="120" w:afterLines="50" w:line="276" w:lineRule="auto"/>
        <w:jc w:val="left"/>
        <w:rPr>
          <w:color w:val="auto"/>
          <w:highlight w:val="none"/>
        </w:rPr>
      </w:pPr>
      <w:r>
        <w:rPr>
          <w:rFonts w:hint="eastAsia"/>
          <w:color w:val="auto"/>
          <w:highlight w:val="none"/>
        </w:rPr>
        <w:t>开立人：</w:t>
      </w:r>
    </w:p>
    <w:p w14:paraId="2F117966">
      <w:pPr>
        <w:snapToGrid w:val="0"/>
        <w:spacing w:before="50" w:after="120" w:afterLines="50" w:line="276" w:lineRule="auto"/>
        <w:jc w:val="left"/>
        <w:rPr>
          <w:color w:val="auto"/>
          <w:highlight w:val="none"/>
        </w:rPr>
      </w:pPr>
      <w:r>
        <w:rPr>
          <w:rFonts w:hint="eastAsia"/>
          <w:color w:val="auto"/>
          <w:highlight w:val="none"/>
        </w:rPr>
        <w:t>地址：</w:t>
      </w:r>
    </w:p>
    <w:p w14:paraId="48F57B8B">
      <w:pPr>
        <w:snapToGrid w:val="0"/>
        <w:spacing w:before="50" w:after="120" w:afterLines="50" w:line="276" w:lineRule="auto"/>
        <w:jc w:val="left"/>
        <w:rPr>
          <w:color w:val="auto"/>
          <w:highlight w:val="none"/>
        </w:rPr>
      </w:pPr>
    </w:p>
    <w:p w14:paraId="45A42641">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080D084B">
      <w:pPr>
        <w:snapToGrid w:val="0"/>
        <w:spacing w:before="50" w:after="120" w:afterLines="50" w:line="276" w:lineRule="auto"/>
        <w:jc w:val="left"/>
        <w:rPr>
          <w:color w:val="auto"/>
          <w:highlight w:val="none"/>
        </w:rPr>
      </w:pPr>
      <w:r>
        <w:rPr>
          <w:rFonts w:hint="eastAsia"/>
          <w:color w:val="auto"/>
          <w:highlight w:val="none"/>
        </w:rPr>
        <w:t>我方（即“开立人”）已获得通知，本保函申请人（即“供应商”）已响应贵方于</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color w:val="auto"/>
          <w:highlight w:val="none"/>
        </w:rPr>
        <w:t xml:space="preserve"> </w:t>
      </w:r>
      <w:r>
        <w:rPr>
          <w:rFonts w:hint="eastAsia"/>
          <w:color w:val="auto"/>
          <w:highlight w:val="none"/>
        </w:rPr>
        <w:t>日就</w:t>
      </w:r>
      <w:r>
        <w:rPr>
          <w:color w:val="auto"/>
          <w:highlight w:val="none"/>
        </w:rPr>
        <w:t xml:space="preserve"> </w:t>
      </w:r>
      <w:r>
        <w:rPr>
          <w:color w:val="auto"/>
          <w:highlight w:val="none"/>
          <w:u w:val="single"/>
        </w:rPr>
        <w:t xml:space="preserve">                                          </w:t>
      </w:r>
      <w:r>
        <w:rPr>
          <w:rFonts w:hint="eastAsia"/>
          <w:color w:val="auto"/>
          <w:highlight w:val="none"/>
        </w:rPr>
        <w:t>（以下简称“本项目”）发出的征集文件，并已向采购代理机构（即“受益人”）提交了响应文件。</w:t>
      </w:r>
    </w:p>
    <w:p w14:paraId="74497A9A">
      <w:pPr>
        <w:snapToGrid w:val="0"/>
        <w:spacing w:before="50" w:after="120" w:afterLines="50" w:line="276" w:lineRule="auto"/>
        <w:jc w:val="left"/>
        <w:rPr>
          <w:color w:val="auto"/>
          <w:highlight w:val="none"/>
        </w:rPr>
      </w:pPr>
      <w:r>
        <w:rPr>
          <w:rFonts w:hint="eastAsia"/>
          <w:color w:val="auto"/>
          <w:highlight w:val="none"/>
        </w:rPr>
        <w:t>一、我方理解根据征集条件，供应商必须提交一份响应保函（以下简称“本保函”），以担保供应商诚信履行其在采购活动中承担的义务。鉴此，应申请人要求，我方在此同意向贵方出具此响应保函，本保函担保金额为人民币（大写）</w:t>
      </w:r>
      <w:r>
        <w:rPr>
          <w:color w:val="auto"/>
          <w:highlight w:val="none"/>
          <w:u w:val="single"/>
        </w:rPr>
        <w:t xml:space="preserve">                            </w:t>
      </w:r>
      <w:r>
        <w:rPr>
          <w:rFonts w:hint="eastAsia"/>
          <w:color w:val="auto"/>
          <w:highlight w:val="none"/>
        </w:rPr>
        <w:t>元（</w:t>
      </w:r>
      <w:r>
        <w:rPr>
          <w:color w:val="auto"/>
          <w:highlight w:val="none"/>
        </w:rPr>
        <w:t>¥</w:t>
      </w:r>
      <w:r>
        <w:rPr>
          <w:color w:val="auto"/>
          <w:highlight w:val="none"/>
          <w:u w:val="single"/>
        </w:rPr>
        <w:t xml:space="preserve">                         </w:t>
      </w:r>
      <w:r>
        <w:rPr>
          <w:rFonts w:hint="eastAsia"/>
          <w:color w:val="auto"/>
          <w:highlight w:val="none"/>
        </w:rPr>
        <w:t>）。</w:t>
      </w:r>
    </w:p>
    <w:p w14:paraId="644587F6">
      <w:pPr>
        <w:snapToGrid w:val="0"/>
        <w:spacing w:before="50" w:after="120" w:afterLines="50" w:line="276" w:lineRule="auto"/>
        <w:jc w:val="left"/>
        <w:rPr>
          <w:color w:val="auto"/>
          <w:highlight w:val="none"/>
        </w:rPr>
      </w:pPr>
      <w:r>
        <w:rPr>
          <w:rFonts w:hint="eastAsia"/>
          <w:color w:val="auto"/>
          <w:highlight w:val="none"/>
        </w:rPr>
        <w:t>二、我方在供应商发生以下情形时承担保证担保责任：</w:t>
      </w:r>
      <w:r>
        <w:rPr>
          <w:color w:val="auto"/>
          <w:highlight w:val="none"/>
        </w:rPr>
        <w:t xml:space="preserve"> </w:t>
      </w:r>
    </w:p>
    <w:p w14:paraId="64E8CCFC">
      <w:pPr>
        <w:snapToGrid w:val="0"/>
        <w:spacing w:before="50" w:after="120" w:afterLines="50" w:line="276" w:lineRule="auto"/>
        <w:jc w:val="left"/>
        <w:rPr>
          <w:color w:val="auto"/>
          <w:highlight w:val="none"/>
        </w:rPr>
      </w:pPr>
      <w:r>
        <w:rPr>
          <w:rFonts w:hint="eastAsia"/>
          <w:color w:val="auto"/>
          <w:highlight w:val="none"/>
        </w:rPr>
        <w:t>（</w:t>
      </w:r>
      <w:r>
        <w:rPr>
          <w:color w:val="auto"/>
          <w:highlight w:val="none"/>
        </w:rPr>
        <w:t>1</w:t>
      </w:r>
      <w:r>
        <w:rPr>
          <w:rFonts w:hint="eastAsia"/>
          <w:color w:val="auto"/>
          <w:highlight w:val="none"/>
        </w:rPr>
        <w:t>）供应商在截标后和响应有效期满之前撤销响应文件的；</w:t>
      </w:r>
      <w:r>
        <w:rPr>
          <w:color w:val="auto"/>
          <w:highlight w:val="none"/>
        </w:rPr>
        <w:t xml:space="preserve"> </w:t>
      </w:r>
    </w:p>
    <w:p w14:paraId="26F07B4F">
      <w:pPr>
        <w:snapToGrid w:val="0"/>
        <w:spacing w:before="50" w:after="120" w:afterLines="50" w:line="276" w:lineRule="auto"/>
        <w:jc w:val="left"/>
        <w:rPr>
          <w:color w:val="auto"/>
          <w:highlight w:val="none"/>
        </w:rPr>
      </w:pPr>
      <w:r>
        <w:rPr>
          <w:rFonts w:hint="eastAsia"/>
          <w:color w:val="auto"/>
          <w:highlight w:val="none"/>
        </w:rPr>
        <w:t>（</w:t>
      </w:r>
      <w:r>
        <w:rPr>
          <w:color w:val="auto"/>
          <w:highlight w:val="none"/>
        </w:rPr>
        <w:t>2</w:t>
      </w:r>
      <w:r>
        <w:rPr>
          <w:rFonts w:hint="eastAsia"/>
          <w:color w:val="auto"/>
          <w:highlight w:val="none"/>
        </w:rPr>
        <w:t>）供应商在入围通知书发出之日起</w:t>
      </w:r>
      <w:r>
        <w:rPr>
          <w:color w:val="auto"/>
          <w:highlight w:val="none"/>
        </w:rPr>
        <w:t>5</w:t>
      </w:r>
      <w:r>
        <w:rPr>
          <w:rFonts w:hint="eastAsia"/>
          <w:color w:val="auto"/>
          <w:highlight w:val="none"/>
        </w:rPr>
        <w:t>个工作日内，未缴纳本项目代理服务费的；</w:t>
      </w:r>
    </w:p>
    <w:p w14:paraId="10137888">
      <w:pPr>
        <w:snapToGrid w:val="0"/>
        <w:spacing w:before="50" w:after="120" w:afterLines="50" w:line="276" w:lineRule="auto"/>
        <w:jc w:val="left"/>
        <w:rPr>
          <w:color w:val="auto"/>
          <w:highlight w:val="none"/>
        </w:rPr>
      </w:pPr>
      <w:r>
        <w:rPr>
          <w:rFonts w:hint="eastAsia"/>
          <w:color w:val="auto"/>
          <w:highlight w:val="none"/>
        </w:rPr>
        <w:t>（</w:t>
      </w:r>
      <w:r>
        <w:rPr>
          <w:color w:val="auto"/>
          <w:highlight w:val="none"/>
        </w:rPr>
        <w:t>5</w:t>
      </w:r>
      <w:r>
        <w:rPr>
          <w:rFonts w:hint="eastAsia"/>
          <w:color w:val="auto"/>
          <w:highlight w:val="none"/>
        </w:rPr>
        <w:t>）供应商违反征集文件规定的其他情形。</w:t>
      </w:r>
    </w:p>
    <w:p w14:paraId="514CAC41">
      <w:pPr>
        <w:snapToGrid w:val="0"/>
        <w:spacing w:before="50" w:after="120" w:afterLines="50" w:line="276" w:lineRule="auto"/>
        <w:jc w:val="left"/>
        <w:rPr>
          <w:color w:val="auto"/>
          <w:highlight w:val="none"/>
        </w:rPr>
      </w:pPr>
      <w:r>
        <w:rPr>
          <w:color w:val="auto"/>
          <w:highlight w:val="none"/>
        </w:rPr>
        <w:t xml:space="preserve">    </w:t>
      </w:r>
      <w:r>
        <w:rPr>
          <w:rFonts w:hint="eastAsia"/>
          <w:color w:val="auto"/>
          <w:highlight w:val="none"/>
        </w:rPr>
        <w:t>三、本保函为不可撤销、不可转让的见索即付独立保函。本保函有效期自开立之日起至响应有效期届满之日后的</w:t>
      </w:r>
      <w:r>
        <w:rPr>
          <w:color w:val="auto"/>
          <w:highlight w:val="none"/>
          <w:u w:val="single"/>
        </w:rPr>
        <w:t xml:space="preserve">  28  </w:t>
      </w:r>
      <w:r>
        <w:rPr>
          <w:rFonts w:hint="eastAsia"/>
          <w:color w:val="auto"/>
          <w:highlight w:val="none"/>
        </w:rPr>
        <w:t>日。响应有效期延长的，本保函有效期相应顺延。</w:t>
      </w:r>
    </w:p>
    <w:p w14:paraId="0FF8B9BE">
      <w:pPr>
        <w:snapToGrid w:val="0"/>
        <w:spacing w:before="50" w:after="120" w:afterLines="50" w:line="276" w:lineRule="auto"/>
        <w:jc w:val="left"/>
        <w:rPr>
          <w:color w:val="auto"/>
          <w:highlight w:val="none"/>
        </w:rPr>
      </w:pPr>
      <w:r>
        <w:rPr>
          <w:rFonts w:hint="eastAsia"/>
          <w:color w:val="auto"/>
          <w:highlight w:val="none"/>
        </w:rPr>
        <w:t>四、我方承诺，在收到受益人发来的书面付款通知后的</w:t>
      </w:r>
      <w:r>
        <w:rPr>
          <w:color w:val="auto"/>
          <w:highlight w:val="none"/>
          <w:u w:val="single"/>
        </w:rPr>
        <w:t xml:space="preserve">   5    </w:t>
      </w:r>
      <w:r>
        <w:rPr>
          <w:rFonts w:hint="eastAsia"/>
          <w:color w:val="auto"/>
          <w:highlight w:val="none"/>
        </w:rPr>
        <w:t>日内无条件支付，前述书面付款通知即为付款要求之单据，且应满足以下要求：</w:t>
      </w:r>
    </w:p>
    <w:p w14:paraId="09C339DE">
      <w:pPr>
        <w:snapToGrid w:val="0"/>
        <w:spacing w:before="50" w:after="120" w:afterLines="50" w:line="276" w:lineRule="auto"/>
        <w:jc w:val="left"/>
        <w:rPr>
          <w:color w:val="auto"/>
          <w:highlight w:val="none"/>
        </w:rPr>
      </w:pPr>
      <w:r>
        <w:rPr>
          <w:rFonts w:hint="eastAsia"/>
          <w:color w:val="auto"/>
          <w:highlight w:val="none"/>
        </w:rPr>
        <w:t>（</w:t>
      </w:r>
      <w:r>
        <w:rPr>
          <w:color w:val="auto"/>
          <w:highlight w:val="none"/>
        </w:rPr>
        <w:t>1</w:t>
      </w:r>
      <w:r>
        <w:rPr>
          <w:rFonts w:hint="eastAsia"/>
          <w:color w:val="auto"/>
          <w:highlight w:val="none"/>
        </w:rPr>
        <w:t>）付款通知到达的日期在本保函的有效期内；</w:t>
      </w:r>
    </w:p>
    <w:p w14:paraId="36C3A5BC">
      <w:pPr>
        <w:snapToGrid w:val="0"/>
        <w:spacing w:before="50" w:after="120" w:afterLines="50" w:line="276" w:lineRule="auto"/>
        <w:jc w:val="left"/>
        <w:rPr>
          <w:color w:val="auto"/>
          <w:highlight w:val="none"/>
        </w:rPr>
      </w:pPr>
      <w:r>
        <w:rPr>
          <w:rFonts w:hint="eastAsia"/>
          <w:color w:val="auto"/>
          <w:highlight w:val="none"/>
        </w:rPr>
        <w:t>（</w:t>
      </w:r>
      <w:r>
        <w:rPr>
          <w:color w:val="auto"/>
          <w:highlight w:val="none"/>
        </w:rPr>
        <w:t>2</w:t>
      </w:r>
      <w:r>
        <w:rPr>
          <w:rFonts w:hint="eastAsia"/>
          <w:color w:val="auto"/>
          <w:highlight w:val="none"/>
        </w:rPr>
        <w:t>）载明要求支付的金额；</w:t>
      </w:r>
    </w:p>
    <w:p w14:paraId="2D9CEC57">
      <w:pPr>
        <w:snapToGrid w:val="0"/>
        <w:spacing w:before="50" w:after="120" w:afterLines="50" w:line="276" w:lineRule="auto"/>
        <w:jc w:val="left"/>
        <w:rPr>
          <w:color w:val="auto"/>
          <w:highlight w:val="none"/>
        </w:rPr>
      </w:pPr>
      <w:r>
        <w:rPr>
          <w:rFonts w:hint="eastAsia"/>
          <w:color w:val="auto"/>
          <w:highlight w:val="none"/>
        </w:rPr>
        <w:t>（</w:t>
      </w:r>
      <w:r>
        <w:rPr>
          <w:color w:val="auto"/>
          <w:highlight w:val="none"/>
        </w:rPr>
        <w:t>3</w:t>
      </w:r>
      <w:r>
        <w:rPr>
          <w:rFonts w:hint="eastAsia"/>
          <w:color w:val="auto"/>
          <w:highlight w:val="none"/>
        </w:rPr>
        <w:t>）载明申请人违反征集文件规定的义务内容和具体条款；</w:t>
      </w:r>
    </w:p>
    <w:p w14:paraId="5543D239">
      <w:pPr>
        <w:snapToGrid w:val="0"/>
        <w:spacing w:before="50" w:after="120" w:afterLines="50" w:line="276" w:lineRule="auto"/>
        <w:jc w:val="left"/>
        <w:rPr>
          <w:color w:val="auto"/>
          <w:highlight w:val="none"/>
        </w:rPr>
      </w:pPr>
      <w:r>
        <w:rPr>
          <w:rFonts w:hint="eastAsia"/>
          <w:color w:val="auto"/>
          <w:highlight w:val="none"/>
        </w:rPr>
        <w:t>（</w:t>
      </w:r>
      <w:r>
        <w:rPr>
          <w:color w:val="auto"/>
          <w:highlight w:val="none"/>
        </w:rPr>
        <w:t>4</w:t>
      </w:r>
      <w:r>
        <w:rPr>
          <w:rFonts w:hint="eastAsia"/>
          <w:color w:val="auto"/>
          <w:highlight w:val="none"/>
        </w:rPr>
        <w:t>）声明不存在征集文件规定或我国法律规定免除申请人或我方支付责任的情形；</w:t>
      </w:r>
    </w:p>
    <w:p w14:paraId="61972310">
      <w:pPr>
        <w:snapToGrid w:val="0"/>
        <w:spacing w:before="50" w:after="120" w:afterLines="50" w:line="276" w:lineRule="auto"/>
        <w:jc w:val="left"/>
        <w:rPr>
          <w:color w:val="auto"/>
          <w:highlight w:val="none"/>
        </w:rPr>
      </w:pPr>
      <w:r>
        <w:rPr>
          <w:rFonts w:hint="eastAsia"/>
          <w:color w:val="auto"/>
          <w:highlight w:val="none"/>
        </w:rPr>
        <w:t>（</w:t>
      </w:r>
      <w:r>
        <w:rPr>
          <w:color w:val="auto"/>
          <w:highlight w:val="none"/>
        </w:rPr>
        <w:t>5</w:t>
      </w:r>
      <w:r>
        <w:rPr>
          <w:rFonts w:hint="eastAsia"/>
          <w:color w:val="auto"/>
          <w:highlight w:val="none"/>
        </w:rPr>
        <w:t>）书面付款通知应在本保函有效期内到达的地址是：</w:t>
      </w:r>
      <w:r>
        <w:rPr>
          <w:color w:val="auto"/>
          <w:highlight w:val="none"/>
          <w:u w:val="single"/>
        </w:rPr>
        <w:t xml:space="preserve">                                     </w:t>
      </w:r>
      <w:r>
        <w:rPr>
          <w:rFonts w:hint="eastAsia"/>
          <w:color w:val="auto"/>
          <w:highlight w:val="none"/>
        </w:rPr>
        <w:t>。</w:t>
      </w:r>
    </w:p>
    <w:p w14:paraId="0DD8B7E6">
      <w:pPr>
        <w:snapToGrid w:val="0"/>
        <w:spacing w:before="50" w:after="120" w:afterLines="50" w:line="276" w:lineRule="auto"/>
        <w:jc w:val="left"/>
        <w:rPr>
          <w:color w:val="auto"/>
          <w:highlight w:val="none"/>
        </w:rPr>
      </w:pPr>
      <w:r>
        <w:rPr>
          <w:color w:val="auto"/>
          <w:highlight w:val="none"/>
        </w:rPr>
        <w:t xml:space="preserve">        </w:t>
      </w:r>
      <w:r>
        <w:rPr>
          <w:rFonts w:hint="eastAsia"/>
          <w:color w:val="auto"/>
          <w:highlight w:val="none"/>
        </w:rPr>
        <w:t>受益人发出的书面付款通知应由其为鉴明受益人法定代表人（负责人）或授权代理人签字并加盖公章。</w:t>
      </w:r>
    </w:p>
    <w:p w14:paraId="39DD8915">
      <w:pPr>
        <w:snapToGrid w:val="0"/>
        <w:spacing w:before="50" w:after="120" w:afterLines="50" w:line="276" w:lineRule="auto"/>
        <w:jc w:val="left"/>
        <w:rPr>
          <w:color w:val="auto"/>
          <w:highlight w:val="none"/>
        </w:rPr>
      </w:pPr>
      <w:r>
        <w:rPr>
          <w:rFonts w:hint="eastAsia"/>
          <w:color w:val="auto"/>
          <w:highlight w:val="none"/>
        </w:rPr>
        <w:t>五、本保函项下的权利不得转让，不得设定担保。贵方未经我方书面同意转让本保函或其项下任何权利，对我方不发生法律效力。</w:t>
      </w:r>
      <w:r>
        <w:rPr>
          <w:color w:val="auto"/>
          <w:highlight w:val="none"/>
        </w:rPr>
        <w:t xml:space="preserve"> </w:t>
      </w:r>
    </w:p>
    <w:p w14:paraId="57A32D14">
      <w:pPr>
        <w:snapToGrid w:val="0"/>
        <w:spacing w:before="50" w:after="120" w:afterLines="50" w:line="276" w:lineRule="auto"/>
        <w:jc w:val="left"/>
        <w:rPr>
          <w:color w:val="auto"/>
          <w:highlight w:val="none"/>
        </w:rPr>
      </w:pPr>
      <w:r>
        <w:rPr>
          <w:rFonts w:hint="eastAsia"/>
          <w:color w:val="auto"/>
          <w:highlight w:val="none"/>
        </w:rPr>
        <w:t>六、本保函项下的基础交易不成立、不生效、无效、被撤销、被解除，不影响本保函的独立有效。</w:t>
      </w:r>
      <w:r>
        <w:rPr>
          <w:color w:val="auto"/>
          <w:highlight w:val="none"/>
        </w:rPr>
        <w:t xml:space="preserve"> </w:t>
      </w:r>
    </w:p>
    <w:p w14:paraId="15AD71B2">
      <w:pPr>
        <w:snapToGrid w:val="0"/>
        <w:spacing w:before="50" w:after="120" w:afterLines="50" w:line="276" w:lineRule="auto"/>
        <w:jc w:val="left"/>
        <w:rPr>
          <w:color w:val="auto"/>
          <w:highlight w:val="none"/>
        </w:rPr>
      </w:pPr>
      <w:r>
        <w:rPr>
          <w:rFonts w:hint="eastAsia"/>
          <w:color w:val="auto"/>
          <w:highlight w:val="none"/>
        </w:rPr>
        <w:t>七、受益人应在本保函到期后的七日内将本保函正本退回我方注销，但是不论受益人是否按此要求将本保函正本退回我方，我方在本保函项下的义务和责任均在保函有效期到期后自动消灭。</w:t>
      </w:r>
      <w:r>
        <w:rPr>
          <w:color w:val="auto"/>
          <w:highlight w:val="none"/>
        </w:rPr>
        <w:t xml:space="preserve"> </w:t>
      </w:r>
    </w:p>
    <w:p w14:paraId="71E60611">
      <w:pPr>
        <w:snapToGrid w:val="0"/>
        <w:spacing w:before="50" w:after="120" w:afterLines="50" w:line="276" w:lineRule="auto"/>
        <w:jc w:val="left"/>
        <w:rPr>
          <w:color w:val="auto"/>
          <w:highlight w:val="none"/>
        </w:rPr>
      </w:pPr>
      <w:r>
        <w:rPr>
          <w:rFonts w:hint="eastAsia"/>
          <w:color w:val="auto"/>
          <w:highlight w:val="none"/>
        </w:rPr>
        <w:t>八、本保函适用的法律为中华人民共和国法律，争议裁判管辖地为中华人民共和国。</w:t>
      </w:r>
      <w:r>
        <w:rPr>
          <w:color w:val="auto"/>
          <w:highlight w:val="none"/>
        </w:rPr>
        <w:t xml:space="preserve"> </w:t>
      </w:r>
    </w:p>
    <w:p w14:paraId="5E81DB49">
      <w:pPr>
        <w:snapToGrid w:val="0"/>
        <w:spacing w:before="50" w:after="120" w:afterLines="50" w:line="276" w:lineRule="auto"/>
        <w:jc w:val="left"/>
        <w:rPr>
          <w:color w:val="auto"/>
          <w:highlight w:val="none"/>
        </w:rPr>
      </w:pPr>
      <w:r>
        <w:rPr>
          <w:rFonts w:hint="eastAsia"/>
          <w:color w:val="auto"/>
          <w:highlight w:val="none"/>
        </w:rPr>
        <w:t>九、本保函自我方法定代表人或授权代表签字并加盖公章之日起生效。</w:t>
      </w:r>
      <w:r>
        <w:rPr>
          <w:color w:val="auto"/>
          <w:highlight w:val="none"/>
        </w:rPr>
        <w:t xml:space="preserve"> </w:t>
      </w:r>
    </w:p>
    <w:p w14:paraId="09D94F41">
      <w:pPr>
        <w:snapToGrid w:val="0"/>
        <w:spacing w:before="50" w:after="120" w:afterLines="50" w:line="276" w:lineRule="auto"/>
        <w:jc w:val="left"/>
        <w:rPr>
          <w:color w:val="auto"/>
          <w:highlight w:val="none"/>
        </w:rPr>
      </w:pPr>
    </w:p>
    <w:p w14:paraId="096429F7">
      <w:pPr>
        <w:snapToGrid w:val="0"/>
        <w:spacing w:before="50" w:after="120" w:afterLines="50" w:line="276" w:lineRule="auto"/>
        <w:jc w:val="left"/>
        <w:rPr>
          <w:color w:val="auto"/>
          <w:highlight w:val="none"/>
        </w:rPr>
      </w:pPr>
      <w:r>
        <w:rPr>
          <w:rFonts w:hint="eastAsia"/>
          <w:color w:val="auto"/>
          <w:highlight w:val="none"/>
        </w:rPr>
        <w:t>开</w:t>
      </w:r>
      <w:r>
        <w:rPr>
          <w:color w:val="auto"/>
          <w:highlight w:val="none"/>
        </w:rPr>
        <w:t xml:space="preserve"> </w:t>
      </w:r>
      <w:r>
        <w:rPr>
          <w:rFonts w:hint="eastAsia"/>
          <w:color w:val="auto"/>
          <w:highlight w:val="none"/>
        </w:rPr>
        <w:t>立</w:t>
      </w:r>
      <w:r>
        <w:rPr>
          <w:color w:val="auto"/>
          <w:highlight w:val="none"/>
        </w:rPr>
        <w:t xml:space="preserve"> </w:t>
      </w:r>
      <w:r>
        <w:rPr>
          <w:rFonts w:hint="eastAsia"/>
          <w:color w:val="auto"/>
          <w:highlight w:val="none"/>
        </w:rPr>
        <w:t>人：</w:t>
      </w:r>
      <w:r>
        <w:rPr>
          <w:color w:val="auto"/>
          <w:highlight w:val="none"/>
        </w:rPr>
        <w:t xml:space="preserve">                                                  </w:t>
      </w:r>
      <w:r>
        <w:rPr>
          <w:rFonts w:hint="eastAsia"/>
          <w:color w:val="auto"/>
          <w:highlight w:val="none"/>
        </w:rPr>
        <w:t>（公章）</w:t>
      </w:r>
      <w:r>
        <w:rPr>
          <w:color w:val="auto"/>
          <w:highlight w:val="none"/>
        </w:rPr>
        <w:t xml:space="preserve"> </w:t>
      </w:r>
    </w:p>
    <w:p w14:paraId="199DFF5E">
      <w:pPr>
        <w:snapToGrid w:val="0"/>
        <w:spacing w:before="50" w:after="120" w:afterLines="50" w:line="276" w:lineRule="auto"/>
        <w:jc w:val="left"/>
        <w:rPr>
          <w:color w:val="auto"/>
          <w:highlight w:val="none"/>
        </w:rPr>
      </w:pPr>
      <w:r>
        <w:rPr>
          <w:rFonts w:hint="eastAsia"/>
          <w:color w:val="auto"/>
          <w:highlight w:val="none"/>
        </w:rPr>
        <w:t>法定代表人（或授权代表）</w:t>
      </w:r>
      <w:r>
        <w:rPr>
          <w:color w:val="auto"/>
          <w:highlight w:val="none"/>
        </w:rPr>
        <w:t xml:space="preserve"> </w:t>
      </w:r>
      <w:r>
        <w:rPr>
          <w:rFonts w:hint="eastAsia"/>
          <w:color w:val="auto"/>
          <w:highlight w:val="none"/>
        </w:rPr>
        <w:t>：</w:t>
      </w:r>
      <w:r>
        <w:rPr>
          <w:color w:val="auto"/>
          <w:highlight w:val="none"/>
        </w:rPr>
        <w:t xml:space="preserve">               </w:t>
      </w:r>
      <w:r>
        <w:rPr>
          <w:rFonts w:hint="eastAsia"/>
          <w:color w:val="auto"/>
          <w:highlight w:val="none"/>
        </w:rPr>
        <w:t>（签字）</w:t>
      </w:r>
      <w:r>
        <w:rPr>
          <w:color w:val="auto"/>
          <w:highlight w:val="none"/>
        </w:rPr>
        <w:t xml:space="preserve"> </w:t>
      </w:r>
    </w:p>
    <w:p w14:paraId="6D22822A">
      <w:pPr>
        <w:snapToGrid w:val="0"/>
        <w:spacing w:before="50" w:after="120" w:afterLines="50" w:line="276" w:lineRule="auto"/>
        <w:jc w:val="left"/>
        <w:rPr>
          <w:color w:val="auto"/>
          <w:highlight w:val="none"/>
        </w:rPr>
      </w:pPr>
      <w:r>
        <w:rPr>
          <w:rFonts w:hint="eastAsia"/>
          <w:color w:val="auto"/>
          <w:highlight w:val="none"/>
        </w:rPr>
        <w:t>地</w:t>
      </w:r>
      <w:r>
        <w:rPr>
          <w:color w:val="auto"/>
          <w:highlight w:val="none"/>
        </w:rPr>
        <w:t xml:space="preserve">    </w:t>
      </w:r>
      <w:r>
        <w:rPr>
          <w:rFonts w:hint="eastAsia"/>
          <w:color w:val="auto"/>
          <w:highlight w:val="none"/>
        </w:rPr>
        <w:t>址：</w:t>
      </w:r>
      <w:r>
        <w:rPr>
          <w:color w:val="auto"/>
          <w:highlight w:val="none"/>
        </w:rPr>
        <w:t xml:space="preserve">                                       </w:t>
      </w:r>
    </w:p>
    <w:p w14:paraId="1686F9CC">
      <w:pPr>
        <w:snapToGrid w:val="0"/>
        <w:spacing w:before="50" w:after="120" w:afterLines="50" w:line="276" w:lineRule="auto"/>
        <w:jc w:val="left"/>
        <w:rPr>
          <w:color w:val="auto"/>
          <w:highlight w:val="none"/>
        </w:rPr>
      </w:pPr>
      <w:r>
        <w:rPr>
          <w:rFonts w:hint="eastAsia"/>
          <w:color w:val="auto"/>
          <w:highlight w:val="none"/>
        </w:rPr>
        <w:t>邮政编码：</w:t>
      </w:r>
      <w:r>
        <w:rPr>
          <w:color w:val="auto"/>
          <w:highlight w:val="none"/>
        </w:rPr>
        <w:t xml:space="preserve">                 </w:t>
      </w:r>
    </w:p>
    <w:p w14:paraId="17A2EE5D">
      <w:pPr>
        <w:snapToGrid w:val="0"/>
        <w:spacing w:before="50" w:after="120" w:afterLines="50" w:line="276" w:lineRule="auto"/>
        <w:jc w:val="left"/>
        <w:rPr>
          <w:color w:val="auto"/>
          <w:highlight w:val="none"/>
        </w:rPr>
      </w:pPr>
      <w:r>
        <w:rPr>
          <w:rFonts w:hint="eastAsia"/>
          <w:color w:val="auto"/>
          <w:highlight w:val="none"/>
        </w:rPr>
        <w:t>电</w:t>
      </w:r>
      <w:r>
        <w:rPr>
          <w:color w:val="auto"/>
          <w:highlight w:val="none"/>
        </w:rPr>
        <w:t xml:space="preserve">    </w:t>
      </w:r>
      <w:r>
        <w:rPr>
          <w:rFonts w:hint="eastAsia"/>
          <w:color w:val="auto"/>
          <w:highlight w:val="none"/>
        </w:rPr>
        <w:t>话：</w:t>
      </w:r>
      <w:r>
        <w:rPr>
          <w:color w:val="auto"/>
          <w:highlight w:val="none"/>
        </w:rPr>
        <w:t xml:space="preserve">                 </w:t>
      </w:r>
    </w:p>
    <w:p w14:paraId="7CA4AC94">
      <w:pPr>
        <w:snapToGrid w:val="0"/>
        <w:spacing w:before="50" w:after="120" w:afterLines="50" w:line="276" w:lineRule="auto"/>
        <w:jc w:val="left"/>
        <w:rPr>
          <w:color w:val="auto"/>
          <w:highlight w:val="none"/>
        </w:rPr>
      </w:pPr>
      <w:r>
        <w:rPr>
          <w:rFonts w:hint="eastAsia"/>
          <w:color w:val="auto"/>
          <w:highlight w:val="none"/>
        </w:rPr>
        <w:t>传</w:t>
      </w:r>
      <w:r>
        <w:rPr>
          <w:color w:val="auto"/>
          <w:highlight w:val="none"/>
        </w:rPr>
        <w:t xml:space="preserve">    </w:t>
      </w:r>
      <w:r>
        <w:rPr>
          <w:rFonts w:hint="eastAsia"/>
          <w:color w:val="auto"/>
          <w:highlight w:val="none"/>
        </w:rPr>
        <w:t>真：</w:t>
      </w:r>
      <w:r>
        <w:rPr>
          <w:color w:val="auto"/>
          <w:highlight w:val="none"/>
        </w:rPr>
        <w:t xml:space="preserve">                 </w:t>
      </w:r>
    </w:p>
    <w:p w14:paraId="06163D77">
      <w:pPr>
        <w:snapToGrid w:val="0"/>
        <w:spacing w:before="50" w:after="120" w:afterLines="50" w:line="276" w:lineRule="auto"/>
        <w:jc w:val="left"/>
        <w:rPr>
          <w:color w:val="auto"/>
          <w:highlight w:val="none"/>
        </w:rPr>
      </w:pPr>
      <w:r>
        <w:rPr>
          <w:rFonts w:hint="eastAsia"/>
          <w:color w:val="auto"/>
          <w:highlight w:val="none"/>
        </w:rPr>
        <w:t>开立时间：</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3AFF5631">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lang w:val="en-US" w:eastAsia="zh-CN"/>
        </w:rPr>
        <w:t>4</w:t>
      </w:r>
      <w:r>
        <w:rPr>
          <w:color w:val="auto"/>
          <w:szCs w:val="21"/>
          <w:highlight w:val="none"/>
        </w:rPr>
        <w:t>．供应商认为应当要提交的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73202E81">
      <w:pPr>
        <w:spacing w:line="276" w:lineRule="auto"/>
        <w:rPr>
          <w:bCs/>
          <w:color w:val="auto"/>
          <w:sz w:val="24"/>
          <w:highlight w:val="none"/>
        </w:rPr>
      </w:pPr>
    </w:p>
    <w:p w14:paraId="6302C683">
      <w:pPr>
        <w:pStyle w:val="7"/>
        <w:overflowPunct w:val="0"/>
        <w:ind w:firstLine="0"/>
        <w:rPr>
          <w:color w:val="auto"/>
          <w:szCs w:val="21"/>
          <w:highlight w:val="none"/>
        </w:rPr>
      </w:pPr>
      <w:bookmarkStart w:id="90" w:name="_Hlk65854557"/>
      <w:bookmarkStart w:id="91" w:name="_Hlk65852070"/>
      <w:r>
        <w:rPr>
          <w:color w:val="auto"/>
          <w:szCs w:val="21"/>
          <w:highlight w:val="none"/>
        </w:rPr>
        <w:t xml:space="preserve"> </w:t>
      </w:r>
    </w:p>
    <w:bookmarkEnd w:id="90"/>
    <w:bookmarkEnd w:id="91"/>
    <w:p w14:paraId="25BB4B5C">
      <w:pPr>
        <w:widowControl/>
        <w:jc w:val="left"/>
        <w:rPr>
          <w:rFonts w:hint="eastAsia"/>
          <w:color w:val="auto"/>
          <w:szCs w:val="21"/>
          <w:highlight w:val="none"/>
        </w:rPr>
      </w:pPr>
    </w:p>
    <w:p w14:paraId="34703DE3">
      <w:pPr>
        <w:snapToGrid w:val="0"/>
        <w:spacing w:before="120" w:beforeLines="50" w:after="50" w:line="440" w:lineRule="exact"/>
        <w:jc w:val="left"/>
        <w:outlineLvl w:val="1"/>
        <w:rPr>
          <w:bCs/>
          <w:color w:val="auto"/>
          <w:sz w:val="24"/>
          <w:highlight w:val="none"/>
        </w:rPr>
      </w:pPr>
      <w:r>
        <w:rPr>
          <w:bCs/>
          <w:color w:val="auto"/>
          <w:sz w:val="24"/>
          <w:highlight w:val="none"/>
        </w:rPr>
        <w:br w:type="page"/>
      </w:r>
      <w:r>
        <w:rPr>
          <w:rFonts w:hint="eastAsia"/>
          <w:bCs/>
          <w:color w:val="auto"/>
          <w:sz w:val="24"/>
          <w:highlight w:val="none"/>
        </w:rPr>
        <w:t>2</w:t>
      </w:r>
      <w:r>
        <w:rPr>
          <w:bCs/>
          <w:color w:val="auto"/>
          <w:sz w:val="24"/>
          <w:highlight w:val="none"/>
        </w:rPr>
        <w:t>．响应文件封面参考格式</w:t>
      </w:r>
      <w:r>
        <w:rPr>
          <w:rFonts w:hint="eastAsia"/>
          <w:bCs/>
          <w:color w:val="auto"/>
          <w:sz w:val="24"/>
          <w:highlight w:val="none"/>
        </w:rPr>
        <w:t>（商务技术文件）</w:t>
      </w:r>
      <w:r>
        <w:rPr>
          <w:bCs/>
          <w:color w:val="auto"/>
          <w:sz w:val="24"/>
          <w:highlight w:val="none"/>
        </w:rPr>
        <w:t>：</w:t>
      </w:r>
    </w:p>
    <w:p w14:paraId="6DA048E3">
      <w:pPr>
        <w:snapToGrid w:val="0"/>
        <w:spacing w:before="120" w:beforeLines="50" w:after="50" w:line="360" w:lineRule="exact"/>
        <w:rPr>
          <w:color w:val="auto"/>
          <w:sz w:val="24"/>
          <w:highlight w:val="none"/>
        </w:rPr>
      </w:pPr>
    </w:p>
    <w:p w14:paraId="3E942C04">
      <w:pPr>
        <w:snapToGrid w:val="0"/>
        <w:spacing w:before="120" w:beforeLines="50" w:after="50" w:line="360" w:lineRule="exact"/>
        <w:jc w:val="center"/>
        <w:rPr>
          <w:bCs/>
          <w:color w:val="auto"/>
          <w:sz w:val="24"/>
          <w:highlight w:val="none"/>
        </w:rPr>
      </w:pPr>
    </w:p>
    <w:p w14:paraId="5AF1CAA3">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6B93AAAB">
      <w:pPr>
        <w:snapToGrid w:val="0"/>
        <w:spacing w:before="120" w:beforeLines="50" w:after="50" w:line="360" w:lineRule="exact"/>
        <w:jc w:val="center"/>
        <w:rPr>
          <w:b/>
          <w:bCs/>
          <w:color w:val="auto"/>
          <w:sz w:val="44"/>
          <w:szCs w:val="44"/>
          <w:highlight w:val="none"/>
        </w:rPr>
      </w:pPr>
    </w:p>
    <w:p w14:paraId="05B7C1A0">
      <w:pPr>
        <w:snapToGrid w:val="0"/>
        <w:spacing w:before="120" w:beforeLines="50" w:after="50" w:line="360" w:lineRule="exact"/>
        <w:jc w:val="center"/>
        <w:rPr>
          <w:b/>
          <w:bCs/>
          <w:color w:val="auto"/>
          <w:sz w:val="44"/>
          <w:szCs w:val="44"/>
          <w:highlight w:val="none"/>
        </w:rPr>
      </w:pPr>
    </w:p>
    <w:p w14:paraId="2F1995E2">
      <w:pPr>
        <w:snapToGrid w:val="0"/>
        <w:spacing w:before="120" w:beforeLines="50" w:after="50" w:line="360" w:lineRule="exact"/>
        <w:jc w:val="center"/>
        <w:rPr>
          <w:b/>
          <w:bCs/>
          <w:color w:val="auto"/>
          <w:sz w:val="44"/>
          <w:szCs w:val="44"/>
          <w:highlight w:val="none"/>
        </w:rPr>
      </w:pPr>
      <w:r>
        <w:rPr>
          <w:b/>
          <w:bCs/>
          <w:color w:val="auto"/>
          <w:sz w:val="44"/>
          <w:szCs w:val="44"/>
          <w:highlight w:val="none"/>
        </w:rPr>
        <w:t>商务技术文件</w:t>
      </w:r>
    </w:p>
    <w:p w14:paraId="2CEA00BC">
      <w:pPr>
        <w:snapToGrid w:val="0"/>
        <w:spacing w:before="120" w:beforeLines="50" w:after="50" w:line="360" w:lineRule="exact"/>
        <w:rPr>
          <w:bCs/>
          <w:color w:val="auto"/>
          <w:sz w:val="24"/>
          <w:highlight w:val="none"/>
        </w:rPr>
      </w:pPr>
    </w:p>
    <w:p w14:paraId="0AB47774">
      <w:pPr>
        <w:snapToGrid w:val="0"/>
        <w:spacing w:before="120" w:beforeLines="50" w:after="50" w:line="360" w:lineRule="exact"/>
        <w:rPr>
          <w:bCs/>
          <w:color w:val="auto"/>
          <w:sz w:val="24"/>
          <w:highlight w:val="none"/>
        </w:rPr>
      </w:pPr>
    </w:p>
    <w:p w14:paraId="2B6F59DD">
      <w:pPr>
        <w:snapToGrid w:val="0"/>
        <w:spacing w:before="120" w:beforeLines="50" w:after="50" w:line="360" w:lineRule="exact"/>
        <w:rPr>
          <w:bCs/>
          <w:color w:val="auto"/>
          <w:sz w:val="24"/>
          <w:highlight w:val="none"/>
        </w:rPr>
      </w:pPr>
    </w:p>
    <w:p w14:paraId="42B7C227">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03B20C62">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50B960F">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5626F6E8">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73465DF2">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258C9F0D">
      <w:pPr>
        <w:pStyle w:val="7"/>
        <w:snapToGrid w:val="0"/>
        <w:spacing w:before="50" w:after="50" w:line="360" w:lineRule="exact"/>
        <w:ind w:firstLine="960" w:firstLineChars="400"/>
        <w:rPr>
          <w:bCs/>
          <w:color w:val="auto"/>
          <w:sz w:val="24"/>
          <w:szCs w:val="24"/>
          <w:highlight w:val="none"/>
        </w:rPr>
      </w:pPr>
    </w:p>
    <w:p w14:paraId="4D5B4F4B">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3298FDED">
      <w:pPr>
        <w:snapToGrid w:val="0"/>
        <w:spacing w:before="50" w:after="50" w:line="440" w:lineRule="exact"/>
        <w:ind w:firstLine="102" w:firstLineChars="49"/>
        <w:jc w:val="center"/>
        <w:rPr>
          <w:color w:val="auto"/>
          <w:highlight w:val="none"/>
        </w:rPr>
      </w:pPr>
      <w:r>
        <w:rPr>
          <w:color w:val="auto"/>
          <w:highlight w:val="none"/>
        </w:rPr>
        <w:br w:type="page"/>
      </w:r>
      <w:r>
        <w:rPr>
          <w:rFonts w:hint="eastAsia"/>
          <w:b/>
          <w:color w:val="auto"/>
          <w:sz w:val="28"/>
          <w:szCs w:val="28"/>
          <w:highlight w:val="none"/>
        </w:rPr>
        <w:t>评审索引表</w:t>
      </w:r>
    </w:p>
    <w:tbl>
      <w:tblPr>
        <w:tblStyle w:val="51"/>
        <w:tblpPr w:leftFromText="180" w:rightFromText="180" w:vertAnchor="text" w:horzAnchor="page" w:tblpX="1810" w:tblpY="242"/>
        <w:tblW w:w="8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2523"/>
        <w:gridCol w:w="1843"/>
        <w:gridCol w:w="2977"/>
      </w:tblGrid>
      <w:tr w14:paraId="6F567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129" w:type="dxa"/>
            <w:tcBorders>
              <w:top w:val="single" w:color="auto" w:sz="4" w:space="0"/>
              <w:left w:val="single" w:color="auto" w:sz="4" w:space="0"/>
              <w:bottom w:val="single" w:color="auto" w:sz="4" w:space="0"/>
              <w:right w:val="single" w:color="auto" w:sz="4" w:space="0"/>
            </w:tcBorders>
            <w:noWrap w:val="0"/>
            <w:vAlign w:val="center"/>
          </w:tcPr>
          <w:p w14:paraId="1FA8B0D9">
            <w:pPr>
              <w:jc w:val="center"/>
              <w:rPr>
                <w:rFonts w:ascii="Arial" w:hAnsi="Arial" w:cs="Arial"/>
                <w:color w:val="auto"/>
                <w:szCs w:val="21"/>
                <w:highlight w:val="none"/>
              </w:rPr>
            </w:pPr>
            <w:r>
              <w:rPr>
                <w:rFonts w:hint="eastAsia" w:ascii="Arial" w:hAnsi="Arial" w:cs="Arial"/>
                <w:color w:val="auto"/>
                <w:szCs w:val="21"/>
                <w:highlight w:val="none"/>
              </w:rPr>
              <w:t>评审要求</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4A253A77">
            <w:pPr>
              <w:jc w:val="center"/>
              <w:rPr>
                <w:rFonts w:ascii="Arial" w:hAnsi="Arial" w:cs="Arial"/>
                <w:color w:val="auto"/>
                <w:szCs w:val="21"/>
                <w:highlight w:val="none"/>
              </w:rPr>
            </w:pPr>
            <w:r>
              <w:rPr>
                <w:rFonts w:hint="eastAsia" w:ascii="Arial" w:hAnsi="Arial" w:cs="Arial"/>
                <w:color w:val="auto"/>
                <w:szCs w:val="21"/>
                <w:highlight w:val="none"/>
              </w:rPr>
              <w:t>评分标准</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0F4528B">
            <w:pPr>
              <w:jc w:val="center"/>
              <w:rPr>
                <w:rFonts w:ascii="Arial" w:hAnsi="Arial" w:cs="Arial"/>
                <w:color w:val="auto"/>
                <w:szCs w:val="21"/>
                <w:highlight w:val="none"/>
              </w:rPr>
            </w:pPr>
            <w:r>
              <w:rPr>
                <w:rFonts w:hint="eastAsia" w:ascii="Arial" w:hAnsi="Arial" w:cs="Arial"/>
                <w:color w:val="auto"/>
                <w:szCs w:val="21"/>
                <w:highlight w:val="none"/>
              </w:rPr>
              <w:t>响应情况及</w:t>
            </w:r>
          </w:p>
          <w:p w14:paraId="4E3C03B7">
            <w:pPr>
              <w:jc w:val="center"/>
              <w:rPr>
                <w:rFonts w:ascii="Arial" w:hAnsi="Arial" w:cs="Arial"/>
                <w:color w:val="auto"/>
                <w:szCs w:val="21"/>
                <w:highlight w:val="none"/>
              </w:rPr>
            </w:pPr>
            <w:r>
              <w:rPr>
                <w:rFonts w:ascii="Arial" w:hAnsi="Arial" w:cs="Arial"/>
                <w:color w:val="auto"/>
                <w:szCs w:val="21"/>
                <w:highlight w:val="none"/>
              </w:rPr>
              <w:t>对应页码</w:t>
            </w:r>
          </w:p>
        </w:tc>
        <w:tc>
          <w:tcPr>
            <w:tcW w:w="2977" w:type="dxa"/>
            <w:tcBorders>
              <w:top w:val="single" w:color="auto" w:sz="4" w:space="0"/>
              <w:left w:val="single" w:color="auto" w:sz="4" w:space="0"/>
              <w:bottom w:val="single" w:color="auto" w:sz="4" w:space="0"/>
              <w:right w:val="single" w:color="auto" w:sz="4" w:space="0"/>
            </w:tcBorders>
            <w:noWrap w:val="0"/>
            <w:vAlign w:val="top"/>
          </w:tcPr>
          <w:p w14:paraId="13F2DD3E">
            <w:pPr>
              <w:jc w:val="center"/>
              <w:rPr>
                <w:rFonts w:hint="eastAsia" w:ascii="Arial" w:hAnsi="Arial" w:cs="Arial"/>
                <w:color w:val="auto"/>
                <w:szCs w:val="21"/>
                <w:highlight w:val="none"/>
              </w:rPr>
            </w:pPr>
            <w:r>
              <w:rPr>
                <w:rFonts w:hint="eastAsia" w:ascii="Arial" w:hAnsi="Arial" w:cs="Arial"/>
                <w:color w:val="auto"/>
                <w:szCs w:val="21"/>
                <w:highlight w:val="none"/>
              </w:rPr>
              <w:t>得分（投标人自行打分）</w:t>
            </w:r>
          </w:p>
        </w:tc>
      </w:tr>
      <w:tr w14:paraId="48880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restart"/>
            <w:tcBorders>
              <w:top w:val="single" w:color="auto" w:sz="4" w:space="0"/>
              <w:left w:val="single" w:color="auto" w:sz="4" w:space="0"/>
              <w:right w:val="single" w:color="auto" w:sz="4" w:space="0"/>
            </w:tcBorders>
            <w:noWrap w:val="0"/>
            <w:vAlign w:val="center"/>
          </w:tcPr>
          <w:p w14:paraId="3171EA16">
            <w:pPr>
              <w:jc w:val="center"/>
              <w:rPr>
                <w:rFonts w:hint="eastAsia" w:ascii="Arial" w:hAnsi="Arial" w:cs="Arial"/>
                <w:color w:val="auto"/>
                <w:szCs w:val="21"/>
                <w:highlight w:val="none"/>
              </w:rPr>
            </w:pPr>
            <w:r>
              <w:rPr>
                <w:rFonts w:hint="eastAsia" w:ascii="Arial" w:hAnsi="Arial" w:cs="Arial"/>
                <w:color w:val="auto"/>
                <w:szCs w:val="21"/>
                <w:highlight w:val="none"/>
              </w:rPr>
              <w:t>商务资信分</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10B1920E">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87BD199">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2E772BBC">
            <w:pPr>
              <w:jc w:val="center"/>
              <w:rPr>
                <w:rFonts w:ascii="Arial" w:hAnsi="Arial" w:cs="Arial"/>
                <w:color w:val="auto"/>
                <w:szCs w:val="21"/>
                <w:highlight w:val="none"/>
              </w:rPr>
            </w:pPr>
          </w:p>
        </w:tc>
      </w:tr>
      <w:tr w14:paraId="70A34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noWrap w:val="0"/>
            <w:vAlign w:val="center"/>
          </w:tcPr>
          <w:p w14:paraId="084A3BB7">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3A36F0C3">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9FBB453">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759E37AE">
            <w:pPr>
              <w:jc w:val="center"/>
              <w:rPr>
                <w:rFonts w:ascii="Arial" w:hAnsi="Arial" w:cs="Arial"/>
                <w:color w:val="auto"/>
                <w:szCs w:val="21"/>
                <w:highlight w:val="none"/>
              </w:rPr>
            </w:pPr>
          </w:p>
        </w:tc>
      </w:tr>
      <w:tr w14:paraId="41B15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noWrap w:val="0"/>
            <w:vAlign w:val="center"/>
          </w:tcPr>
          <w:p w14:paraId="09E96333">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5BB853FD">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0F61AB5">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D5FEC89">
            <w:pPr>
              <w:jc w:val="center"/>
              <w:rPr>
                <w:rFonts w:ascii="Arial" w:hAnsi="Arial" w:cs="Arial"/>
                <w:color w:val="auto"/>
                <w:szCs w:val="21"/>
                <w:highlight w:val="none"/>
              </w:rPr>
            </w:pPr>
          </w:p>
        </w:tc>
      </w:tr>
      <w:tr w14:paraId="573CD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noWrap w:val="0"/>
            <w:vAlign w:val="center"/>
          </w:tcPr>
          <w:p w14:paraId="0E24D96A">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69E1BA94">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E83E3A0">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30A9683C">
            <w:pPr>
              <w:jc w:val="center"/>
              <w:rPr>
                <w:rFonts w:ascii="Arial" w:hAnsi="Arial" w:cs="Arial"/>
                <w:color w:val="auto"/>
                <w:szCs w:val="21"/>
                <w:highlight w:val="none"/>
              </w:rPr>
            </w:pPr>
          </w:p>
        </w:tc>
      </w:tr>
      <w:tr w14:paraId="7A809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noWrap w:val="0"/>
            <w:vAlign w:val="center"/>
          </w:tcPr>
          <w:p w14:paraId="407C876E">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1C669F7D">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64AD54">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59B32B61">
            <w:pPr>
              <w:jc w:val="center"/>
              <w:rPr>
                <w:rFonts w:ascii="Arial" w:hAnsi="Arial" w:cs="Arial"/>
                <w:color w:val="auto"/>
                <w:szCs w:val="21"/>
                <w:highlight w:val="none"/>
              </w:rPr>
            </w:pPr>
          </w:p>
        </w:tc>
      </w:tr>
      <w:tr w14:paraId="1B76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top w:val="single" w:color="auto" w:sz="4" w:space="0"/>
              <w:left w:val="single" w:color="auto" w:sz="4" w:space="0"/>
              <w:right w:val="single" w:color="auto" w:sz="4" w:space="0"/>
            </w:tcBorders>
            <w:noWrap w:val="0"/>
            <w:vAlign w:val="center"/>
          </w:tcPr>
          <w:p w14:paraId="74B0C26B">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3D1156AE">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947C2AA">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7AE9EF93">
            <w:pPr>
              <w:jc w:val="center"/>
              <w:rPr>
                <w:rFonts w:ascii="Arial" w:hAnsi="Arial" w:cs="Arial"/>
                <w:color w:val="auto"/>
                <w:szCs w:val="21"/>
                <w:highlight w:val="none"/>
              </w:rPr>
            </w:pPr>
          </w:p>
        </w:tc>
      </w:tr>
      <w:tr w14:paraId="199C6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restart"/>
            <w:tcBorders>
              <w:top w:val="single" w:color="auto" w:sz="4" w:space="0"/>
              <w:left w:val="single" w:color="auto" w:sz="4" w:space="0"/>
              <w:right w:val="single" w:color="auto" w:sz="4" w:space="0"/>
            </w:tcBorders>
            <w:noWrap w:val="0"/>
            <w:vAlign w:val="center"/>
          </w:tcPr>
          <w:p w14:paraId="4D4C35FC">
            <w:pPr>
              <w:jc w:val="center"/>
              <w:rPr>
                <w:rFonts w:ascii="Arial" w:hAnsi="Arial" w:cs="Arial"/>
                <w:color w:val="auto"/>
                <w:szCs w:val="21"/>
                <w:highlight w:val="none"/>
              </w:rPr>
            </w:pPr>
            <w:r>
              <w:rPr>
                <w:rFonts w:hint="eastAsia" w:ascii="Arial" w:hAnsi="Arial" w:cs="Arial"/>
                <w:color w:val="auto"/>
                <w:szCs w:val="21"/>
                <w:highlight w:val="none"/>
              </w:rPr>
              <w:t>技术分</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21A1EC28">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BB6C2E">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2E002265">
            <w:pPr>
              <w:jc w:val="center"/>
              <w:rPr>
                <w:rFonts w:ascii="Arial" w:hAnsi="Arial" w:cs="Arial"/>
                <w:color w:val="auto"/>
                <w:szCs w:val="21"/>
                <w:highlight w:val="none"/>
              </w:rPr>
            </w:pPr>
          </w:p>
        </w:tc>
      </w:tr>
      <w:tr w14:paraId="34107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noWrap w:val="0"/>
            <w:vAlign w:val="center"/>
          </w:tcPr>
          <w:p w14:paraId="048EB927">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12968591">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E5465B">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6254F7C">
            <w:pPr>
              <w:jc w:val="center"/>
              <w:rPr>
                <w:rFonts w:ascii="Arial" w:hAnsi="Arial" w:cs="Arial"/>
                <w:color w:val="auto"/>
                <w:szCs w:val="21"/>
                <w:highlight w:val="none"/>
              </w:rPr>
            </w:pPr>
          </w:p>
        </w:tc>
      </w:tr>
      <w:tr w14:paraId="3814B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noWrap w:val="0"/>
            <w:vAlign w:val="center"/>
          </w:tcPr>
          <w:p w14:paraId="7CB6359B">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128B70BE">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63F7B6">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D4EDC30">
            <w:pPr>
              <w:jc w:val="center"/>
              <w:rPr>
                <w:rFonts w:ascii="Arial" w:hAnsi="Arial" w:cs="Arial"/>
                <w:color w:val="auto"/>
                <w:szCs w:val="21"/>
                <w:highlight w:val="none"/>
              </w:rPr>
            </w:pPr>
          </w:p>
        </w:tc>
      </w:tr>
      <w:tr w14:paraId="0BF47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noWrap w:val="0"/>
            <w:vAlign w:val="center"/>
          </w:tcPr>
          <w:p w14:paraId="0C3392A9">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40B14A79">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0EF70F">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3EBE2A53">
            <w:pPr>
              <w:jc w:val="center"/>
              <w:rPr>
                <w:rFonts w:ascii="Arial" w:hAnsi="Arial" w:cs="Arial"/>
                <w:color w:val="auto"/>
                <w:szCs w:val="21"/>
                <w:highlight w:val="none"/>
              </w:rPr>
            </w:pPr>
          </w:p>
        </w:tc>
      </w:tr>
      <w:tr w14:paraId="78321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129" w:type="dxa"/>
            <w:vMerge w:val="continue"/>
            <w:tcBorders>
              <w:left w:val="single" w:color="auto" w:sz="4" w:space="0"/>
              <w:right w:val="single" w:color="auto" w:sz="4" w:space="0"/>
            </w:tcBorders>
            <w:noWrap w:val="0"/>
            <w:vAlign w:val="center"/>
          </w:tcPr>
          <w:p w14:paraId="0120CB77">
            <w:pPr>
              <w:jc w:val="center"/>
              <w:rPr>
                <w:rFonts w:ascii="Arial" w:hAnsi="Arial" w:cs="Arial"/>
                <w:color w:val="auto"/>
                <w:szCs w:val="21"/>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0D958D95">
            <w:pPr>
              <w:rPr>
                <w:rFonts w:ascii="Arial" w:hAnsi="Arial" w:cs="Arial"/>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ED9499">
            <w:pPr>
              <w:jc w:val="center"/>
              <w:rPr>
                <w:rFonts w:ascii="Arial" w:hAnsi="Arial" w:cs="Arial"/>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39B3B3B6">
            <w:pPr>
              <w:jc w:val="center"/>
              <w:rPr>
                <w:rFonts w:ascii="Arial" w:hAnsi="Arial" w:cs="Arial"/>
                <w:color w:val="auto"/>
                <w:szCs w:val="21"/>
                <w:highlight w:val="none"/>
              </w:rPr>
            </w:pPr>
          </w:p>
        </w:tc>
      </w:tr>
    </w:tbl>
    <w:p w14:paraId="4DDD0A8C">
      <w:pPr>
        <w:snapToGrid w:val="0"/>
        <w:spacing w:before="50" w:after="50" w:line="440" w:lineRule="exact"/>
        <w:ind w:firstLine="102" w:firstLineChars="49"/>
        <w:jc w:val="center"/>
        <w:rPr>
          <w:b/>
          <w:color w:val="auto"/>
          <w:sz w:val="28"/>
          <w:szCs w:val="28"/>
          <w:highlight w:val="none"/>
        </w:rPr>
      </w:pPr>
      <w:r>
        <w:rPr>
          <w:color w:val="auto"/>
          <w:highlight w:val="none"/>
        </w:rPr>
        <w:br w:type="page"/>
      </w:r>
      <w:r>
        <w:rPr>
          <w:b/>
          <w:color w:val="auto"/>
          <w:sz w:val="28"/>
          <w:szCs w:val="28"/>
          <w:highlight w:val="none"/>
        </w:rPr>
        <w:t>目录</w:t>
      </w:r>
    </w:p>
    <w:p w14:paraId="33B5B9EC">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1C8AC668">
      <w:pPr>
        <w:jc w:val="center"/>
        <w:rPr>
          <w:color w:val="auto"/>
          <w:highlight w:val="none"/>
        </w:rPr>
      </w:pPr>
      <w:r>
        <w:rPr>
          <w:color w:val="auto"/>
          <w:highlight w:val="none"/>
        </w:rPr>
        <w:br w:type="page"/>
      </w:r>
    </w:p>
    <w:p w14:paraId="6DD326E7">
      <w:pPr>
        <w:rPr>
          <w:b/>
          <w:color w:val="auto"/>
          <w:szCs w:val="21"/>
          <w:highlight w:val="none"/>
        </w:rPr>
      </w:pPr>
      <w:bookmarkStart w:id="92" w:name="_Toc462223472"/>
      <w:bookmarkStart w:id="93" w:name="_Toc462320613"/>
      <w:bookmarkStart w:id="94" w:name="_Toc455309222"/>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1324B668">
      <w:pPr>
        <w:jc w:val="center"/>
        <w:rPr>
          <w:color w:val="auto"/>
          <w:highlight w:val="none"/>
        </w:rPr>
      </w:pPr>
    </w:p>
    <w:bookmarkEnd w:id="92"/>
    <w:bookmarkEnd w:id="93"/>
    <w:bookmarkEnd w:id="94"/>
    <w:p w14:paraId="4DBB3489">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39006EE4">
      <w:pPr>
        <w:spacing w:line="360" w:lineRule="auto"/>
        <w:rPr>
          <w:color w:val="auto"/>
          <w:highlight w:val="none"/>
        </w:rPr>
      </w:pPr>
    </w:p>
    <w:p w14:paraId="5D7EBEFF">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09009FB7">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63F66C0">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29388BCE">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60806410">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04F2FAFA">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04CD6DB">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7062F6BA">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204DA398">
      <w:pPr>
        <w:spacing w:line="540" w:lineRule="exact"/>
        <w:rPr>
          <w:color w:val="auto"/>
          <w:szCs w:val="21"/>
          <w:highlight w:val="none"/>
        </w:rPr>
      </w:pPr>
    </w:p>
    <w:p w14:paraId="1DCEE706">
      <w:pPr>
        <w:spacing w:line="540" w:lineRule="exact"/>
        <w:ind w:firstLine="420" w:firstLineChars="200"/>
        <w:rPr>
          <w:color w:val="auto"/>
          <w:szCs w:val="21"/>
          <w:highlight w:val="none"/>
        </w:rPr>
      </w:pPr>
      <w:r>
        <w:rPr>
          <w:color w:val="auto"/>
          <w:szCs w:val="21"/>
          <w:highlight w:val="none"/>
        </w:rPr>
        <w:t>特此证明。</w:t>
      </w:r>
    </w:p>
    <w:p w14:paraId="77C69CE2">
      <w:pPr>
        <w:spacing w:line="360" w:lineRule="auto"/>
        <w:ind w:firstLine="4830" w:firstLineChars="2300"/>
        <w:rPr>
          <w:color w:val="auto"/>
          <w:szCs w:val="21"/>
          <w:highlight w:val="none"/>
        </w:rPr>
      </w:pPr>
    </w:p>
    <w:p w14:paraId="1035B861">
      <w:pPr>
        <w:spacing w:line="360" w:lineRule="auto"/>
        <w:ind w:firstLine="4830" w:firstLineChars="2300"/>
        <w:rPr>
          <w:color w:val="auto"/>
          <w:szCs w:val="21"/>
          <w:highlight w:val="none"/>
        </w:rPr>
      </w:pPr>
    </w:p>
    <w:p w14:paraId="5ADA87BF">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0269B6B">
      <w:pPr>
        <w:spacing w:line="360" w:lineRule="auto"/>
        <w:jc w:val="right"/>
        <w:rPr>
          <w:color w:val="auto"/>
          <w:szCs w:val="21"/>
          <w:highlight w:val="none"/>
        </w:rPr>
      </w:pPr>
      <w:r>
        <w:rPr>
          <w:color w:val="auto"/>
          <w:szCs w:val="21"/>
          <w:highlight w:val="none"/>
        </w:rPr>
        <w:t xml:space="preserve">                                                                                              年       月       日 </w:t>
      </w:r>
    </w:p>
    <w:p w14:paraId="78057003">
      <w:pPr>
        <w:spacing w:line="360" w:lineRule="auto"/>
        <w:ind w:firstLine="420" w:firstLineChars="200"/>
        <w:rPr>
          <w:color w:val="auto"/>
          <w:szCs w:val="21"/>
          <w:highlight w:val="none"/>
        </w:rPr>
      </w:pPr>
    </w:p>
    <w:p w14:paraId="6D537E16">
      <w:pPr>
        <w:spacing w:line="360" w:lineRule="auto"/>
        <w:rPr>
          <w:color w:val="auto"/>
          <w:szCs w:val="21"/>
          <w:highlight w:val="none"/>
        </w:rPr>
      </w:pPr>
      <w:r>
        <w:rPr>
          <w:color w:val="auto"/>
          <w:szCs w:val="21"/>
          <w:highlight w:val="none"/>
        </w:rPr>
        <w:t>附件：法定代表人身份证复印件</w:t>
      </w:r>
    </w:p>
    <w:p w14:paraId="752BE35A">
      <w:pPr>
        <w:spacing w:line="360" w:lineRule="auto"/>
        <w:rPr>
          <w:color w:val="auto"/>
          <w:szCs w:val="21"/>
          <w:highlight w:val="none"/>
        </w:rPr>
      </w:pPr>
    </w:p>
    <w:p w14:paraId="5A0F1BF4">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459FDBA2">
      <w:pPr>
        <w:snapToGrid w:val="0"/>
        <w:spacing w:before="120" w:beforeLines="50" w:after="50" w:line="360" w:lineRule="exact"/>
        <w:rPr>
          <w:b/>
          <w:color w:val="auto"/>
          <w:szCs w:val="21"/>
          <w:highlight w:val="none"/>
        </w:rPr>
      </w:pPr>
    </w:p>
    <w:p w14:paraId="3C3A4EA8">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182D015C">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（征集人名称）</w:t>
      </w:r>
      <w:r>
        <w:rPr>
          <w:color w:val="auto"/>
          <w:szCs w:val="21"/>
          <w:highlight w:val="none"/>
        </w:rPr>
        <w:t>：</w:t>
      </w:r>
    </w:p>
    <w:p w14:paraId="02F954A8">
      <w:pPr>
        <w:snapToGrid w:val="0"/>
        <w:spacing w:before="120" w:beforeLines="50" w:after="50" w:line="440" w:lineRule="exact"/>
        <w:ind w:firstLine="420" w:firstLineChars="200"/>
        <w:rPr>
          <w:color w:val="auto"/>
          <w:szCs w:val="21"/>
          <w:highlight w:val="none"/>
        </w:rPr>
      </w:pPr>
      <w:r>
        <w:rPr>
          <w:color w:val="auto"/>
          <w:szCs w:val="21"/>
          <w:highlight w:val="none"/>
        </w:rPr>
        <w:t>我__</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_系_</w:t>
      </w:r>
      <w:r>
        <w:rPr>
          <w:i/>
          <w:iCs/>
          <w:color w:val="auto"/>
          <w:szCs w:val="21"/>
          <w:highlight w:val="none"/>
          <w:u w:val="single"/>
        </w:rPr>
        <w:t>（供应商名称）</w:t>
      </w:r>
      <w:r>
        <w:rPr>
          <w:color w:val="auto"/>
          <w:szCs w:val="21"/>
          <w:highlight w:val="none"/>
        </w:rPr>
        <w:t xml:space="preserve">_的法定代表人，现授权委托本单位在职职工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项目的响应活动，并代表我方全权办理针对上述项目的响应、截标、评审、签约等具体事务和签署相关文件。</w:t>
      </w:r>
    </w:p>
    <w:p w14:paraId="1C11A5A2">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088AD12B">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6F7A5AFA">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097E25A8">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58CE808C">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99004E0">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7A542185">
      <w:pPr>
        <w:snapToGrid w:val="0"/>
        <w:spacing w:before="120" w:beforeLines="50" w:after="50" w:line="440" w:lineRule="exact"/>
        <w:rPr>
          <w:rFonts w:hint="eastAsia"/>
          <w:color w:val="auto"/>
          <w:szCs w:val="21"/>
          <w:highlight w:val="none"/>
        </w:rPr>
      </w:pPr>
      <w:r>
        <w:rPr>
          <w:rFonts w:hint="eastAsia"/>
          <w:color w:val="auto"/>
          <w:szCs w:val="21"/>
          <w:highlight w:val="none"/>
        </w:rPr>
        <w:t>被授权人手机号码及邮箱：</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532683E9">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019FF5E">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644D705C">
      <w:pPr>
        <w:spacing w:line="360" w:lineRule="auto"/>
        <w:rPr>
          <w:color w:val="auto"/>
          <w:szCs w:val="21"/>
          <w:highlight w:val="none"/>
        </w:rPr>
      </w:pPr>
    </w:p>
    <w:p w14:paraId="0F4990C9">
      <w:pPr>
        <w:spacing w:line="360" w:lineRule="auto"/>
        <w:rPr>
          <w:color w:val="auto"/>
          <w:szCs w:val="21"/>
          <w:highlight w:val="none"/>
        </w:rPr>
      </w:pPr>
    </w:p>
    <w:p w14:paraId="20676C1B">
      <w:pPr>
        <w:spacing w:line="360" w:lineRule="auto"/>
        <w:rPr>
          <w:color w:val="auto"/>
          <w:szCs w:val="21"/>
          <w:highlight w:val="none"/>
        </w:rPr>
      </w:pPr>
      <w:r>
        <w:rPr>
          <w:color w:val="auto"/>
          <w:szCs w:val="21"/>
          <w:highlight w:val="none"/>
        </w:rPr>
        <w:t>附件：法定代表人身份证复印件及授权代表身份证复印件</w:t>
      </w:r>
    </w:p>
    <w:p w14:paraId="21A2C3AE">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第一部分 商务文件</w:t>
      </w:r>
    </w:p>
    <w:p w14:paraId="6119A482">
      <w:pPr>
        <w:jc w:val="center"/>
        <w:rPr>
          <w:bCs/>
          <w:color w:val="auto"/>
          <w:sz w:val="24"/>
          <w:highlight w:val="none"/>
        </w:rPr>
      </w:pPr>
      <w:r>
        <w:rPr>
          <w:color w:val="auto"/>
          <w:highlight w:val="none"/>
        </w:rPr>
        <w:t>（本商务文件供应商可自行编写，也可参照下述提纲编写）</w:t>
      </w:r>
    </w:p>
    <w:p w14:paraId="0248B2BF">
      <w:pPr>
        <w:snapToGrid w:val="0"/>
        <w:spacing w:before="50" w:after="120" w:afterLines="50" w:line="440" w:lineRule="exact"/>
        <w:jc w:val="left"/>
        <w:rPr>
          <w:rFonts w:hint="eastAsia"/>
          <w:color w:val="auto"/>
          <w:szCs w:val="21"/>
          <w:highlight w:val="none"/>
        </w:rPr>
      </w:pPr>
    </w:p>
    <w:p w14:paraId="41D29744">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3B70C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FC1B316">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C601EAD">
            <w:pPr>
              <w:snapToGrid w:val="0"/>
              <w:spacing w:before="120" w:beforeLines="50"/>
              <w:jc w:val="center"/>
              <w:rPr>
                <w:color w:val="auto"/>
                <w:szCs w:val="21"/>
                <w:highlight w:val="none"/>
              </w:rPr>
            </w:pPr>
            <w:r>
              <w:rPr>
                <w:color w:val="auto"/>
                <w:szCs w:val="21"/>
                <w:highlight w:val="none"/>
              </w:rPr>
              <w:t>征集文件的商务要求</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5BD1D27C">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5A52AA8">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7B71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014C441">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DF85861">
            <w:pPr>
              <w:snapToGrid w:val="0"/>
              <w:spacing w:before="120" w:beforeLines="50"/>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82A58B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6CA14DE">
            <w:pPr>
              <w:snapToGrid w:val="0"/>
              <w:spacing w:before="120" w:beforeLines="50"/>
              <w:jc w:val="center"/>
              <w:rPr>
                <w:color w:val="auto"/>
                <w:szCs w:val="21"/>
                <w:highlight w:val="none"/>
              </w:rPr>
            </w:pPr>
          </w:p>
        </w:tc>
      </w:tr>
      <w:tr w14:paraId="50B07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CE09B3D">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5C512E8">
            <w:pPr>
              <w:spacing w:line="360" w:lineRule="exact"/>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525D1F58">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3F8A122">
            <w:pPr>
              <w:snapToGrid w:val="0"/>
              <w:spacing w:before="120" w:beforeLines="50"/>
              <w:jc w:val="center"/>
              <w:rPr>
                <w:color w:val="auto"/>
                <w:szCs w:val="21"/>
                <w:highlight w:val="none"/>
              </w:rPr>
            </w:pPr>
          </w:p>
        </w:tc>
      </w:tr>
      <w:tr w14:paraId="07334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8B89444">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F98F8EC">
            <w:pPr>
              <w:spacing w:line="360" w:lineRule="exact"/>
              <w:jc w:val="center"/>
              <w:rPr>
                <w:color w:val="auto"/>
                <w:szCs w:val="21"/>
                <w:highlight w:val="none"/>
              </w:rPr>
            </w:pPr>
            <w:r>
              <w:rPr>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4D07C0B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EC62850">
            <w:pPr>
              <w:snapToGrid w:val="0"/>
              <w:spacing w:before="120" w:beforeLines="50"/>
              <w:jc w:val="center"/>
              <w:rPr>
                <w:color w:val="auto"/>
                <w:szCs w:val="21"/>
                <w:highlight w:val="none"/>
              </w:rPr>
            </w:pPr>
          </w:p>
        </w:tc>
      </w:tr>
    </w:tbl>
    <w:p w14:paraId="67A0A336">
      <w:pPr>
        <w:pStyle w:val="26"/>
        <w:tabs>
          <w:tab w:val="left" w:pos="2127"/>
        </w:tabs>
        <w:spacing w:line="340" w:lineRule="exact"/>
        <w:ind w:firstLine="420" w:firstLineChars="200"/>
        <w:jc w:val="left"/>
        <w:rPr>
          <w:rFonts w:hint="eastAsia" w:ascii="Times New Roman" w:hAnsi="Times New Roman" w:cs="Times New Roman"/>
          <w:color w:val="auto"/>
          <w:highlight w:val="none"/>
        </w:rPr>
      </w:pPr>
      <w:bookmarkStart w:id="95" w:name="_Hlk48144603"/>
      <w:bookmarkStart w:id="96" w:name="_Hlk88990584"/>
      <w:r>
        <w:rPr>
          <w:rFonts w:ascii="Times New Roman" w:hAnsi="Times New Roman" w:cs="Times New Roman"/>
          <w:color w:val="auto"/>
          <w:highlight w:val="none"/>
        </w:rPr>
        <w:t>注：</w:t>
      </w:r>
      <w:bookmarkStart w:id="97" w:name="_Hlk19049081"/>
      <w:r>
        <w:rPr>
          <w:rFonts w:ascii="Times New Roman" w:hAnsi="Times New Roman" w:cs="Times New Roman"/>
          <w:color w:val="auto"/>
          <w:highlight w:val="none"/>
        </w:rPr>
        <w:t>（1）本表应对征集文件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w:t>
      </w:r>
      <w:r>
        <w:rPr>
          <w:rFonts w:hint="eastAsia" w:ascii="Times New Roman" w:hAnsi="Times New Roman" w:cs="Times New Roman"/>
          <w:color w:val="auto"/>
          <w:highlight w:val="none"/>
        </w:rPr>
        <w:t>逐条</w:t>
      </w:r>
      <w:r>
        <w:rPr>
          <w:rFonts w:ascii="Times New Roman" w:hAnsi="Times New Roman" w:cs="Times New Roman"/>
          <w:color w:val="auto"/>
          <w:highlight w:val="none"/>
        </w:rPr>
        <w:t>响应，并根据响应情况在“偏离说明”</w:t>
      </w:r>
      <w:r>
        <w:rPr>
          <w:rFonts w:hint="eastAsia" w:ascii="Times New Roman" w:hAnsi="Times New Roman" w:cs="Times New Roman"/>
          <w:color w:val="auto"/>
          <w:highlight w:val="none"/>
        </w:rPr>
        <w:t>填写无偏离或正偏离</w:t>
      </w:r>
      <w:r>
        <w:rPr>
          <w:rFonts w:ascii="Times New Roman" w:hAnsi="Times New Roman" w:cs="Times New Roman"/>
          <w:color w:val="auto"/>
          <w:highlight w:val="none"/>
        </w:rPr>
        <w:t>。</w:t>
      </w:r>
      <w:r>
        <w:rPr>
          <w:rFonts w:hint="eastAsia" w:ascii="Times New Roman" w:hAnsi="Times New Roman" w:cs="Times New Roman"/>
          <w:color w:val="auto"/>
          <w:highlight w:val="none"/>
        </w:rPr>
        <w:t>负偏离将导致响应被否决。</w:t>
      </w:r>
    </w:p>
    <w:p w14:paraId="60B806C3">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EB311AC">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7"/>
    <w:p w14:paraId="7486CA71">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5"/>
    <w:p w14:paraId="4E37DA97">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96"/>
    <w:p w14:paraId="5A283FBF">
      <w:pPr>
        <w:snapToGrid w:val="0"/>
        <w:spacing w:before="50" w:after="120" w:afterLines="50" w:line="440" w:lineRule="exact"/>
        <w:jc w:val="left"/>
        <w:rPr>
          <w:rFonts w:hint="eastAsia"/>
          <w:strike/>
          <w:color w:val="auto"/>
          <w:szCs w:val="21"/>
          <w:highlight w:val="none"/>
        </w:rPr>
      </w:pPr>
    </w:p>
    <w:p w14:paraId="54309F25">
      <w:pPr>
        <w:snapToGrid w:val="0"/>
        <w:spacing w:before="50" w:after="120" w:afterLines="50"/>
        <w:jc w:val="left"/>
        <w:rPr>
          <w:b/>
          <w:color w:val="auto"/>
          <w:szCs w:val="21"/>
          <w:highlight w:val="none"/>
        </w:rPr>
      </w:pPr>
      <w:r>
        <w:rPr>
          <w:color w:val="auto"/>
          <w:szCs w:val="21"/>
          <w:highlight w:val="none"/>
        </w:rPr>
        <w:t>2．近年供应商类似成功案例的业绩证明（附中标书或合同复印件）。</w:t>
      </w:r>
    </w:p>
    <w:p w14:paraId="3232D9D3">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947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0"/>
        <w:gridCol w:w="797"/>
        <w:gridCol w:w="1112"/>
        <w:gridCol w:w="945"/>
        <w:gridCol w:w="944"/>
        <w:gridCol w:w="910"/>
        <w:gridCol w:w="827"/>
        <w:gridCol w:w="1286"/>
        <w:gridCol w:w="1103"/>
        <w:gridCol w:w="1103"/>
      </w:tblGrid>
      <w:tr w14:paraId="72DC4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3" w:hRule="atLeast"/>
        </w:trPr>
        <w:tc>
          <w:tcPr>
            <w:tcW w:w="450" w:type="dxa"/>
            <w:tcBorders>
              <w:top w:val="single" w:color="auto" w:sz="4" w:space="0"/>
              <w:left w:val="single" w:color="auto" w:sz="4" w:space="0"/>
              <w:right w:val="single" w:color="auto" w:sz="4" w:space="0"/>
            </w:tcBorders>
            <w:noWrap w:val="0"/>
            <w:vAlign w:val="center"/>
          </w:tcPr>
          <w:p w14:paraId="2F80CC59">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序号</w:t>
            </w:r>
          </w:p>
        </w:tc>
        <w:tc>
          <w:tcPr>
            <w:tcW w:w="797" w:type="dxa"/>
            <w:tcBorders>
              <w:top w:val="single" w:color="auto" w:sz="4" w:space="0"/>
              <w:left w:val="single" w:color="auto" w:sz="4" w:space="0"/>
              <w:right w:val="single" w:color="auto" w:sz="4" w:space="0"/>
            </w:tcBorders>
            <w:noWrap w:val="0"/>
            <w:vAlign w:val="center"/>
          </w:tcPr>
          <w:p w14:paraId="265CD09B">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委托单位（</w:t>
            </w:r>
            <w:r>
              <w:rPr>
                <w:rFonts w:ascii="Times New Roman" w:hAnsi="Times New Roman" w:eastAsia="宋体" w:cs="Times New Roman"/>
                <w:bCs/>
                <w:color w:val="auto"/>
                <w:highlight w:val="none"/>
              </w:rPr>
              <w:t>财政、审计</w:t>
            </w:r>
            <w:r>
              <w:rPr>
                <w:rFonts w:hint="eastAsia" w:ascii="Times New Roman" w:hAnsi="Times New Roman" w:eastAsia="宋体" w:cs="Times New Roman"/>
                <w:bCs/>
                <w:color w:val="auto"/>
                <w:highlight w:val="none"/>
              </w:rPr>
              <w:t>部门</w:t>
            </w:r>
            <w:r>
              <w:rPr>
                <w:rFonts w:hint="eastAsia" w:ascii="Times New Roman" w:hAnsi="Times New Roman" w:eastAsia="宋体" w:cs="Times New Roman"/>
                <w:color w:val="auto"/>
                <w:szCs w:val="21"/>
                <w:highlight w:val="none"/>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441A19D">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工程类型</w:t>
            </w:r>
          </w:p>
          <w:p w14:paraId="60E356ED">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bCs/>
                <w:color w:val="auto"/>
                <w:highlight w:val="none"/>
              </w:rPr>
              <w:t>土建、水利、交通、市政</w:t>
            </w:r>
            <w:r>
              <w:rPr>
                <w:rFonts w:hint="eastAsia" w:ascii="Times New Roman" w:hAnsi="Times New Roman" w:eastAsia="宋体" w:cs="Times New Roman"/>
                <w:color w:val="auto"/>
                <w:szCs w:val="21"/>
                <w:highlight w:val="none"/>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5BDBA4A">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项目建设</w:t>
            </w:r>
            <w:r>
              <w:rPr>
                <w:rFonts w:ascii="Times New Roman" w:hAnsi="Times New Roman" w:eastAsia="宋体" w:cs="Times New Roman"/>
                <w:color w:val="auto"/>
                <w:szCs w:val="21"/>
                <w:highlight w:val="none"/>
              </w:rPr>
              <w:t>单位名称</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EFA9537">
            <w:pPr>
              <w:snapToGrid w:val="0"/>
              <w:spacing w:line="2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项目名称</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6E9CB2F6">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委托</w:t>
            </w:r>
            <w:r>
              <w:rPr>
                <w:rFonts w:ascii="Times New Roman" w:hAnsi="Times New Roman" w:eastAsia="宋体" w:cs="Times New Roman"/>
                <w:color w:val="auto"/>
                <w:szCs w:val="21"/>
                <w:highlight w:val="none"/>
              </w:rPr>
              <w:t>时间</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6521AF4E">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评审结论书或审定表/单时间</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95AB46C">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本次拟派评审人员</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F13165E">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项目审定总价（元）</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475864D2">
            <w:pPr>
              <w:snapToGrid w:val="0"/>
              <w:spacing w:line="24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评审定案净减值（元）</w:t>
            </w:r>
          </w:p>
        </w:tc>
      </w:tr>
      <w:tr w14:paraId="25A89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50" w:type="dxa"/>
            <w:tcBorders>
              <w:top w:val="single" w:color="auto" w:sz="4" w:space="0"/>
              <w:left w:val="single" w:color="auto" w:sz="4" w:space="0"/>
              <w:bottom w:val="single" w:color="auto" w:sz="4" w:space="0"/>
              <w:right w:val="single" w:color="auto" w:sz="4" w:space="0"/>
            </w:tcBorders>
            <w:noWrap w:val="0"/>
            <w:vAlign w:val="top"/>
          </w:tcPr>
          <w:p w14:paraId="615510D0">
            <w:pPr>
              <w:snapToGrid w:val="0"/>
              <w:spacing w:line="240" w:lineRule="exact"/>
              <w:jc w:val="left"/>
              <w:rPr>
                <w:rFonts w:ascii="Times New Roman" w:hAnsi="Times New Roman" w:eastAsia="宋体" w:cs="Times New Roman"/>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noWrap w:val="0"/>
            <w:vAlign w:val="top"/>
          </w:tcPr>
          <w:p w14:paraId="596BC461">
            <w:pPr>
              <w:snapToGrid w:val="0"/>
              <w:spacing w:line="240" w:lineRule="exact"/>
              <w:jc w:val="left"/>
              <w:rPr>
                <w:rFonts w:ascii="Times New Roman" w:hAnsi="Times New Roman" w:eastAsia="宋体" w:cs="Times New Roman"/>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14:paraId="7A015B12">
            <w:pPr>
              <w:snapToGrid w:val="0"/>
              <w:spacing w:line="240" w:lineRule="exact"/>
              <w:jc w:val="left"/>
              <w:rPr>
                <w:rFonts w:ascii="Times New Roman" w:hAnsi="Times New Roman" w:eastAsia="宋体" w:cs="Times New Roman"/>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096C17C">
            <w:pPr>
              <w:snapToGrid w:val="0"/>
              <w:spacing w:line="240" w:lineRule="exact"/>
              <w:jc w:val="left"/>
              <w:rPr>
                <w:rFonts w:ascii="Times New Roman" w:hAnsi="Times New Roman" w:eastAsia="宋体" w:cs="Times New Roman"/>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0CCC239A">
            <w:pPr>
              <w:snapToGrid w:val="0"/>
              <w:spacing w:line="240" w:lineRule="exact"/>
              <w:jc w:val="left"/>
              <w:rPr>
                <w:rFonts w:ascii="Times New Roman" w:hAnsi="Times New Roman" w:eastAsia="宋体" w:cs="Times New Roman"/>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top"/>
          </w:tcPr>
          <w:p w14:paraId="3E78BE7B">
            <w:pPr>
              <w:snapToGrid w:val="0"/>
              <w:spacing w:line="240" w:lineRule="exact"/>
              <w:jc w:val="left"/>
              <w:rPr>
                <w:rFonts w:ascii="Times New Roman" w:hAnsi="Times New Roman" w:eastAsia="宋体" w:cs="Times New Roman"/>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top"/>
          </w:tcPr>
          <w:p w14:paraId="024D3CAA">
            <w:pPr>
              <w:snapToGrid w:val="0"/>
              <w:spacing w:line="240" w:lineRule="exact"/>
              <w:jc w:val="left"/>
              <w:rPr>
                <w:rFonts w:ascii="Times New Roman" w:hAnsi="Times New Roman" w:eastAsia="宋体" w:cs="Times New Roman"/>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noWrap w:val="0"/>
            <w:vAlign w:val="top"/>
          </w:tcPr>
          <w:p w14:paraId="4E3F97CD">
            <w:pPr>
              <w:snapToGrid w:val="0"/>
              <w:spacing w:line="240" w:lineRule="exact"/>
              <w:jc w:val="left"/>
              <w:rPr>
                <w:rFonts w:ascii="Times New Roman" w:hAnsi="Times New Roman" w:eastAsia="宋体" w:cs="Times New Roman"/>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7A0879E9">
            <w:pPr>
              <w:snapToGrid w:val="0"/>
              <w:spacing w:line="240" w:lineRule="exact"/>
              <w:jc w:val="left"/>
              <w:rPr>
                <w:rFonts w:ascii="Times New Roman" w:hAnsi="Times New Roman" w:eastAsia="宋体" w:cs="Times New Roman"/>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69F5CFFC">
            <w:pPr>
              <w:snapToGrid w:val="0"/>
              <w:spacing w:line="240" w:lineRule="exact"/>
              <w:jc w:val="left"/>
              <w:rPr>
                <w:rFonts w:ascii="Times New Roman" w:hAnsi="Times New Roman" w:eastAsia="宋体" w:cs="Times New Roman"/>
                <w:color w:val="auto"/>
                <w:szCs w:val="21"/>
                <w:highlight w:val="none"/>
              </w:rPr>
            </w:pPr>
          </w:p>
        </w:tc>
      </w:tr>
      <w:tr w14:paraId="52912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50" w:type="dxa"/>
            <w:tcBorders>
              <w:top w:val="single" w:color="auto" w:sz="4" w:space="0"/>
              <w:left w:val="single" w:color="auto" w:sz="4" w:space="0"/>
              <w:bottom w:val="single" w:color="auto" w:sz="4" w:space="0"/>
              <w:right w:val="single" w:color="auto" w:sz="4" w:space="0"/>
            </w:tcBorders>
            <w:noWrap w:val="0"/>
            <w:vAlign w:val="top"/>
          </w:tcPr>
          <w:p w14:paraId="19E4C41A">
            <w:pPr>
              <w:snapToGrid w:val="0"/>
              <w:spacing w:before="50" w:after="120" w:afterLines="50" w:line="400" w:lineRule="exact"/>
              <w:jc w:val="left"/>
              <w:rPr>
                <w:rFonts w:ascii="Times New Roman" w:hAnsi="Times New Roman" w:eastAsia="宋体" w:cs="Times New Roman"/>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noWrap w:val="0"/>
            <w:vAlign w:val="top"/>
          </w:tcPr>
          <w:p w14:paraId="4D0BDD66">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14:paraId="3EEFB9A3">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5C58212D">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426D1599">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top"/>
          </w:tcPr>
          <w:p w14:paraId="404C4CFF">
            <w:pPr>
              <w:snapToGrid w:val="0"/>
              <w:spacing w:before="50" w:after="120" w:afterLines="50" w:line="400" w:lineRule="exact"/>
              <w:jc w:val="left"/>
              <w:rPr>
                <w:rFonts w:ascii="Times New Roman" w:hAnsi="Times New Roman" w:eastAsia="宋体" w:cs="Times New Roman"/>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top"/>
          </w:tcPr>
          <w:p w14:paraId="05A1FDDD">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noWrap w:val="0"/>
            <w:vAlign w:val="top"/>
          </w:tcPr>
          <w:p w14:paraId="0AACE4D2">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4D465984">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6DCA4C27">
            <w:pPr>
              <w:snapToGrid w:val="0"/>
              <w:spacing w:before="50" w:after="120" w:afterLines="50" w:line="400" w:lineRule="exact"/>
              <w:jc w:val="left"/>
              <w:rPr>
                <w:rFonts w:ascii="Times New Roman" w:hAnsi="Times New Roman" w:eastAsia="宋体" w:cs="Times New Roman"/>
                <w:color w:val="auto"/>
                <w:szCs w:val="21"/>
                <w:highlight w:val="none"/>
              </w:rPr>
            </w:pPr>
          </w:p>
        </w:tc>
      </w:tr>
      <w:tr w14:paraId="7603F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450" w:type="dxa"/>
            <w:tcBorders>
              <w:top w:val="single" w:color="auto" w:sz="4" w:space="0"/>
              <w:left w:val="single" w:color="auto" w:sz="4" w:space="0"/>
              <w:bottom w:val="single" w:color="auto" w:sz="4" w:space="0"/>
              <w:right w:val="single" w:color="auto" w:sz="4" w:space="0"/>
            </w:tcBorders>
            <w:noWrap w:val="0"/>
            <w:vAlign w:val="top"/>
          </w:tcPr>
          <w:p w14:paraId="43D56AD4">
            <w:pPr>
              <w:snapToGrid w:val="0"/>
              <w:spacing w:before="50" w:after="120" w:afterLines="50" w:line="400" w:lineRule="exact"/>
              <w:jc w:val="left"/>
              <w:rPr>
                <w:rFonts w:ascii="Times New Roman" w:hAnsi="Times New Roman" w:eastAsia="宋体" w:cs="Times New Roman"/>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noWrap w:val="0"/>
            <w:vAlign w:val="top"/>
          </w:tcPr>
          <w:p w14:paraId="515F4139">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14:paraId="33E437EA">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9D12F3B">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7F1631ED">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top"/>
          </w:tcPr>
          <w:p w14:paraId="6954447E">
            <w:pPr>
              <w:snapToGrid w:val="0"/>
              <w:spacing w:before="50" w:after="120" w:afterLines="50" w:line="400" w:lineRule="exact"/>
              <w:jc w:val="left"/>
              <w:rPr>
                <w:rFonts w:ascii="Times New Roman" w:hAnsi="Times New Roman" w:eastAsia="宋体" w:cs="Times New Roman"/>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top"/>
          </w:tcPr>
          <w:p w14:paraId="0165C594">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noWrap w:val="0"/>
            <w:vAlign w:val="top"/>
          </w:tcPr>
          <w:p w14:paraId="1B8CE587">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7AB14415">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4B2086D6">
            <w:pPr>
              <w:snapToGrid w:val="0"/>
              <w:spacing w:before="50" w:after="120" w:afterLines="50" w:line="400" w:lineRule="exact"/>
              <w:jc w:val="left"/>
              <w:rPr>
                <w:rFonts w:ascii="Times New Roman" w:hAnsi="Times New Roman" w:eastAsia="宋体" w:cs="Times New Roman"/>
                <w:color w:val="auto"/>
                <w:szCs w:val="21"/>
                <w:highlight w:val="none"/>
              </w:rPr>
            </w:pPr>
          </w:p>
        </w:tc>
      </w:tr>
      <w:tr w14:paraId="577B7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50" w:type="dxa"/>
            <w:tcBorders>
              <w:top w:val="single" w:color="auto" w:sz="4" w:space="0"/>
              <w:left w:val="single" w:color="auto" w:sz="4" w:space="0"/>
              <w:bottom w:val="single" w:color="auto" w:sz="4" w:space="0"/>
              <w:right w:val="single" w:color="auto" w:sz="4" w:space="0"/>
            </w:tcBorders>
            <w:noWrap w:val="0"/>
            <w:vAlign w:val="top"/>
          </w:tcPr>
          <w:p w14:paraId="21FCE1F9">
            <w:pPr>
              <w:snapToGrid w:val="0"/>
              <w:spacing w:before="50" w:after="120" w:afterLines="50" w:line="400" w:lineRule="exact"/>
              <w:jc w:val="left"/>
              <w:rPr>
                <w:rFonts w:ascii="Times New Roman" w:hAnsi="Times New Roman" w:eastAsia="宋体" w:cs="Times New Roman"/>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noWrap w:val="0"/>
            <w:vAlign w:val="top"/>
          </w:tcPr>
          <w:p w14:paraId="39CF4CB1">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14:paraId="19A8E801">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76F22D4">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56C394BE">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top"/>
          </w:tcPr>
          <w:p w14:paraId="0CF6981D">
            <w:pPr>
              <w:snapToGrid w:val="0"/>
              <w:spacing w:before="50" w:after="120" w:afterLines="50" w:line="400" w:lineRule="exact"/>
              <w:jc w:val="left"/>
              <w:rPr>
                <w:rFonts w:ascii="Times New Roman" w:hAnsi="Times New Roman" w:eastAsia="宋体" w:cs="Times New Roman"/>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top"/>
          </w:tcPr>
          <w:p w14:paraId="72BA3219">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noWrap w:val="0"/>
            <w:vAlign w:val="top"/>
          </w:tcPr>
          <w:p w14:paraId="1E7A87BC">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48EDA7C7">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2CF6CDB2">
            <w:pPr>
              <w:snapToGrid w:val="0"/>
              <w:spacing w:before="50" w:after="120" w:afterLines="50" w:line="400" w:lineRule="exact"/>
              <w:jc w:val="left"/>
              <w:rPr>
                <w:rFonts w:ascii="Times New Roman" w:hAnsi="Times New Roman" w:eastAsia="宋体" w:cs="Times New Roman"/>
                <w:color w:val="auto"/>
                <w:szCs w:val="21"/>
                <w:highlight w:val="none"/>
              </w:rPr>
            </w:pPr>
          </w:p>
        </w:tc>
      </w:tr>
      <w:tr w14:paraId="4A5AB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50" w:type="dxa"/>
            <w:tcBorders>
              <w:top w:val="single" w:color="auto" w:sz="4" w:space="0"/>
              <w:left w:val="single" w:color="auto" w:sz="4" w:space="0"/>
              <w:bottom w:val="single" w:color="auto" w:sz="4" w:space="0"/>
              <w:right w:val="single" w:color="auto" w:sz="4" w:space="0"/>
            </w:tcBorders>
            <w:noWrap w:val="0"/>
            <w:vAlign w:val="top"/>
          </w:tcPr>
          <w:p w14:paraId="3E2AF393">
            <w:pPr>
              <w:snapToGrid w:val="0"/>
              <w:spacing w:before="50" w:after="120" w:afterLines="50" w:line="400" w:lineRule="exact"/>
              <w:jc w:val="left"/>
              <w:rPr>
                <w:rFonts w:ascii="Times New Roman" w:hAnsi="Times New Roman" w:eastAsia="宋体" w:cs="Times New Roman"/>
                <w:color w:val="auto"/>
                <w:szCs w:val="21"/>
                <w:highlight w:val="none"/>
              </w:rPr>
            </w:pPr>
          </w:p>
        </w:tc>
        <w:tc>
          <w:tcPr>
            <w:tcW w:w="797" w:type="dxa"/>
            <w:tcBorders>
              <w:top w:val="single" w:color="auto" w:sz="4" w:space="0"/>
              <w:left w:val="single" w:color="auto" w:sz="4" w:space="0"/>
              <w:bottom w:val="single" w:color="auto" w:sz="4" w:space="0"/>
              <w:right w:val="single" w:color="auto" w:sz="4" w:space="0"/>
            </w:tcBorders>
            <w:noWrap w:val="0"/>
            <w:vAlign w:val="top"/>
          </w:tcPr>
          <w:p w14:paraId="13A2F1D7">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noWrap w:val="0"/>
            <w:vAlign w:val="top"/>
          </w:tcPr>
          <w:p w14:paraId="101CD68F">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C35C363">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top"/>
          </w:tcPr>
          <w:p w14:paraId="3DFAE18C">
            <w:pPr>
              <w:snapToGrid w:val="0"/>
              <w:spacing w:before="50" w:after="120" w:afterLines="50" w:line="400" w:lineRule="exact"/>
              <w:jc w:val="left"/>
              <w:rPr>
                <w:rFonts w:ascii="Times New Roman" w:hAnsi="Times New Roman" w:eastAsia="宋体" w:cs="Times New Roman"/>
                <w:color w:val="auto"/>
                <w:szCs w:val="21"/>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top"/>
          </w:tcPr>
          <w:p w14:paraId="3EA569F9">
            <w:pPr>
              <w:snapToGrid w:val="0"/>
              <w:spacing w:before="50" w:after="120" w:afterLines="50" w:line="400" w:lineRule="exact"/>
              <w:jc w:val="left"/>
              <w:rPr>
                <w:rFonts w:ascii="Times New Roman" w:hAnsi="Times New Roman" w:eastAsia="宋体" w:cs="Times New Roman"/>
                <w:color w:val="auto"/>
                <w:szCs w:val="21"/>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top"/>
          </w:tcPr>
          <w:p w14:paraId="6449BEBB">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noWrap w:val="0"/>
            <w:vAlign w:val="top"/>
          </w:tcPr>
          <w:p w14:paraId="1AE532D0">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06E417DB">
            <w:pPr>
              <w:snapToGrid w:val="0"/>
              <w:spacing w:before="50" w:after="120" w:afterLines="50" w:line="400" w:lineRule="exact"/>
              <w:jc w:val="left"/>
              <w:rPr>
                <w:rFonts w:ascii="Times New Roman" w:hAnsi="Times New Roman" w:eastAsia="宋体" w:cs="Times New Roman"/>
                <w:color w:val="auto"/>
                <w:szCs w:val="21"/>
                <w:highlight w:val="none"/>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1250671B">
            <w:pPr>
              <w:snapToGrid w:val="0"/>
              <w:spacing w:before="50" w:after="120" w:afterLines="50" w:line="400" w:lineRule="exact"/>
              <w:jc w:val="left"/>
              <w:rPr>
                <w:rFonts w:ascii="Times New Roman" w:hAnsi="Times New Roman" w:eastAsia="宋体" w:cs="Times New Roman"/>
                <w:color w:val="auto"/>
                <w:szCs w:val="21"/>
                <w:highlight w:val="none"/>
              </w:rPr>
            </w:pPr>
          </w:p>
        </w:tc>
      </w:tr>
    </w:tbl>
    <w:p w14:paraId="4EE48A71">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7D809082">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172C3F13">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5136E759">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98" w:name="_Hlk19049505"/>
      <w:r>
        <w:rPr>
          <w:color w:val="auto"/>
          <w:highlight w:val="none"/>
        </w:rPr>
        <w:t>本表可拓展。</w:t>
      </w:r>
      <w:bookmarkEnd w:id="98"/>
    </w:p>
    <w:p w14:paraId="75C7359F">
      <w:pPr>
        <w:snapToGrid w:val="0"/>
        <w:spacing w:before="50"/>
        <w:jc w:val="left"/>
        <w:rPr>
          <w:color w:val="auto"/>
          <w:szCs w:val="21"/>
          <w:highlight w:val="none"/>
        </w:rPr>
      </w:pPr>
      <w:bookmarkStart w:id="99" w:name="_Hlk88990617"/>
    </w:p>
    <w:p w14:paraId="129D2B48">
      <w:pPr>
        <w:snapToGrid w:val="0"/>
        <w:spacing w:before="50"/>
        <w:jc w:val="lef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99"/>
      <w:r>
        <w:rPr>
          <w:color w:val="auto"/>
          <w:szCs w:val="21"/>
          <w:highlight w:val="none"/>
          <w:u w:val="single"/>
        </w:rPr>
        <w:t xml:space="preserve">                 </w:t>
      </w:r>
      <w:r>
        <w:rPr>
          <w:color w:val="auto"/>
          <w:szCs w:val="21"/>
          <w:highlight w:val="none"/>
        </w:rPr>
        <w:t xml:space="preserve">                                            年    月   日</w:t>
      </w:r>
    </w:p>
    <w:p w14:paraId="732FDB17">
      <w:pPr>
        <w:snapToGrid w:val="0"/>
        <w:spacing w:before="50"/>
        <w:jc w:val="left"/>
        <w:rPr>
          <w:color w:val="auto"/>
          <w:szCs w:val="21"/>
          <w:highlight w:val="none"/>
        </w:rPr>
      </w:pPr>
    </w:p>
    <w:p w14:paraId="67313B4B">
      <w:pPr>
        <w:snapToGrid w:val="0"/>
        <w:spacing w:before="50" w:after="120" w:afterLines="50"/>
        <w:jc w:val="left"/>
        <w:rPr>
          <w:rFonts w:hint="eastAsia"/>
          <w:color w:val="auto"/>
          <w:szCs w:val="21"/>
          <w:highlight w:val="none"/>
        </w:rPr>
        <w:sectPr>
          <w:headerReference r:id="rId16" w:type="default"/>
          <w:pgSz w:w="11906" w:h="16838"/>
          <w:pgMar w:top="1304" w:right="1418" w:bottom="1304" w:left="1418" w:header="851" w:footer="992" w:gutter="0"/>
          <w:cols w:space="720" w:num="1"/>
          <w:docGrid w:linePitch="312" w:charSpace="0"/>
        </w:sectPr>
      </w:pPr>
    </w:p>
    <w:p w14:paraId="7B7A6592">
      <w:pPr>
        <w:snapToGrid w:val="0"/>
        <w:spacing w:before="50"/>
        <w:jc w:val="left"/>
        <w:rPr>
          <w:color w:val="auto"/>
          <w:szCs w:val="21"/>
          <w:highlight w:val="none"/>
        </w:rPr>
      </w:pPr>
      <w:bookmarkStart w:id="100" w:name="_Hlk19050322"/>
      <w:r>
        <w:rPr>
          <w:rFonts w:hint="eastAsia"/>
          <w:color w:val="auto"/>
          <w:szCs w:val="21"/>
          <w:highlight w:val="none"/>
          <w:lang w:val="en-US" w:eastAsia="zh-CN"/>
        </w:rPr>
        <w:t>3</w:t>
      </w:r>
      <w:r>
        <w:rPr>
          <w:color w:val="auto"/>
          <w:szCs w:val="21"/>
          <w:highlight w:val="none"/>
        </w:rPr>
        <w:t>．供应商认为需提供的其他材料（根据征集文件编写）</w:t>
      </w:r>
    </w:p>
    <w:p w14:paraId="1985DB6B">
      <w:pPr>
        <w:snapToGrid w:val="0"/>
        <w:spacing w:before="50"/>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7ACA2E5E">
      <w:pPr>
        <w:snapToGrid w:val="0"/>
        <w:spacing w:before="50" w:after="120" w:afterLines="50"/>
        <w:jc w:val="center"/>
        <w:rPr>
          <w:color w:val="auto"/>
          <w:szCs w:val="21"/>
          <w:highlight w:val="none"/>
        </w:rPr>
      </w:pPr>
    </w:p>
    <w:p w14:paraId="123E9F1B">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2F8AB036">
      <w:pPr>
        <w:snapToGrid w:val="0"/>
        <w:spacing w:before="50" w:after="120" w:afterLines="50"/>
        <w:jc w:val="left"/>
        <w:rPr>
          <w:color w:val="auto"/>
          <w:szCs w:val="21"/>
          <w:highlight w:val="none"/>
        </w:rPr>
      </w:pPr>
    </w:p>
    <w:p w14:paraId="6BD8E8E1">
      <w:pPr>
        <w:snapToGrid w:val="0"/>
        <w:spacing w:before="50" w:after="120" w:afterLines="50"/>
        <w:jc w:val="left"/>
        <w:rPr>
          <w:color w:val="auto"/>
          <w:szCs w:val="21"/>
          <w:highlight w:val="none"/>
        </w:rPr>
      </w:pPr>
      <w:r>
        <w:rPr>
          <w:rFonts w:hint="eastAsia"/>
          <w:color w:val="auto"/>
          <w:szCs w:val="21"/>
          <w:highlight w:val="none"/>
        </w:rPr>
        <w:t>一、我方承诺无下列相互串通响应的情形：</w:t>
      </w:r>
    </w:p>
    <w:p w14:paraId="650E9194">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666C0D2F">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2.不同供应商委托同一单位或者个人办理响应事宜；</w:t>
      </w:r>
    </w:p>
    <w:p w14:paraId="51863A5E">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77CDFC2C">
      <w:pPr>
        <w:snapToGrid w:val="0"/>
        <w:spacing w:before="50" w:after="120" w:afterLines="50"/>
        <w:jc w:val="left"/>
        <w:rPr>
          <w:color w:val="auto"/>
          <w:szCs w:val="21"/>
          <w:highlight w:val="none"/>
        </w:rPr>
      </w:pPr>
      <w:r>
        <w:rPr>
          <w:rFonts w:hint="eastAsia"/>
          <w:color w:val="auto"/>
          <w:szCs w:val="21"/>
          <w:highlight w:val="none"/>
        </w:rPr>
        <w:t>4.不同供应商的响应文件异常一致或者响应报价呈规律性差异；</w:t>
      </w:r>
    </w:p>
    <w:p w14:paraId="6C8CD882">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287AE191">
      <w:pPr>
        <w:snapToGrid w:val="0"/>
        <w:spacing w:before="50" w:after="120" w:afterLines="50"/>
        <w:jc w:val="left"/>
        <w:rPr>
          <w:color w:val="auto"/>
          <w:szCs w:val="21"/>
          <w:highlight w:val="none"/>
        </w:rPr>
      </w:pPr>
      <w:r>
        <w:rPr>
          <w:rFonts w:hint="eastAsia"/>
          <w:color w:val="auto"/>
          <w:szCs w:val="21"/>
          <w:highlight w:val="none"/>
        </w:rPr>
        <w:t>6.不同供应商的响应保证金从同一单位或者个人账户转出。</w:t>
      </w:r>
    </w:p>
    <w:p w14:paraId="6AA51FC0">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10DBDF7F">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0C401F71">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1305AC81">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1CD7127B">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6BA3FEF5">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5.供应商之间事先约定一致抬高或者压低响应报价，或者在采购项目中事先约定轮流以高价位或者低价位中标，或者事先约定由某一特定供应商中标，然后再参加响应；</w:t>
      </w:r>
    </w:p>
    <w:p w14:paraId="5BAE4FCA">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26958692">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68000EF4">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508A6E8E">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2860DE7">
      <w:pPr>
        <w:snapToGrid w:val="0"/>
        <w:spacing w:before="50" w:after="120" w:afterLines="50"/>
        <w:jc w:val="center"/>
        <w:rPr>
          <w:color w:val="auto"/>
          <w:szCs w:val="21"/>
          <w:highlight w:val="none"/>
        </w:rPr>
      </w:pPr>
    </w:p>
    <w:p w14:paraId="2F217781">
      <w:pPr>
        <w:snapToGrid w:val="0"/>
        <w:spacing w:before="50" w:after="120" w:afterLines="50"/>
        <w:jc w:val="center"/>
        <w:rPr>
          <w:color w:val="auto"/>
          <w:szCs w:val="21"/>
          <w:highlight w:val="none"/>
        </w:rPr>
      </w:pPr>
    </w:p>
    <w:p w14:paraId="07DEA40B">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1617D775">
      <w:pPr>
        <w:snapToGrid w:val="0"/>
        <w:spacing w:before="50" w:after="120" w:afterLines="50"/>
        <w:jc w:val="center"/>
        <w:rPr>
          <w:color w:val="auto"/>
          <w:szCs w:val="21"/>
          <w:highlight w:val="none"/>
        </w:rPr>
      </w:pPr>
      <w:r>
        <w:rPr>
          <w:rFonts w:hint="eastAsia"/>
          <w:color w:val="auto"/>
          <w:szCs w:val="21"/>
          <w:highlight w:val="none"/>
        </w:rPr>
        <w:t>日期：  年  月   日</w:t>
      </w:r>
    </w:p>
    <w:p w14:paraId="1E713200">
      <w:pPr>
        <w:ind w:firstLine="420" w:firstLineChars="200"/>
        <w:rPr>
          <w:rFonts w:hint="eastAsia"/>
          <w:color w:val="auto"/>
          <w:szCs w:val="21"/>
          <w:highlight w:val="none"/>
        </w:rPr>
        <w:sectPr>
          <w:pgSz w:w="11906" w:h="16838"/>
          <w:pgMar w:top="1304" w:right="1418" w:bottom="1304" w:left="1418" w:header="851" w:footer="992" w:gutter="0"/>
          <w:cols w:space="720" w:num="1"/>
          <w:docGrid w:linePitch="312" w:charSpace="0"/>
        </w:sectPr>
      </w:pPr>
    </w:p>
    <w:bookmarkEnd w:id="100"/>
    <w:p w14:paraId="687789C4">
      <w:pPr>
        <w:snapToGrid w:val="0"/>
        <w:spacing w:before="50" w:after="120" w:afterLines="50"/>
        <w:jc w:val="left"/>
        <w:rPr>
          <w:rFonts w:hint="eastAsia"/>
          <w:color w:val="auto"/>
          <w:szCs w:val="21"/>
          <w:highlight w:val="none"/>
        </w:rPr>
      </w:pPr>
      <w:r>
        <w:rPr>
          <w:rFonts w:hint="eastAsia"/>
          <w:color w:val="auto"/>
          <w:szCs w:val="21"/>
          <w:highlight w:val="none"/>
          <w:lang w:val="en-US" w:eastAsia="zh-CN"/>
        </w:rPr>
        <w:t>5</w:t>
      </w:r>
      <w:r>
        <w:rPr>
          <w:color w:val="auto"/>
          <w:szCs w:val="21"/>
          <w:highlight w:val="none"/>
        </w:rPr>
        <w:t>.代理服务费承诺书</w:t>
      </w:r>
    </w:p>
    <w:p w14:paraId="505AF24F">
      <w:pPr>
        <w:spacing w:line="360" w:lineRule="exact"/>
        <w:rPr>
          <w:color w:val="auto"/>
          <w:szCs w:val="21"/>
          <w:highlight w:val="none"/>
        </w:rPr>
      </w:pPr>
      <w:r>
        <w:rPr>
          <w:color w:val="auto"/>
          <w:szCs w:val="21"/>
          <w:highlight w:val="none"/>
        </w:rPr>
        <w:t>致：广西机电设备招标有限公司</w:t>
      </w:r>
    </w:p>
    <w:p w14:paraId="2E31D252">
      <w:pPr>
        <w:spacing w:line="360" w:lineRule="exact"/>
        <w:ind w:firstLine="420" w:firstLineChars="200"/>
        <w:rPr>
          <w:color w:val="auto"/>
          <w:szCs w:val="21"/>
          <w:highlight w:val="none"/>
        </w:rPr>
      </w:pPr>
      <w:bookmarkStart w:id="101" w:name="_Hlk19050395"/>
      <w:r>
        <w:rPr>
          <w:color w:val="auto"/>
          <w:szCs w:val="21"/>
          <w:highlight w:val="none"/>
        </w:rPr>
        <w:t>我单位参加了贵方组织的采购项目编号为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的响应，并递交了响应保证金</w:t>
      </w:r>
      <w:bookmarkStart w:id="102" w:name="_Hlk19050352"/>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w:t>
      </w:r>
      <w:bookmarkEnd w:id="102"/>
      <w:r>
        <w:rPr>
          <w:color w:val="auto"/>
          <w:szCs w:val="21"/>
          <w:highlight w:val="none"/>
        </w:rPr>
        <w:t>，在此我方说明如下：</w:t>
      </w:r>
    </w:p>
    <w:bookmarkEnd w:id="101"/>
    <w:p w14:paraId="26434F85">
      <w:pPr>
        <w:spacing w:line="360" w:lineRule="exact"/>
        <w:ind w:firstLine="420" w:firstLineChars="200"/>
        <w:rPr>
          <w:color w:val="auto"/>
          <w:szCs w:val="21"/>
          <w:highlight w:val="none"/>
        </w:rPr>
      </w:pPr>
      <w:r>
        <w:rPr>
          <w:color w:val="auto"/>
          <w:szCs w:val="21"/>
          <w:highlight w:val="none"/>
        </w:rPr>
        <w:t>1．我方承诺，若我单位中标，保证在领取入围通知书之前，按本项目征集文件的规定标准向贵单位支付代理服务费。如我单位未按规定缴纳代理服务费，贵方可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我单位提交的响应保证金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4B592436">
      <w:pPr>
        <w:spacing w:line="360" w:lineRule="exact"/>
        <w:ind w:firstLine="420" w:firstLineChars="200"/>
        <w:rPr>
          <w:color w:val="auto"/>
          <w:szCs w:val="21"/>
          <w:highlight w:val="none"/>
        </w:rPr>
      </w:pPr>
      <w:bookmarkStart w:id="103"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71B9550E">
      <w:pPr>
        <w:spacing w:line="360" w:lineRule="exact"/>
        <w:ind w:firstLine="420" w:firstLineChars="200"/>
        <w:rPr>
          <w:color w:val="auto"/>
          <w:szCs w:val="21"/>
          <w:highlight w:val="none"/>
        </w:rPr>
      </w:pPr>
      <w:r>
        <w:rPr>
          <w:color w:val="auto"/>
          <w:szCs w:val="21"/>
          <w:highlight w:val="none"/>
        </w:rPr>
        <w:t>第一种方式：一次性足额缴纳代理服务费。</w:t>
      </w:r>
    </w:p>
    <w:p w14:paraId="7832230E">
      <w:pPr>
        <w:spacing w:line="360" w:lineRule="exact"/>
        <w:ind w:firstLine="420" w:firstLineChars="200"/>
        <w:rPr>
          <w:color w:val="auto"/>
          <w:szCs w:val="21"/>
          <w:highlight w:val="none"/>
        </w:rPr>
      </w:pPr>
      <w:r>
        <w:rPr>
          <w:color w:val="auto"/>
          <w:szCs w:val="21"/>
          <w:highlight w:val="none"/>
        </w:rPr>
        <w:t>第二种方式：从响应保证金中抵扣代理服务费，不足部分补交。</w:t>
      </w:r>
    </w:p>
    <w:bookmarkEnd w:id="103"/>
    <w:p w14:paraId="4ED34017">
      <w:pPr>
        <w:spacing w:line="360" w:lineRule="exact"/>
        <w:ind w:firstLine="420" w:firstLineChars="200"/>
        <w:rPr>
          <w:color w:val="auto"/>
          <w:szCs w:val="21"/>
          <w:highlight w:val="none"/>
        </w:rPr>
      </w:pPr>
      <w:r>
        <w:rPr>
          <w:color w:val="auto"/>
          <w:szCs w:val="21"/>
          <w:highlight w:val="none"/>
        </w:rPr>
        <w:t>2．如我单位响应保证金无法原路返回，请按下表账户信息无息退还。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0A1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D14629E">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3C27FFFF">
            <w:pPr>
              <w:spacing w:line="360" w:lineRule="exact"/>
              <w:jc w:val="center"/>
              <w:rPr>
                <w:color w:val="auto"/>
                <w:szCs w:val="21"/>
                <w:highlight w:val="none"/>
              </w:rPr>
            </w:pPr>
          </w:p>
        </w:tc>
      </w:tr>
      <w:tr w14:paraId="1BE4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737D5AD">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11132795">
            <w:pPr>
              <w:spacing w:line="360" w:lineRule="exact"/>
              <w:jc w:val="center"/>
              <w:rPr>
                <w:color w:val="auto"/>
                <w:szCs w:val="21"/>
                <w:highlight w:val="none"/>
              </w:rPr>
            </w:pPr>
          </w:p>
        </w:tc>
      </w:tr>
      <w:tr w14:paraId="6A47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4455A96">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75EC2D0D">
            <w:pPr>
              <w:spacing w:line="360" w:lineRule="exact"/>
              <w:jc w:val="center"/>
              <w:rPr>
                <w:color w:val="auto"/>
                <w:szCs w:val="21"/>
                <w:highlight w:val="none"/>
              </w:rPr>
            </w:pPr>
          </w:p>
        </w:tc>
      </w:tr>
      <w:tr w14:paraId="6E44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D554CDE">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2D6E9710">
            <w:pPr>
              <w:spacing w:line="360" w:lineRule="exact"/>
              <w:jc w:val="center"/>
              <w:rPr>
                <w:color w:val="auto"/>
                <w:szCs w:val="21"/>
                <w:highlight w:val="none"/>
              </w:rPr>
            </w:pPr>
          </w:p>
        </w:tc>
      </w:tr>
    </w:tbl>
    <w:p w14:paraId="77E9F0A7">
      <w:pPr>
        <w:spacing w:line="360" w:lineRule="exact"/>
        <w:ind w:firstLine="420" w:firstLineChars="200"/>
        <w:rPr>
          <w:color w:val="auto"/>
          <w:szCs w:val="21"/>
          <w:highlight w:val="none"/>
        </w:rPr>
      </w:pPr>
      <w:r>
        <w:rPr>
          <w:color w:val="auto"/>
          <w:szCs w:val="21"/>
          <w:highlight w:val="none"/>
        </w:rPr>
        <w:t>3．如果我单位未遵守有关征集文件关于响应保证金的规定，贵方可以没收我单位响应保证金。</w:t>
      </w:r>
    </w:p>
    <w:p w14:paraId="00F99ECE">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7878B961">
      <w:pPr>
        <w:spacing w:line="360" w:lineRule="exact"/>
        <w:ind w:firstLine="420" w:firstLineChars="200"/>
        <w:rPr>
          <w:color w:val="auto"/>
          <w:szCs w:val="21"/>
          <w:highlight w:val="none"/>
        </w:rPr>
      </w:pPr>
      <w:r>
        <w:rPr>
          <w:color w:val="auto"/>
          <w:szCs w:val="21"/>
          <w:highlight w:val="none"/>
        </w:rPr>
        <w:t>第一种方式：开具收据。</w:t>
      </w:r>
    </w:p>
    <w:p w14:paraId="52282811">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16806CB8">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5331A757">
      <w:pPr>
        <w:spacing w:before="120" w:beforeLines="50" w:line="360" w:lineRule="auto"/>
        <w:jc w:val="left"/>
        <w:rPr>
          <w:color w:val="auto"/>
          <w:szCs w:val="21"/>
          <w:highlight w:val="none"/>
        </w:rPr>
      </w:pPr>
    </w:p>
    <w:p w14:paraId="14BD79CC">
      <w:pPr>
        <w:spacing w:before="120" w:beforeLines="50" w:line="360" w:lineRule="auto"/>
        <w:jc w:val="left"/>
        <w:rPr>
          <w:color w:val="auto"/>
          <w:szCs w:val="21"/>
          <w:highlight w:val="none"/>
          <w:u w:val="single"/>
        </w:rPr>
      </w:pPr>
      <w:r>
        <w:rPr>
          <w:rFonts w:hint="eastAsia"/>
          <w:color w:val="auto"/>
          <w:szCs w:val="21"/>
          <w:highlight w:val="none"/>
        </w:rPr>
        <w:t>供应商名称(电子签章)：</w:t>
      </w:r>
      <w:r>
        <w:rPr>
          <w:color w:val="auto"/>
          <w:szCs w:val="21"/>
          <w:highlight w:val="none"/>
          <w:u w:val="single"/>
        </w:rPr>
        <w:t xml:space="preserve">                             </w:t>
      </w:r>
    </w:p>
    <w:p w14:paraId="41F5D8FC">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57F22303">
      <w:pPr>
        <w:spacing w:before="120" w:beforeLines="50" w:line="360" w:lineRule="auto"/>
        <w:jc w:val="left"/>
        <w:rPr>
          <w:color w:val="auto"/>
          <w:szCs w:val="21"/>
          <w:highlight w:val="none"/>
          <w:u w:val="single"/>
        </w:rPr>
      </w:pPr>
      <w:r>
        <w:rPr>
          <w:color w:val="auto"/>
          <w:szCs w:val="21"/>
          <w:highlight w:val="none"/>
        </w:rPr>
        <w:t>法定代表人或授权代表签字或盖章：</w:t>
      </w:r>
      <w:r>
        <w:rPr>
          <w:color w:val="auto"/>
          <w:szCs w:val="21"/>
          <w:highlight w:val="none"/>
          <w:u w:val="single"/>
        </w:rPr>
        <w:t xml:space="preserve">                          </w:t>
      </w:r>
    </w:p>
    <w:p w14:paraId="3C981E48">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10CF2831">
      <w:pPr>
        <w:spacing w:before="120" w:beforeLines="50" w:line="360" w:lineRule="auto"/>
        <w:jc w:val="left"/>
        <w:rPr>
          <w:color w:val="auto"/>
          <w:szCs w:val="21"/>
          <w:highlight w:val="none"/>
        </w:rPr>
      </w:pPr>
      <w:r>
        <w:rPr>
          <w:color w:val="auto"/>
          <w:szCs w:val="21"/>
          <w:highlight w:val="none"/>
        </w:rPr>
        <w:t>说明：</w:t>
      </w:r>
    </w:p>
    <w:p w14:paraId="510E920F">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3E809242">
      <w:pPr>
        <w:spacing w:line="340" w:lineRule="exact"/>
        <w:ind w:firstLine="420" w:firstLineChars="200"/>
        <w:rPr>
          <w:color w:val="auto"/>
          <w:szCs w:val="21"/>
          <w:highlight w:val="none"/>
        </w:rPr>
      </w:pPr>
      <w:r>
        <w:rPr>
          <w:color w:val="auto"/>
          <w:szCs w:val="21"/>
          <w:highlight w:val="none"/>
        </w:rPr>
        <w:t>（2）如因未按要求缴纳响应保证金，导致响应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DB924F0">
      <w:pPr>
        <w:jc w:val="center"/>
        <w:rPr>
          <w:rFonts w:hint="eastAsia"/>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041D944A">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第二部分 技术文件</w:t>
      </w:r>
    </w:p>
    <w:p w14:paraId="789B4313">
      <w:pPr>
        <w:jc w:val="center"/>
        <w:rPr>
          <w:rFonts w:hint="eastAsia"/>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1F859593">
      <w:pPr>
        <w:snapToGrid w:val="0"/>
        <w:spacing w:before="50" w:after="120" w:afterLines="50"/>
        <w:jc w:val="left"/>
        <w:rPr>
          <w:rFonts w:hint="eastAsia"/>
          <w:color w:val="auto"/>
          <w:szCs w:val="21"/>
          <w:highlight w:val="none"/>
        </w:rPr>
      </w:pPr>
    </w:p>
    <w:p w14:paraId="767F3CAB">
      <w:pPr>
        <w:rPr>
          <w:rFonts w:hint="eastAsia"/>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8556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0D62CB2">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A09589D">
            <w:pPr>
              <w:snapToGrid w:val="0"/>
              <w:spacing w:before="120" w:beforeLines="50"/>
              <w:jc w:val="center"/>
              <w:rPr>
                <w:color w:val="auto"/>
                <w:szCs w:val="21"/>
                <w:highlight w:val="none"/>
              </w:rPr>
            </w:pPr>
            <w:r>
              <w:rPr>
                <w:color w:val="auto"/>
                <w:szCs w:val="21"/>
                <w:highlight w:val="none"/>
              </w:rPr>
              <w:t>征集文件要求（注明章节及条款号）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1375E0B">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0B4D181">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2CE91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DFC061A">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CB466A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423355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D850F23">
            <w:pPr>
              <w:snapToGrid w:val="0"/>
              <w:spacing w:before="120" w:beforeLines="50"/>
              <w:jc w:val="center"/>
              <w:rPr>
                <w:color w:val="auto"/>
                <w:szCs w:val="21"/>
                <w:highlight w:val="none"/>
              </w:rPr>
            </w:pPr>
          </w:p>
        </w:tc>
      </w:tr>
      <w:tr w14:paraId="75B5C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06E0D6F">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1EA7A4E">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87DA5D6">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84F9AAB">
            <w:pPr>
              <w:snapToGrid w:val="0"/>
              <w:spacing w:before="120" w:beforeLines="50"/>
              <w:jc w:val="center"/>
              <w:rPr>
                <w:color w:val="auto"/>
                <w:szCs w:val="21"/>
                <w:highlight w:val="none"/>
              </w:rPr>
            </w:pPr>
          </w:p>
        </w:tc>
      </w:tr>
      <w:tr w14:paraId="2F4C3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05F6037">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955B97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AF3F037">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6DA1FAE">
            <w:pPr>
              <w:snapToGrid w:val="0"/>
              <w:spacing w:before="120" w:beforeLines="50"/>
              <w:jc w:val="center"/>
              <w:rPr>
                <w:color w:val="auto"/>
                <w:szCs w:val="21"/>
                <w:highlight w:val="none"/>
              </w:rPr>
            </w:pPr>
          </w:p>
        </w:tc>
      </w:tr>
      <w:tr w14:paraId="0ED48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6D09BF8">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7ED17B6">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31BF21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A720C31">
            <w:pPr>
              <w:snapToGrid w:val="0"/>
              <w:spacing w:before="120" w:beforeLines="50"/>
              <w:jc w:val="center"/>
              <w:rPr>
                <w:color w:val="auto"/>
                <w:szCs w:val="21"/>
                <w:highlight w:val="none"/>
              </w:rPr>
            </w:pPr>
          </w:p>
        </w:tc>
      </w:tr>
    </w:tbl>
    <w:p w14:paraId="3DF3FDED">
      <w:pPr>
        <w:rPr>
          <w:color w:val="auto"/>
          <w:szCs w:val="21"/>
          <w:highlight w:val="none"/>
        </w:rPr>
      </w:pPr>
    </w:p>
    <w:p w14:paraId="02FF1DB3">
      <w:pPr>
        <w:pStyle w:val="26"/>
        <w:tabs>
          <w:tab w:val="left" w:pos="2127"/>
        </w:tabs>
        <w:spacing w:line="340" w:lineRule="exact"/>
        <w:jc w:val="left"/>
        <w:rPr>
          <w:rFonts w:ascii="Times New Roman" w:hAnsi="Times New Roman" w:cs="Times New Roman"/>
          <w:color w:val="auto"/>
          <w:highlight w:val="none"/>
        </w:rPr>
      </w:pPr>
      <w:bookmarkStart w:id="104" w:name="_Hlk88990482"/>
      <w:r>
        <w:rPr>
          <w:color w:val="auto"/>
          <w:highlight w:val="none"/>
        </w:rPr>
        <w:t>注：</w:t>
      </w:r>
      <w:r>
        <w:rPr>
          <w:rFonts w:ascii="Times New Roman" w:hAnsi="Times New Roman" w:cs="Times New Roman"/>
          <w:color w:val="auto"/>
          <w:highlight w:val="none"/>
        </w:rPr>
        <w:t>（1）本表应对征集文件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w:t>
      </w:r>
      <w:r>
        <w:rPr>
          <w:rFonts w:hint="eastAsia" w:ascii="Times New Roman" w:hAnsi="Times New Roman" w:cs="Times New Roman"/>
          <w:color w:val="auto"/>
          <w:highlight w:val="none"/>
        </w:rPr>
        <w:t>逐条</w:t>
      </w:r>
      <w:r>
        <w:rPr>
          <w:rFonts w:ascii="Times New Roman" w:hAnsi="Times New Roman" w:cs="Times New Roman"/>
          <w:color w:val="auto"/>
          <w:highlight w:val="none"/>
        </w:rPr>
        <w:t>响应，并根据响应情况在“偏离说明”</w:t>
      </w:r>
      <w:r>
        <w:rPr>
          <w:rFonts w:hint="eastAsia" w:ascii="Times New Roman" w:hAnsi="Times New Roman" w:cs="Times New Roman"/>
          <w:color w:val="auto"/>
          <w:highlight w:val="none"/>
        </w:rPr>
        <w:t>填写无偏离或正偏离</w:t>
      </w:r>
      <w:r>
        <w:rPr>
          <w:rFonts w:ascii="Times New Roman" w:hAnsi="Times New Roman" w:cs="Times New Roman"/>
          <w:color w:val="auto"/>
          <w:highlight w:val="none"/>
        </w:rPr>
        <w:t>。</w:t>
      </w:r>
      <w:r>
        <w:rPr>
          <w:rFonts w:hint="eastAsia" w:ascii="Times New Roman" w:hAnsi="Times New Roman" w:cs="Times New Roman"/>
          <w:color w:val="auto"/>
          <w:highlight w:val="none"/>
        </w:rPr>
        <w:t>负偏离将导致响应被否决。</w:t>
      </w:r>
    </w:p>
    <w:p w14:paraId="500FED5B">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2BFBCB8B">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424D5F20">
      <w:pPr>
        <w:rPr>
          <w:color w:val="auto"/>
          <w:highlight w:val="none"/>
        </w:rPr>
      </w:pPr>
      <w:r>
        <w:rPr>
          <w:color w:val="auto"/>
          <w:highlight w:val="none"/>
        </w:rPr>
        <w:t>（4）本表可扩展。</w:t>
      </w:r>
    </w:p>
    <w:bookmarkEnd w:id="104"/>
    <w:p w14:paraId="1CF2107E">
      <w:pPr>
        <w:rPr>
          <w:color w:val="auto"/>
          <w:szCs w:val="21"/>
          <w:highlight w:val="none"/>
        </w:rPr>
      </w:pPr>
    </w:p>
    <w:p w14:paraId="7237DF89">
      <w:pPr>
        <w:rPr>
          <w:color w:val="auto"/>
          <w:spacing w:val="20"/>
          <w:szCs w:val="21"/>
          <w:highlight w:val="none"/>
          <w:u w:val="single"/>
        </w:rPr>
      </w:pPr>
      <w:bookmarkStart w:id="105" w:name="_Hlk88990507"/>
    </w:p>
    <w:p w14:paraId="322DBB1A">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05"/>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C84FBB7">
      <w:pPr>
        <w:snapToGrid w:val="0"/>
        <w:spacing w:before="50" w:after="120" w:afterLines="50"/>
        <w:jc w:val="left"/>
        <w:rPr>
          <w:rFonts w:hint="eastAsia"/>
          <w:color w:val="auto"/>
          <w:szCs w:val="21"/>
          <w:highlight w:val="none"/>
        </w:rPr>
      </w:pPr>
    </w:p>
    <w:p w14:paraId="0CD58BE1">
      <w:pPr>
        <w:snapToGrid w:val="0"/>
        <w:spacing w:before="50" w:after="120" w:afterLines="50"/>
        <w:jc w:val="left"/>
        <w:rPr>
          <w:rFonts w:hint="eastAsia"/>
          <w:color w:val="auto"/>
          <w:szCs w:val="21"/>
          <w:highlight w:val="none"/>
        </w:rPr>
      </w:pPr>
    </w:p>
    <w:p w14:paraId="1C5B4DAF">
      <w:pPr>
        <w:snapToGrid w:val="0"/>
        <w:spacing w:before="50" w:after="120" w:afterLines="50"/>
        <w:jc w:val="left"/>
        <w:rPr>
          <w:rFonts w:hint="eastAsia"/>
          <w:color w:val="auto"/>
          <w:szCs w:val="21"/>
          <w:highlight w:val="none"/>
        </w:rPr>
      </w:pPr>
    </w:p>
    <w:p w14:paraId="0CFA5DB1">
      <w:pPr>
        <w:spacing w:line="360" w:lineRule="auto"/>
        <w:rPr>
          <w:rFonts w:hint="eastAsia"/>
          <w:color w:val="auto"/>
          <w:szCs w:val="21"/>
          <w:highlight w:val="none"/>
        </w:rPr>
      </w:pPr>
      <w:r>
        <w:rPr>
          <w:color w:val="auto"/>
          <w:szCs w:val="21"/>
          <w:highlight w:val="none"/>
        </w:rPr>
        <w:br w:type="page"/>
      </w:r>
      <w:r>
        <w:rPr>
          <w:rFonts w:hint="eastAsia"/>
          <w:color w:val="auto"/>
          <w:szCs w:val="21"/>
          <w:highlight w:val="none"/>
          <w:lang w:val="en-US" w:eastAsia="zh-CN"/>
        </w:rPr>
        <w:t>2</w:t>
      </w:r>
      <w:r>
        <w:rPr>
          <w:color w:val="auto"/>
          <w:szCs w:val="21"/>
          <w:highlight w:val="none"/>
        </w:rPr>
        <w:t>．</w:t>
      </w:r>
      <w:r>
        <w:rPr>
          <w:rFonts w:hint="eastAsia"/>
          <w:color w:val="auto"/>
          <w:szCs w:val="21"/>
          <w:highlight w:val="none"/>
        </w:rPr>
        <w:t>方案</w:t>
      </w:r>
    </w:p>
    <w:p w14:paraId="219702B9">
      <w:pPr>
        <w:spacing w:line="360" w:lineRule="auto"/>
        <w:rPr>
          <w:rFonts w:hint="eastAsia"/>
          <w:color w:val="auto"/>
          <w:szCs w:val="21"/>
          <w:highlight w:val="none"/>
        </w:rPr>
      </w:pPr>
      <w:r>
        <w:rPr>
          <w:rFonts w:hint="eastAsia"/>
          <w:color w:val="auto"/>
          <w:szCs w:val="21"/>
          <w:highlight w:val="none"/>
        </w:rPr>
        <w:t>详见采购需求及评分标准。</w:t>
      </w:r>
    </w:p>
    <w:p w14:paraId="45ABD6E6">
      <w:pPr>
        <w:spacing w:line="360" w:lineRule="auto"/>
        <w:rPr>
          <w:color w:val="auto"/>
          <w:szCs w:val="21"/>
          <w:highlight w:val="none"/>
        </w:rPr>
      </w:pPr>
      <w:r>
        <w:rPr>
          <w:rFonts w:hint="eastAsia"/>
          <w:color w:val="auto"/>
          <w:szCs w:val="21"/>
          <w:highlight w:val="none"/>
          <w:lang w:val="en-US" w:eastAsia="zh-CN"/>
        </w:rPr>
        <w:t>3</w:t>
      </w:r>
      <w:r>
        <w:rPr>
          <w:color w:val="auto"/>
          <w:szCs w:val="21"/>
          <w:highlight w:val="none"/>
        </w:rPr>
        <w:t>．项目拟投入服务团队人员结构表</w:t>
      </w:r>
    </w:p>
    <w:p w14:paraId="1C0B3DC0">
      <w:pPr>
        <w:snapToGrid w:val="0"/>
        <w:spacing w:before="120" w:beforeLines="50" w:after="50" w:line="400" w:lineRule="exact"/>
        <w:jc w:val="center"/>
        <w:rPr>
          <w:color w:val="auto"/>
          <w:szCs w:val="21"/>
          <w:highlight w:val="none"/>
        </w:rPr>
      </w:pPr>
      <w:r>
        <w:rPr>
          <w:rFonts w:hint="eastAsia"/>
          <w:color w:val="auto"/>
          <w:szCs w:val="21"/>
          <w:highlight w:val="none"/>
        </w:rPr>
        <w:t>拟投入评审项目人员</w:t>
      </w:r>
      <w:r>
        <w:rPr>
          <w:color w:val="auto"/>
          <w:szCs w:val="21"/>
          <w:highlight w:val="none"/>
        </w:rPr>
        <w:t>一览表</w:t>
      </w:r>
    </w:p>
    <w:tbl>
      <w:tblPr>
        <w:tblStyle w:val="51"/>
        <w:tblW w:w="89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9"/>
        <w:gridCol w:w="1023"/>
        <w:gridCol w:w="1485"/>
        <w:gridCol w:w="2174"/>
        <w:gridCol w:w="1148"/>
        <w:gridCol w:w="1620"/>
        <w:gridCol w:w="880"/>
      </w:tblGrid>
      <w:tr w14:paraId="001B6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14:paraId="3CBE97FB">
            <w:pPr>
              <w:snapToGrid w:val="0"/>
              <w:spacing w:before="120" w:beforeLines="50" w:after="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序号</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4E10043B">
            <w:pPr>
              <w:snapToGrid w:val="0"/>
              <w:spacing w:before="120" w:beforeLines="50" w:after="5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姓名</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4656640">
            <w:pPr>
              <w:tabs>
                <w:tab w:val="left" w:pos="260"/>
              </w:tabs>
              <w:snapToGrid w:val="0"/>
              <w:spacing w:before="120" w:beforeLines="50" w:after="50"/>
              <w:jc w:val="center"/>
              <w:rPr>
                <w:rFonts w:ascii="Times New Roman" w:hAnsi="Times New Roman" w:eastAsia="宋体" w:cs="Times New Roman"/>
                <w:color w:val="auto"/>
                <w:szCs w:val="21"/>
                <w:highlight w:val="none"/>
              </w:rPr>
            </w:pPr>
            <w:r>
              <w:rPr>
                <w:rFonts w:hint="eastAsia" w:ascii="Times New Roman" w:hAnsi="Times New Roman" w:eastAsia="宋体" w:cs="Times New Roman"/>
                <w:bCs/>
                <w:color w:val="auto"/>
                <w:highlight w:val="none"/>
              </w:rPr>
              <w:t>造价工程师</w:t>
            </w:r>
            <w:r>
              <w:rPr>
                <w:rFonts w:ascii="Times New Roman" w:hAnsi="Times New Roman" w:eastAsia="宋体" w:cs="Times New Roman"/>
                <w:bCs/>
                <w:color w:val="auto"/>
                <w:highlight w:val="none"/>
              </w:rPr>
              <w:t>资格</w:t>
            </w:r>
            <w:r>
              <w:rPr>
                <w:rFonts w:hint="eastAsia" w:ascii="Times New Roman" w:hAnsi="Times New Roman" w:eastAsia="宋体" w:cs="Times New Roman"/>
                <w:bCs/>
                <w:color w:val="auto"/>
                <w:highlight w:val="none"/>
              </w:rPr>
              <w:t>（一级、二级）/注册会计师</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44591175">
            <w:pPr>
              <w:tabs>
                <w:tab w:val="left" w:pos="260"/>
              </w:tabs>
              <w:snapToGrid w:val="0"/>
              <w:jc w:val="center"/>
              <w:rPr>
                <w:rFonts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造价工程师专业</w:t>
            </w:r>
          </w:p>
          <w:p w14:paraId="012201BA">
            <w:pPr>
              <w:tabs>
                <w:tab w:val="left" w:pos="260"/>
              </w:tabs>
              <w:snapToGrid w:val="0"/>
              <w:jc w:val="center"/>
              <w:rPr>
                <w:rFonts w:ascii="Times New Roman" w:hAnsi="Times New Roman" w:eastAsia="宋体" w:cs="Times New Roman"/>
                <w:bCs/>
                <w:color w:val="auto"/>
                <w:highlight w:val="none"/>
              </w:rPr>
            </w:pPr>
            <w:r>
              <w:rPr>
                <w:rFonts w:hint="eastAsia" w:ascii="Times New Roman" w:hAnsi="Times New Roman" w:eastAsia="宋体" w:cs="Times New Roman"/>
                <w:bCs/>
                <w:color w:val="auto"/>
                <w:highlight w:val="none"/>
              </w:rPr>
              <w:t>（土建、安装、公路、水利）</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B24E3B">
            <w:pPr>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职称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08AD97A">
            <w:pPr>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岗位</w:t>
            </w:r>
          </w:p>
          <w:p w14:paraId="40BF5A34">
            <w:pPr>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（主审、协审、复审）</w:t>
            </w:r>
          </w:p>
        </w:tc>
        <w:tc>
          <w:tcPr>
            <w:tcW w:w="880" w:type="dxa"/>
            <w:tcBorders>
              <w:top w:val="single" w:color="auto" w:sz="4" w:space="0"/>
              <w:left w:val="single" w:color="auto" w:sz="4" w:space="0"/>
              <w:bottom w:val="single" w:color="auto" w:sz="4" w:space="0"/>
              <w:right w:val="single" w:color="auto" w:sz="4" w:space="0"/>
            </w:tcBorders>
            <w:noWrap w:val="0"/>
            <w:vAlign w:val="top"/>
          </w:tcPr>
          <w:p w14:paraId="4BC43B9F">
            <w:pPr>
              <w:tabs>
                <w:tab w:val="left" w:pos="260"/>
              </w:tabs>
              <w:snapToGrid w:val="0"/>
              <w:spacing w:before="120" w:beforeLines="50" w:after="50"/>
              <w:jc w:val="center"/>
              <w:rPr>
                <w:rFonts w:ascii="Times New Roman" w:hAnsi="Times New Roman" w:eastAsia="宋体" w:cs="Times New Roman"/>
                <w:color w:val="auto"/>
                <w:szCs w:val="21"/>
                <w:highlight w:val="none"/>
              </w:rPr>
            </w:pPr>
            <w:r>
              <w:rPr>
                <w:rFonts w:hint="eastAsia" w:ascii="Times New Roman" w:hAnsi="Times New Roman" w:eastAsia="宋体" w:cs="Times New Roman"/>
                <w:bCs/>
                <w:color w:val="auto"/>
                <w:highlight w:val="none"/>
              </w:rPr>
              <w:t>证件页码</w:t>
            </w:r>
          </w:p>
        </w:tc>
      </w:tr>
      <w:tr w14:paraId="251C8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top"/>
          </w:tcPr>
          <w:p w14:paraId="0CB44846">
            <w:pPr>
              <w:snapToGrid w:val="0"/>
              <w:spacing w:before="120" w:beforeLines="50" w:after="50"/>
              <w:rPr>
                <w:rFonts w:ascii="Times New Roman" w:hAnsi="Times New Roman" w:eastAsia="宋体" w:cs="Times New Roman"/>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1C29D89B">
            <w:pPr>
              <w:snapToGrid w:val="0"/>
              <w:spacing w:before="120" w:beforeLines="50" w:after="50"/>
              <w:rPr>
                <w:rFonts w:ascii="Times New Roman" w:hAnsi="Times New Roman" w:eastAsia="宋体" w:cs="Times New Roman"/>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top"/>
          </w:tcPr>
          <w:p w14:paraId="756F10A1">
            <w:pPr>
              <w:snapToGrid w:val="0"/>
              <w:spacing w:before="120" w:beforeLines="50" w:after="50"/>
              <w:rPr>
                <w:rFonts w:ascii="Times New Roman" w:hAnsi="Times New Roman" w:eastAsia="宋体" w:cs="Times New Roman"/>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noWrap w:val="0"/>
            <w:vAlign w:val="top"/>
          </w:tcPr>
          <w:p w14:paraId="084D8D08">
            <w:pPr>
              <w:snapToGrid w:val="0"/>
              <w:spacing w:before="120" w:beforeLines="50" w:after="50"/>
              <w:rPr>
                <w:rFonts w:ascii="Times New Roman" w:hAnsi="Times New Roman" w:eastAsia="宋体" w:cs="Times New Roman"/>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A373C1B">
            <w:pPr>
              <w:snapToGrid w:val="0"/>
              <w:spacing w:before="120" w:beforeLines="50" w:after="50"/>
              <w:rPr>
                <w:rFonts w:ascii="Times New Roman" w:hAnsi="Times New Roman"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21727B3">
            <w:pPr>
              <w:snapToGrid w:val="0"/>
              <w:spacing w:before="120" w:beforeLines="50" w:after="50"/>
              <w:rPr>
                <w:rFonts w:ascii="Times New Roman" w:hAnsi="Times New Roman" w:eastAsia="宋体" w:cs="Times New Roman"/>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12AAABEA">
            <w:pPr>
              <w:snapToGrid w:val="0"/>
              <w:spacing w:before="120" w:beforeLines="50" w:after="50"/>
              <w:rPr>
                <w:rFonts w:ascii="Times New Roman" w:hAnsi="Times New Roman" w:eastAsia="宋体" w:cs="Times New Roman"/>
                <w:color w:val="auto"/>
                <w:szCs w:val="21"/>
                <w:highlight w:val="none"/>
              </w:rPr>
            </w:pPr>
          </w:p>
        </w:tc>
      </w:tr>
      <w:tr w14:paraId="27F37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top"/>
          </w:tcPr>
          <w:p w14:paraId="3421FE1F">
            <w:pPr>
              <w:snapToGrid w:val="0"/>
              <w:spacing w:before="120" w:beforeLines="50" w:after="50"/>
              <w:rPr>
                <w:rFonts w:ascii="Times New Roman" w:hAnsi="Times New Roman" w:eastAsia="宋体" w:cs="Times New Roman"/>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043C02AA">
            <w:pPr>
              <w:snapToGrid w:val="0"/>
              <w:spacing w:before="120" w:beforeLines="50" w:after="50"/>
              <w:rPr>
                <w:rFonts w:ascii="Times New Roman" w:hAnsi="Times New Roman" w:eastAsia="宋体" w:cs="Times New Roman"/>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top"/>
          </w:tcPr>
          <w:p w14:paraId="77587F40">
            <w:pPr>
              <w:snapToGrid w:val="0"/>
              <w:spacing w:before="120" w:beforeLines="50" w:after="50"/>
              <w:rPr>
                <w:rFonts w:ascii="Times New Roman" w:hAnsi="Times New Roman" w:eastAsia="宋体" w:cs="Times New Roman"/>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noWrap w:val="0"/>
            <w:vAlign w:val="top"/>
          </w:tcPr>
          <w:p w14:paraId="16576B81">
            <w:pPr>
              <w:snapToGrid w:val="0"/>
              <w:spacing w:before="120" w:beforeLines="50" w:after="50"/>
              <w:rPr>
                <w:rFonts w:ascii="Times New Roman" w:hAnsi="Times New Roman" w:eastAsia="宋体" w:cs="Times New Roman"/>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6301ABF">
            <w:pPr>
              <w:snapToGrid w:val="0"/>
              <w:spacing w:before="120" w:beforeLines="50" w:after="50"/>
              <w:rPr>
                <w:rFonts w:ascii="Times New Roman" w:hAnsi="Times New Roman"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7DC64C8">
            <w:pPr>
              <w:snapToGrid w:val="0"/>
              <w:spacing w:before="120" w:beforeLines="50" w:after="50"/>
              <w:rPr>
                <w:rFonts w:ascii="Times New Roman" w:hAnsi="Times New Roman" w:eastAsia="宋体" w:cs="Times New Roman"/>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0F9ED45D">
            <w:pPr>
              <w:snapToGrid w:val="0"/>
              <w:spacing w:before="120" w:beforeLines="50" w:after="50"/>
              <w:rPr>
                <w:rFonts w:ascii="Times New Roman" w:hAnsi="Times New Roman" w:eastAsia="宋体" w:cs="Times New Roman"/>
                <w:color w:val="auto"/>
                <w:szCs w:val="21"/>
                <w:highlight w:val="none"/>
              </w:rPr>
            </w:pPr>
          </w:p>
        </w:tc>
      </w:tr>
      <w:tr w14:paraId="0CDEB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top"/>
          </w:tcPr>
          <w:p w14:paraId="66778588">
            <w:pPr>
              <w:snapToGrid w:val="0"/>
              <w:spacing w:before="120" w:beforeLines="50" w:after="50"/>
              <w:rPr>
                <w:rFonts w:ascii="Times New Roman" w:hAnsi="Times New Roman" w:eastAsia="宋体" w:cs="Times New Roman"/>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1DA2FC70">
            <w:pPr>
              <w:snapToGrid w:val="0"/>
              <w:spacing w:before="120" w:beforeLines="50" w:after="50"/>
              <w:rPr>
                <w:rFonts w:ascii="Times New Roman" w:hAnsi="Times New Roman" w:eastAsia="宋体" w:cs="Times New Roman"/>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top"/>
          </w:tcPr>
          <w:p w14:paraId="36074BFB">
            <w:pPr>
              <w:snapToGrid w:val="0"/>
              <w:spacing w:before="120" w:beforeLines="50" w:after="50"/>
              <w:rPr>
                <w:rFonts w:ascii="Times New Roman" w:hAnsi="Times New Roman" w:eastAsia="宋体" w:cs="Times New Roman"/>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noWrap w:val="0"/>
            <w:vAlign w:val="top"/>
          </w:tcPr>
          <w:p w14:paraId="6626A874">
            <w:pPr>
              <w:snapToGrid w:val="0"/>
              <w:spacing w:before="120" w:beforeLines="50" w:after="50"/>
              <w:ind w:left="5250" w:leftChars="2500"/>
              <w:rPr>
                <w:rFonts w:ascii="Times New Roman" w:hAnsi="Times New Roman" w:eastAsia="宋体" w:cs="Times New Roman"/>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ACE9635">
            <w:pPr>
              <w:snapToGrid w:val="0"/>
              <w:spacing w:before="120" w:beforeLines="50" w:after="50"/>
              <w:rPr>
                <w:rFonts w:ascii="Times New Roman" w:hAnsi="Times New Roman"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842560D">
            <w:pPr>
              <w:snapToGrid w:val="0"/>
              <w:spacing w:before="120" w:beforeLines="50" w:after="50"/>
              <w:rPr>
                <w:rFonts w:ascii="Times New Roman" w:hAnsi="Times New Roman" w:eastAsia="宋体" w:cs="Times New Roman"/>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7A43D243">
            <w:pPr>
              <w:snapToGrid w:val="0"/>
              <w:spacing w:before="120" w:beforeLines="50" w:after="50"/>
              <w:rPr>
                <w:rFonts w:ascii="Times New Roman" w:hAnsi="Times New Roman" w:eastAsia="宋体" w:cs="Times New Roman"/>
                <w:color w:val="auto"/>
                <w:szCs w:val="21"/>
                <w:highlight w:val="none"/>
              </w:rPr>
            </w:pPr>
          </w:p>
        </w:tc>
      </w:tr>
      <w:tr w14:paraId="32E32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top"/>
          </w:tcPr>
          <w:p w14:paraId="2DEA3CAC">
            <w:pPr>
              <w:snapToGrid w:val="0"/>
              <w:spacing w:before="120" w:beforeLines="50" w:after="50"/>
              <w:rPr>
                <w:rFonts w:ascii="Times New Roman" w:hAnsi="Times New Roman" w:eastAsia="宋体" w:cs="Times New Roman"/>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5AAA9856">
            <w:pPr>
              <w:snapToGrid w:val="0"/>
              <w:spacing w:before="120" w:beforeLines="50" w:after="50"/>
              <w:rPr>
                <w:rFonts w:ascii="Times New Roman" w:hAnsi="Times New Roman" w:eastAsia="宋体" w:cs="Times New Roman"/>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top"/>
          </w:tcPr>
          <w:p w14:paraId="5714992F">
            <w:pPr>
              <w:snapToGrid w:val="0"/>
              <w:spacing w:before="120" w:beforeLines="50" w:after="50"/>
              <w:rPr>
                <w:rFonts w:ascii="Times New Roman" w:hAnsi="Times New Roman" w:eastAsia="宋体" w:cs="Times New Roman"/>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noWrap w:val="0"/>
            <w:vAlign w:val="top"/>
          </w:tcPr>
          <w:p w14:paraId="77B39221">
            <w:pPr>
              <w:snapToGrid w:val="0"/>
              <w:spacing w:before="120" w:beforeLines="50" w:after="50"/>
              <w:ind w:left="5250" w:leftChars="2500"/>
              <w:rPr>
                <w:rFonts w:ascii="Times New Roman" w:hAnsi="Times New Roman" w:eastAsia="宋体" w:cs="Times New Roman"/>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E0C2B15">
            <w:pPr>
              <w:snapToGrid w:val="0"/>
              <w:spacing w:before="120" w:beforeLines="50" w:after="50"/>
              <w:rPr>
                <w:rFonts w:ascii="Times New Roman" w:hAnsi="Times New Roman"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70F82CC">
            <w:pPr>
              <w:snapToGrid w:val="0"/>
              <w:spacing w:before="120" w:beforeLines="50" w:after="50"/>
              <w:rPr>
                <w:rFonts w:ascii="Times New Roman" w:hAnsi="Times New Roman" w:eastAsia="宋体" w:cs="Times New Roman"/>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5A319DA0">
            <w:pPr>
              <w:snapToGrid w:val="0"/>
              <w:spacing w:before="120" w:beforeLines="50" w:after="50"/>
              <w:rPr>
                <w:rFonts w:ascii="Times New Roman" w:hAnsi="Times New Roman" w:eastAsia="宋体" w:cs="Times New Roman"/>
                <w:color w:val="auto"/>
                <w:szCs w:val="21"/>
                <w:highlight w:val="none"/>
              </w:rPr>
            </w:pPr>
          </w:p>
        </w:tc>
      </w:tr>
      <w:tr w14:paraId="66C44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top"/>
          </w:tcPr>
          <w:p w14:paraId="5EF47F46">
            <w:pPr>
              <w:snapToGrid w:val="0"/>
              <w:spacing w:before="120" w:beforeLines="50" w:after="50"/>
              <w:rPr>
                <w:rFonts w:ascii="Times New Roman" w:hAnsi="Times New Roman" w:eastAsia="宋体" w:cs="Times New Roman"/>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190C30D3">
            <w:pPr>
              <w:snapToGrid w:val="0"/>
              <w:spacing w:before="120" w:beforeLines="50" w:after="50"/>
              <w:rPr>
                <w:rFonts w:ascii="Times New Roman" w:hAnsi="Times New Roman" w:eastAsia="宋体" w:cs="Times New Roman"/>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top"/>
          </w:tcPr>
          <w:p w14:paraId="09C41614">
            <w:pPr>
              <w:snapToGrid w:val="0"/>
              <w:spacing w:before="120" w:beforeLines="50" w:after="50"/>
              <w:rPr>
                <w:rFonts w:ascii="Times New Roman" w:hAnsi="Times New Roman" w:eastAsia="宋体" w:cs="Times New Roman"/>
                <w:color w:val="auto"/>
                <w:szCs w:val="21"/>
                <w:highlight w:val="none"/>
              </w:rPr>
            </w:pPr>
          </w:p>
        </w:tc>
        <w:tc>
          <w:tcPr>
            <w:tcW w:w="2174" w:type="dxa"/>
            <w:tcBorders>
              <w:top w:val="single" w:color="auto" w:sz="4" w:space="0"/>
              <w:left w:val="single" w:color="auto" w:sz="4" w:space="0"/>
              <w:bottom w:val="single" w:color="auto" w:sz="4" w:space="0"/>
              <w:right w:val="single" w:color="auto" w:sz="4" w:space="0"/>
            </w:tcBorders>
            <w:noWrap w:val="0"/>
            <w:vAlign w:val="top"/>
          </w:tcPr>
          <w:p w14:paraId="2BDA5660">
            <w:pPr>
              <w:snapToGrid w:val="0"/>
              <w:spacing w:before="120" w:beforeLines="50" w:after="50"/>
              <w:ind w:left="5250" w:leftChars="2500"/>
              <w:rPr>
                <w:rFonts w:ascii="Times New Roman" w:hAnsi="Times New Roman" w:eastAsia="宋体" w:cs="Times New Roman"/>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1B6348C">
            <w:pPr>
              <w:snapToGrid w:val="0"/>
              <w:spacing w:before="120" w:beforeLines="50" w:after="50"/>
              <w:rPr>
                <w:rFonts w:ascii="Times New Roman" w:hAnsi="Times New Roman" w:eastAsia="宋体" w:cs="Times New Roman"/>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9EB59DC">
            <w:pPr>
              <w:snapToGrid w:val="0"/>
              <w:spacing w:before="120" w:beforeLines="50" w:after="50"/>
              <w:rPr>
                <w:rFonts w:ascii="Times New Roman" w:hAnsi="Times New Roman" w:eastAsia="宋体" w:cs="Times New Roman"/>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0D866357">
            <w:pPr>
              <w:snapToGrid w:val="0"/>
              <w:spacing w:before="120" w:beforeLines="50" w:after="50"/>
              <w:rPr>
                <w:rFonts w:ascii="Times New Roman" w:hAnsi="Times New Roman" w:eastAsia="宋体" w:cs="Times New Roman"/>
                <w:color w:val="auto"/>
                <w:szCs w:val="21"/>
                <w:highlight w:val="none"/>
              </w:rPr>
            </w:pPr>
          </w:p>
        </w:tc>
      </w:tr>
    </w:tbl>
    <w:p w14:paraId="1D534229">
      <w:pPr>
        <w:snapToGrid w:val="0"/>
        <w:spacing w:before="50" w:after="120" w:afterLines="50" w:line="440" w:lineRule="exact"/>
        <w:jc w:val="left"/>
        <w:rPr>
          <w:rFonts w:hint="eastAsia"/>
          <w:color w:val="auto"/>
          <w:szCs w:val="21"/>
          <w:highlight w:val="none"/>
        </w:rPr>
      </w:pPr>
      <w:r>
        <w:rPr>
          <w:color w:val="auto"/>
          <w:szCs w:val="21"/>
          <w:highlight w:val="none"/>
        </w:rPr>
        <w:t>注：在填写时，如本表格不适合响应单位的实际情况，可根据本表格式自行划表填写。</w:t>
      </w:r>
    </w:p>
    <w:p w14:paraId="6A30E54D">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7A7C3ED">
      <w:pPr>
        <w:rPr>
          <w:rFonts w:hint="eastAsia"/>
          <w:color w:val="auto"/>
          <w:spacing w:val="20"/>
          <w:szCs w:val="21"/>
          <w:highlight w:val="none"/>
          <w:u w:val="single"/>
        </w:rPr>
      </w:pPr>
    </w:p>
    <w:p w14:paraId="188AB8A7">
      <w:pPr>
        <w:rPr>
          <w:color w:val="auto"/>
          <w:szCs w:val="21"/>
          <w:highlight w:val="none"/>
        </w:rPr>
      </w:pPr>
    </w:p>
    <w:p w14:paraId="32BFC358">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．供应商需要说明的其他文件和说明。</w:t>
      </w:r>
    </w:p>
    <w:p w14:paraId="01812960">
      <w:pPr>
        <w:snapToGrid w:val="0"/>
        <w:spacing w:before="50" w:after="120" w:afterLines="50"/>
        <w:jc w:val="left"/>
        <w:rPr>
          <w:color w:val="auto"/>
          <w:szCs w:val="21"/>
          <w:highlight w:val="none"/>
        </w:rPr>
      </w:pPr>
    </w:p>
    <w:p w14:paraId="1DB8BE33">
      <w:pPr>
        <w:snapToGrid w:val="0"/>
        <w:spacing w:before="50" w:after="120" w:afterLines="50"/>
        <w:jc w:val="left"/>
        <w:rPr>
          <w:rFonts w:hint="eastAsia"/>
          <w:color w:val="auto"/>
          <w:szCs w:val="21"/>
          <w:highlight w:val="none"/>
        </w:rPr>
      </w:pPr>
    </w:p>
    <w:p w14:paraId="576147AC">
      <w:pPr>
        <w:snapToGrid w:val="0"/>
        <w:spacing w:before="120" w:beforeLines="50" w:after="50" w:line="440" w:lineRule="exact"/>
        <w:jc w:val="left"/>
        <w:outlineLvl w:val="1"/>
        <w:rPr>
          <w:bCs/>
          <w:color w:val="auto"/>
          <w:sz w:val="24"/>
          <w:highlight w:val="none"/>
        </w:rPr>
      </w:pPr>
      <w:r>
        <w:rPr>
          <w:color w:val="auto"/>
          <w:szCs w:val="21"/>
          <w:highlight w:val="none"/>
        </w:rPr>
        <w:br w:type="page"/>
      </w:r>
      <w:r>
        <w:rPr>
          <w:bCs/>
          <w:color w:val="auto"/>
          <w:sz w:val="24"/>
          <w:highlight w:val="none"/>
        </w:rPr>
        <w:t>3．响应文件封面参考格式</w:t>
      </w:r>
      <w:r>
        <w:rPr>
          <w:rFonts w:hint="eastAsia"/>
          <w:bCs/>
          <w:color w:val="auto"/>
          <w:sz w:val="24"/>
          <w:highlight w:val="none"/>
        </w:rPr>
        <w:t>（报价文件）</w:t>
      </w:r>
      <w:r>
        <w:rPr>
          <w:bCs/>
          <w:color w:val="auto"/>
          <w:sz w:val="24"/>
          <w:highlight w:val="none"/>
        </w:rPr>
        <w:t xml:space="preserve">： </w:t>
      </w:r>
    </w:p>
    <w:p w14:paraId="4E78D131">
      <w:pPr>
        <w:snapToGrid w:val="0"/>
        <w:spacing w:before="50" w:after="120" w:afterLines="50" w:line="400" w:lineRule="exact"/>
        <w:jc w:val="left"/>
        <w:rPr>
          <w:bCs/>
          <w:color w:val="auto"/>
          <w:sz w:val="24"/>
          <w:highlight w:val="none"/>
        </w:rPr>
      </w:pPr>
    </w:p>
    <w:p w14:paraId="118BA533">
      <w:pPr>
        <w:snapToGrid w:val="0"/>
        <w:spacing w:before="120" w:beforeLines="50" w:after="50" w:line="360" w:lineRule="exact"/>
        <w:rPr>
          <w:color w:val="auto"/>
          <w:sz w:val="24"/>
          <w:highlight w:val="none"/>
        </w:rPr>
      </w:pPr>
    </w:p>
    <w:p w14:paraId="31D44CBE">
      <w:pPr>
        <w:snapToGrid w:val="0"/>
        <w:spacing w:before="120" w:beforeLines="50" w:after="50" w:line="360" w:lineRule="exact"/>
        <w:jc w:val="center"/>
        <w:rPr>
          <w:bCs/>
          <w:color w:val="auto"/>
          <w:sz w:val="24"/>
          <w:highlight w:val="none"/>
        </w:rPr>
      </w:pPr>
    </w:p>
    <w:p w14:paraId="00077951">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7925F050">
      <w:pPr>
        <w:snapToGrid w:val="0"/>
        <w:spacing w:before="120" w:beforeLines="50" w:after="50" w:line="360" w:lineRule="exact"/>
        <w:jc w:val="center"/>
        <w:rPr>
          <w:b/>
          <w:bCs/>
          <w:color w:val="auto"/>
          <w:sz w:val="44"/>
          <w:szCs w:val="44"/>
          <w:highlight w:val="none"/>
        </w:rPr>
      </w:pPr>
    </w:p>
    <w:p w14:paraId="3C2939E3">
      <w:pPr>
        <w:snapToGrid w:val="0"/>
        <w:spacing w:before="120" w:beforeLines="50" w:after="50" w:line="360" w:lineRule="exact"/>
        <w:jc w:val="center"/>
        <w:rPr>
          <w:b/>
          <w:bCs/>
          <w:color w:val="auto"/>
          <w:sz w:val="44"/>
          <w:szCs w:val="44"/>
          <w:highlight w:val="none"/>
        </w:rPr>
      </w:pPr>
    </w:p>
    <w:p w14:paraId="68938129">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0009FB94">
      <w:pPr>
        <w:snapToGrid w:val="0"/>
        <w:spacing w:before="120" w:beforeLines="50" w:after="50" w:line="360" w:lineRule="exact"/>
        <w:rPr>
          <w:bCs/>
          <w:color w:val="auto"/>
          <w:sz w:val="24"/>
          <w:highlight w:val="none"/>
        </w:rPr>
      </w:pPr>
    </w:p>
    <w:p w14:paraId="5611D46E">
      <w:pPr>
        <w:snapToGrid w:val="0"/>
        <w:spacing w:before="120" w:beforeLines="50" w:after="50" w:line="360" w:lineRule="exact"/>
        <w:rPr>
          <w:bCs/>
          <w:color w:val="auto"/>
          <w:sz w:val="24"/>
          <w:highlight w:val="none"/>
        </w:rPr>
      </w:pPr>
    </w:p>
    <w:p w14:paraId="5C00EEED">
      <w:pPr>
        <w:snapToGrid w:val="0"/>
        <w:spacing w:before="120" w:beforeLines="50" w:after="50" w:line="360" w:lineRule="exact"/>
        <w:rPr>
          <w:bCs/>
          <w:color w:val="auto"/>
          <w:sz w:val="24"/>
          <w:highlight w:val="none"/>
        </w:rPr>
      </w:pPr>
    </w:p>
    <w:p w14:paraId="0DA09F80">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D8503B1">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27B1675B">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5CD8B25F">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7B4E8D0F">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73982D4F">
      <w:pPr>
        <w:snapToGrid w:val="0"/>
        <w:spacing w:before="120" w:beforeLines="50" w:after="50" w:line="360" w:lineRule="exact"/>
        <w:ind w:firstLine="720" w:firstLineChars="300"/>
        <w:rPr>
          <w:bCs/>
          <w:color w:val="auto"/>
          <w:sz w:val="24"/>
          <w:highlight w:val="none"/>
        </w:rPr>
      </w:pPr>
    </w:p>
    <w:p w14:paraId="35EEE5FD">
      <w:pPr>
        <w:pStyle w:val="7"/>
        <w:snapToGrid w:val="0"/>
        <w:spacing w:before="50" w:after="50" w:line="360" w:lineRule="exact"/>
        <w:ind w:firstLine="960" w:firstLineChars="400"/>
        <w:rPr>
          <w:bCs/>
          <w:color w:val="auto"/>
          <w:sz w:val="24"/>
          <w:szCs w:val="24"/>
          <w:highlight w:val="none"/>
        </w:rPr>
      </w:pPr>
    </w:p>
    <w:p w14:paraId="77531989">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30AEABBC">
      <w:pPr>
        <w:rPr>
          <w:rFonts w:hint="eastAsia"/>
          <w:color w:val="auto"/>
          <w:highlight w:val="none"/>
        </w:rPr>
      </w:pPr>
    </w:p>
    <w:p w14:paraId="651633BB">
      <w:pPr>
        <w:jc w:val="center"/>
        <w:rPr>
          <w:b/>
          <w:bCs/>
          <w:color w:val="auto"/>
          <w:szCs w:val="21"/>
          <w:highlight w:val="none"/>
        </w:rPr>
      </w:pPr>
      <w:r>
        <w:rPr>
          <w:b/>
          <w:color w:val="auto"/>
          <w:szCs w:val="21"/>
          <w:highlight w:val="none"/>
        </w:rPr>
        <w:br w:type="page"/>
      </w:r>
      <w:r>
        <w:rPr>
          <w:b/>
          <w:bCs/>
          <w:color w:val="auto"/>
          <w:szCs w:val="21"/>
          <w:highlight w:val="none"/>
        </w:rPr>
        <w:t xml:space="preserve"> </w:t>
      </w:r>
    </w:p>
    <w:p w14:paraId="334AD9A8">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16BB2096">
      <w:pPr>
        <w:jc w:val="center"/>
        <w:rPr>
          <w:b/>
          <w:bCs/>
          <w:color w:val="auto"/>
          <w:szCs w:val="21"/>
          <w:highlight w:val="none"/>
        </w:rPr>
      </w:pPr>
    </w:p>
    <w:p w14:paraId="7709D5C9">
      <w:pPr>
        <w:rPr>
          <w:rFonts w:hint="eastAsia"/>
          <w:color w:val="auto"/>
          <w:highlight w:val="none"/>
        </w:rPr>
      </w:pPr>
      <w:r>
        <w:rPr>
          <w:color w:val="auto"/>
          <w:highlight w:val="none"/>
        </w:rPr>
        <w:t>1．响应函格式：</w:t>
      </w:r>
    </w:p>
    <w:p w14:paraId="22C318F4">
      <w:pPr>
        <w:rPr>
          <w:color w:val="auto"/>
          <w:highlight w:val="none"/>
        </w:rPr>
      </w:pPr>
    </w:p>
    <w:p w14:paraId="27869AC8">
      <w:pPr>
        <w:jc w:val="center"/>
        <w:rPr>
          <w:b/>
          <w:color w:val="auto"/>
          <w:szCs w:val="21"/>
          <w:highlight w:val="none"/>
        </w:rPr>
      </w:pPr>
      <w:r>
        <w:rPr>
          <w:b/>
          <w:color w:val="auto"/>
          <w:szCs w:val="21"/>
          <w:highlight w:val="none"/>
        </w:rPr>
        <w:t>投 标 函</w:t>
      </w:r>
    </w:p>
    <w:p w14:paraId="0581B67F">
      <w:pPr>
        <w:rPr>
          <w:b/>
          <w:color w:val="auto"/>
          <w:szCs w:val="21"/>
          <w:highlight w:val="none"/>
        </w:rPr>
      </w:pPr>
    </w:p>
    <w:p w14:paraId="11961AD8">
      <w:pPr>
        <w:spacing w:line="360" w:lineRule="auto"/>
        <w:rPr>
          <w:color w:val="auto"/>
          <w:szCs w:val="21"/>
          <w:highlight w:val="none"/>
        </w:rPr>
      </w:pPr>
      <w:r>
        <w:rPr>
          <w:color w:val="auto"/>
          <w:szCs w:val="21"/>
          <w:highlight w:val="none"/>
        </w:rPr>
        <w:t>致：</w:t>
      </w:r>
      <w:bookmarkStart w:id="106" w:name="_Hlk19051378"/>
      <w:r>
        <w:rPr>
          <w:color w:val="auto"/>
          <w:szCs w:val="21"/>
          <w:highlight w:val="none"/>
        </w:rPr>
        <w:t>_</w:t>
      </w:r>
      <w:r>
        <w:rPr>
          <w:i/>
          <w:iCs/>
          <w:color w:val="auto"/>
          <w:szCs w:val="21"/>
          <w:highlight w:val="none"/>
          <w:u w:val="single"/>
        </w:rPr>
        <w:t>（征集人名称）</w:t>
      </w:r>
      <w:r>
        <w:rPr>
          <w:i/>
          <w:iCs/>
          <w:color w:val="auto"/>
          <w:szCs w:val="21"/>
          <w:highlight w:val="none"/>
        </w:rPr>
        <w:t>_</w:t>
      </w:r>
      <w:bookmarkEnd w:id="106"/>
      <w:r>
        <w:rPr>
          <w:color w:val="auto"/>
          <w:szCs w:val="21"/>
          <w:highlight w:val="none"/>
        </w:rPr>
        <w:t>：</w:t>
      </w:r>
    </w:p>
    <w:p w14:paraId="2EB8C33A">
      <w:pPr>
        <w:spacing w:line="360" w:lineRule="auto"/>
        <w:ind w:firstLine="420" w:firstLineChars="200"/>
        <w:rPr>
          <w:color w:val="auto"/>
          <w:szCs w:val="21"/>
          <w:highlight w:val="none"/>
        </w:rPr>
      </w:pPr>
      <w:r>
        <w:rPr>
          <w:color w:val="auto"/>
          <w:szCs w:val="21"/>
          <w:highlight w:val="none"/>
        </w:rPr>
        <w:t>我方已仔细研究了</w:t>
      </w:r>
      <w:bookmarkStart w:id="107" w:name="_Hlk19051388"/>
      <w:r>
        <w:rPr>
          <w:rFonts w:hint="eastAsia"/>
          <w:i/>
          <w:iCs/>
          <w:color w:val="auto"/>
          <w:szCs w:val="21"/>
          <w:highlight w:val="none"/>
          <w:u w:val="single"/>
        </w:rPr>
        <w:t>（项目名称）</w:t>
      </w:r>
      <w:bookmarkEnd w:id="107"/>
      <w:r>
        <w:rPr>
          <w:color w:val="auto"/>
          <w:szCs w:val="21"/>
          <w:highlight w:val="none"/>
        </w:rPr>
        <w:t>的征集文件的全部内容。签字代表</w:t>
      </w:r>
      <w:bookmarkStart w:id="108" w:name="_Hlk19051393"/>
      <w:r>
        <w:rPr>
          <w:rFonts w:hint="eastAsia"/>
          <w:i/>
          <w:iCs/>
          <w:color w:val="auto"/>
          <w:szCs w:val="21"/>
          <w:highlight w:val="none"/>
          <w:u w:val="single"/>
        </w:rPr>
        <w:t>（授权代表姓名）</w:t>
      </w:r>
      <w:bookmarkEnd w:id="108"/>
      <w:r>
        <w:rPr>
          <w:color w:val="auto"/>
          <w:szCs w:val="21"/>
          <w:highlight w:val="none"/>
        </w:rPr>
        <w:t>经正式授权并代表供应商_</w:t>
      </w:r>
      <w:bookmarkStart w:id="109" w:name="_Hlk19051402"/>
      <w:r>
        <w:rPr>
          <w:i/>
          <w:iCs/>
          <w:color w:val="auto"/>
          <w:szCs w:val="21"/>
          <w:highlight w:val="none"/>
          <w:u w:val="single"/>
        </w:rPr>
        <w:t>（供应商名称）</w:t>
      </w:r>
      <w:bookmarkEnd w:id="109"/>
      <w:r>
        <w:rPr>
          <w:color w:val="auto"/>
          <w:szCs w:val="21"/>
          <w:highlight w:val="none"/>
        </w:rPr>
        <w:t>提交响应文件</w:t>
      </w:r>
      <w:r>
        <w:rPr>
          <w:rFonts w:hint="eastAsia"/>
          <w:color w:val="auto"/>
          <w:szCs w:val="21"/>
          <w:highlight w:val="none"/>
        </w:rPr>
        <w:t>。</w:t>
      </w:r>
    </w:p>
    <w:p w14:paraId="2B457DAE">
      <w:pPr>
        <w:spacing w:line="360" w:lineRule="auto"/>
        <w:rPr>
          <w:color w:val="auto"/>
          <w:szCs w:val="21"/>
          <w:highlight w:val="none"/>
        </w:rPr>
      </w:pPr>
      <w:r>
        <w:rPr>
          <w:color w:val="auto"/>
          <w:szCs w:val="21"/>
          <w:highlight w:val="none"/>
        </w:rPr>
        <w:t>据此函，签字代表宣布同意如下：</w:t>
      </w:r>
    </w:p>
    <w:p w14:paraId="11B71996">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已详细审查全部“征集文件”，包括修改文件（如有的话）以及全部参考资料和有关附件，已经了解我方对于征集文件、采购过程、采购结果有依法进行询问、质疑、投诉的权利及相关渠道和要求。</w:t>
      </w:r>
    </w:p>
    <w:p w14:paraId="4A011776">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在响应之前已经与贵方进行了充分的沟通，完全理解并接受征集文件的各项规定和要求，对征集文件的合理性、合法性不再有异议。</w:t>
      </w:r>
    </w:p>
    <w:p w14:paraId="31FE6C0B">
      <w:pPr>
        <w:spacing w:line="360" w:lineRule="auto"/>
        <w:rPr>
          <w:color w:val="auto"/>
          <w:szCs w:val="21"/>
          <w:highlight w:val="none"/>
        </w:rPr>
      </w:pPr>
      <w:r>
        <w:rPr>
          <w:color w:val="auto"/>
          <w:szCs w:val="21"/>
          <w:highlight w:val="none"/>
        </w:rPr>
        <w:t>（3）本响应有效期自响应截止之日起</w:t>
      </w:r>
      <w:r>
        <w:rPr>
          <w:color w:val="auto"/>
          <w:szCs w:val="21"/>
          <w:highlight w:val="none"/>
          <w:u w:val="single"/>
        </w:rPr>
        <w:t xml:space="preserve">     </w:t>
      </w:r>
      <w:r>
        <w:rPr>
          <w:color w:val="auto"/>
          <w:szCs w:val="21"/>
          <w:highlight w:val="none"/>
        </w:rPr>
        <w:t>天。</w:t>
      </w:r>
    </w:p>
    <w:p w14:paraId="557E0A30">
      <w:pPr>
        <w:spacing w:line="360" w:lineRule="auto"/>
        <w:rPr>
          <w:color w:val="auto"/>
          <w:szCs w:val="21"/>
          <w:highlight w:val="none"/>
        </w:rPr>
      </w:pPr>
      <w:r>
        <w:rPr>
          <w:color w:val="auto"/>
          <w:szCs w:val="21"/>
          <w:highlight w:val="none"/>
        </w:rPr>
        <w:t>（4）如入围，本响应文件至本项目合同履行完毕止均保持有效，</w:t>
      </w:r>
      <w:r>
        <w:rPr>
          <w:rFonts w:hint="eastAsia"/>
          <w:color w:val="auto"/>
          <w:szCs w:val="21"/>
          <w:highlight w:val="none"/>
        </w:rPr>
        <w:t>我方</w:t>
      </w:r>
      <w:r>
        <w:rPr>
          <w:color w:val="auto"/>
          <w:szCs w:val="21"/>
          <w:highlight w:val="none"/>
        </w:rPr>
        <w:t>将按“征集文件”及政府采购法律、法规的规定履行合同责任和义务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66CD8636">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同意按照贵方要求提供与响应有关的一切数据或资料。</w:t>
      </w:r>
    </w:p>
    <w:p w14:paraId="509E5919">
      <w:pPr>
        <w:spacing w:line="360" w:lineRule="auto"/>
        <w:rPr>
          <w:color w:val="auto"/>
          <w:szCs w:val="21"/>
          <w:highlight w:val="none"/>
        </w:rPr>
      </w:pPr>
      <w:r>
        <w:rPr>
          <w:color w:val="auto"/>
          <w:szCs w:val="21"/>
          <w:highlight w:val="none"/>
        </w:rPr>
        <w:t>（6）与本项目有关的一切正式往来信函请寄：</w:t>
      </w:r>
    </w:p>
    <w:p w14:paraId="77E80908">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1A00B68E">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647A147F">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2448E2F7">
      <w:pPr>
        <w:spacing w:line="360" w:lineRule="auto"/>
        <w:rPr>
          <w:color w:val="auto"/>
          <w:szCs w:val="21"/>
          <w:highlight w:val="none"/>
        </w:rPr>
      </w:pPr>
    </w:p>
    <w:p w14:paraId="1C41EC68">
      <w:pPr>
        <w:spacing w:line="360" w:lineRule="auto"/>
        <w:rPr>
          <w:rFonts w:hint="eastAsia"/>
          <w:color w:val="auto"/>
          <w:szCs w:val="21"/>
          <w:highlight w:val="none"/>
        </w:rPr>
      </w:pPr>
    </w:p>
    <w:p w14:paraId="07907309">
      <w:pPr>
        <w:spacing w:line="360" w:lineRule="auto"/>
        <w:rPr>
          <w:rFonts w:hint="eastAsia"/>
          <w:color w:val="auto"/>
          <w:szCs w:val="21"/>
          <w:highlight w:val="none"/>
        </w:rPr>
      </w:pPr>
    </w:p>
    <w:p w14:paraId="2A16E326">
      <w:pPr>
        <w:spacing w:line="360" w:lineRule="auto"/>
        <w:rPr>
          <w:rFonts w:hint="eastAsia"/>
          <w:color w:val="auto"/>
          <w:szCs w:val="21"/>
          <w:highlight w:val="none"/>
        </w:rPr>
      </w:pPr>
      <w:r>
        <w:rPr>
          <w:rFonts w:hint="eastAsia"/>
          <w:color w:val="auto"/>
          <w:szCs w:val="21"/>
          <w:highlight w:val="none"/>
        </w:rPr>
        <w:t>供应商名称(电子签章)：</w:t>
      </w:r>
    </w:p>
    <w:p w14:paraId="37B54774">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9456C8E">
      <w:pPr>
        <w:rPr>
          <w:color w:val="auto"/>
          <w:highlight w:val="none"/>
        </w:rPr>
      </w:pPr>
      <w:r>
        <w:rPr>
          <w:b/>
          <w:color w:val="auto"/>
          <w:szCs w:val="21"/>
          <w:highlight w:val="none"/>
        </w:rPr>
        <w:br w:type="page"/>
      </w:r>
      <w:r>
        <w:rPr>
          <w:color w:val="auto"/>
          <w:highlight w:val="none"/>
        </w:rPr>
        <w:t>2．响应报价明细表格式：</w:t>
      </w:r>
    </w:p>
    <w:p w14:paraId="0D1F7449">
      <w:pPr>
        <w:jc w:val="center"/>
        <w:rPr>
          <w:b/>
          <w:color w:val="auto"/>
          <w:szCs w:val="21"/>
          <w:highlight w:val="none"/>
        </w:rPr>
      </w:pPr>
    </w:p>
    <w:p w14:paraId="1A02246F">
      <w:pPr>
        <w:jc w:val="center"/>
        <w:rPr>
          <w:b/>
          <w:color w:val="auto"/>
          <w:szCs w:val="21"/>
          <w:highlight w:val="none"/>
        </w:rPr>
      </w:pPr>
    </w:p>
    <w:p w14:paraId="737AA571">
      <w:pPr>
        <w:jc w:val="center"/>
        <w:rPr>
          <w:b/>
          <w:color w:val="auto"/>
          <w:szCs w:val="21"/>
          <w:highlight w:val="none"/>
        </w:rPr>
      </w:pPr>
      <w:r>
        <w:rPr>
          <w:b/>
          <w:color w:val="auto"/>
          <w:szCs w:val="21"/>
          <w:highlight w:val="none"/>
        </w:rPr>
        <w:t>响应报价明细表</w:t>
      </w:r>
    </w:p>
    <w:p w14:paraId="28E46799">
      <w:pPr>
        <w:ind w:firstLine="2415" w:firstLineChars="1150"/>
        <w:rPr>
          <w:color w:val="auto"/>
          <w:szCs w:val="21"/>
          <w:highlight w:val="none"/>
        </w:rPr>
      </w:pPr>
      <w:r>
        <w:rPr>
          <w:color w:val="auto"/>
          <w:szCs w:val="21"/>
          <w:highlight w:val="none"/>
        </w:rPr>
        <w:t xml:space="preserve">                            </w:t>
      </w:r>
    </w:p>
    <w:p w14:paraId="5DEDB9CD">
      <w:pPr>
        <w:rPr>
          <w:rFonts w:ascii="Times New Roman" w:hAnsi="Times New Roman" w:eastAsia="宋体" w:cs="Times New Roman"/>
          <w:color w:val="auto"/>
          <w:spacing w:val="20"/>
          <w:szCs w:val="21"/>
          <w:highlight w:val="none"/>
          <w:u w:val="single"/>
        </w:rPr>
      </w:pPr>
      <w:r>
        <w:rPr>
          <w:rFonts w:hint="eastAsia" w:ascii="Times New Roman" w:hAnsi="Times New Roman" w:eastAsia="宋体" w:cs="Times New Roman"/>
          <w:color w:val="auto"/>
          <w:szCs w:val="21"/>
          <w:highlight w:val="none"/>
        </w:rPr>
        <w:t>标项</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tbl>
      <w:tblPr>
        <w:tblStyle w:val="51"/>
        <w:tblW w:w="7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5"/>
        <w:gridCol w:w="1437"/>
        <w:gridCol w:w="1599"/>
        <w:gridCol w:w="1413"/>
        <w:gridCol w:w="1381"/>
      </w:tblGrid>
      <w:tr w14:paraId="654A5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0" w:hRule="exact"/>
          <w:jc w:val="center"/>
        </w:trPr>
        <w:tc>
          <w:tcPr>
            <w:tcW w:w="1735" w:type="dxa"/>
            <w:tcBorders>
              <w:top w:val="single" w:color="auto" w:sz="4" w:space="0"/>
              <w:left w:val="single" w:color="auto" w:sz="4" w:space="0"/>
              <w:bottom w:val="single" w:color="auto" w:sz="4" w:space="0"/>
              <w:right w:val="single" w:color="auto" w:sz="4" w:space="0"/>
            </w:tcBorders>
            <w:noWrap w:val="0"/>
            <w:vAlign w:val="center"/>
          </w:tcPr>
          <w:p w14:paraId="2C429FC8">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服务</w:t>
            </w:r>
            <w:r>
              <w:rPr>
                <w:rFonts w:hint="eastAsia" w:ascii="Times New Roman" w:hAnsi="Times New Roman" w:eastAsia="宋体" w:cs="Times New Roman"/>
                <w:color w:val="auto"/>
                <w:szCs w:val="21"/>
                <w:highlight w:val="none"/>
                <w:lang w:val="en-US" w:eastAsia="zh-CN"/>
              </w:rPr>
              <w:t>名称</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32E8CB26">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最高限制单价(万元)</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798AF5CE">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框架协议技术负责人</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0147805">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服务标准</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3A541D1">
            <w:pPr>
              <w:jc w:val="center"/>
              <w:rPr>
                <w:rFonts w:ascii="Times New Roman" w:hAnsi="Times New Roman" w:eastAsia="宋体" w:cs="Times New Roman"/>
                <w:color w:val="auto"/>
                <w:spacing w:val="20"/>
                <w:szCs w:val="21"/>
                <w:highlight w:val="none"/>
              </w:rPr>
            </w:pPr>
            <w:r>
              <w:rPr>
                <w:rFonts w:hint="eastAsia" w:ascii="Times New Roman" w:hAnsi="Times New Roman" w:eastAsia="宋体" w:cs="Times New Roman"/>
                <w:color w:val="auto"/>
                <w:spacing w:val="20"/>
                <w:szCs w:val="21"/>
                <w:highlight w:val="none"/>
              </w:rPr>
              <w:t>备注</w:t>
            </w:r>
          </w:p>
        </w:tc>
      </w:tr>
      <w:tr w14:paraId="09153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9" w:hRule="exact"/>
          <w:jc w:val="center"/>
        </w:trPr>
        <w:tc>
          <w:tcPr>
            <w:tcW w:w="1735" w:type="dxa"/>
            <w:tcBorders>
              <w:top w:val="single" w:color="auto" w:sz="4" w:space="0"/>
              <w:left w:val="single" w:color="auto" w:sz="4" w:space="0"/>
              <w:bottom w:val="single" w:color="auto" w:sz="4" w:space="0"/>
              <w:right w:val="single" w:color="auto" w:sz="4" w:space="0"/>
            </w:tcBorders>
            <w:noWrap w:val="0"/>
            <w:vAlign w:val="center"/>
          </w:tcPr>
          <w:p w14:paraId="44428319">
            <w:pPr>
              <w:jc w:val="center"/>
              <w:rPr>
                <w:rFonts w:ascii="Times New Roman" w:hAnsi="Times New Roman" w:eastAsia="宋体" w:cs="Times New Roman"/>
                <w:color w:val="auto"/>
                <w:spacing w:val="20"/>
                <w:szCs w:val="21"/>
                <w:highlight w:val="none"/>
              </w:rPr>
            </w:pPr>
            <w:r>
              <w:rPr>
                <w:rFonts w:hint="eastAsia" w:ascii="Times New Roman" w:hAnsi="Times New Roman" w:eastAsia="宋体" w:cs="Times New Roman"/>
                <w:color w:val="auto"/>
                <w:spacing w:val="20"/>
                <w:szCs w:val="21"/>
                <w:highlight w:val="none"/>
              </w:rPr>
              <w:t>钟山县财政局2026～2028年度政府投资项目评审服务项目</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68E13C4E">
            <w:pPr>
              <w:jc w:val="center"/>
              <w:rPr>
                <w:rFonts w:ascii="Times New Roman" w:hAnsi="Times New Roman" w:eastAsia="宋体" w:cs="Times New Roman"/>
                <w:color w:val="auto"/>
                <w:spacing w:val="20"/>
                <w:szCs w:val="21"/>
                <w:highlight w:val="none"/>
              </w:rPr>
            </w:pPr>
            <w:r>
              <w:rPr>
                <w:rFonts w:hint="eastAsia" w:ascii="Times New Roman" w:hAnsi="Times New Roman" w:eastAsia="宋体" w:cs="Times New Roman"/>
                <w:color w:val="auto"/>
                <w:spacing w:val="20"/>
                <w:szCs w:val="21"/>
                <w:highlight w:val="none"/>
              </w:rPr>
              <w:t>与</w:t>
            </w:r>
            <w:r>
              <w:rPr>
                <w:rFonts w:hint="eastAsia" w:ascii="Times New Roman" w:hAnsi="Times New Roman" w:eastAsia="宋体" w:cs="Times New Roman"/>
                <w:color w:val="auto"/>
                <w:spacing w:val="20"/>
                <w:szCs w:val="21"/>
                <w:highlight w:val="none"/>
                <w:lang w:val="en-US" w:eastAsia="zh-CN"/>
              </w:rPr>
              <w:t>本项目</w:t>
            </w:r>
            <w:r>
              <w:rPr>
                <w:rFonts w:hint="eastAsia" w:ascii="Times New Roman" w:hAnsi="Times New Roman" w:eastAsia="宋体" w:cs="Times New Roman"/>
                <w:color w:val="auto"/>
                <w:spacing w:val="20"/>
                <w:szCs w:val="21"/>
                <w:highlight w:val="none"/>
              </w:rPr>
              <w:t>最高限制单价一致</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C343F21">
            <w:pPr>
              <w:jc w:val="center"/>
              <w:rPr>
                <w:rFonts w:ascii="Times New Roman" w:hAnsi="Times New Roman" w:eastAsia="宋体" w:cs="Times New Roman"/>
                <w:color w:val="auto"/>
                <w:spacing w:val="20"/>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65D2DDE">
            <w:pPr>
              <w:jc w:val="center"/>
              <w:rPr>
                <w:rFonts w:ascii="Times New Roman" w:hAnsi="Times New Roman" w:eastAsia="宋体" w:cs="Times New Roman"/>
                <w:color w:val="auto"/>
                <w:spacing w:val="20"/>
                <w:szCs w:val="21"/>
                <w:highlight w:val="none"/>
              </w:rPr>
            </w:pPr>
            <w:r>
              <w:rPr>
                <w:rFonts w:hint="eastAsia" w:ascii="Times New Roman" w:hAnsi="Times New Roman" w:eastAsia="宋体" w:cs="Times New Roman"/>
                <w:color w:val="auto"/>
                <w:spacing w:val="20"/>
                <w:szCs w:val="21"/>
                <w:highlight w:val="none"/>
              </w:rPr>
              <w:t>严格遵守国家的法律、法规、规章制度和行业准则，满足采购人需求。</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501CC24">
            <w:pPr>
              <w:jc w:val="center"/>
              <w:rPr>
                <w:rFonts w:ascii="Times New Roman" w:hAnsi="Times New Roman" w:eastAsia="宋体" w:cs="Times New Roman"/>
                <w:color w:val="auto"/>
                <w:spacing w:val="20"/>
                <w:szCs w:val="21"/>
                <w:highlight w:val="none"/>
              </w:rPr>
            </w:pPr>
            <w:r>
              <w:rPr>
                <w:rFonts w:hint="eastAsia" w:ascii="Times New Roman" w:hAnsi="Times New Roman" w:eastAsia="宋体" w:cs="Times New Roman"/>
                <w:color w:val="auto"/>
                <w:spacing w:val="20"/>
                <w:szCs w:val="21"/>
                <w:highlight w:val="none"/>
              </w:rPr>
              <w:t>本公司承诺同意按本项目征集文件规定的服务费计取和支付方式收费。</w:t>
            </w:r>
          </w:p>
        </w:tc>
      </w:tr>
    </w:tbl>
    <w:p w14:paraId="4407A8FB">
      <w:pPr>
        <w:rPr>
          <w:color w:val="auto"/>
          <w:spacing w:val="20"/>
          <w:szCs w:val="21"/>
          <w:highlight w:val="none"/>
          <w:u w:val="single"/>
        </w:rPr>
      </w:pPr>
    </w:p>
    <w:p w14:paraId="30FAAB42">
      <w:pPr>
        <w:rPr>
          <w:color w:val="auto"/>
          <w:spacing w:val="20"/>
          <w:szCs w:val="21"/>
          <w:highlight w:val="none"/>
          <w:u w:val="single"/>
        </w:rPr>
      </w:pPr>
    </w:p>
    <w:p w14:paraId="4956096C">
      <w:pPr>
        <w:spacing w:line="360" w:lineRule="auto"/>
        <w:rPr>
          <w:color w:val="auto"/>
          <w:spacing w:val="20"/>
          <w:szCs w:val="21"/>
          <w:highlight w:val="none"/>
        </w:rPr>
      </w:pPr>
    </w:p>
    <w:p w14:paraId="449842D6">
      <w:pPr>
        <w:snapToGrid w:val="0"/>
        <w:spacing w:before="50" w:after="120" w:afterLines="50"/>
        <w:jc w:val="left"/>
        <w:rPr>
          <w:rFonts w:hint="eastAsia"/>
          <w:color w:val="auto"/>
          <w:szCs w:val="21"/>
          <w:highlight w:val="none"/>
        </w:rPr>
      </w:pPr>
      <w:r>
        <w:rPr>
          <w:rFonts w:hint="eastAsia"/>
          <w:color w:val="auto"/>
          <w:szCs w:val="21"/>
          <w:highlight w:val="none"/>
        </w:rPr>
        <w:t>注：本表如与广西政府采购云平台不一致的，以广西政府采购云平台为准。</w:t>
      </w:r>
    </w:p>
    <w:p w14:paraId="620F6CD4">
      <w:pPr>
        <w:snapToGrid w:val="0"/>
        <w:spacing w:before="50" w:after="120" w:afterLines="50"/>
        <w:jc w:val="left"/>
        <w:rPr>
          <w:color w:val="auto"/>
          <w:szCs w:val="21"/>
          <w:highlight w:val="none"/>
        </w:rPr>
      </w:pPr>
    </w:p>
    <w:p w14:paraId="3685FD37">
      <w:pPr>
        <w:snapToGrid w:val="0"/>
        <w:spacing w:before="50" w:after="120" w:afterLines="50"/>
        <w:jc w:val="left"/>
        <w:rPr>
          <w:color w:val="auto"/>
          <w:szCs w:val="21"/>
          <w:highlight w:val="none"/>
        </w:rPr>
      </w:pPr>
    </w:p>
    <w:p w14:paraId="701DE48A">
      <w:pPr>
        <w:snapToGrid w:val="0"/>
        <w:spacing w:before="50" w:after="120" w:afterLines="50"/>
        <w:jc w:val="left"/>
        <w:rPr>
          <w:rFonts w:hint="eastAsia"/>
          <w:color w:val="auto"/>
          <w:szCs w:val="21"/>
          <w:highlight w:val="none"/>
        </w:rPr>
      </w:pPr>
      <w:r>
        <w:rPr>
          <w:rFonts w:hint="eastAsia"/>
          <w:color w:val="auto"/>
          <w:szCs w:val="21"/>
          <w:highlight w:val="none"/>
        </w:rPr>
        <w:t xml:space="preserve">供应商名称（电子签章）：                          </w:t>
      </w:r>
    </w:p>
    <w:p w14:paraId="7AC48388">
      <w:pPr>
        <w:snapToGrid w:val="0"/>
        <w:spacing w:before="50" w:after="120" w:afterLines="50"/>
        <w:jc w:val="left"/>
        <w:rPr>
          <w:rFonts w:hint="eastAsia"/>
          <w:color w:val="auto"/>
          <w:szCs w:val="21"/>
          <w:highlight w:val="none"/>
        </w:rPr>
      </w:pPr>
      <w:r>
        <w:rPr>
          <w:rFonts w:hint="eastAsia"/>
          <w:color w:val="auto"/>
          <w:szCs w:val="21"/>
          <w:highlight w:val="none"/>
        </w:rPr>
        <w:t xml:space="preserve">日  期：         年   月   日 </w:t>
      </w:r>
      <w:bookmarkEnd w:id="0"/>
      <w:bookmarkEnd w:id="1"/>
      <w:bookmarkStart w:id="110" w:name="_Hlk88990880"/>
    </w:p>
    <w:p w14:paraId="640D1203">
      <w:pPr>
        <w:snapToGrid w:val="0"/>
        <w:spacing w:before="50" w:after="120" w:afterLines="50"/>
        <w:jc w:val="left"/>
        <w:rPr>
          <w:rFonts w:hint="eastAsia"/>
          <w:color w:val="auto"/>
          <w:szCs w:val="21"/>
          <w:highlight w:val="none"/>
        </w:rPr>
      </w:pPr>
    </w:p>
    <w:p w14:paraId="6FA86209">
      <w:pPr>
        <w:snapToGrid w:val="0"/>
        <w:spacing w:before="50" w:after="120" w:afterLines="5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．截标一览表</w:t>
      </w:r>
    </w:p>
    <w:p w14:paraId="275BBB83">
      <w:pPr>
        <w:widowControl/>
        <w:jc w:val="left"/>
        <w:rPr>
          <w:color w:val="auto"/>
          <w:szCs w:val="21"/>
          <w:highlight w:val="none"/>
        </w:rPr>
      </w:pPr>
    </w:p>
    <w:p w14:paraId="27BA4A10">
      <w:pPr>
        <w:widowControl/>
        <w:jc w:val="left"/>
        <w:rPr>
          <w:color w:val="auto"/>
          <w:szCs w:val="21"/>
          <w:highlight w:val="none"/>
        </w:rPr>
      </w:pPr>
    </w:p>
    <w:p w14:paraId="152FD65B">
      <w:pPr>
        <w:widowControl/>
        <w:jc w:val="left"/>
        <w:rPr>
          <w:color w:val="auto"/>
          <w:szCs w:val="21"/>
          <w:highlight w:val="none"/>
        </w:rPr>
      </w:pPr>
    </w:p>
    <w:p w14:paraId="2786B5EF">
      <w:pPr>
        <w:rPr>
          <w:b/>
          <w:color w:val="auto"/>
          <w:szCs w:val="21"/>
          <w:highlight w:val="none"/>
        </w:rPr>
      </w:pPr>
    </w:p>
    <w:p w14:paraId="7B756993">
      <w:pPr>
        <w:rPr>
          <w:b/>
          <w:color w:val="auto"/>
          <w:szCs w:val="21"/>
          <w:highlight w:val="none"/>
        </w:rPr>
      </w:pPr>
    </w:p>
    <w:p w14:paraId="2A107095">
      <w:pPr>
        <w:rPr>
          <w:b/>
          <w:color w:val="auto"/>
          <w:szCs w:val="21"/>
          <w:highlight w:val="none"/>
        </w:rPr>
      </w:pPr>
      <w:r>
        <w:rPr>
          <w:rFonts w:hint="eastAsia"/>
          <w:b/>
          <w:color w:val="auto"/>
          <w:szCs w:val="21"/>
          <w:highlight w:val="none"/>
        </w:rPr>
        <w:t>格式详见广西政府采购云平台，且仅在广西政府采购云平台填写即可。</w:t>
      </w:r>
    </w:p>
    <w:bookmarkEnd w:id="110"/>
    <w:p w14:paraId="3139E056">
      <w:pPr>
        <w:snapToGrid w:val="0"/>
        <w:spacing w:before="120" w:beforeLines="50" w:after="50" w:line="440" w:lineRule="exact"/>
        <w:jc w:val="left"/>
        <w:outlineLvl w:val="1"/>
        <w:rPr>
          <w:rFonts w:hint="eastAsia"/>
          <w:bCs/>
          <w:color w:val="auto"/>
          <w:sz w:val="24"/>
          <w:highlight w:val="none"/>
        </w:rPr>
      </w:pPr>
    </w:p>
    <w:sectPr>
      <w:headerReference r:id="rId17" w:type="default"/>
      <w:pgSz w:w="11906" w:h="16838"/>
      <w:pgMar w:top="1418" w:right="144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E57CE">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437064B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9180">
    <w:pPr>
      <w:pStyle w:val="31"/>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CEE6">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10</w:t>
    </w:r>
    <w:r>
      <w:fldChar w:fldCharType="end"/>
    </w:r>
  </w:p>
  <w:p w14:paraId="6D29B54C">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2D8">
    <w:pPr>
      <w:pStyle w:val="31"/>
      <w:jc w:val="center"/>
      <w:rPr>
        <w:rFonts w:hint="eastAsia"/>
      </w:rPr>
    </w:pPr>
    <w:r>
      <w:fldChar w:fldCharType="begin"/>
    </w:r>
    <w:r>
      <w:instrText xml:space="preserve">PAGE   \* MERGEFORMAT</w:instrText>
    </w:r>
    <w:r>
      <w:fldChar w:fldCharType="separate"/>
    </w:r>
    <w:r>
      <w:rPr>
        <w:lang w:val="zh-CN"/>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F2E15">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29</w:t>
    </w:r>
    <w:r>
      <w:fldChar w:fldCharType="end"/>
    </w:r>
  </w:p>
  <w:p w14:paraId="3AA1BAD3">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6344">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96DF">
    <w:pPr>
      <w:rPr>
        <w:sz w:val="18"/>
        <w:szCs w:val="18"/>
        <w:u w:val="single"/>
      </w:rPr>
    </w:pPr>
    <w:r>
      <w:rPr>
        <w:rFonts w:hint="eastAsia"/>
        <w:sz w:val="18"/>
        <w:szCs w:val="18"/>
        <w:u w:val="single"/>
      </w:rPr>
      <w:t xml:space="preserve">广西机电设备招标有限公司征集文件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BC36">
    <w:pPr>
      <w:pStyle w:val="32"/>
      <w:jc w:val="left"/>
    </w:pPr>
    <w:r>
      <w:rPr>
        <w:rFonts w:hint="eastAsia"/>
      </w:rPr>
      <w:t xml:space="preserve">广西机电设备招标有限公司征集文件                                                               </w:t>
    </w:r>
  </w:p>
  <w:p w14:paraId="6E49B320">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6D81">
    <w:pPr>
      <w:pStyle w:val="32"/>
      <w:jc w:val="left"/>
    </w:pPr>
    <w:r>
      <w:rPr>
        <w:rFonts w:hint="eastAsia"/>
      </w:rPr>
      <w:t xml:space="preserve">广西机电设备招标有限公司征集文件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39E0">
    <w:pPr>
      <w:pStyle w:val="32"/>
      <w:jc w:val="left"/>
    </w:pPr>
    <w:r>
      <w:rPr>
        <w:rFonts w:hint="eastAsia"/>
      </w:rPr>
      <w:t>广西机电设备招标有限公司征集文件                                                              征集公告</w:t>
    </w:r>
  </w:p>
  <w:p w14:paraId="165E33A5">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79F91">
    <w:pPr>
      <w:pStyle w:val="32"/>
      <w:jc w:val="left"/>
    </w:pPr>
    <w:r>
      <w:rPr>
        <w:rFonts w:hint="eastAsia"/>
      </w:rPr>
      <w:t xml:space="preserve">广西机电设备招标有限公司征集文件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AB1E">
    <w:pPr>
      <w:pStyle w:val="32"/>
      <w:jc w:val="left"/>
    </w:pPr>
    <w:r>
      <w:rPr>
        <w:rFonts w:hint="eastAsia"/>
      </w:rPr>
      <w:t xml:space="preserve">广西机电设备招标有限公司征集文件                                                            </w:t>
    </w:r>
  </w:p>
  <w:p w14:paraId="2DC309B7">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5424">
    <w:pPr>
      <w:pStyle w:val="32"/>
      <w:jc w:val="left"/>
    </w:pPr>
    <w:r>
      <w:rPr>
        <w:rFonts w:hint="eastAsia"/>
      </w:rPr>
      <w:t xml:space="preserve">广西机电设备招标有限公司征集文件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5DE1">
    <w:pPr>
      <w:pStyle w:val="32"/>
      <w:jc w:val="left"/>
    </w:pPr>
    <w:r>
      <w:rPr>
        <w:rFonts w:hint="eastAsia"/>
      </w:rPr>
      <w:t>广西机电设备招标有限公司征集文件                                                     评审方法及标准</w:t>
    </w:r>
  </w:p>
  <w:p w14:paraId="573E6185">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155C">
    <w:pPr>
      <w:pStyle w:val="32"/>
      <w:ind w:left="2790" w:hanging="2790" w:hangingChars="1550"/>
      <w:jc w:val="left"/>
    </w:pPr>
    <w:r>
      <w:rPr>
        <w:rFonts w:hint="eastAsia"/>
      </w:rPr>
      <w:t xml:space="preserve">广西机电设备招标有限公司征集文件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BC"/>
    <w:rsid w:val="000003EF"/>
    <w:rsid w:val="000006C7"/>
    <w:rsid w:val="0000091B"/>
    <w:rsid w:val="00000D0A"/>
    <w:rsid w:val="00000D19"/>
    <w:rsid w:val="00000E1A"/>
    <w:rsid w:val="000016EB"/>
    <w:rsid w:val="000018F2"/>
    <w:rsid w:val="00001B3E"/>
    <w:rsid w:val="00001CD6"/>
    <w:rsid w:val="00001CFB"/>
    <w:rsid w:val="00002018"/>
    <w:rsid w:val="00002425"/>
    <w:rsid w:val="00002DDA"/>
    <w:rsid w:val="0000302B"/>
    <w:rsid w:val="000035FC"/>
    <w:rsid w:val="00003ACC"/>
    <w:rsid w:val="00003DAE"/>
    <w:rsid w:val="000049EF"/>
    <w:rsid w:val="000054AD"/>
    <w:rsid w:val="00005628"/>
    <w:rsid w:val="000058D7"/>
    <w:rsid w:val="00005E55"/>
    <w:rsid w:val="00005E85"/>
    <w:rsid w:val="00006E2C"/>
    <w:rsid w:val="000074B7"/>
    <w:rsid w:val="000079FF"/>
    <w:rsid w:val="00007B0D"/>
    <w:rsid w:val="00010021"/>
    <w:rsid w:val="000102A9"/>
    <w:rsid w:val="00010802"/>
    <w:rsid w:val="00010A03"/>
    <w:rsid w:val="00010ED5"/>
    <w:rsid w:val="00010F49"/>
    <w:rsid w:val="00011076"/>
    <w:rsid w:val="00011D32"/>
    <w:rsid w:val="00011D72"/>
    <w:rsid w:val="00012078"/>
    <w:rsid w:val="000125A6"/>
    <w:rsid w:val="00012CA1"/>
    <w:rsid w:val="00012E3C"/>
    <w:rsid w:val="00013322"/>
    <w:rsid w:val="00013748"/>
    <w:rsid w:val="00013D41"/>
    <w:rsid w:val="00013E4C"/>
    <w:rsid w:val="000143A3"/>
    <w:rsid w:val="00014DD6"/>
    <w:rsid w:val="00015578"/>
    <w:rsid w:val="0001598C"/>
    <w:rsid w:val="00016C31"/>
    <w:rsid w:val="00020A87"/>
    <w:rsid w:val="00020BB1"/>
    <w:rsid w:val="00020BF0"/>
    <w:rsid w:val="000215B7"/>
    <w:rsid w:val="000217BF"/>
    <w:rsid w:val="00021C98"/>
    <w:rsid w:val="00021CCD"/>
    <w:rsid w:val="00021EE3"/>
    <w:rsid w:val="0002231A"/>
    <w:rsid w:val="0002246E"/>
    <w:rsid w:val="000228AB"/>
    <w:rsid w:val="000233CA"/>
    <w:rsid w:val="00023512"/>
    <w:rsid w:val="00023652"/>
    <w:rsid w:val="00024633"/>
    <w:rsid w:val="0002491A"/>
    <w:rsid w:val="000252C0"/>
    <w:rsid w:val="0002560A"/>
    <w:rsid w:val="00025DA0"/>
    <w:rsid w:val="0002696D"/>
    <w:rsid w:val="00026C85"/>
    <w:rsid w:val="00026F96"/>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C48"/>
    <w:rsid w:val="00031D96"/>
    <w:rsid w:val="00032686"/>
    <w:rsid w:val="000326DA"/>
    <w:rsid w:val="0003274B"/>
    <w:rsid w:val="00032AD8"/>
    <w:rsid w:val="000330D8"/>
    <w:rsid w:val="000331CC"/>
    <w:rsid w:val="0003322E"/>
    <w:rsid w:val="00033422"/>
    <w:rsid w:val="00033927"/>
    <w:rsid w:val="00034C65"/>
    <w:rsid w:val="00035152"/>
    <w:rsid w:val="00035507"/>
    <w:rsid w:val="00035840"/>
    <w:rsid w:val="00035844"/>
    <w:rsid w:val="00036BAA"/>
    <w:rsid w:val="0003779D"/>
    <w:rsid w:val="00037B8B"/>
    <w:rsid w:val="00037C63"/>
    <w:rsid w:val="00037CE4"/>
    <w:rsid w:val="00037D6E"/>
    <w:rsid w:val="00040187"/>
    <w:rsid w:val="00040AC1"/>
    <w:rsid w:val="0004107E"/>
    <w:rsid w:val="00041093"/>
    <w:rsid w:val="00041731"/>
    <w:rsid w:val="000418B1"/>
    <w:rsid w:val="00042BF9"/>
    <w:rsid w:val="00042C7E"/>
    <w:rsid w:val="00043295"/>
    <w:rsid w:val="000433F1"/>
    <w:rsid w:val="00044236"/>
    <w:rsid w:val="0004461F"/>
    <w:rsid w:val="00044DE6"/>
    <w:rsid w:val="00044ED2"/>
    <w:rsid w:val="00045069"/>
    <w:rsid w:val="00045265"/>
    <w:rsid w:val="000457FE"/>
    <w:rsid w:val="00045947"/>
    <w:rsid w:val="000462A8"/>
    <w:rsid w:val="00046360"/>
    <w:rsid w:val="0004653D"/>
    <w:rsid w:val="000465AB"/>
    <w:rsid w:val="00046E59"/>
    <w:rsid w:val="00046FF5"/>
    <w:rsid w:val="000472E6"/>
    <w:rsid w:val="000479CD"/>
    <w:rsid w:val="00047E44"/>
    <w:rsid w:val="000500E6"/>
    <w:rsid w:val="000503E6"/>
    <w:rsid w:val="000504B1"/>
    <w:rsid w:val="000504FE"/>
    <w:rsid w:val="000505B5"/>
    <w:rsid w:val="00050B52"/>
    <w:rsid w:val="00050DAB"/>
    <w:rsid w:val="00051BF6"/>
    <w:rsid w:val="00052803"/>
    <w:rsid w:val="00052893"/>
    <w:rsid w:val="00053AAC"/>
    <w:rsid w:val="00053BFC"/>
    <w:rsid w:val="0005428F"/>
    <w:rsid w:val="00054701"/>
    <w:rsid w:val="00054870"/>
    <w:rsid w:val="00054ABD"/>
    <w:rsid w:val="00054F7D"/>
    <w:rsid w:val="00055230"/>
    <w:rsid w:val="00055557"/>
    <w:rsid w:val="00055A8A"/>
    <w:rsid w:val="00055BBB"/>
    <w:rsid w:val="00055E6D"/>
    <w:rsid w:val="0005625F"/>
    <w:rsid w:val="0005649E"/>
    <w:rsid w:val="0005700C"/>
    <w:rsid w:val="00057386"/>
    <w:rsid w:val="00057393"/>
    <w:rsid w:val="00057A5B"/>
    <w:rsid w:val="00057E45"/>
    <w:rsid w:val="000606B6"/>
    <w:rsid w:val="00060C02"/>
    <w:rsid w:val="00060CE9"/>
    <w:rsid w:val="00061041"/>
    <w:rsid w:val="00061299"/>
    <w:rsid w:val="00061A2C"/>
    <w:rsid w:val="00062637"/>
    <w:rsid w:val="00063143"/>
    <w:rsid w:val="000631AC"/>
    <w:rsid w:val="000631B7"/>
    <w:rsid w:val="00063365"/>
    <w:rsid w:val="0006385C"/>
    <w:rsid w:val="000639D4"/>
    <w:rsid w:val="00063E74"/>
    <w:rsid w:val="00064A48"/>
    <w:rsid w:val="00064C80"/>
    <w:rsid w:val="00065749"/>
    <w:rsid w:val="00065AB7"/>
    <w:rsid w:val="00065AF3"/>
    <w:rsid w:val="00065B00"/>
    <w:rsid w:val="00065D71"/>
    <w:rsid w:val="0006676F"/>
    <w:rsid w:val="000673D8"/>
    <w:rsid w:val="00067DE7"/>
    <w:rsid w:val="000704C0"/>
    <w:rsid w:val="000706AC"/>
    <w:rsid w:val="00070775"/>
    <w:rsid w:val="00070950"/>
    <w:rsid w:val="0007096B"/>
    <w:rsid w:val="000709D3"/>
    <w:rsid w:val="00071213"/>
    <w:rsid w:val="000712F8"/>
    <w:rsid w:val="00071A6A"/>
    <w:rsid w:val="00071A79"/>
    <w:rsid w:val="00071C95"/>
    <w:rsid w:val="00072009"/>
    <w:rsid w:val="00072600"/>
    <w:rsid w:val="000729C9"/>
    <w:rsid w:val="00072A95"/>
    <w:rsid w:val="00072B83"/>
    <w:rsid w:val="00072FB9"/>
    <w:rsid w:val="000736DF"/>
    <w:rsid w:val="00073C2B"/>
    <w:rsid w:val="0007455A"/>
    <w:rsid w:val="00074923"/>
    <w:rsid w:val="00074FCB"/>
    <w:rsid w:val="000750EA"/>
    <w:rsid w:val="00075D8E"/>
    <w:rsid w:val="00075F9E"/>
    <w:rsid w:val="0007724C"/>
    <w:rsid w:val="00077698"/>
    <w:rsid w:val="00077891"/>
    <w:rsid w:val="0007797E"/>
    <w:rsid w:val="00077B01"/>
    <w:rsid w:val="0008006F"/>
    <w:rsid w:val="0008017C"/>
    <w:rsid w:val="00080462"/>
    <w:rsid w:val="000807A9"/>
    <w:rsid w:val="00080AA6"/>
    <w:rsid w:val="00081C1C"/>
    <w:rsid w:val="00081D6D"/>
    <w:rsid w:val="000822F0"/>
    <w:rsid w:val="00082611"/>
    <w:rsid w:val="0008264F"/>
    <w:rsid w:val="00082745"/>
    <w:rsid w:val="00082AC4"/>
    <w:rsid w:val="00082BDC"/>
    <w:rsid w:val="00082DF3"/>
    <w:rsid w:val="00082E71"/>
    <w:rsid w:val="00083194"/>
    <w:rsid w:val="00083365"/>
    <w:rsid w:val="000833DC"/>
    <w:rsid w:val="0008372E"/>
    <w:rsid w:val="00083A64"/>
    <w:rsid w:val="00083B97"/>
    <w:rsid w:val="00084AFE"/>
    <w:rsid w:val="00085459"/>
    <w:rsid w:val="000854DB"/>
    <w:rsid w:val="00085CBE"/>
    <w:rsid w:val="00085F23"/>
    <w:rsid w:val="0008619C"/>
    <w:rsid w:val="000866A9"/>
    <w:rsid w:val="000867B2"/>
    <w:rsid w:val="00086EC2"/>
    <w:rsid w:val="00087218"/>
    <w:rsid w:val="00087358"/>
    <w:rsid w:val="000873F5"/>
    <w:rsid w:val="000877E2"/>
    <w:rsid w:val="00087EA5"/>
    <w:rsid w:val="000900DF"/>
    <w:rsid w:val="00090193"/>
    <w:rsid w:val="0009021F"/>
    <w:rsid w:val="000902C2"/>
    <w:rsid w:val="00091D8D"/>
    <w:rsid w:val="000920E8"/>
    <w:rsid w:val="00093126"/>
    <w:rsid w:val="00093170"/>
    <w:rsid w:val="00093836"/>
    <w:rsid w:val="00093A6C"/>
    <w:rsid w:val="00093DF8"/>
    <w:rsid w:val="00093E76"/>
    <w:rsid w:val="000941F6"/>
    <w:rsid w:val="00094460"/>
    <w:rsid w:val="00094505"/>
    <w:rsid w:val="000945C5"/>
    <w:rsid w:val="00094A83"/>
    <w:rsid w:val="00094ECF"/>
    <w:rsid w:val="00094F29"/>
    <w:rsid w:val="0009592E"/>
    <w:rsid w:val="00095B61"/>
    <w:rsid w:val="00095F4B"/>
    <w:rsid w:val="0009606A"/>
    <w:rsid w:val="000968CD"/>
    <w:rsid w:val="00096B1C"/>
    <w:rsid w:val="0009715C"/>
    <w:rsid w:val="000973D7"/>
    <w:rsid w:val="000A0434"/>
    <w:rsid w:val="000A0EBE"/>
    <w:rsid w:val="000A10DB"/>
    <w:rsid w:val="000A10DE"/>
    <w:rsid w:val="000A1245"/>
    <w:rsid w:val="000A1A21"/>
    <w:rsid w:val="000A1ECD"/>
    <w:rsid w:val="000A20D6"/>
    <w:rsid w:val="000A2968"/>
    <w:rsid w:val="000A3515"/>
    <w:rsid w:val="000A3518"/>
    <w:rsid w:val="000A44CB"/>
    <w:rsid w:val="000A4E45"/>
    <w:rsid w:val="000A563F"/>
    <w:rsid w:val="000A5ED2"/>
    <w:rsid w:val="000A6204"/>
    <w:rsid w:val="000A6BF2"/>
    <w:rsid w:val="000A6F1D"/>
    <w:rsid w:val="000A70C7"/>
    <w:rsid w:val="000A7238"/>
    <w:rsid w:val="000A791D"/>
    <w:rsid w:val="000B0504"/>
    <w:rsid w:val="000B09FE"/>
    <w:rsid w:val="000B0EA5"/>
    <w:rsid w:val="000B15EF"/>
    <w:rsid w:val="000B19F9"/>
    <w:rsid w:val="000B1B5B"/>
    <w:rsid w:val="000B214A"/>
    <w:rsid w:val="000B26D6"/>
    <w:rsid w:val="000B316D"/>
    <w:rsid w:val="000B3194"/>
    <w:rsid w:val="000B3CFE"/>
    <w:rsid w:val="000B474A"/>
    <w:rsid w:val="000B4EF3"/>
    <w:rsid w:val="000B554C"/>
    <w:rsid w:val="000B5A2B"/>
    <w:rsid w:val="000B5B3A"/>
    <w:rsid w:val="000B5D87"/>
    <w:rsid w:val="000B693E"/>
    <w:rsid w:val="000B6F18"/>
    <w:rsid w:val="000B7258"/>
    <w:rsid w:val="000B7267"/>
    <w:rsid w:val="000B7882"/>
    <w:rsid w:val="000B7ABB"/>
    <w:rsid w:val="000B7C1E"/>
    <w:rsid w:val="000B7E6D"/>
    <w:rsid w:val="000C0000"/>
    <w:rsid w:val="000C0DAB"/>
    <w:rsid w:val="000C0F92"/>
    <w:rsid w:val="000C12C9"/>
    <w:rsid w:val="000C214A"/>
    <w:rsid w:val="000C23B5"/>
    <w:rsid w:val="000C24B3"/>
    <w:rsid w:val="000C2D57"/>
    <w:rsid w:val="000C2E3D"/>
    <w:rsid w:val="000C350A"/>
    <w:rsid w:val="000C4048"/>
    <w:rsid w:val="000C42B5"/>
    <w:rsid w:val="000C4988"/>
    <w:rsid w:val="000C5331"/>
    <w:rsid w:val="000C59D1"/>
    <w:rsid w:val="000C5BD2"/>
    <w:rsid w:val="000C5F10"/>
    <w:rsid w:val="000C5F41"/>
    <w:rsid w:val="000C5F88"/>
    <w:rsid w:val="000C6F27"/>
    <w:rsid w:val="000C7045"/>
    <w:rsid w:val="000C7311"/>
    <w:rsid w:val="000C757A"/>
    <w:rsid w:val="000C7654"/>
    <w:rsid w:val="000C7D9F"/>
    <w:rsid w:val="000C7E89"/>
    <w:rsid w:val="000C7FB2"/>
    <w:rsid w:val="000D0E1E"/>
    <w:rsid w:val="000D2381"/>
    <w:rsid w:val="000D2859"/>
    <w:rsid w:val="000D3131"/>
    <w:rsid w:val="000D3C5A"/>
    <w:rsid w:val="000D3E1B"/>
    <w:rsid w:val="000D4061"/>
    <w:rsid w:val="000D421F"/>
    <w:rsid w:val="000D481F"/>
    <w:rsid w:val="000D4860"/>
    <w:rsid w:val="000D48FB"/>
    <w:rsid w:val="000D4AB8"/>
    <w:rsid w:val="000D4B4F"/>
    <w:rsid w:val="000D4C1A"/>
    <w:rsid w:val="000D4EC1"/>
    <w:rsid w:val="000D55FD"/>
    <w:rsid w:val="000D5C14"/>
    <w:rsid w:val="000D662A"/>
    <w:rsid w:val="000D6EC7"/>
    <w:rsid w:val="000D71A3"/>
    <w:rsid w:val="000D75B1"/>
    <w:rsid w:val="000E01DF"/>
    <w:rsid w:val="000E063C"/>
    <w:rsid w:val="000E0A1A"/>
    <w:rsid w:val="000E1A80"/>
    <w:rsid w:val="000E1C04"/>
    <w:rsid w:val="000E2AD1"/>
    <w:rsid w:val="000E2B0D"/>
    <w:rsid w:val="000E3215"/>
    <w:rsid w:val="000E3226"/>
    <w:rsid w:val="000E3AB0"/>
    <w:rsid w:val="000E3D2F"/>
    <w:rsid w:val="000E3FAA"/>
    <w:rsid w:val="000E4712"/>
    <w:rsid w:val="000E4E88"/>
    <w:rsid w:val="000E528E"/>
    <w:rsid w:val="000E6022"/>
    <w:rsid w:val="000E612C"/>
    <w:rsid w:val="000E6D38"/>
    <w:rsid w:val="000E7280"/>
    <w:rsid w:val="000E72E7"/>
    <w:rsid w:val="000E72F6"/>
    <w:rsid w:val="000E742B"/>
    <w:rsid w:val="000E75B3"/>
    <w:rsid w:val="000E78C4"/>
    <w:rsid w:val="000E7CC8"/>
    <w:rsid w:val="000F0575"/>
    <w:rsid w:val="000F0992"/>
    <w:rsid w:val="000F107F"/>
    <w:rsid w:val="000F1277"/>
    <w:rsid w:val="000F1B78"/>
    <w:rsid w:val="000F1F51"/>
    <w:rsid w:val="000F1FB0"/>
    <w:rsid w:val="000F2181"/>
    <w:rsid w:val="000F21CE"/>
    <w:rsid w:val="000F24AC"/>
    <w:rsid w:val="000F24D5"/>
    <w:rsid w:val="000F24E0"/>
    <w:rsid w:val="000F292F"/>
    <w:rsid w:val="000F2F60"/>
    <w:rsid w:val="000F449C"/>
    <w:rsid w:val="000F47D9"/>
    <w:rsid w:val="000F4B3A"/>
    <w:rsid w:val="000F4F71"/>
    <w:rsid w:val="000F5331"/>
    <w:rsid w:val="000F5356"/>
    <w:rsid w:val="000F55C9"/>
    <w:rsid w:val="000F59D6"/>
    <w:rsid w:val="000F5F63"/>
    <w:rsid w:val="000F6242"/>
    <w:rsid w:val="000F6F32"/>
    <w:rsid w:val="000F7276"/>
    <w:rsid w:val="000F75A8"/>
    <w:rsid w:val="000F76E0"/>
    <w:rsid w:val="000F7D76"/>
    <w:rsid w:val="0010016B"/>
    <w:rsid w:val="00100331"/>
    <w:rsid w:val="00100405"/>
    <w:rsid w:val="00101255"/>
    <w:rsid w:val="001016BB"/>
    <w:rsid w:val="00101879"/>
    <w:rsid w:val="0010251A"/>
    <w:rsid w:val="00102768"/>
    <w:rsid w:val="0010280E"/>
    <w:rsid w:val="00102BC3"/>
    <w:rsid w:val="00103193"/>
    <w:rsid w:val="00103458"/>
    <w:rsid w:val="00103F6B"/>
    <w:rsid w:val="0010425A"/>
    <w:rsid w:val="00104346"/>
    <w:rsid w:val="00104AFF"/>
    <w:rsid w:val="00104FCC"/>
    <w:rsid w:val="00105067"/>
    <w:rsid w:val="0010584D"/>
    <w:rsid w:val="00105991"/>
    <w:rsid w:val="00105A06"/>
    <w:rsid w:val="00105B1C"/>
    <w:rsid w:val="00105E0D"/>
    <w:rsid w:val="0010604F"/>
    <w:rsid w:val="00106D60"/>
    <w:rsid w:val="00106DC9"/>
    <w:rsid w:val="001073F7"/>
    <w:rsid w:val="001078F4"/>
    <w:rsid w:val="00107ED3"/>
    <w:rsid w:val="001106A7"/>
    <w:rsid w:val="00110797"/>
    <w:rsid w:val="0011096F"/>
    <w:rsid w:val="00110F60"/>
    <w:rsid w:val="00111C5D"/>
    <w:rsid w:val="00111ECD"/>
    <w:rsid w:val="001120FF"/>
    <w:rsid w:val="001121DD"/>
    <w:rsid w:val="00112DBF"/>
    <w:rsid w:val="00113123"/>
    <w:rsid w:val="00113646"/>
    <w:rsid w:val="0011384C"/>
    <w:rsid w:val="0011487E"/>
    <w:rsid w:val="00115632"/>
    <w:rsid w:val="00115ABE"/>
    <w:rsid w:val="00116258"/>
    <w:rsid w:val="0011783B"/>
    <w:rsid w:val="00120541"/>
    <w:rsid w:val="00120771"/>
    <w:rsid w:val="0012077F"/>
    <w:rsid w:val="00120813"/>
    <w:rsid w:val="0012099E"/>
    <w:rsid w:val="00120A8D"/>
    <w:rsid w:val="00120BF2"/>
    <w:rsid w:val="00120E60"/>
    <w:rsid w:val="00120FA2"/>
    <w:rsid w:val="001211D6"/>
    <w:rsid w:val="0012130E"/>
    <w:rsid w:val="001213B0"/>
    <w:rsid w:val="00121741"/>
    <w:rsid w:val="00121832"/>
    <w:rsid w:val="00121EEE"/>
    <w:rsid w:val="001221FC"/>
    <w:rsid w:val="001222CD"/>
    <w:rsid w:val="0012235C"/>
    <w:rsid w:val="00122A75"/>
    <w:rsid w:val="001241D1"/>
    <w:rsid w:val="0012455A"/>
    <w:rsid w:val="00124985"/>
    <w:rsid w:val="00124FF9"/>
    <w:rsid w:val="00125237"/>
    <w:rsid w:val="00125609"/>
    <w:rsid w:val="00125EC8"/>
    <w:rsid w:val="001262F2"/>
    <w:rsid w:val="00126655"/>
    <w:rsid w:val="00126707"/>
    <w:rsid w:val="001267D3"/>
    <w:rsid w:val="001269E0"/>
    <w:rsid w:val="00126C9D"/>
    <w:rsid w:val="00126E33"/>
    <w:rsid w:val="001271AC"/>
    <w:rsid w:val="00130F92"/>
    <w:rsid w:val="001313CE"/>
    <w:rsid w:val="0013190A"/>
    <w:rsid w:val="00131C94"/>
    <w:rsid w:val="00131DE6"/>
    <w:rsid w:val="00131E5D"/>
    <w:rsid w:val="001326DF"/>
    <w:rsid w:val="001326F3"/>
    <w:rsid w:val="00132AD8"/>
    <w:rsid w:val="00132CCE"/>
    <w:rsid w:val="00132F7B"/>
    <w:rsid w:val="00133D01"/>
    <w:rsid w:val="00134305"/>
    <w:rsid w:val="001343D3"/>
    <w:rsid w:val="00134510"/>
    <w:rsid w:val="0013484E"/>
    <w:rsid w:val="001348DB"/>
    <w:rsid w:val="00134932"/>
    <w:rsid w:val="00134EF1"/>
    <w:rsid w:val="00134F03"/>
    <w:rsid w:val="001355CB"/>
    <w:rsid w:val="00135644"/>
    <w:rsid w:val="00136073"/>
    <w:rsid w:val="001361F7"/>
    <w:rsid w:val="0013656A"/>
    <w:rsid w:val="00136606"/>
    <w:rsid w:val="00136806"/>
    <w:rsid w:val="001369A6"/>
    <w:rsid w:val="00136A8F"/>
    <w:rsid w:val="00136BD6"/>
    <w:rsid w:val="00136DBC"/>
    <w:rsid w:val="00136DDA"/>
    <w:rsid w:val="00136F77"/>
    <w:rsid w:val="00137856"/>
    <w:rsid w:val="00137BD8"/>
    <w:rsid w:val="00140291"/>
    <w:rsid w:val="00141966"/>
    <w:rsid w:val="00141A13"/>
    <w:rsid w:val="001422D4"/>
    <w:rsid w:val="001425F6"/>
    <w:rsid w:val="00142ED9"/>
    <w:rsid w:val="00143AE7"/>
    <w:rsid w:val="00143F8A"/>
    <w:rsid w:val="001442C2"/>
    <w:rsid w:val="001449E1"/>
    <w:rsid w:val="00144BC9"/>
    <w:rsid w:val="00144D5F"/>
    <w:rsid w:val="00145ABB"/>
    <w:rsid w:val="00145F5C"/>
    <w:rsid w:val="0014647C"/>
    <w:rsid w:val="00146749"/>
    <w:rsid w:val="0014694C"/>
    <w:rsid w:val="00146A95"/>
    <w:rsid w:val="00146ED7"/>
    <w:rsid w:val="00146EF9"/>
    <w:rsid w:val="001475BF"/>
    <w:rsid w:val="0014764D"/>
    <w:rsid w:val="00147916"/>
    <w:rsid w:val="0014795D"/>
    <w:rsid w:val="001479AA"/>
    <w:rsid w:val="00147F00"/>
    <w:rsid w:val="00147F94"/>
    <w:rsid w:val="00150564"/>
    <w:rsid w:val="001506A7"/>
    <w:rsid w:val="00150882"/>
    <w:rsid w:val="001509F0"/>
    <w:rsid w:val="00150A4A"/>
    <w:rsid w:val="00150C58"/>
    <w:rsid w:val="001510E2"/>
    <w:rsid w:val="001517CB"/>
    <w:rsid w:val="001518B5"/>
    <w:rsid w:val="00151BBA"/>
    <w:rsid w:val="00151C04"/>
    <w:rsid w:val="0015252D"/>
    <w:rsid w:val="00152656"/>
    <w:rsid w:val="00152C00"/>
    <w:rsid w:val="00152C2B"/>
    <w:rsid w:val="00152E98"/>
    <w:rsid w:val="00153084"/>
    <w:rsid w:val="00153DEB"/>
    <w:rsid w:val="00154304"/>
    <w:rsid w:val="0015477A"/>
    <w:rsid w:val="00154F0A"/>
    <w:rsid w:val="00155510"/>
    <w:rsid w:val="00156891"/>
    <w:rsid w:val="001568BC"/>
    <w:rsid w:val="00156BA3"/>
    <w:rsid w:val="00156FE6"/>
    <w:rsid w:val="00157060"/>
    <w:rsid w:val="001570A2"/>
    <w:rsid w:val="00157320"/>
    <w:rsid w:val="001574F5"/>
    <w:rsid w:val="001577F0"/>
    <w:rsid w:val="001579B9"/>
    <w:rsid w:val="00157C46"/>
    <w:rsid w:val="001602EB"/>
    <w:rsid w:val="00160B5E"/>
    <w:rsid w:val="00160DEA"/>
    <w:rsid w:val="00160E9E"/>
    <w:rsid w:val="001610EB"/>
    <w:rsid w:val="001614A9"/>
    <w:rsid w:val="001618B3"/>
    <w:rsid w:val="00161C1F"/>
    <w:rsid w:val="00161C2F"/>
    <w:rsid w:val="001620B6"/>
    <w:rsid w:val="0016236B"/>
    <w:rsid w:val="00162664"/>
    <w:rsid w:val="00163194"/>
    <w:rsid w:val="00163C38"/>
    <w:rsid w:val="00163DB9"/>
    <w:rsid w:val="00163DBD"/>
    <w:rsid w:val="0016463F"/>
    <w:rsid w:val="00164F8F"/>
    <w:rsid w:val="0016529F"/>
    <w:rsid w:val="001658F5"/>
    <w:rsid w:val="00165D95"/>
    <w:rsid w:val="00165E39"/>
    <w:rsid w:val="00165F38"/>
    <w:rsid w:val="001661B8"/>
    <w:rsid w:val="00166237"/>
    <w:rsid w:val="0016644D"/>
    <w:rsid w:val="00166EE6"/>
    <w:rsid w:val="001672AF"/>
    <w:rsid w:val="001677C1"/>
    <w:rsid w:val="00167F6F"/>
    <w:rsid w:val="00170045"/>
    <w:rsid w:val="0017061E"/>
    <w:rsid w:val="00170A14"/>
    <w:rsid w:val="00170B6C"/>
    <w:rsid w:val="00170B81"/>
    <w:rsid w:val="001710CE"/>
    <w:rsid w:val="0017112B"/>
    <w:rsid w:val="0017113E"/>
    <w:rsid w:val="001713A7"/>
    <w:rsid w:val="00172676"/>
    <w:rsid w:val="001726CF"/>
    <w:rsid w:val="0017293C"/>
    <w:rsid w:val="00172B93"/>
    <w:rsid w:val="00172BAF"/>
    <w:rsid w:val="00172EC0"/>
    <w:rsid w:val="00173191"/>
    <w:rsid w:val="001737FE"/>
    <w:rsid w:val="0017426E"/>
    <w:rsid w:val="0017503E"/>
    <w:rsid w:val="00175053"/>
    <w:rsid w:val="00175CAF"/>
    <w:rsid w:val="001760DB"/>
    <w:rsid w:val="00176E50"/>
    <w:rsid w:val="00177106"/>
    <w:rsid w:val="0017723E"/>
    <w:rsid w:val="001772D8"/>
    <w:rsid w:val="001775DA"/>
    <w:rsid w:val="0017787E"/>
    <w:rsid w:val="00177AD0"/>
    <w:rsid w:val="00180DA3"/>
    <w:rsid w:val="00180FAA"/>
    <w:rsid w:val="00181135"/>
    <w:rsid w:val="0018181F"/>
    <w:rsid w:val="00181C0B"/>
    <w:rsid w:val="00182096"/>
    <w:rsid w:val="00182382"/>
    <w:rsid w:val="00182919"/>
    <w:rsid w:val="00182DF8"/>
    <w:rsid w:val="00183C9F"/>
    <w:rsid w:val="00184512"/>
    <w:rsid w:val="00184E21"/>
    <w:rsid w:val="00185CC7"/>
    <w:rsid w:val="00185D6F"/>
    <w:rsid w:val="00185E0C"/>
    <w:rsid w:val="0018688A"/>
    <w:rsid w:val="00186CEF"/>
    <w:rsid w:val="0018754D"/>
    <w:rsid w:val="00187892"/>
    <w:rsid w:val="00187DFB"/>
    <w:rsid w:val="00190463"/>
    <w:rsid w:val="001904CF"/>
    <w:rsid w:val="00191435"/>
    <w:rsid w:val="00192213"/>
    <w:rsid w:val="001927A2"/>
    <w:rsid w:val="00192A9D"/>
    <w:rsid w:val="001932B2"/>
    <w:rsid w:val="0019335B"/>
    <w:rsid w:val="0019423A"/>
    <w:rsid w:val="00194FA4"/>
    <w:rsid w:val="00195648"/>
    <w:rsid w:val="001959DC"/>
    <w:rsid w:val="00195F44"/>
    <w:rsid w:val="00196019"/>
    <w:rsid w:val="0019630F"/>
    <w:rsid w:val="00196772"/>
    <w:rsid w:val="00196C83"/>
    <w:rsid w:val="00196DA4"/>
    <w:rsid w:val="00196E92"/>
    <w:rsid w:val="001979A9"/>
    <w:rsid w:val="001A0112"/>
    <w:rsid w:val="001A0896"/>
    <w:rsid w:val="001A0EF1"/>
    <w:rsid w:val="001A16F6"/>
    <w:rsid w:val="001A224B"/>
    <w:rsid w:val="001A25A2"/>
    <w:rsid w:val="001A29AC"/>
    <w:rsid w:val="001A315B"/>
    <w:rsid w:val="001A35FF"/>
    <w:rsid w:val="001A3856"/>
    <w:rsid w:val="001A3F6D"/>
    <w:rsid w:val="001A4664"/>
    <w:rsid w:val="001A4953"/>
    <w:rsid w:val="001A4C94"/>
    <w:rsid w:val="001A5DA1"/>
    <w:rsid w:val="001A6848"/>
    <w:rsid w:val="001A68CE"/>
    <w:rsid w:val="001A7255"/>
    <w:rsid w:val="001A775C"/>
    <w:rsid w:val="001A7CBA"/>
    <w:rsid w:val="001A7E72"/>
    <w:rsid w:val="001B0280"/>
    <w:rsid w:val="001B069F"/>
    <w:rsid w:val="001B0ADB"/>
    <w:rsid w:val="001B1736"/>
    <w:rsid w:val="001B1AE6"/>
    <w:rsid w:val="001B1F92"/>
    <w:rsid w:val="001B21AC"/>
    <w:rsid w:val="001B2A56"/>
    <w:rsid w:val="001B2FCF"/>
    <w:rsid w:val="001B32D3"/>
    <w:rsid w:val="001B32E4"/>
    <w:rsid w:val="001B3778"/>
    <w:rsid w:val="001B3E30"/>
    <w:rsid w:val="001B4ED3"/>
    <w:rsid w:val="001B50CC"/>
    <w:rsid w:val="001B51E8"/>
    <w:rsid w:val="001B5221"/>
    <w:rsid w:val="001B5355"/>
    <w:rsid w:val="001B6049"/>
    <w:rsid w:val="001B60D4"/>
    <w:rsid w:val="001B6482"/>
    <w:rsid w:val="001B7014"/>
    <w:rsid w:val="001B7C32"/>
    <w:rsid w:val="001B7CBF"/>
    <w:rsid w:val="001C0619"/>
    <w:rsid w:val="001C0E29"/>
    <w:rsid w:val="001C1344"/>
    <w:rsid w:val="001C13D0"/>
    <w:rsid w:val="001C148A"/>
    <w:rsid w:val="001C15DB"/>
    <w:rsid w:val="001C1805"/>
    <w:rsid w:val="001C1814"/>
    <w:rsid w:val="001C1968"/>
    <w:rsid w:val="001C1DD6"/>
    <w:rsid w:val="001C2082"/>
    <w:rsid w:val="001C23DD"/>
    <w:rsid w:val="001C3A02"/>
    <w:rsid w:val="001C3B0C"/>
    <w:rsid w:val="001C3B70"/>
    <w:rsid w:val="001C3D80"/>
    <w:rsid w:val="001C4361"/>
    <w:rsid w:val="001C44FD"/>
    <w:rsid w:val="001C4DB6"/>
    <w:rsid w:val="001C5005"/>
    <w:rsid w:val="001C505B"/>
    <w:rsid w:val="001C51A3"/>
    <w:rsid w:val="001C5358"/>
    <w:rsid w:val="001C56D1"/>
    <w:rsid w:val="001C5AD3"/>
    <w:rsid w:val="001C6924"/>
    <w:rsid w:val="001C7A8C"/>
    <w:rsid w:val="001D0AA9"/>
    <w:rsid w:val="001D15D9"/>
    <w:rsid w:val="001D200C"/>
    <w:rsid w:val="001D23EF"/>
    <w:rsid w:val="001D260D"/>
    <w:rsid w:val="001D3262"/>
    <w:rsid w:val="001D3534"/>
    <w:rsid w:val="001D3E6D"/>
    <w:rsid w:val="001D537F"/>
    <w:rsid w:val="001D555B"/>
    <w:rsid w:val="001D55CA"/>
    <w:rsid w:val="001D55D2"/>
    <w:rsid w:val="001D55F2"/>
    <w:rsid w:val="001D629D"/>
    <w:rsid w:val="001D723E"/>
    <w:rsid w:val="001D75EA"/>
    <w:rsid w:val="001D7681"/>
    <w:rsid w:val="001D7892"/>
    <w:rsid w:val="001D7C7C"/>
    <w:rsid w:val="001D7DB2"/>
    <w:rsid w:val="001E09E6"/>
    <w:rsid w:val="001E0C47"/>
    <w:rsid w:val="001E131D"/>
    <w:rsid w:val="001E15A7"/>
    <w:rsid w:val="001E1AE0"/>
    <w:rsid w:val="001E1FA3"/>
    <w:rsid w:val="001E21AC"/>
    <w:rsid w:val="001E24A4"/>
    <w:rsid w:val="001E28CC"/>
    <w:rsid w:val="001E2901"/>
    <w:rsid w:val="001E2FDD"/>
    <w:rsid w:val="001E321D"/>
    <w:rsid w:val="001E3639"/>
    <w:rsid w:val="001E38B1"/>
    <w:rsid w:val="001E3AC5"/>
    <w:rsid w:val="001E478C"/>
    <w:rsid w:val="001E48FE"/>
    <w:rsid w:val="001E4C00"/>
    <w:rsid w:val="001E4D12"/>
    <w:rsid w:val="001E4D56"/>
    <w:rsid w:val="001E502C"/>
    <w:rsid w:val="001E5984"/>
    <w:rsid w:val="001E631E"/>
    <w:rsid w:val="001E6CE0"/>
    <w:rsid w:val="001E6E30"/>
    <w:rsid w:val="001E6EC8"/>
    <w:rsid w:val="001E72E0"/>
    <w:rsid w:val="001F0064"/>
    <w:rsid w:val="001F05D5"/>
    <w:rsid w:val="001F16DF"/>
    <w:rsid w:val="001F1960"/>
    <w:rsid w:val="001F220A"/>
    <w:rsid w:val="001F3264"/>
    <w:rsid w:val="001F33C7"/>
    <w:rsid w:val="001F3603"/>
    <w:rsid w:val="001F3DAE"/>
    <w:rsid w:val="001F4A98"/>
    <w:rsid w:val="001F5294"/>
    <w:rsid w:val="001F6078"/>
    <w:rsid w:val="001F613E"/>
    <w:rsid w:val="001F6159"/>
    <w:rsid w:val="001F6587"/>
    <w:rsid w:val="001F6680"/>
    <w:rsid w:val="001F6A92"/>
    <w:rsid w:val="001F6BD0"/>
    <w:rsid w:val="001F6E82"/>
    <w:rsid w:val="001F6FB6"/>
    <w:rsid w:val="001F740D"/>
    <w:rsid w:val="001F77EE"/>
    <w:rsid w:val="001F792F"/>
    <w:rsid w:val="001F7AC9"/>
    <w:rsid w:val="001F7B13"/>
    <w:rsid w:val="001F7B9E"/>
    <w:rsid w:val="001F7BE1"/>
    <w:rsid w:val="001F7C97"/>
    <w:rsid w:val="0020066E"/>
    <w:rsid w:val="00200838"/>
    <w:rsid w:val="00200A84"/>
    <w:rsid w:val="00200BED"/>
    <w:rsid w:val="00200EEC"/>
    <w:rsid w:val="002014F7"/>
    <w:rsid w:val="00201B0B"/>
    <w:rsid w:val="00201B48"/>
    <w:rsid w:val="00202576"/>
    <w:rsid w:val="00202B50"/>
    <w:rsid w:val="00202EF9"/>
    <w:rsid w:val="00202F93"/>
    <w:rsid w:val="00203204"/>
    <w:rsid w:val="00203236"/>
    <w:rsid w:val="0020361E"/>
    <w:rsid w:val="002036E8"/>
    <w:rsid w:val="00203752"/>
    <w:rsid w:val="00203B3F"/>
    <w:rsid w:val="002048AD"/>
    <w:rsid w:val="00204B5C"/>
    <w:rsid w:val="002051F7"/>
    <w:rsid w:val="0020531C"/>
    <w:rsid w:val="002067D2"/>
    <w:rsid w:val="002068BD"/>
    <w:rsid w:val="00206F81"/>
    <w:rsid w:val="0020708A"/>
    <w:rsid w:val="0020738E"/>
    <w:rsid w:val="00207642"/>
    <w:rsid w:val="0020778B"/>
    <w:rsid w:val="00207838"/>
    <w:rsid w:val="00207A4E"/>
    <w:rsid w:val="00207F6A"/>
    <w:rsid w:val="00210256"/>
    <w:rsid w:val="00210332"/>
    <w:rsid w:val="00210394"/>
    <w:rsid w:val="0021076E"/>
    <w:rsid w:val="00211180"/>
    <w:rsid w:val="00211EC3"/>
    <w:rsid w:val="00212B08"/>
    <w:rsid w:val="00213289"/>
    <w:rsid w:val="00213825"/>
    <w:rsid w:val="00214189"/>
    <w:rsid w:val="0021420E"/>
    <w:rsid w:val="002143FF"/>
    <w:rsid w:val="00214ADD"/>
    <w:rsid w:val="00214DBB"/>
    <w:rsid w:val="00214DF9"/>
    <w:rsid w:val="0021525B"/>
    <w:rsid w:val="00215D73"/>
    <w:rsid w:val="00216B19"/>
    <w:rsid w:val="00216CCC"/>
    <w:rsid w:val="00216E16"/>
    <w:rsid w:val="0021738B"/>
    <w:rsid w:val="002174F8"/>
    <w:rsid w:val="00220082"/>
    <w:rsid w:val="002203BD"/>
    <w:rsid w:val="0022059F"/>
    <w:rsid w:val="00220776"/>
    <w:rsid w:val="002207D0"/>
    <w:rsid w:val="002221C3"/>
    <w:rsid w:val="0022274B"/>
    <w:rsid w:val="0022299A"/>
    <w:rsid w:val="00222B91"/>
    <w:rsid w:val="00222D17"/>
    <w:rsid w:val="002230FD"/>
    <w:rsid w:val="002232B3"/>
    <w:rsid w:val="00224524"/>
    <w:rsid w:val="00224665"/>
    <w:rsid w:val="00224756"/>
    <w:rsid w:val="00224878"/>
    <w:rsid w:val="0022514D"/>
    <w:rsid w:val="00225CEE"/>
    <w:rsid w:val="002260F3"/>
    <w:rsid w:val="00226447"/>
    <w:rsid w:val="002266DB"/>
    <w:rsid w:val="00226894"/>
    <w:rsid w:val="002268B0"/>
    <w:rsid w:val="0022701D"/>
    <w:rsid w:val="002274D4"/>
    <w:rsid w:val="00227577"/>
    <w:rsid w:val="002277E9"/>
    <w:rsid w:val="00227D14"/>
    <w:rsid w:val="002303A6"/>
    <w:rsid w:val="00230894"/>
    <w:rsid w:val="002308E9"/>
    <w:rsid w:val="00230C61"/>
    <w:rsid w:val="00230F2A"/>
    <w:rsid w:val="00231584"/>
    <w:rsid w:val="00231A76"/>
    <w:rsid w:val="00231B36"/>
    <w:rsid w:val="00231CFD"/>
    <w:rsid w:val="00231F9E"/>
    <w:rsid w:val="0023205A"/>
    <w:rsid w:val="00232498"/>
    <w:rsid w:val="0023254E"/>
    <w:rsid w:val="00232918"/>
    <w:rsid w:val="00232B2D"/>
    <w:rsid w:val="0023350C"/>
    <w:rsid w:val="00233E70"/>
    <w:rsid w:val="00234281"/>
    <w:rsid w:val="00234695"/>
    <w:rsid w:val="00234EBC"/>
    <w:rsid w:val="00234FD3"/>
    <w:rsid w:val="00235341"/>
    <w:rsid w:val="00235B1B"/>
    <w:rsid w:val="00235BF5"/>
    <w:rsid w:val="00235D41"/>
    <w:rsid w:val="00236288"/>
    <w:rsid w:val="00236B90"/>
    <w:rsid w:val="00236C6F"/>
    <w:rsid w:val="002371BF"/>
    <w:rsid w:val="00237A87"/>
    <w:rsid w:val="00237BB9"/>
    <w:rsid w:val="00240310"/>
    <w:rsid w:val="002404C3"/>
    <w:rsid w:val="00240988"/>
    <w:rsid w:val="002409B5"/>
    <w:rsid w:val="00240EFC"/>
    <w:rsid w:val="00241129"/>
    <w:rsid w:val="00241840"/>
    <w:rsid w:val="00241C36"/>
    <w:rsid w:val="00241F9B"/>
    <w:rsid w:val="00242608"/>
    <w:rsid w:val="002426B3"/>
    <w:rsid w:val="002427A3"/>
    <w:rsid w:val="002427EB"/>
    <w:rsid w:val="002427F0"/>
    <w:rsid w:val="002428BD"/>
    <w:rsid w:val="00242BC1"/>
    <w:rsid w:val="00242E09"/>
    <w:rsid w:val="002432B7"/>
    <w:rsid w:val="002433CE"/>
    <w:rsid w:val="00243C06"/>
    <w:rsid w:val="002440B2"/>
    <w:rsid w:val="00244F66"/>
    <w:rsid w:val="0024551D"/>
    <w:rsid w:val="00245853"/>
    <w:rsid w:val="002458CE"/>
    <w:rsid w:val="00246513"/>
    <w:rsid w:val="00246B1D"/>
    <w:rsid w:val="00247BDE"/>
    <w:rsid w:val="00247EE8"/>
    <w:rsid w:val="00247F22"/>
    <w:rsid w:val="002501BD"/>
    <w:rsid w:val="00250455"/>
    <w:rsid w:val="00250B11"/>
    <w:rsid w:val="002513D4"/>
    <w:rsid w:val="00251879"/>
    <w:rsid w:val="00251C98"/>
    <w:rsid w:val="00251EB3"/>
    <w:rsid w:val="0025329B"/>
    <w:rsid w:val="00253375"/>
    <w:rsid w:val="002538BA"/>
    <w:rsid w:val="00253EC4"/>
    <w:rsid w:val="00253FBD"/>
    <w:rsid w:val="0025418A"/>
    <w:rsid w:val="00254240"/>
    <w:rsid w:val="00255327"/>
    <w:rsid w:val="002557AE"/>
    <w:rsid w:val="00255BC2"/>
    <w:rsid w:val="00256539"/>
    <w:rsid w:val="00256DEA"/>
    <w:rsid w:val="002572BD"/>
    <w:rsid w:val="002579EC"/>
    <w:rsid w:val="00257C49"/>
    <w:rsid w:val="0026072F"/>
    <w:rsid w:val="00260952"/>
    <w:rsid w:val="00261192"/>
    <w:rsid w:val="00261A11"/>
    <w:rsid w:val="00261CB5"/>
    <w:rsid w:val="00261F7A"/>
    <w:rsid w:val="002625F2"/>
    <w:rsid w:val="00262890"/>
    <w:rsid w:val="00262AAB"/>
    <w:rsid w:val="00263413"/>
    <w:rsid w:val="0026431A"/>
    <w:rsid w:val="002644A4"/>
    <w:rsid w:val="00264C76"/>
    <w:rsid w:val="00264FA8"/>
    <w:rsid w:val="00265066"/>
    <w:rsid w:val="0026529A"/>
    <w:rsid w:val="00265599"/>
    <w:rsid w:val="0026585B"/>
    <w:rsid w:val="00265C93"/>
    <w:rsid w:val="00266300"/>
    <w:rsid w:val="00266C88"/>
    <w:rsid w:val="00266CE5"/>
    <w:rsid w:val="0027098E"/>
    <w:rsid w:val="00271150"/>
    <w:rsid w:val="00271328"/>
    <w:rsid w:val="00271977"/>
    <w:rsid w:val="00272F76"/>
    <w:rsid w:val="00274075"/>
    <w:rsid w:val="002746DB"/>
    <w:rsid w:val="002747CC"/>
    <w:rsid w:val="00274830"/>
    <w:rsid w:val="00274DF9"/>
    <w:rsid w:val="00275170"/>
    <w:rsid w:val="002751CA"/>
    <w:rsid w:val="00275580"/>
    <w:rsid w:val="00275B36"/>
    <w:rsid w:val="00275D77"/>
    <w:rsid w:val="00275F0A"/>
    <w:rsid w:val="00276AA0"/>
    <w:rsid w:val="002778F2"/>
    <w:rsid w:val="00277AC9"/>
    <w:rsid w:val="00277E4E"/>
    <w:rsid w:val="00277EA0"/>
    <w:rsid w:val="00277F0D"/>
    <w:rsid w:val="00277F52"/>
    <w:rsid w:val="002809A3"/>
    <w:rsid w:val="00280BF2"/>
    <w:rsid w:val="00281780"/>
    <w:rsid w:val="00281979"/>
    <w:rsid w:val="00281E85"/>
    <w:rsid w:val="0028333E"/>
    <w:rsid w:val="002837F8"/>
    <w:rsid w:val="00283844"/>
    <w:rsid w:val="002838FA"/>
    <w:rsid w:val="002839DE"/>
    <w:rsid w:val="00283ACF"/>
    <w:rsid w:val="00283C99"/>
    <w:rsid w:val="00283EE6"/>
    <w:rsid w:val="0028473D"/>
    <w:rsid w:val="00284788"/>
    <w:rsid w:val="00284824"/>
    <w:rsid w:val="00284850"/>
    <w:rsid w:val="00284D22"/>
    <w:rsid w:val="00285326"/>
    <w:rsid w:val="002854BE"/>
    <w:rsid w:val="00285DE8"/>
    <w:rsid w:val="00285F07"/>
    <w:rsid w:val="002863F2"/>
    <w:rsid w:val="00286608"/>
    <w:rsid w:val="00286A00"/>
    <w:rsid w:val="00286F15"/>
    <w:rsid w:val="0028735F"/>
    <w:rsid w:val="00287B87"/>
    <w:rsid w:val="00290283"/>
    <w:rsid w:val="002902BD"/>
    <w:rsid w:val="0029038C"/>
    <w:rsid w:val="00290891"/>
    <w:rsid w:val="00291326"/>
    <w:rsid w:val="0029166A"/>
    <w:rsid w:val="00291DA9"/>
    <w:rsid w:val="00292582"/>
    <w:rsid w:val="00292773"/>
    <w:rsid w:val="002927AC"/>
    <w:rsid w:val="002927F9"/>
    <w:rsid w:val="002935E8"/>
    <w:rsid w:val="0029469F"/>
    <w:rsid w:val="002946E9"/>
    <w:rsid w:val="00294A07"/>
    <w:rsid w:val="0029523D"/>
    <w:rsid w:val="002952DE"/>
    <w:rsid w:val="00295405"/>
    <w:rsid w:val="002954FB"/>
    <w:rsid w:val="002955AC"/>
    <w:rsid w:val="002955F0"/>
    <w:rsid w:val="0029618D"/>
    <w:rsid w:val="002962DC"/>
    <w:rsid w:val="002963FB"/>
    <w:rsid w:val="002965BA"/>
    <w:rsid w:val="00296814"/>
    <w:rsid w:val="002969CD"/>
    <w:rsid w:val="0029716C"/>
    <w:rsid w:val="00297CC2"/>
    <w:rsid w:val="002A00F4"/>
    <w:rsid w:val="002A08D0"/>
    <w:rsid w:val="002A0DD4"/>
    <w:rsid w:val="002A1D02"/>
    <w:rsid w:val="002A1E21"/>
    <w:rsid w:val="002A20B3"/>
    <w:rsid w:val="002A2537"/>
    <w:rsid w:val="002A2610"/>
    <w:rsid w:val="002A2AB8"/>
    <w:rsid w:val="002A2B8E"/>
    <w:rsid w:val="002A2E08"/>
    <w:rsid w:val="002A335A"/>
    <w:rsid w:val="002A3DAC"/>
    <w:rsid w:val="002A43F4"/>
    <w:rsid w:val="002A5126"/>
    <w:rsid w:val="002A53C9"/>
    <w:rsid w:val="002A5948"/>
    <w:rsid w:val="002A64F2"/>
    <w:rsid w:val="002A6590"/>
    <w:rsid w:val="002A6AEB"/>
    <w:rsid w:val="002A7136"/>
    <w:rsid w:val="002A7478"/>
    <w:rsid w:val="002A7AEB"/>
    <w:rsid w:val="002A7B26"/>
    <w:rsid w:val="002B01AD"/>
    <w:rsid w:val="002B0254"/>
    <w:rsid w:val="002B047F"/>
    <w:rsid w:val="002B07F2"/>
    <w:rsid w:val="002B1248"/>
    <w:rsid w:val="002B24B7"/>
    <w:rsid w:val="002B2849"/>
    <w:rsid w:val="002B28C2"/>
    <w:rsid w:val="002B2D78"/>
    <w:rsid w:val="002B32B5"/>
    <w:rsid w:val="002B32C9"/>
    <w:rsid w:val="002B3736"/>
    <w:rsid w:val="002B38F8"/>
    <w:rsid w:val="002B3C0E"/>
    <w:rsid w:val="002B4054"/>
    <w:rsid w:val="002B41B4"/>
    <w:rsid w:val="002B45A5"/>
    <w:rsid w:val="002B46FF"/>
    <w:rsid w:val="002B497D"/>
    <w:rsid w:val="002B4D0E"/>
    <w:rsid w:val="002B51E2"/>
    <w:rsid w:val="002B542A"/>
    <w:rsid w:val="002B5495"/>
    <w:rsid w:val="002B54C5"/>
    <w:rsid w:val="002B5567"/>
    <w:rsid w:val="002B55E5"/>
    <w:rsid w:val="002B5AB7"/>
    <w:rsid w:val="002B653E"/>
    <w:rsid w:val="002B6703"/>
    <w:rsid w:val="002B6A46"/>
    <w:rsid w:val="002B6D69"/>
    <w:rsid w:val="002B6F67"/>
    <w:rsid w:val="002B7411"/>
    <w:rsid w:val="002B7C01"/>
    <w:rsid w:val="002B7F1B"/>
    <w:rsid w:val="002C0083"/>
    <w:rsid w:val="002C032E"/>
    <w:rsid w:val="002C081A"/>
    <w:rsid w:val="002C0EDF"/>
    <w:rsid w:val="002C108A"/>
    <w:rsid w:val="002C1446"/>
    <w:rsid w:val="002C1553"/>
    <w:rsid w:val="002C2324"/>
    <w:rsid w:val="002C2B35"/>
    <w:rsid w:val="002C2CCD"/>
    <w:rsid w:val="002C2F7F"/>
    <w:rsid w:val="002C2FB4"/>
    <w:rsid w:val="002C2FD3"/>
    <w:rsid w:val="002C3683"/>
    <w:rsid w:val="002C4177"/>
    <w:rsid w:val="002C433A"/>
    <w:rsid w:val="002C517F"/>
    <w:rsid w:val="002C5526"/>
    <w:rsid w:val="002C5AF3"/>
    <w:rsid w:val="002C682C"/>
    <w:rsid w:val="002C6DC2"/>
    <w:rsid w:val="002C6DDA"/>
    <w:rsid w:val="002C713E"/>
    <w:rsid w:val="002D04C8"/>
    <w:rsid w:val="002D053D"/>
    <w:rsid w:val="002D0B99"/>
    <w:rsid w:val="002D0F9E"/>
    <w:rsid w:val="002D1936"/>
    <w:rsid w:val="002D1CE8"/>
    <w:rsid w:val="002D2129"/>
    <w:rsid w:val="002D2FB2"/>
    <w:rsid w:val="002D308F"/>
    <w:rsid w:val="002D30BC"/>
    <w:rsid w:val="002D3575"/>
    <w:rsid w:val="002D3782"/>
    <w:rsid w:val="002D4896"/>
    <w:rsid w:val="002D48E6"/>
    <w:rsid w:val="002D4BFC"/>
    <w:rsid w:val="002D50F6"/>
    <w:rsid w:val="002D53A7"/>
    <w:rsid w:val="002D5B16"/>
    <w:rsid w:val="002D6086"/>
    <w:rsid w:val="002D62AF"/>
    <w:rsid w:val="002D63F9"/>
    <w:rsid w:val="002D769A"/>
    <w:rsid w:val="002D7789"/>
    <w:rsid w:val="002D77B7"/>
    <w:rsid w:val="002D7CC4"/>
    <w:rsid w:val="002D7DBC"/>
    <w:rsid w:val="002E0241"/>
    <w:rsid w:val="002E02B6"/>
    <w:rsid w:val="002E09F5"/>
    <w:rsid w:val="002E0C21"/>
    <w:rsid w:val="002E1812"/>
    <w:rsid w:val="002E192A"/>
    <w:rsid w:val="002E2378"/>
    <w:rsid w:val="002E2471"/>
    <w:rsid w:val="002E2A80"/>
    <w:rsid w:val="002E2AF3"/>
    <w:rsid w:val="002E2B84"/>
    <w:rsid w:val="002E2BC6"/>
    <w:rsid w:val="002E2DC8"/>
    <w:rsid w:val="002E300A"/>
    <w:rsid w:val="002E3543"/>
    <w:rsid w:val="002E3B82"/>
    <w:rsid w:val="002E3C95"/>
    <w:rsid w:val="002E40D7"/>
    <w:rsid w:val="002E48E1"/>
    <w:rsid w:val="002E4CCE"/>
    <w:rsid w:val="002E4E64"/>
    <w:rsid w:val="002E5554"/>
    <w:rsid w:val="002E58D2"/>
    <w:rsid w:val="002E5E11"/>
    <w:rsid w:val="002E5F0D"/>
    <w:rsid w:val="002E6262"/>
    <w:rsid w:val="002E6EE7"/>
    <w:rsid w:val="002E6F83"/>
    <w:rsid w:val="002F0C24"/>
    <w:rsid w:val="002F0C6B"/>
    <w:rsid w:val="002F0F9E"/>
    <w:rsid w:val="002F1CD0"/>
    <w:rsid w:val="002F1D5C"/>
    <w:rsid w:val="002F207F"/>
    <w:rsid w:val="002F24AF"/>
    <w:rsid w:val="002F2902"/>
    <w:rsid w:val="002F2D3F"/>
    <w:rsid w:val="002F32ED"/>
    <w:rsid w:val="002F3799"/>
    <w:rsid w:val="002F3FF3"/>
    <w:rsid w:val="002F43B6"/>
    <w:rsid w:val="002F43B7"/>
    <w:rsid w:val="002F4531"/>
    <w:rsid w:val="002F45B2"/>
    <w:rsid w:val="002F4803"/>
    <w:rsid w:val="002F49F9"/>
    <w:rsid w:val="002F515D"/>
    <w:rsid w:val="002F537A"/>
    <w:rsid w:val="002F5C27"/>
    <w:rsid w:val="002F5C6A"/>
    <w:rsid w:val="002F5ED6"/>
    <w:rsid w:val="002F6058"/>
    <w:rsid w:val="002F6673"/>
    <w:rsid w:val="002F66DB"/>
    <w:rsid w:val="002F6CCF"/>
    <w:rsid w:val="002F760C"/>
    <w:rsid w:val="002F7EB8"/>
    <w:rsid w:val="0030086D"/>
    <w:rsid w:val="00300D86"/>
    <w:rsid w:val="003017E1"/>
    <w:rsid w:val="0030255F"/>
    <w:rsid w:val="00302891"/>
    <w:rsid w:val="00302F6A"/>
    <w:rsid w:val="00303A54"/>
    <w:rsid w:val="00303AEB"/>
    <w:rsid w:val="003040C0"/>
    <w:rsid w:val="003048B5"/>
    <w:rsid w:val="0030492C"/>
    <w:rsid w:val="0030497A"/>
    <w:rsid w:val="00304C53"/>
    <w:rsid w:val="00304DAF"/>
    <w:rsid w:val="00305989"/>
    <w:rsid w:val="00305A7A"/>
    <w:rsid w:val="00305CC7"/>
    <w:rsid w:val="00305F62"/>
    <w:rsid w:val="0030670E"/>
    <w:rsid w:val="0030688B"/>
    <w:rsid w:val="00306B1E"/>
    <w:rsid w:val="003074FD"/>
    <w:rsid w:val="00307807"/>
    <w:rsid w:val="00307A2D"/>
    <w:rsid w:val="00310204"/>
    <w:rsid w:val="00310272"/>
    <w:rsid w:val="0031041F"/>
    <w:rsid w:val="00310991"/>
    <w:rsid w:val="00310D86"/>
    <w:rsid w:val="00310F34"/>
    <w:rsid w:val="003111D7"/>
    <w:rsid w:val="00312912"/>
    <w:rsid w:val="00312AF6"/>
    <w:rsid w:val="00312CB7"/>
    <w:rsid w:val="00312E68"/>
    <w:rsid w:val="003132A7"/>
    <w:rsid w:val="0031351A"/>
    <w:rsid w:val="00313C43"/>
    <w:rsid w:val="0031432D"/>
    <w:rsid w:val="00314AFF"/>
    <w:rsid w:val="00315A7B"/>
    <w:rsid w:val="00315BD4"/>
    <w:rsid w:val="00315C2A"/>
    <w:rsid w:val="003161E5"/>
    <w:rsid w:val="00316A37"/>
    <w:rsid w:val="00316C18"/>
    <w:rsid w:val="00316EDC"/>
    <w:rsid w:val="00317071"/>
    <w:rsid w:val="003170F2"/>
    <w:rsid w:val="0031725E"/>
    <w:rsid w:val="00320168"/>
    <w:rsid w:val="003204DA"/>
    <w:rsid w:val="00320582"/>
    <w:rsid w:val="00321282"/>
    <w:rsid w:val="0032130E"/>
    <w:rsid w:val="00321449"/>
    <w:rsid w:val="0032187E"/>
    <w:rsid w:val="003218EA"/>
    <w:rsid w:val="00321F93"/>
    <w:rsid w:val="00322489"/>
    <w:rsid w:val="0032278A"/>
    <w:rsid w:val="0032279E"/>
    <w:rsid w:val="00322A25"/>
    <w:rsid w:val="00322C47"/>
    <w:rsid w:val="0032318E"/>
    <w:rsid w:val="00323A57"/>
    <w:rsid w:val="003241B8"/>
    <w:rsid w:val="00324289"/>
    <w:rsid w:val="00324A14"/>
    <w:rsid w:val="00324CDB"/>
    <w:rsid w:val="00325668"/>
    <w:rsid w:val="00325AC3"/>
    <w:rsid w:val="003262AB"/>
    <w:rsid w:val="0032659C"/>
    <w:rsid w:val="003271D5"/>
    <w:rsid w:val="00327292"/>
    <w:rsid w:val="003272FD"/>
    <w:rsid w:val="0032744E"/>
    <w:rsid w:val="00327480"/>
    <w:rsid w:val="003275C7"/>
    <w:rsid w:val="00327C92"/>
    <w:rsid w:val="003307FF"/>
    <w:rsid w:val="00330A37"/>
    <w:rsid w:val="00330B81"/>
    <w:rsid w:val="00331424"/>
    <w:rsid w:val="003318D1"/>
    <w:rsid w:val="00333471"/>
    <w:rsid w:val="00333483"/>
    <w:rsid w:val="003334DE"/>
    <w:rsid w:val="00333A15"/>
    <w:rsid w:val="00333A6D"/>
    <w:rsid w:val="00333F1D"/>
    <w:rsid w:val="00334C6A"/>
    <w:rsid w:val="0033545E"/>
    <w:rsid w:val="003355EA"/>
    <w:rsid w:val="00335687"/>
    <w:rsid w:val="00335776"/>
    <w:rsid w:val="00335E25"/>
    <w:rsid w:val="00336075"/>
    <w:rsid w:val="003361D9"/>
    <w:rsid w:val="00336520"/>
    <w:rsid w:val="003369C0"/>
    <w:rsid w:val="003374B9"/>
    <w:rsid w:val="003375AB"/>
    <w:rsid w:val="003378B1"/>
    <w:rsid w:val="003408E2"/>
    <w:rsid w:val="003415A2"/>
    <w:rsid w:val="00341999"/>
    <w:rsid w:val="00341C6F"/>
    <w:rsid w:val="0034203D"/>
    <w:rsid w:val="00342CB4"/>
    <w:rsid w:val="0034312D"/>
    <w:rsid w:val="0034330F"/>
    <w:rsid w:val="00343669"/>
    <w:rsid w:val="00343732"/>
    <w:rsid w:val="003438E5"/>
    <w:rsid w:val="00343972"/>
    <w:rsid w:val="00343C67"/>
    <w:rsid w:val="00343E03"/>
    <w:rsid w:val="0034410B"/>
    <w:rsid w:val="0034413A"/>
    <w:rsid w:val="00344465"/>
    <w:rsid w:val="00344BA3"/>
    <w:rsid w:val="00344BDC"/>
    <w:rsid w:val="00344D5E"/>
    <w:rsid w:val="003451C1"/>
    <w:rsid w:val="00345475"/>
    <w:rsid w:val="00345C8B"/>
    <w:rsid w:val="00346455"/>
    <w:rsid w:val="00346481"/>
    <w:rsid w:val="00346AE5"/>
    <w:rsid w:val="00346C56"/>
    <w:rsid w:val="00347782"/>
    <w:rsid w:val="00347D51"/>
    <w:rsid w:val="00347E11"/>
    <w:rsid w:val="00347F69"/>
    <w:rsid w:val="00350268"/>
    <w:rsid w:val="00350594"/>
    <w:rsid w:val="00350864"/>
    <w:rsid w:val="003514B4"/>
    <w:rsid w:val="003518DC"/>
    <w:rsid w:val="003518FE"/>
    <w:rsid w:val="00351A25"/>
    <w:rsid w:val="00352542"/>
    <w:rsid w:val="003527CE"/>
    <w:rsid w:val="0035326A"/>
    <w:rsid w:val="0035327A"/>
    <w:rsid w:val="003534CB"/>
    <w:rsid w:val="00353FC5"/>
    <w:rsid w:val="003542EB"/>
    <w:rsid w:val="00354407"/>
    <w:rsid w:val="00354730"/>
    <w:rsid w:val="00354B35"/>
    <w:rsid w:val="00354C00"/>
    <w:rsid w:val="00354CC2"/>
    <w:rsid w:val="00354E45"/>
    <w:rsid w:val="003555CF"/>
    <w:rsid w:val="0035570E"/>
    <w:rsid w:val="0035576F"/>
    <w:rsid w:val="00355B59"/>
    <w:rsid w:val="00356164"/>
    <w:rsid w:val="00356200"/>
    <w:rsid w:val="0035620E"/>
    <w:rsid w:val="00356219"/>
    <w:rsid w:val="003564B6"/>
    <w:rsid w:val="0035669E"/>
    <w:rsid w:val="0035672B"/>
    <w:rsid w:val="00356991"/>
    <w:rsid w:val="003571AF"/>
    <w:rsid w:val="003574FA"/>
    <w:rsid w:val="00357C05"/>
    <w:rsid w:val="00357DE5"/>
    <w:rsid w:val="0036071E"/>
    <w:rsid w:val="00360737"/>
    <w:rsid w:val="0036093B"/>
    <w:rsid w:val="00360BA3"/>
    <w:rsid w:val="00361038"/>
    <w:rsid w:val="00362445"/>
    <w:rsid w:val="0036258B"/>
    <w:rsid w:val="003638CF"/>
    <w:rsid w:val="00363B12"/>
    <w:rsid w:val="00363CA5"/>
    <w:rsid w:val="00363CCB"/>
    <w:rsid w:val="00363DA1"/>
    <w:rsid w:val="00363E38"/>
    <w:rsid w:val="00364206"/>
    <w:rsid w:val="0036423C"/>
    <w:rsid w:val="003644E3"/>
    <w:rsid w:val="003648BB"/>
    <w:rsid w:val="00364D59"/>
    <w:rsid w:val="00365244"/>
    <w:rsid w:val="003654BE"/>
    <w:rsid w:val="003654DD"/>
    <w:rsid w:val="00365572"/>
    <w:rsid w:val="00365D2E"/>
    <w:rsid w:val="00365DBB"/>
    <w:rsid w:val="0036631D"/>
    <w:rsid w:val="00366CA0"/>
    <w:rsid w:val="003672E3"/>
    <w:rsid w:val="003673E6"/>
    <w:rsid w:val="003675F0"/>
    <w:rsid w:val="003679F1"/>
    <w:rsid w:val="00367A90"/>
    <w:rsid w:val="00367E42"/>
    <w:rsid w:val="0037006D"/>
    <w:rsid w:val="00370115"/>
    <w:rsid w:val="003703EC"/>
    <w:rsid w:val="00370963"/>
    <w:rsid w:val="00371009"/>
    <w:rsid w:val="003714BA"/>
    <w:rsid w:val="00371BC4"/>
    <w:rsid w:val="003722E8"/>
    <w:rsid w:val="003723F1"/>
    <w:rsid w:val="003725FF"/>
    <w:rsid w:val="0037264D"/>
    <w:rsid w:val="00372733"/>
    <w:rsid w:val="0037280D"/>
    <w:rsid w:val="003728E1"/>
    <w:rsid w:val="00372C4C"/>
    <w:rsid w:val="00373B31"/>
    <w:rsid w:val="00373B8C"/>
    <w:rsid w:val="00373B9D"/>
    <w:rsid w:val="00373F9A"/>
    <w:rsid w:val="00374294"/>
    <w:rsid w:val="003745D0"/>
    <w:rsid w:val="00374A6C"/>
    <w:rsid w:val="0037521B"/>
    <w:rsid w:val="003759CE"/>
    <w:rsid w:val="00375B8A"/>
    <w:rsid w:val="00375D31"/>
    <w:rsid w:val="00375E04"/>
    <w:rsid w:val="003760E4"/>
    <w:rsid w:val="0037617A"/>
    <w:rsid w:val="0037642E"/>
    <w:rsid w:val="0037730A"/>
    <w:rsid w:val="003777F9"/>
    <w:rsid w:val="00377BF4"/>
    <w:rsid w:val="00377D45"/>
    <w:rsid w:val="00377DC3"/>
    <w:rsid w:val="003801DC"/>
    <w:rsid w:val="00380CF1"/>
    <w:rsid w:val="00380E15"/>
    <w:rsid w:val="00380F51"/>
    <w:rsid w:val="00381993"/>
    <w:rsid w:val="00381B3A"/>
    <w:rsid w:val="00381D4A"/>
    <w:rsid w:val="00381F38"/>
    <w:rsid w:val="00381F75"/>
    <w:rsid w:val="0038248C"/>
    <w:rsid w:val="003827F2"/>
    <w:rsid w:val="00383A0C"/>
    <w:rsid w:val="00383E24"/>
    <w:rsid w:val="0038445B"/>
    <w:rsid w:val="00384602"/>
    <w:rsid w:val="00384837"/>
    <w:rsid w:val="00384976"/>
    <w:rsid w:val="00384B03"/>
    <w:rsid w:val="00384B51"/>
    <w:rsid w:val="00385105"/>
    <w:rsid w:val="003856C6"/>
    <w:rsid w:val="003859B2"/>
    <w:rsid w:val="00385E50"/>
    <w:rsid w:val="003866CC"/>
    <w:rsid w:val="0038685F"/>
    <w:rsid w:val="00386B43"/>
    <w:rsid w:val="00386CBA"/>
    <w:rsid w:val="00386E1D"/>
    <w:rsid w:val="00386FC4"/>
    <w:rsid w:val="0038778A"/>
    <w:rsid w:val="00387B59"/>
    <w:rsid w:val="00387D0E"/>
    <w:rsid w:val="00390AA4"/>
    <w:rsid w:val="00390B45"/>
    <w:rsid w:val="003910D0"/>
    <w:rsid w:val="0039127E"/>
    <w:rsid w:val="003912E4"/>
    <w:rsid w:val="00391901"/>
    <w:rsid w:val="0039192C"/>
    <w:rsid w:val="0039195C"/>
    <w:rsid w:val="00391AC1"/>
    <w:rsid w:val="00391B2B"/>
    <w:rsid w:val="00391BBB"/>
    <w:rsid w:val="00391DF1"/>
    <w:rsid w:val="003922C6"/>
    <w:rsid w:val="00392361"/>
    <w:rsid w:val="003923E6"/>
    <w:rsid w:val="003925CB"/>
    <w:rsid w:val="00393129"/>
    <w:rsid w:val="00393813"/>
    <w:rsid w:val="00393FE9"/>
    <w:rsid w:val="003941B4"/>
    <w:rsid w:val="003943FE"/>
    <w:rsid w:val="0039476B"/>
    <w:rsid w:val="00394B5E"/>
    <w:rsid w:val="00394F4C"/>
    <w:rsid w:val="00395056"/>
    <w:rsid w:val="00395B79"/>
    <w:rsid w:val="00395BDA"/>
    <w:rsid w:val="00396113"/>
    <w:rsid w:val="00396744"/>
    <w:rsid w:val="0039686E"/>
    <w:rsid w:val="00396BF6"/>
    <w:rsid w:val="00396F26"/>
    <w:rsid w:val="003973FD"/>
    <w:rsid w:val="00397413"/>
    <w:rsid w:val="00397418"/>
    <w:rsid w:val="003976E4"/>
    <w:rsid w:val="00397E21"/>
    <w:rsid w:val="00397EDE"/>
    <w:rsid w:val="00397FDC"/>
    <w:rsid w:val="003A04AE"/>
    <w:rsid w:val="003A0667"/>
    <w:rsid w:val="003A0D2C"/>
    <w:rsid w:val="003A17BB"/>
    <w:rsid w:val="003A19D6"/>
    <w:rsid w:val="003A1CC3"/>
    <w:rsid w:val="003A2D4E"/>
    <w:rsid w:val="003A2E19"/>
    <w:rsid w:val="003A2E4A"/>
    <w:rsid w:val="003A2E89"/>
    <w:rsid w:val="003A33A7"/>
    <w:rsid w:val="003A3999"/>
    <w:rsid w:val="003A429F"/>
    <w:rsid w:val="003A441F"/>
    <w:rsid w:val="003A4462"/>
    <w:rsid w:val="003A4663"/>
    <w:rsid w:val="003A49AA"/>
    <w:rsid w:val="003A4BFF"/>
    <w:rsid w:val="003A4F4E"/>
    <w:rsid w:val="003A5A7C"/>
    <w:rsid w:val="003A5A8D"/>
    <w:rsid w:val="003A5D90"/>
    <w:rsid w:val="003A604C"/>
    <w:rsid w:val="003A62DA"/>
    <w:rsid w:val="003A6E26"/>
    <w:rsid w:val="003A6F24"/>
    <w:rsid w:val="003A7B14"/>
    <w:rsid w:val="003A7B7B"/>
    <w:rsid w:val="003A7B8C"/>
    <w:rsid w:val="003A7D2A"/>
    <w:rsid w:val="003A7D38"/>
    <w:rsid w:val="003B031E"/>
    <w:rsid w:val="003B05D3"/>
    <w:rsid w:val="003B08CD"/>
    <w:rsid w:val="003B0A4E"/>
    <w:rsid w:val="003B14FD"/>
    <w:rsid w:val="003B20FF"/>
    <w:rsid w:val="003B2427"/>
    <w:rsid w:val="003B2D7D"/>
    <w:rsid w:val="003B2EAE"/>
    <w:rsid w:val="003B352D"/>
    <w:rsid w:val="003B3E12"/>
    <w:rsid w:val="003B4279"/>
    <w:rsid w:val="003B4696"/>
    <w:rsid w:val="003B473D"/>
    <w:rsid w:val="003B489E"/>
    <w:rsid w:val="003B4E65"/>
    <w:rsid w:val="003B4EB6"/>
    <w:rsid w:val="003B51E6"/>
    <w:rsid w:val="003B5FAA"/>
    <w:rsid w:val="003B6031"/>
    <w:rsid w:val="003B6CDA"/>
    <w:rsid w:val="003B6E81"/>
    <w:rsid w:val="003B6FA1"/>
    <w:rsid w:val="003B707F"/>
    <w:rsid w:val="003B74B1"/>
    <w:rsid w:val="003B7821"/>
    <w:rsid w:val="003B7E05"/>
    <w:rsid w:val="003C052A"/>
    <w:rsid w:val="003C131E"/>
    <w:rsid w:val="003C19A5"/>
    <w:rsid w:val="003C19F3"/>
    <w:rsid w:val="003C1BE5"/>
    <w:rsid w:val="003C1C85"/>
    <w:rsid w:val="003C1D19"/>
    <w:rsid w:val="003C1F69"/>
    <w:rsid w:val="003C2736"/>
    <w:rsid w:val="003C2A17"/>
    <w:rsid w:val="003C2A5C"/>
    <w:rsid w:val="003C314B"/>
    <w:rsid w:val="003C321F"/>
    <w:rsid w:val="003C3419"/>
    <w:rsid w:val="003C344B"/>
    <w:rsid w:val="003C3A2A"/>
    <w:rsid w:val="003C3E7F"/>
    <w:rsid w:val="003C4482"/>
    <w:rsid w:val="003C4AB1"/>
    <w:rsid w:val="003C5260"/>
    <w:rsid w:val="003C53C5"/>
    <w:rsid w:val="003C5471"/>
    <w:rsid w:val="003C5CB8"/>
    <w:rsid w:val="003C5CC9"/>
    <w:rsid w:val="003C5EA1"/>
    <w:rsid w:val="003C612F"/>
    <w:rsid w:val="003C6468"/>
    <w:rsid w:val="003C67F4"/>
    <w:rsid w:val="003D0246"/>
    <w:rsid w:val="003D0AF6"/>
    <w:rsid w:val="003D0BFD"/>
    <w:rsid w:val="003D11D9"/>
    <w:rsid w:val="003D190F"/>
    <w:rsid w:val="003D1E5A"/>
    <w:rsid w:val="003D2D74"/>
    <w:rsid w:val="003D3990"/>
    <w:rsid w:val="003D39CC"/>
    <w:rsid w:val="003D42CB"/>
    <w:rsid w:val="003D43E2"/>
    <w:rsid w:val="003D4B62"/>
    <w:rsid w:val="003D4E9A"/>
    <w:rsid w:val="003D51F4"/>
    <w:rsid w:val="003D5811"/>
    <w:rsid w:val="003D58C5"/>
    <w:rsid w:val="003D5AD2"/>
    <w:rsid w:val="003D5D30"/>
    <w:rsid w:val="003D6638"/>
    <w:rsid w:val="003D66ED"/>
    <w:rsid w:val="003D67D4"/>
    <w:rsid w:val="003D7786"/>
    <w:rsid w:val="003D7FA3"/>
    <w:rsid w:val="003D7FC4"/>
    <w:rsid w:val="003E0354"/>
    <w:rsid w:val="003E079C"/>
    <w:rsid w:val="003E08DC"/>
    <w:rsid w:val="003E184A"/>
    <w:rsid w:val="003E1887"/>
    <w:rsid w:val="003E18C9"/>
    <w:rsid w:val="003E19E2"/>
    <w:rsid w:val="003E2014"/>
    <w:rsid w:val="003E23B9"/>
    <w:rsid w:val="003E2538"/>
    <w:rsid w:val="003E278F"/>
    <w:rsid w:val="003E2E55"/>
    <w:rsid w:val="003E3CB1"/>
    <w:rsid w:val="003E4296"/>
    <w:rsid w:val="003E43C8"/>
    <w:rsid w:val="003E4918"/>
    <w:rsid w:val="003E4A5E"/>
    <w:rsid w:val="003E4B5F"/>
    <w:rsid w:val="003E4EA9"/>
    <w:rsid w:val="003E530F"/>
    <w:rsid w:val="003E5568"/>
    <w:rsid w:val="003E5A33"/>
    <w:rsid w:val="003E5A92"/>
    <w:rsid w:val="003E5E89"/>
    <w:rsid w:val="003E6457"/>
    <w:rsid w:val="003E65FD"/>
    <w:rsid w:val="003E69CF"/>
    <w:rsid w:val="003E6BEE"/>
    <w:rsid w:val="003E6BEF"/>
    <w:rsid w:val="003E6D9A"/>
    <w:rsid w:val="003E6DA0"/>
    <w:rsid w:val="003E72DA"/>
    <w:rsid w:val="003F031C"/>
    <w:rsid w:val="003F0815"/>
    <w:rsid w:val="003F1622"/>
    <w:rsid w:val="003F1AA3"/>
    <w:rsid w:val="003F25EF"/>
    <w:rsid w:val="003F3000"/>
    <w:rsid w:val="003F3277"/>
    <w:rsid w:val="003F3A1A"/>
    <w:rsid w:val="003F3CEA"/>
    <w:rsid w:val="003F4387"/>
    <w:rsid w:val="003F43D1"/>
    <w:rsid w:val="003F4C79"/>
    <w:rsid w:val="003F4C9A"/>
    <w:rsid w:val="003F4E06"/>
    <w:rsid w:val="003F4FBD"/>
    <w:rsid w:val="003F52F0"/>
    <w:rsid w:val="003F5322"/>
    <w:rsid w:val="003F5590"/>
    <w:rsid w:val="003F58E4"/>
    <w:rsid w:val="003F5E3F"/>
    <w:rsid w:val="003F5EB7"/>
    <w:rsid w:val="003F6496"/>
    <w:rsid w:val="003F66DB"/>
    <w:rsid w:val="003F67CB"/>
    <w:rsid w:val="003F6C4E"/>
    <w:rsid w:val="003F6EE8"/>
    <w:rsid w:val="003F74C1"/>
    <w:rsid w:val="003F759C"/>
    <w:rsid w:val="003F7666"/>
    <w:rsid w:val="00400595"/>
    <w:rsid w:val="00401ABA"/>
    <w:rsid w:val="00401CD0"/>
    <w:rsid w:val="004023AF"/>
    <w:rsid w:val="00402608"/>
    <w:rsid w:val="00402E6B"/>
    <w:rsid w:val="00403542"/>
    <w:rsid w:val="00403A15"/>
    <w:rsid w:val="00403FA5"/>
    <w:rsid w:val="004053C3"/>
    <w:rsid w:val="00405408"/>
    <w:rsid w:val="0040544F"/>
    <w:rsid w:val="00405461"/>
    <w:rsid w:val="00405477"/>
    <w:rsid w:val="0040566B"/>
    <w:rsid w:val="004057B2"/>
    <w:rsid w:val="00405C18"/>
    <w:rsid w:val="0040662F"/>
    <w:rsid w:val="004067F1"/>
    <w:rsid w:val="00406945"/>
    <w:rsid w:val="00406A14"/>
    <w:rsid w:val="00406C6B"/>
    <w:rsid w:val="00406C91"/>
    <w:rsid w:val="00406ECC"/>
    <w:rsid w:val="00407A85"/>
    <w:rsid w:val="00407C11"/>
    <w:rsid w:val="00407F34"/>
    <w:rsid w:val="004103EB"/>
    <w:rsid w:val="00410441"/>
    <w:rsid w:val="0041078F"/>
    <w:rsid w:val="00410B02"/>
    <w:rsid w:val="00410B78"/>
    <w:rsid w:val="0041102C"/>
    <w:rsid w:val="00411154"/>
    <w:rsid w:val="00411468"/>
    <w:rsid w:val="00411711"/>
    <w:rsid w:val="00412A74"/>
    <w:rsid w:val="00412BDE"/>
    <w:rsid w:val="00413289"/>
    <w:rsid w:val="004143AE"/>
    <w:rsid w:val="004146E5"/>
    <w:rsid w:val="00414937"/>
    <w:rsid w:val="00414DE0"/>
    <w:rsid w:val="004150FE"/>
    <w:rsid w:val="004158A0"/>
    <w:rsid w:val="00415D69"/>
    <w:rsid w:val="00415FAD"/>
    <w:rsid w:val="0041619C"/>
    <w:rsid w:val="0041747C"/>
    <w:rsid w:val="004174AE"/>
    <w:rsid w:val="00417701"/>
    <w:rsid w:val="00417988"/>
    <w:rsid w:val="00417C68"/>
    <w:rsid w:val="00417D7A"/>
    <w:rsid w:val="004203AA"/>
    <w:rsid w:val="004208E2"/>
    <w:rsid w:val="00420BA6"/>
    <w:rsid w:val="00420F4B"/>
    <w:rsid w:val="0042121D"/>
    <w:rsid w:val="0042181C"/>
    <w:rsid w:val="00422030"/>
    <w:rsid w:val="00422388"/>
    <w:rsid w:val="00422508"/>
    <w:rsid w:val="0042267A"/>
    <w:rsid w:val="00422C59"/>
    <w:rsid w:val="00422CFC"/>
    <w:rsid w:val="0042412E"/>
    <w:rsid w:val="0042472D"/>
    <w:rsid w:val="00424ABD"/>
    <w:rsid w:val="00424F53"/>
    <w:rsid w:val="0042505E"/>
    <w:rsid w:val="004257A7"/>
    <w:rsid w:val="004258AB"/>
    <w:rsid w:val="00425EF9"/>
    <w:rsid w:val="00426254"/>
    <w:rsid w:val="0042680F"/>
    <w:rsid w:val="00427725"/>
    <w:rsid w:val="00427765"/>
    <w:rsid w:val="00427E18"/>
    <w:rsid w:val="00427FEE"/>
    <w:rsid w:val="0043011A"/>
    <w:rsid w:val="0043040E"/>
    <w:rsid w:val="004305C5"/>
    <w:rsid w:val="004307C0"/>
    <w:rsid w:val="00430892"/>
    <w:rsid w:val="00430A57"/>
    <w:rsid w:val="00430C70"/>
    <w:rsid w:val="004313DB"/>
    <w:rsid w:val="004318F9"/>
    <w:rsid w:val="00431E28"/>
    <w:rsid w:val="00431EF9"/>
    <w:rsid w:val="0043295B"/>
    <w:rsid w:val="00432A81"/>
    <w:rsid w:val="00432B9E"/>
    <w:rsid w:val="004338AC"/>
    <w:rsid w:val="00433A31"/>
    <w:rsid w:val="00434374"/>
    <w:rsid w:val="004345A9"/>
    <w:rsid w:val="00435012"/>
    <w:rsid w:val="00435197"/>
    <w:rsid w:val="0043678E"/>
    <w:rsid w:val="00437068"/>
    <w:rsid w:val="004377D6"/>
    <w:rsid w:val="00437B57"/>
    <w:rsid w:val="00440AFD"/>
    <w:rsid w:val="00440FD6"/>
    <w:rsid w:val="004410BC"/>
    <w:rsid w:val="00441164"/>
    <w:rsid w:val="004414D3"/>
    <w:rsid w:val="00441A6C"/>
    <w:rsid w:val="00442049"/>
    <w:rsid w:val="004420F9"/>
    <w:rsid w:val="00442CCD"/>
    <w:rsid w:val="00442DC9"/>
    <w:rsid w:val="004435D7"/>
    <w:rsid w:val="00443B9C"/>
    <w:rsid w:val="00443E2F"/>
    <w:rsid w:val="00444188"/>
    <w:rsid w:val="00444473"/>
    <w:rsid w:val="0044482D"/>
    <w:rsid w:val="00444927"/>
    <w:rsid w:val="00444FEA"/>
    <w:rsid w:val="004458AB"/>
    <w:rsid w:val="00445A3C"/>
    <w:rsid w:val="00445C66"/>
    <w:rsid w:val="00445C9F"/>
    <w:rsid w:val="00446D64"/>
    <w:rsid w:val="00446D8E"/>
    <w:rsid w:val="00446E05"/>
    <w:rsid w:val="004475D5"/>
    <w:rsid w:val="00450347"/>
    <w:rsid w:val="004503A1"/>
    <w:rsid w:val="00450674"/>
    <w:rsid w:val="00451846"/>
    <w:rsid w:val="00451E7F"/>
    <w:rsid w:val="0045201A"/>
    <w:rsid w:val="0045229F"/>
    <w:rsid w:val="00452A66"/>
    <w:rsid w:val="0045317A"/>
    <w:rsid w:val="004536EF"/>
    <w:rsid w:val="00453DB3"/>
    <w:rsid w:val="00453DCC"/>
    <w:rsid w:val="00453FFE"/>
    <w:rsid w:val="00454800"/>
    <w:rsid w:val="00454858"/>
    <w:rsid w:val="00454B8F"/>
    <w:rsid w:val="00454C20"/>
    <w:rsid w:val="00454CB4"/>
    <w:rsid w:val="00454F7D"/>
    <w:rsid w:val="004557BD"/>
    <w:rsid w:val="004558FA"/>
    <w:rsid w:val="00455CAE"/>
    <w:rsid w:val="00455E9B"/>
    <w:rsid w:val="00455EA7"/>
    <w:rsid w:val="004566DC"/>
    <w:rsid w:val="00456D15"/>
    <w:rsid w:val="00457005"/>
    <w:rsid w:val="004572EB"/>
    <w:rsid w:val="004573D0"/>
    <w:rsid w:val="004578E3"/>
    <w:rsid w:val="00457DFE"/>
    <w:rsid w:val="00460181"/>
    <w:rsid w:val="004602D4"/>
    <w:rsid w:val="00460321"/>
    <w:rsid w:val="004607F1"/>
    <w:rsid w:val="00460A4B"/>
    <w:rsid w:val="00461252"/>
    <w:rsid w:val="004613B8"/>
    <w:rsid w:val="0046159B"/>
    <w:rsid w:val="00461A84"/>
    <w:rsid w:val="00461A87"/>
    <w:rsid w:val="004620F4"/>
    <w:rsid w:val="0046215E"/>
    <w:rsid w:val="00462286"/>
    <w:rsid w:val="00462519"/>
    <w:rsid w:val="00462A92"/>
    <w:rsid w:val="00462F25"/>
    <w:rsid w:val="004631A1"/>
    <w:rsid w:val="0046330C"/>
    <w:rsid w:val="00463717"/>
    <w:rsid w:val="00463754"/>
    <w:rsid w:val="004637CD"/>
    <w:rsid w:val="0046405D"/>
    <w:rsid w:val="0046427F"/>
    <w:rsid w:val="00465381"/>
    <w:rsid w:val="004653AD"/>
    <w:rsid w:val="00465498"/>
    <w:rsid w:val="00465A3C"/>
    <w:rsid w:val="00465D94"/>
    <w:rsid w:val="00465F55"/>
    <w:rsid w:val="0046615C"/>
    <w:rsid w:val="004665C7"/>
    <w:rsid w:val="00466742"/>
    <w:rsid w:val="00466AE4"/>
    <w:rsid w:val="004673E5"/>
    <w:rsid w:val="0046756D"/>
    <w:rsid w:val="00467B68"/>
    <w:rsid w:val="004704B5"/>
    <w:rsid w:val="00470883"/>
    <w:rsid w:val="004708D2"/>
    <w:rsid w:val="00470A80"/>
    <w:rsid w:val="00470F9C"/>
    <w:rsid w:val="00471361"/>
    <w:rsid w:val="0047140D"/>
    <w:rsid w:val="00472834"/>
    <w:rsid w:val="00472ADA"/>
    <w:rsid w:val="00472AF9"/>
    <w:rsid w:val="00472E87"/>
    <w:rsid w:val="00472FD2"/>
    <w:rsid w:val="00473332"/>
    <w:rsid w:val="00473CDF"/>
    <w:rsid w:val="00473F72"/>
    <w:rsid w:val="00474322"/>
    <w:rsid w:val="0047451B"/>
    <w:rsid w:val="00474620"/>
    <w:rsid w:val="004746DF"/>
    <w:rsid w:val="00474827"/>
    <w:rsid w:val="004751F6"/>
    <w:rsid w:val="0047548C"/>
    <w:rsid w:val="00475DC2"/>
    <w:rsid w:val="00476446"/>
    <w:rsid w:val="0047691F"/>
    <w:rsid w:val="00476C19"/>
    <w:rsid w:val="004778F1"/>
    <w:rsid w:val="004779AB"/>
    <w:rsid w:val="004779B9"/>
    <w:rsid w:val="00477FA2"/>
    <w:rsid w:val="004801BA"/>
    <w:rsid w:val="0048028B"/>
    <w:rsid w:val="00480388"/>
    <w:rsid w:val="0048098C"/>
    <w:rsid w:val="00481C87"/>
    <w:rsid w:val="004828B4"/>
    <w:rsid w:val="00482B8F"/>
    <w:rsid w:val="00482F94"/>
    <w:rsid w:val="004836EF"/>
    <w:rsid w:val="004840B7"/>
    <w:rsid w:val="00484F5A"/>
    <w:rsid w:val="00485352"/>
    <w:rsid w:val="0048639E"/>
    <w:rsid w:val="004876C2"/>
    <w:rsid w:val="004878B6"/>
    <w:rsid w:val="00490151"/>
    <w:rsid w:val="00490831"/>
    <w:rsid w:val="00491095"/>
    <w:rsid w:val="00491142"/>
    <w:rsid w:val="00491231"/>
    <w:rsid w:val="004918B1"/>
    <w:rsid w:val="00491A2E"/>
    <w:rsid w:val="00491AA2"/>
    <w:rsid w:val="00492C56"/>
    <w:rsid w:val="00492E49"/>
    <w:rsid w:val="00492F1A"/>
    <w:rsid w:val="00493419"/>
    <w:rsid w:val="00493782"/>
    <w:rsid w:val="00493CF5"/>
    <w:rsid w:val="00493E2D"/>
    <w:rsid w:val="004948FD"/>
    <w:rsid w:val="00494AD0"/>
    <w:rsid w:val="00494B2E"/>
    <w:rsid w:val="00495178"/>
    <w:rsid w:val="004952A2"/>
    <w:rsid w:val="004953CF"/>
    <w:rsid w:val="0049590C"/>
    <w:rsid w:val="00495D9A"/>
    <w:rsid w:val="00496562"/>
    <w:rsid w:val="004966E0"/>
    <w:rsid w:val="00496B70"/>
    <w:rsid w:val="00496D4F"/>
    <w:rsid w:val="00497775"/>
    <w:rsid w:val="00497ED9"/>
    <w:rsid w:val="004A0ECC"/>
    <w:rsid w:val="004A103A"/>
    <w:rsid w:val="004A1246"/>
    <w:rsid w:val="004A17D3"/>
    <w:rsid w:val="004A17FA"/>
    <w:rsid w:val="004A25D9"/>
    <w:rsid w:val="004A295A"/>
    <w:rsid w:val="004A3761"/>
    <w:rsid w:val="004A37BC"/>
    <w:rsid w:val="004A3DFC"/>
    <w:rsid w:val="004A3F18"/>
    <w:rsid w:val="004A41A5"/>
    <w:rsid w:val="004A43C8"/>
    <w:rsid w:val="004A4C54"/>
    <w:rsid w:val="004A4D06"/>
    <w:rsid w:val="004A4FC8"/>
    <w:rsid w:val="004A5232"/>
    <w:rsid w:val="004A556C"/>
    <w:rsid w:val="004A5729"/>
    <w:rsid w:val="004A6D5E"/>
    <w:rsid w:val="004A76F0"/>
    <w:rsid w:val="004B000C"/>
    <w:rsid w:val="004B0A5F"/>
    <w:rsid w:val="004B11AD"/>
    <w:rsid w:val="004B11E3"/>
    <w:rsid w:val="004B157C"/>
    <w:rsid w:val="004B15CE"/>
    <w:rsid w:val="004B1791"/>
    <w:rsid w:val="004B214B"/>
    <w:rsid w:val="004B25FF"/>
    <w:rsid w:val="004B2630"/>
    <w:rsid w:val="004B342B"/>
    <w:rsid w:val="004B37DF"/>
    <w:rsid w:val="004B4986"/>
    <w:rsid w:val="004B4A7F"/>
    <w:rsid w:val="004B4C88"/>
    <w:rsid w:val="004B51A3"/>
    <w:rsid w:val="004B534E"/>
    <w:rsid w:val="004B59CB"/>
    <w:rsid w:val="004B5AA3"/>
    <w:rsid w:val="004B6621"/>
    <w:rsid w:val="004B6901"/>
    <w:rsid w:val="004B6F05"/>
    <w:rsid w:val="004C0712"/>
    <w:rsid w:val="004C0F0D"/>
    <w:rsid w:val="004C1062"/>
    <w:rsid w:val="004C1208"/>
    <w:rsid w:val="004C1838"/>
    <w:rsid w:val="004C1C11"/>
    <w:rsid w:val="004C1CE3"/>
    <w:rsid w:val="004C1E63"/>
    <w:rsid w:val="004C2626"/>
    <w:rsid w:val="004C26E3"/>
    <w:rsid w:val="004C2D28"/>
    <w:rsid w:val="004C3037"/>
    <w:rsid w:val="004C34C7"/>
    <w:rsid w:val="004C3FD7"/>
    <w:rsid w:val="004C49A0"/>
    <w:rsid w:val="004C4F85"/>
    <w:rsid w:val="004C5164"/>
    <w:rsid w:val="004C5AA1"/>
    <w:rsid w:val="004C5CC8"/>
    <w:rsid w:val="004C600D"/>
    <w:rsid w:val="004C6374"/>
    <w:rsid w:val="004C64D0"/>
    <w:rsid w:val="004C683A"/>
    <w:rsid w:val="004C6979"/>
    <w:rsid w:val="004C6B4F"/>
    <w:rsid w:val="004C6D63"/>
    <w:rsid w:val="004C6DF5"/>
    <w:rsid w:val="004C7209"/>
    <w:rsid w:val="004C79D9"/>
    <w:rsid w:val="004C7D11"/>
    <w:rsid w:val="004D00CF"/>
    <w:rsid w:val="004D1865"/>
    <w:rsid w:val="004D25E2"/>
    <w:rsid w:val="004D29DA"/>
    <w:rsid w:val="004D3217"/>
    <w:rsid w:val="004D3892"/>
    <w:rsid w:val="004D394A"/>
    <w:rsid w:val="004D3A17"/>
    <w:rsid w:val="004D3D10"/>
    <w:rsid w:val="004D4256"/>
    <w:rsid w:val="004D439A"/>
    <w:rsid w:val="004D4685"/>
    <w:rsid w:val="004D483A"/>
    <w:rsid w:val="004D4AC2"/>
    <w:rsid w:val="004D5038"/>
    <w:rsid w:val="004D566B"/>
    <w:rsid w:val="004D5C26"/>
    <w:rsid w:val="004D5D0B"/>
    <w:rsid w:val="004D5EBD"/>
    <w:rsid w:val="004D61E5"/>
    <w:rsid w:val="004D6314"/>
    <w:rsid w:val="004D676F"/>
    <w:rsid w:val="004D6A67"/>
    <w:rsid w:val="004D6D81"/>
    <w:rsid w:val="004D7312"/>
    <w:rsid w:val="004D7420"/>
    <w:rsid w:val="004D75A3"/>
    <w:rsid w:val="004D76A6"/>
    <w:rsid w:val="004E001F"/>
    <w:rsid w:val="004E054D"/>
    <w:rsid w:val="004E0655"/>
    <w:rsid w:val="004E07DA"/>
    <w:rsid w:val="004E1454"/>
    <w:rsid w:val="004E1D12"/>
    <w:rsid w:val="004E2921"/>
    <w:rsid w:val="004E2BC5"/>
    <w:rsid w:val="004E2D25"/>
    <w:rsid w:val="004E305F"/>
    <w:rsid w:val="004E325F"/>
    <w:rsid w:val="004E3860"/>
    <w:rsid w:val="004E3C85"/>
    <w:rsid w:val="004E3FB6"/>
    <w:rsid w:val="004E41AF"/>
    <w:rsid w:val="004E4277"/>
    <w:rsid w:val="004E4F95"/>
    <w:rsid w:val="004E52A0"/>
    <w:rsid w:val="004E53FC"/>
    <w:rsid w:val="004E578F"/>
    <w:rsid w:val="004E5CF5"/>
    <w:rsid w:val="004E5FB5"/>
    <w:rsid w:val="004E62BD"/>
    <w:rsid w:val="004E692A"/>
    <w:rsid w:val="004E7540"/>
    <w:rsid w:val="004E7A4B"/>
    <w:rsid w:val="004E7FC0"/>
    <w:rsid w:val="004F00FE"/>
    <w:rsid w:val="004F05B8"/>
    <w:rsid w:val="004F0657"/>
    <w:rsid w:val="004F0917"/>
    <w:rsid w:val="004F1A7E"/>
    <w:rsid w:val="004F23CA"/>
    <w:rsid w:val="004F25C8"/>
    <w:rsid w:val="004F25DD"/>
    <w:rsid w:val="004F2F35"/>
    <w:rsid w:val="004F3786"/>
    <w:rsid w:val="004F3943"/>
    <w:rsid w:val="004F3B81"/>
    <w:rsid w:val="004F3BE6"/>
    <w:rsid w:val="004F3C52"/>
    <w:rsid w:val="004F3D20"/>
    <w:rsid w:val="004F4864"/>
    <w:rsid w:val="004F4978"/>
    <w:rsid w:val="004F4C30"/>
    <w:rsid w:val="004F4CE3"/>
    <w:rsid w:val="004F4ED1"/>
    <w:rsid w:val="004F4F47"/>
    <w:rsid w:val="004F56ED"/>
    <w:rsid w:val="004F5D56"/>
    <w:rsid w:val="004F5FA0"/>
    <w:rsid w:val="004F6045"/>
    <w:rsid w:val="004F6147"/>
    <w:rsid w:val="004F614F"/>
    <w:rsid w:val="004F675B"/>
    <w:rsid w:val="004F6933"/>
    <w:rsid w:val="004F69FE"/>
    <w:rsid w:val="004F725B"/>
    <w:rsid w:val="004F752A"/>
    <w:rsid w:val="004F781C"/>
    <w:rsid w:val="004F7907"/>
    <w:rsid w:val="004F7918"/>
    <w:rsid w:val="004F7E4D"/>
    <w:rsid w:val="004F7FD0"/>
    <w:rsid w:val="0050098F"/>
    <w:rsid w:val="00500AE6"/>
    <w:rsid w:val="00500B30"/>
    <w:rsid w:val="00500CC6"/>
    <w:rsid w:val="00500F4D"/>
    <w:rsid w:val="005014B2"/>
    <w:rsid w:val="0050229E"/>
    <w:rsid w:val="005034B7"/>
    <w:rsid w:val="00503797"/>
    <w:rsid w:val="0050398F"/>
    <w:rsid w:val="00503F6D"/>
    <w:rsid w:val="00504A08"/>
    <w:rsid w:val="00505B35"/>
    <w:rsid w:val="005067EB"/>
    <w:rsid w:val="00506A6F"/>
    <w:rsid w:val="00506B64"/>
    <w:rsid w:val="005079A3"/>
    <w:rsid w:val="00510460"/>
    <w:rsid w:val="005107AD"/>
    <w:rsid w:val="00510AC7"/>
    <w:rsid w:val="005110DB"/>
    <w:rsid w:val="005111E1"/>
    <w:rsid w:val="00511308"/>
    <w:rsid w:val="0051135D"/>
    <w:rsid w:val="00511882"/>
    <w:rsid w:val="00511D96"/>
    <w:rsid w:val="0051227C"/>
    <w:rsid w:val="0051254F"/>
    <w:rsid w:val="00512990"/>
    <w:rsid w:val="005130A1"/>
    <w:rsid w:val="00513515"/>
    <w:rsid w:val="00513BE9"/>
    <w:rsid w:val="00513C1F"/>
    <w:rsid w:val="00513E25"/>
    <w:rsid w:val="0051430B"/>
    <w:rsid w:val="005144B5"/>
    <w:rsid w:val="00514710"/>
    <w:rsid w:val="00514D27"/>
    <w:rsid w:val="00514D9B"/>
    <w:rsid w:val="0051538D"/>
    <w:rsid w:val="005162F1"/>
    <w:rsid w:val="00516603"/>
    <w:rsid w:val="0051788F"/>
    <w:rsid w:val="005219BF"/>
    <w:rsid w:val="005219D0"/>
    <w:rsid w:val="00522B77"/>
    <w:rsid w:val="005234BC"/>
    <w:rsid w:val="00523A99"/>
    <w:rsid w:val="00523D53"/>
    <w:rsid w:val="00523EA5"/>
    <w:rsid w:val="00523F12"/>
    <w:rsid w:val="00523FCF"/>
    <w:rsid w:val="0052453B"/>
    <w:rsid w:val="00524DB0"/>
    <w:rsid w:val="00525285"/>
    <w:rsid w:val="0052553B"/>
    <w:rsid w:val="00525960"/>
    <w:rsid w:val="00525BBB"/>
    <w:rsid w:val="00525FD2"/>
    <w:rsid w:val="00526118"/>
    <w:rsid w:val="005263EB"/>
    <w:rsid w:val="005264E7"/>
    <w:rsid w:val="0052699C"/>
    <w:rsid w:val="00526EAF"/>
    <w:rsid w:val="00526F84"/>
    <w:rsid w:val="0052700A"/>
    <w:rsid w:val="00527282"/>
    <w:rsid w:val="00527A3A"/>
    <w:rsid w:val="00527A5E"/>
    <w:rsid w:val="00527BA9"/>
    <w:rsid w:val="00527E75"/>
    <w:rsid w:val="00527FDE"/>
    <w:rsid w:val="00530166"/>
    <w:rsid w:val="0053028F"/>
    <w:rsid w:val="00530771"/>
    <w:rsid w:val="00530783"/>
    <w:rsid w:val="00530833"/>
    <w:rsid w:val="00530DE9"/>
    <w:rsid w:val="00530F0B"/>
    <w:rsid w:val="00531A58"/>
    <w:rsid w:val="005320EA"/>
    <w:rsid w:val="005327DB"/>
    <w:rsid w:val="00533038"/>
    <w:rsid w:val="00534939"/>
    <w:rsid w:val="005349F7"/>
    <w:rsid w:val="0053516D"/>
    <w:rsid w:val="005359C4"/>
    <w:rsid w:val="0053625D"/>
    <w:rsid w:val="0053663A"/>
    <w:rsid w:val="005367E4"/>
    <w:rsid w:val="0053686A"/>
    <w:rsid w:val="00536895"/>
    <w:rsid w:val="005369A2"/>
    <w:rsid w:val="00536F59"/>
    <w:rsid w:val="00537507"/>
    <w:rsid w:val="00537A32"/>
    <w:rsid w:val="00537D1F"/>
    <w:rsid w:val="00537D7C"/>
    <w:rsid w:val="005406B0"/>
    <w:rsid w:val="00540749"/>
    <w:rsid w:val="0054077E"/>
    <w:rsid w:val="00540889"/>
    <w:rsid w:val="00540997"/>
    <w:rsid w:val="00540FAC"/>
    <w:rsid w:val="005412F3"/>
    <w:rsid w:val="00541413"/>
    <w:rsid w:val="00542264"/>
    <w:rsid w:val="00542BA4"/>
    <w:rsid w:val="00542EA1"/>
    <w:rsid w:val="005431F0"/>
    <w:rsid w:val="005431FC"/>
    <w:rsid w:val="005432D7"/>
    <w:rsid w:val="005434FF"/>
    <w:rsid w:val="00543C23"/>
    <w:rsid w:val="00543D2C"/>
    <w:rsid w:val="00544329"/>
    <w:rsid w:val="00544453"/>
    <w:rsid w:val="005446AA"/>
    <w:rsid w:val="00545125"/>
    <w:rsid w:val="005454D3"/>
    <w:rsid w:val="00545C3B"/>
    <w:rsid w:val="00545DC1"/>
    <w:rsid w:val="00546FA9"/>
    <w:rsid w:val="005472F5"/>
    <w:rsid w:val="0054766B"/>
    <w:rsid w:val="005477A8"/>
    <w:rsid w:val="00547AFA"/>
    <w:rsid w:val="00547D87"/>
    <w:rsid w:val="00547F4B"/>
    <w:rsid w:val="005503D4"/>
    <w:rsid w:val="00550AA6"/>
    <w:rsid w:val="005516BD"/>
    <w:rsid w:val="00552061"/>
    <w:rsid w:val="00552A9A"/>
    <w:rsid w:val="0055304F"/>
    <w:rsid w:val="005530E3"/>
    <w:rsid w:val="00553112"/>
    <w:rsid w:val="00553457"/>
    <w:rsid w:val="005539EC"/>
    <w:rsid w:val="00553A0B"/>
    <w:rsid w:val="00554607"/>
    <w:rsid w:val="00554627"/>
    <w:rsid w:val="005547FF"/>
    <w:rsid w:val="00554C99"/>
    <w:rsid w:val="005555CA"/>
    <w:rsid w:val="0055582F"/>
    <w:rsid w:val="00555E12"/>
    <w:rsid w:val="005560BF"/>
    <w:rsid w:val="005563C9"/>
    <w:rsid w:val="005571A6"/>
    <w:rsid w:val="005571BF"/>
    <w:rsid w:val="005574F9"/>
    <w:rsid w:val="0055764E"/>
    <w:rsid w:val="00557914"/>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1F93"/>
    <w:rsid w:val="0056276F"/>
    <w:rsid w:val="005629D3"/>
    <w:rsid w:val="00562E3D"/>
    <w:rsid w:val="00563ADB"/>
    <w:rsid w:val="00563F4C"/>
    <w:rsid w:val="00563F75"/>
    <w:rsid w:val="005640C6"/>
    <w:rsid w:val="005640EB"/>
    <w:rsid w:val="00564129"/>
    <w:rsid w:val="00564671"/>
    <w:rsid w:val="00564985"/>
    <w:rsid w:val="00565514"/>
    <w:rsid w:val="00566803"/>
    <w:rsid w:val="00566845"/>
    <w:rsid w:val="00566EF4"/>
    <w:rsid w:val="005679B2"/>
    <w:rsid w:val="00567EC7"/>
    <w:rsid w:val="00570499"/>
    <w:rsid w:val="00570584"/>
    <w:rsid w:val="00570B66"/>
    <w:rsid w:val="005712D6"/>
    <w:rsid w:val="00571812"/>
    <w:rsid w:val="00571DCD"/>
    <w:rsid w:val="0057218C"/>
    <w:rsid w:val="00572247"/>
    <w:rsid w:val="0057272D"/>
    <w:rsid w:val="005728B8"/>
    <w:rsid w:val="00572A64"/>
    <w:rsid w:val="00572C81"/>
    <w:rsid w:val="00572E70"/>
    <w:rsid w:val="00573369"/>
    <w:rsid w:val="00573814"/>
    <w:rsid w:val="00573C20"/>
    <w:rsid w:val="00573DD9"/>
    <w:rsid w:val="00574120"/>
    <w:rsid w:val="0057418A"/>
    <w:rsid w:val="00574208"/>
    <w:rsid w:val="00574923"/>
    <w:rsid w:val="00574D59"/>
    <w:rsid w:val="00575C24"/>
    <w:rsid w:val="00576226"/>
    <w:rsid w:val="00576249"/>
    <w:rsid w:val="005762EA"/>
    <w:rsid w:val="005767AE"/>
    <w:rsid w:val="00576B97"/>
    <w:rsid w:val="00576FDE"/>
    <w:rsid w:val="00577673"/>
    <w:rsid w:val="00577A7B"/>
    <w:rsid w:val="00580390"/>
    <w:rsid w:val="005817B2"/>
    <w:rsid w:val="005819F7"/>
    <w:rsid w:val="00581AC7"/>
    <w:rsid w:val="00581C35"/>
    <w:rsid w:val="00582004"/>
    <w:rsid w:val="005824C6"/>
    <w:rsid w:val="00582674"/>
    <w:rsid w:val="0058271E"/>
    <w:rsid w:val="0058283F"/>
    <w:rsid w:val="005829C1"/>
    <w:rsid w:val="00582CE5"/>
    <w:rsid w:val="00583930"/>
    <w:rsid w:val="00583BAF"/>
    <w:rsid w:val="00583BFE"/>
    <w:rsid w:val="00583CC8"/>
    <w:rsid w:val="00583D8A"/>
    <w:rsid w:val="00583EFD"/>
    <w:rsid w:val="005840EF"/>
    <w:rsid w:val="00584272"/>
    <w:rsid w:val="00584356"/>
    <w:rsid w:val="005845A3"/>
    <w:rsid w:val="005848F8"/>
    <w:rsid w:val="00584D14"/>
    <w:rsid w:val="00584E2F"/>
    <w:rsid w:val="00585151"/>
    <w:rsid w:val="0058525B"/>
    <w:rsid w:val="00585AF4"/>
    <w:rsid w:val="00585C03"/>
    <w:rsid w:val="00585D14"/>
    <w:rsid w:val="00586637"/>
    <w:rsid w:val="00586C2A"/>
    <w:rsid w:val="00587A2A"/>
    <w:rsid w:val="00587C46"/>
    <w:rsid w:val="00587E07"/>
    <w:rsid w:val="00587F56"/>
    <w:rsid w:val="00587FD9"/>
    <w:rsid w:val="005906A9"/>
    <w:rsid w:val="005908B9"/>
    <w:rsid w:val="00591265"/>
    <w:rsid w:val="00591283"/>
    <w:rsid w:val="005915A4"/>
    <w:rsid w:val="005922D3"/>
    <w:rsid w:val="005924D3"/>
    <w:rsid w:val="005924F1"/>
    <w:rsid w:val="005925E3"/>
    <w:rsid w:val="00592BEC"/>
    <w:rsid w:val="0059304D"/>
    <w:rsid w:val="005933AE"/>
    <w:rsid w:val="00593431"/>
    <w:rsid w:val="0059369F"/>
    <w:rsid w:val="00593D8F"/>
    <w:rsid w:val="00594318"/>
    <w:rsid w:val="00594710"/>
    <w:rsid w:val="00594CD1"/>
    <w:rsid w:val="00595156"/>
    <w:rsid w:val="0059541A"/>
    <w:rsid w:val="00595A58"/>
    <w:rsid w:val="00595CE4"/>
    <w:rsid w:val="00596832"/>
    <w:rsid w:val="00596CCB"/>
    <w:rsid w:val="00596DB6"/>
    <w:rsid w:val="00596FD6"/>
    <w:rsid w:val="00597753"/>
    <w:rsid w:val="00597817"/>
    <w:rsid w:val="00597858"/>
    <w:rsid w:val="00597E1A"/>
    <w:rsid w:val="00597E6F"/>
    <w:rsid w:val="005A01D5"/>
    <w:rsid w:val="005A0203"/>
    <w:rsid w:val="005A052F"/>
    <w:rsid w:val="005A0EFC"/>
    <w:rsid w:val="005A1018"/>
    <w:rsid w:val="005A1099"/>
    <w:rsid w:val="005A12EF"/>
    <w:rsid w:val="005A1980"/>
    <w:rsid w:val="005A1A26"/>
    <w:rsid w:val="005A1C37"/>
    <w:rsid w:val="005A1CEC"/>
    <w:rsid w:val="005A1F74"/>
    <w:rsid w:val="005A2130"/>
    <w:rsid w:val="005A2526"/>
    <w:rsid w:val="005A2593"/>
    <w:rsid w:val="005A27E6"/>
    <w:rsid w:val="005A3196"/>
    <w:rsid w:val="005A339E"/>
    <w:rsid w:val="005A3CA4"/>
    <w:rsid w:val="005A408B"/>
    <w:rsid w:val="005A4F9C"/>
    <w:rsid w:val="005A505E"/>
    <w:rsid w:val="005A5908"/>
    <w:rsid w:val="005A6A7C"/>
    <w:rsid w:val="005A6F80"/>
    <w:rsid w:val="005A71F2"/>
    <w:rsid w:val="005A7215"/>
    <w:rsid w:val="005A726F"/>
    <w:rsid w:val="005A782E"/>
    <w:rsid w:val="005A793B"/>
    <w:rsid w:val="005A79AE"/>
    <w:rsid w:val="005B0084"/>
    <w:rsid w:val="005B1394"/>
    <w:rsid w:val="005B1592"/>
    <w:rsid w:val="005B1644"/>
    <w:rsid w:val="005B18D6"/>
    <w:rsid w:val="005B2054"/>
    <w:rsid w:val="005B2607"/>
    <w:rsid w:val="005B26FD"/>
    <w:rsid w:val="005B274E"/>
    <w:rsid w:val="005B2CFA"/>
    <w:rsid w:val="005B2D07"/>
    <w:rsid w:val="005B2DE2"/>
    <w:rsid w:val="005B3109"/>
    <w:rsid w:val="005B31CD"/>
    <w:rsid w:val="005B34B3"/>
    <w:rsid w:val="005B429E"/>
    <w:rsid w:val="005B43EE"/>
    <w:rsid w:val="005B44D0"/>
    <w:rsid w:val="005B4B13"/>
    <w:rsid w:val="005B4CD8"/>
    <w:rsid w:val="005B5B11"/>
    <w:rsid w:val="005B60BD"/>
    <w:rsid w:val="005B6837"/>
    <w:rsid w:val="005B7448"/>
    <w:rsid w:val="005C0607"/>
    <w:rsid w:val="005C0A76"/>
    <w:rsid w:val="005C0F51"/>
    <w:rsid w:val="005C11E6"/>
    <w:rsid w:val="005C1228"/>
    <w:rsid w:val="005C13DF"/>
    <w:rsid w:val="005C13FB"/>
    <w:rsid w:val="005C1F3B"/>
    <w:rsid w:val="005C208C"/>
    <w:rsid w:val="005C2E67"/>
    <w:rsid w:val="005C35ED"/>
    <w:rsid w:val="005C35FA"/>
    <w:rsid w:val="005C3D66"/>
    <w:rsid w:val="005C47AB"/>
    <w:rsid w:val="005C4CB7"/>
    <w:rsid w:val="005C4D24"/>
    <w:rsid w:val="005C4DD7"/>
    <w:rsid w:val="005C539A"/>
    <w:rsid w:val="005C5D65"/>
    <w:rsid w:val="005C60BE"/>
    <w:rsid w:val="005C641A"/>
    <w:rsid w:val="005C778A"/>
    <w:rsid w:val="005C784B"/>
    <w:rsid w:val="005C794A"/>
    <w:rsid w:val="005C7990"/>
    <w:rsid w:val="005C7B1F"/>
    <w:rsid w:val="005C7CEE"/>
    <w:rsid w:val="005C7F78"/>
    <w:rsid w:val="005D12BF"/>
    <w:rsid w:val="005D130E"/>
    <w:rsid w:val="005D14E9"/>
    <w:rsid w:val="005D1947"/>
    <w:rsid w:val="005D1B75"/>
    <w:rsid w:val="005D1C71"/>
    <w:rsid w:val="005D1D4F"/>
    <w:rsid w:val="005D21A6"/>
    <w:rsid w:val="005D29D5"/>
    <w:rsid w:val="005D2E58"/>
    <w:rsid w:val="005D37A5"/>
    <w:rsid w:val="005D3CD9"/>
    <w:rsid w:val="005D3E97"/>
    <w:rsid w:val="005D3F76"/>
    <w:rsid w:val="005D4095"/>
    <w:rsid w:val="005D4641"/>
    <w:rsid w:val="005D49FF"/>
    <w:rsid w:val="005D4D0A"/>
    <w:rsid w:val="005D52E7"/>
    <w:rsid w:val="005D55E9"/>
    <w:rsid w:val="005D5695"/>
    <w:rsid w:val="005D63D6"/>
    <w:rsid w:val="005D76D8"/>
    <w:rsid w:val="005D7ED3"/>
    <w:rsid w:val="005E0862"/>
    <w:rsid w:val="005E0AE1"/>
    <w:rsid w:val="005E1375"/>
    <w:rsid w:val="005E147F"/>
    <w:rsid w:val="005E1CEB"/>
    <w:rsid w:val="005E1F21"/>
    <w:rsid w:val="005E2A30"/>
    <w:rsid w:val="005E2EAC"/>
    <w:rsid w:val="005E2FF1"/>
    <w:rsid w:val="005E31FA"/>
    <w:rsid w:val="005E357E"/>
    <w:rsid w:val="005E3850"/>
    <w:rsid w:val="005E3B2B"/>
    <w:rsid w:val="005E3DEF"/>
    <w:rsid w:val="005E4418"/>
    <w:rsid w:val="005E489E"/>
    <w:rsid w:val="005E4B98"/>
    <w:rsid w:val="005E4D30"/>
    <w:rsid w:val="005E4E97"/>
    <w:rsid w:val="005E5006"/>
    <w:rsid w:val="005E5156"/>
    <w:rsid w:val="005E5C65"/>
    <w:rsid w:val="005E5D8D"/>
    <w:rsid w:val="005E5DFA"/>
    <w:rsid w:val="005E6782"/>
    <w:rsid w:val="005E682E"/>
    <w:rsid w:val="005E6F86"/>
    <w:rsid w:val="005E7479"/>
    <w:rsid w:val="005E7892"/>
    <w:rsid w:val="005E7DE8"/>
    <w:rsid w:val="005F01CD"/>
    <w:rsid w:val="005F0245"/>
    <w:rsid w:val="005F0652"/>
    <w:rsid w:val="005F0719"/>
    <w:rsid w:val="005F07BE"/>
    <w:rsid w:val="005F0F5F"/>
    <w:rsid w:val="005F1146"/>
    <w:rsid w:val="005F1333"/>
    <w:rsid w:val="005F2E56"/>
    <w:rsid w:val="005F34FD"/>
    <w:rsid w:val="005F3534"/>
    <w:rsid w:val="005F37A6"/>
    <w:rsid w:val="005F3CEA"/>
    <w:rsid w:val="005F4065"/>
    <w:rsid w:val="005F43D6"/>
    <w:rsid w:val="005F448F"/>
    <w:rsid w:val="005F46E8"/>
    <w:rsid w:val="005F4A97"/>
    <w:rsid w:val="005F4E85"/>
    <w:rsid w:val="005F4F56"/>
    <w:rsid w:val="005F537C"/>
    <w:rsid w:val="005F53AD"/>
    <w:rsid w:val="005F546F"/>
    <w:rsid w:val="005F5479"/>
    <w:rsid w:val="005F586D"/>
    <w:rsid w:val="005F5B32"/>
    <w:rsid w:val="005F5DDB"/>
    <w:rsid w:val="005F5E0E"/>
    <w:rsid w:val="005F65D5"/>
    <w:rsid w:val="005F66DC"/>
    <w:rsid w:val="005F6754"/>
    <w:rsid w:val="005F6E00"/>
    <w:rsid w:val="005F711C"/>
    <w:rsid w:val="005F731B"/>
    <w:rsid w:val="005F790D"/>
    <w:rsid w:val="0060066C"/>
    <w:rsid w:val="00600A39"/>
    <w:rsid w:val="00601229"/>
    <w:rsid w:val="006012B7"/>
    <w:rsid w:val="006013FB"/>
    <w:rsid w:val="0060162F"/>
    <w:rsid w:val="00601C0A"/>
    <w:rsid w:val="00601CF8"/>
    <w:rsid w:val="00601EB8"/>
    <w:rsid w:val="00601F1A"/>
    <w:rsid w:val="00602191"/>
    <w:rsid w:val="00602746"/>
    <w:rsid w:val="0060294C"/>
    <w:rsid w:val="00603073"/>
    <w:rsid w:val="0060307F"/>
    <w:rsid w:val="00603128"/>
    <w:rsid w:val="006033B0"/>
    <w:rsid w:val="006036E2"/>
    <w:rsid w:val="006037C5"/>
    <w:rsid w:val="006043F7"/>
    <w:rsid w:val="00604BB9"/>
    <w:rsid w:val="00604F87"/>
    <w:rsid w:val="006052B9"/>
    <w:rsid w:val="00605607"/>
    <w:rsid w:val="00605E4D"/>
    <w:rsid w:val="00606458"/>
    <w:rsid w:val="00606B63"/>
    <w:rsid w:val="00606CC5"/>
    <w:rsid w:val="006070F5"/>
    <w:rsid w:val="00607141"/>
    <w:rsid w:val="00607232"/>
    <w:rsid w:val="00607B23"/>
    <w:rsid w:val="00607C47"/>
    <w:rsid w:val="00610448"/>
    <w:rsid w:val="006108D3"/>
    <w:rsid w:val="00610B97"/>
    <w:rsid w:val="006110A5"/>
    <w:rsid w:val="00611189"/>
    <w:rsid w:val="0061156C"/>
    <w:rsid w:val="006125C5"/>
    <w:rsid w:val="0061278B"/>
    <w:rsid w:val="006127C7"/>
    <w:rsid w:val="00612DF6"/>
    <w:rsid w:val="0061302F"/>
    <w:rsid w:val="0061371C"/>
    <w:rsid w:val="006139FC"/>
    <w:rsid w:val="006144BB"/>
    <w:rsid w:val="00615BB1"/>
    <w:rsid w:val="00615E03"/>
    <w:rsid w:val="00616900"/>
    <w:rsid w:val="00616ACC"/>
    <w:rsid w:val="00616B2A"/>
    <w:rsid w:val="00616C2F"/>
    <w:rsid w:val="00616EF3"/>
    <w:rsid w:val="006172C6"/>
    <w:rsid w:val="00617376"/>
    <w:rsid w:val="0061744E"/>
    <w:rsid w:val="006176AA"/>
    <w:rsid w:val="0061799E"/>
    <w:rsid w:val="00617CDA"/>
    <w:rsid w:val="00617D13"/>
    <w:rsid w:val="0062014C"/>
    <w:rsid w:val="006204D9"/>
    <w:rsid w:val="006205AD"/>
    <w:rsid w:val="00620B83"/>
    <w:rsid w:val="00620F8E"/>
    <w:rsid w:val="00621934"/>
    <w:rsid w:val="00622007"/>
    <w:rsid w:val="006220CD"/>
    <w:rsid w:val="0062222F"/>
    <w:rsid w:val="00623248"/>
    <w:rsid w:val="006237D2"/>
    <w:rsid w:val="00623A9C"/>
    <w:rsid w:val="00623D1E"/>
    <w:rsid w:val="00623D94"/>
    <w:rsid w:val="00623F1D"/>
    <w:rsid w:val="00624174"/>
    <w:rsid w:val="00624564"/>
    <w:rsid w:val="00624D93"/>
    <w:rsid w:val="00624E9E"/>
    <w:rsid w:val="00625248"/>
    <w:rsid w:val="006254B1"/>
    <w:rsid w:val="00625577"/>
    <w:rsid w:val="006270EC"/>
    <w:rsid w:val="00630007"/>
    <w:rsid w:val="006300AB"/>
    <w:rsid w:val="006305AE"/>
    <w:rsid w:val="0063063C"/>
    <w:rsid w:val="00630909"/>
    <w:rsid w:val="00630940"/>
    <w:rsid w:val="00630B6A"/>
    <w:rsid w:val="00630D27"/>
    <w:rsid w:val="0063111C"/>
    <w:rsid w:val="006312F7"/>
    <w:rsid w:val="00631B41"/>
    <w:rsid w:val="00631B51"/>
    <w:rsid w:val="006320CB"/>
    <w:rsid w:val="00632656"/>
    <w:rsid w:val="006326D0"/>
    <w:rsid w:val="00632996"/>
    <w:rsid w:val="00632F67"/>
    <w:rsid w:val="00634182"/>
    <w:rsid w:val="006345ED"/>
    <w:rsid w:val="006345EE"/>
    <w:rsid w:val="006346B6"/>
    <w:rsid w:val="00635744"/>
    <w:rsid w:val="00635BD2"/>
    <w:rsid w:val="00637329"/>
    <w:rsid w:val="00637998"/>
    <w:rsid w:val="00637F8D"/>
    <w:rsid w:val="00640005"/>
    <w:rsid w:val="0064043A"/>
    <w:rsid w:val="0064099A"/>
    <w:rsid w:val="00640D51"/>
    <w:rsid w:val="006415DF"/>
    <w:rsid w:val="00641758"/>
    <w:rsid w:val="0064199F"/>
    <w:rsid w:val="00641AFD"/>
    <w:rsid w:val="00641B2C"/>
    <w:rsid w:val="00641DF1"/>
    <w:rsid w:val="00642B83"/>
    <w:rsid w:val="0064341D"/>
    <w:rsid w:val="0064406E"/>
    <w:rsid w:val="00644143"/>
    <w:rsid w:val="00644462"/>
    <w:rsid w:val="00644C00"/>
    <w:rsid w:val="00645164"/>
    <w:rsid w:val="006456E3"/>
    <w:rsid w:val="00645969"/>
    <w:rsid w:val="00646006"/>
    <w:rsid w:val="00646600"/>
    <w:rsid w:val="0064695C"/>
    <w:rsid w:val="006469A2"/>
    <w:rsid w:val="00646AB8"/>
    <w:rsid w:val="00646D0D"/>
    <w:rsid w:val="006471F9"/>
    <w:rsid w:val="0064782E"/>
    <w:rsid w:val="00650606"/>
    <w:rsid w:val="006507E9"/>
    <w:rsid w:val="00650822"/>
    <w:rsid w:val="006509BC"/>
    <w:rsid w:val="00650A98"/>
    <w:rsid w:val="00650B5B"/>
    <w:rsid w:val="00651164"/>
    <w:rsid w:val="00652229"/>
    <w:rsid w:val="006522C3"/>
    <w:rsid w:val="006523EE"/>
    <w:rsid w:val="00652863"/>
    <w:rsid w:val="0065290E"/>
    <w:rsid w:val="00652921"/>
    <w:rsid w:val="00653631"/>
    <w:rsid w:val="006539BF"/>
    <w:rsid w:val="00653C4B"/>
    <w:rsid w:val="00653D6D"/>
    <w:rsid w:val="00654978"/>
    <w:rsid w:val="0065520B"/>
    <w:rsid w:val="00655EB2"/>
    <w:rsid w:val="006560A2"/>
    <w:rsid w:val="00656401"/>
    <w:rsid w:val="0065683B"/>
    <w:rsid w:val="00656989"/>
    <w:rsid w:val="006572C7"/>
    <w:rsid w:val="006578FA"/>
    <w:rsid w:val="00657AFD"/>
    <w:rsid w:val="00657C7D"/>
    <w:rsid w:val="00657D38"/>
    <w:rsid w:val="0066011E"/>
    <w:rsid w:val="0066025F"/>
    <w:rsid w:val="00660296"/>
    <w:rsid w:val="0066047B"/>
    <w:rsid w:val="00660CA0"/>
    <w:rsid w:val="00660E13"/>
    <w:rsid w:val="0066141F"/>
    <w:rsid w:val="00661B9D"/>
    <w:rsid w:val="00661EA7"/>
    <w:rsid w:val="00662356"/>
    <w:rsid w:val="0066240F"/>
    <w:rsid w:val="00662E8A"/>
    <w:rsid w:val="0066303D"/>
    <w:rsid w:val="00663040"/>
    <w:rsid w:val="00663136"/>
    <w:rsid w:val="00663BB8"/>
    <w:rsid w:val="00663CFC"/>
    <w:rsid w:val="0066419D"/>
    <w:rsid w:val="0066434A"/>
    <w:rsid w:val="0066495F"/>
    <w:rsid w:val="00664F27"/>
    <w:rsid w:val="006655C3"/>
    <w:rsid w:val="006658A7"/>
    <w:rsid w:val="00665AEC"/>
    <w:rsid w:val="006661AE"/>
    <w:rsid w:val="006661E7"/>
    <w:rsid w:val="00666ECC"/>
    <w:rsid w:val="0066711D"/>
    <w:rsid w:val="006674AF"/>
    <w:rsid w:val="00667861"/>
    <w:rsid w:val="00667EF3"/>
    <w:rsid w:val="00667FEE"/>
    <w:rsid w:val="006701A1"/>
    <w:rsid w:val="006707CC"/>
    <w:rsid w:val="00670A93"/>
    <w:rsid w:val="00670E7B"/>
    <w:rsid w:val="00670ECD"/>
    <w:rsid w:val="00671A8F"/>
    <w:rsid w:val="00671E17"/>
    <w:rsid w:val="00673173"/>
    <w:rsid w:val="006735DF"/>
    <w:rsid w:val="006738F4"/>
    <w:rsid w:val="00673BEE"/>
    <w:rsid w:val="006740EF"/>
    <w:rsid w:val="006741A4"/>
    <w:rsid w:val="00674669"/>
    <w:rsid w:val="006746D0"/>
    <w:rsid w:val="00674F04"/>
    <w:rsid w:val="00675115"/>
    <w:rsid w:val="006755CC"/>
    <w:rsid w:val="006756AB"/>
    <w:rsid w:val="006759B7"/>
    <w:rsid w:val="00675FA0"/>
    <w:rsid w:val="006773C2"/>
    <w:rsid w:val="00677B79"/>
    <w:rsid w:val="00677FAC"/>
    <w:rsid w:val="0068036D"/>
    <w:rsid w:val="00680B1F"/>
    <w:rsid w:val="00680E20"/>
    <w:rsid w:val="00680E60"/>
    <w:rsid w:val="00681D97"/>
    <w:rsid w:val="00681F24"/>
    <w:rsid w:val="006826D6"/>
    <w:rsid w:val="00682E7A"/>
    <w:rsid w:val="00682F49"/>
    <w:rsid w:val="006831B5"/>
    <w:rsid w:val="006838FF"/>
    <w:rsid w:val="00683C2E"/>
    <w:rsid w:val="00683FCA"/>
    <w:rsid w:val="006840C7"/>
    <w:rsid w:val="0068441B"/>
    <w:rsid w:val="0068476F"/>
    <w:rsid w:val="00684923"/>
    <w:rsid w:val="00684C89"/>
    <w:rsid w:val="00684FB5"/>
    <w:rsid w:val="0068553C"/>
    <w:rsid w:val="00685850"/>
    <w:rsid w:val="006865B6"/>
    <w:rsid w:val="00686A01"/>
    <w:rsid w:val="00686F5A"/>
    <w:rsid w:val="00686F72"/>
    <w:rsid w:val="0068744E"/>
    <w:rsid w:val="00687644"/>
    <w:rsid w:val="00687772"/>
    <w:rsid w:val="00687A58"/>
    <w:rsid w:val="00687CF6"/>
    <w:rsid w:val="00687D00"/>
    <w:rsid w:val="0069090F"/>
    <w:rsid w:val="0069098B"/>
    <w:rsid w:val="006909D5"/>
    <w:rsid w:val="00690AFF"/>
    <w:rsid w:val="006914F0"/>
    <w:rsid w:val="006914F5"/>
    <w:rsid w:val="00691C8C"/>
    <w:rsid w:val="00691D6A"/>
    <w:rsid w:val="00692264"/>
    <w:rsid w:val="00692725"/>
    <w:rsid w:val="00692A40"/>
    <w:rsid w:val="00692D39"/>
    <w:rsid w:val="006930F8"/>
    <w:rsid w:val="006937B2"/>
    <w:rsid w:val="00693912"/>
    <w:rsid w:val="00693BDB"/>
    <w:rsid w:val="00693E70"/>
    <w:rsid w:val="006940D3"/>
    <w:rsid w:val="006940F0"/>
    <w:rsid w:val="00694113"/>
    <w:rsid w:val="00694339"/>
    <w:rsid w:val="00694776"/>
    <w:rsid w:val="006949CD"/>
    <w:rsid w:val="00694A5E"/>
    <w:rsid w:val="00694EC2"/>
    <w:rsid w:val="006951E2"/>
    <w:rsid w:val="00695443"/>
    <w:rsid w:val="00695C9D"/>
    <w:rsid w:val="006966DF"/>
    <w:rsid w:val="00696EBA"/>
    <w:rsid w:val="00697663"/>
    <w:rsid w:val="006A04A4"/>
    <w:rsid w:val="006A0747"/>
    <w:rsid w:val="006A0978"/>
    <w:rsid w:val="006A0A42"/>
    <w:rsid w:val="006A0FF4"/>
    <w:rsid w:val="006A168E"/>
    <w:rsid w:val="006A16F0"/>
    <w:rsid w:val="006A18E6"/>
    <w:rsid w:val="006A1DBF"/>
    <w:rsid w:val="006A24C2"/>
    <w:rsid w:val="006A29F8"/>
    <w:rsid w:val="006A2C0D"/>
    <w:rsid w:val="006A2E50"/>
    <w:rsid w:val="006A4265"/>
    <w:rsid w:val="006A4C31"/>
    <w:rsid w:val="006A5495"/>
    <w:rsid w:val="006A55B0"/>
    <w:rsid w:val="006A5810"/>
    <w:rsid w:val="006A62E7"/>
    <w:rsid w:val="006A642B"/>
    <w:rsid w:val="006A6554"/>
    <w:rsid w:val="006A6C1F"/>
    <w:rsid w:val="006A7621"/>
    <w:rsid w:val="006A77AB"/>
    <w:rsid w:val="006A7C59"/>
    <w:rsid w:val="006A7D09"/>
    <w:rsid w:val="006B03E3"/>
    <w:rsid w:val="006B05BB"/>
    <w:rsid w:val="006B0723"/>
    <w:rsid w:val="006B0794"/>
    <w:rsid w:val="006B0890"/>
    <w:rsid w:val="006B1436"/>
    <w:rsid w:val="006B14B4"/>
    <w:rsid w:val="006B1692"/>
    <w:rsid w:val="006B18C1"/>
    <w:rsid w:val="006B1BDE"/>
    <w:rsid w:val="006B1E35"/>
    <w:rsid w:val="006B2071"/>
    <w:rsid w:val="006B25B8"/>
    <w:rsid w:val="006B279B"/>
    <w:rsid w:val="006B2F8C"/>
    <w:rsid w:val="006B316F"/>
    <w:rsid w:val="006B3598"/>
    <w:rsid w:val="006B37CB"/>
    <w:rsid w:val="006B38DF"/>
    <w:rsid w:val="006B3A35"/>
    <w:rsid w:val="006B3B20"/>
    <w:rsid w:val="006B3E1A"/>
    <w:rsid w:val="006B3F37"/>
    <w:rsid w:val="006B51B9"/>
    <w:rsid w:val="006B5584"/>
    <w:rsid w:val="006B5BA4"/>
    <w:rsid w:val="006B5F9A"/>
    <w:rsid w:val="006B75B6"/>
    <w:rsid w:val="006B7772"/>
    <w:rsid w:val="006C007B"/>
    <w:rsid w:val="006C0484"/>
    <w:rsid w:val="006C05A9"/>
    <w:rsid w:val="006C081C"/>
    <w:rsid w:val="006C09CC"/>
    <w:rsid w:val="006C148B"/>
    <w:rsid w:val="006C179E"/>
    <w:rsid w:val="006C1850"/>
    <w:rsid w:val="006C198A"/>
    <w:rsid w:val="006C2E1A"/>
    <w:rsid w:val="006C3991"/>
    <w:rsid w:val="006C3AB5"/>
    <w:rsid w:val="006C3AEA"/>
    <w:rsid w:val="006C562C"/>
    <w:rsid w:val="006C61A8"/>
    <w:rsid w:val="006C65A0"/>
    <w:rsid w:val="006C6E7A"/>
    <w:rsid w:val="006C76C7"/>
    <w:rsid w:val="006C7EC3"/>
    <w:rsid w:val="006D02CB"/>
    <w:rsid w:val="006D0793"/>
    <w:rsid w:val="006D0AAD"/>
    <w:rsid w:val="006D0F97"/>
    <w:rsid w:val="006D1AFD"/>
    <w:rsid w:val="006D1DBE"/>
    <w:rsid w:val="006D2352"/>
    <w:rsid w:val="006D2384"/>
    <w:rsid w:val="006D25D6"/>
    <w:rsid w:val="006D2889"/>
    <w:rsid w:val="006D2B84"/>
    <w:rsid w:val="006D348B"/>
    <w:rsid w:val="006D3522"/>
    <w:rsid w:val="006D3530"/>
    <w:rsid w:val="006D369B"/>
    <w:rsid w:val="006D3751"/>
    <w:rsid w:val="006D4415"/>
    <w:rsid w:val="006D47F4"/>
    <w:rsid w:val="006D4CB5"/>
    <w:rsid w:val="006D4E6C"/>
    <w:rsid w:val="006D50BB"/>
    <w:rsid w:val="006D5683"/>
    <w:rsid w:val="006D5BAA"/>
    <w:rsid w:val="006D5F98"/>
    <w:rsid w:val="006D5FA0"/>
    <w:rsid w:val="006D60C9"/>
    <w:rsid w:val="006D6203"/>
    <w:rsid w:val="006D7CC4"/>
    <w:rsid w:val="006D7EAC"/>
    <w:rsid w:val="006E01A1"/>
    <w:rsid w:val="006E17E8"/>
    <w:rsid w:val="006E1A47"/>
    <w:rsid w:val="006E2087"/>
    <w:rsid w:val="006E257E"/>
    <w:rsid w:val="006E35DB"/>
    <w:rsid w:val="006E3984"/>
    <w:rsid w:val="006E566E"/>
    <w:rsid w:val="006E5E9D"/>
    <w:rsid w:val="006E604D"/>
    <w:rsid w:val="006E6A54"/>
    <w:rsid w:val="006E737E"/>
    <w:rsid w:val="006E7A3D"/>
    <w:rsid w:val="006E7C9A"/>
    <w:rsid w:val="006E7CBD"/>
    <w:rsid w:val="006F003B"/>
    <w:rsid w:val="006F2128"/>
    <w:rsid w:val="006F215D"/>
    <w:rsid w:val="006F2633"/>
    <w:rsid w:val="006F267E"/>
    <w:rsid w:val="006F27E3"/>
    <w:rsid w:val="006F28FB"/>
    <w:rsid w:val="006F316D"/>
    <w:rsid w:val="006F39CD"/>
    <w:rsid w:val="006F3D06"/>
    <w:rsid w:val="006F3DAA"/>
    <w:rsid w:val="006F3E73"/>
    <w:rsid w:val="006F4017"/>
    <w:rsid w:val="006F45CA"/>
    <w:rsid w:val="006F4BCC"/>
    <w:rsid w:val="006F4C1E"/>
    <w:rsid w:val="006F4D03"/>
    <w:rsid w:val="006F597C"/>
    <w:rsid w:val="006F7C97"/>
    <w:rsid w:val="006F7DDF"/>
    <w:rsid w:val="006F7FA6"/>
    <w:rsid w:val="00700123"/>
    <w:rsid w:val="00700446"/>
    <w:rsid w:val="007004A0"/>
    <w:rsid w:val="007004BE"/>
    <w:rsid w:val="00700583"/>
    <w:rsid w:val="0070074E"/>
    <w:rsid w:val="00700C50"/>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1A9"/>
    <w:rsid w:val="00705495"/>
    <w:rsid w:val="007055DE"/>
    <w:rsid w:val="007056E8"/>
    <w:rsid w:val="007068B3"/>
    <w:rsid w:val="0070698D"/>
    <w:rsid w:val="00706F45"/>
    <w:rsid w:val="00706FCE"/>
    <w:rsid w:val="0070742B"/>
    <w:rsid w:val="00707892"/>
    <w:rsid w:val="00707BBD"/>
    <w:rsid w:val="007104DD"/>
    <w:rsid w:val="0071050D"/>
    <w:rsid w:val="0071089D"/>
    <w:rsid w:val="00710ED1"/>
    <w:rsid w:val="00711057"/>
    <w:rsid w:val="00711196"/>
    <w:rsid w:val="0071131E"/>
    <w:rsid w:val="00711B3F"/>
    <w:rsid w:val="007121B4"/>
    <w:rsid w:val="00712886"/>
    <w:rsid w:val="0071337F"/>
    <w:rsid w:val="00714306"/>
    <w:rsid w:val="00714553"/>
    <w:rsid w:val="007150D4"/>
    <w:rsid w:val="007161A2"/>
    <w:rsid w:val="00717942"/>
    <w:rsid w:val="00717B75"/>
    <w:rsid w:val="00717ECB"/>
    <w:rsid w:val="00717FE8"/>
    <w:rsid w:val="007203E3"/>
    <w:rsid w:val="00720812"/>
    <w:rsid w:val="00720BFB"/>
    <w:rsid w:val="00720C72"/>
    <w:rsid w:val="00720E07"/>
    <w:rsid w:val="00720E30"/>
    <w:rsid w:val="0072133A"/>
    <w:rsid w:val="007213E4"/>
    <w:rsid w:val="0072163E"/>
    <w:rsid w:val="00721FB2"/>
    <w:rsid w:val="0072200A"/>
    <w:rsid w:val="00722F33"/>
    <w:rsid w:val="00723F70"/>
    <w:rsid w:val="00723F99"/>
    <w:rsid w:val="0072578A"/>
    <w:rsid w:val="00725F43"/>
    <w:rsid w:val="00726117"/>
    <w:rsid w:val="0072662E"/>
    <w:rsid w:val="007270B2"/>
    <w:rsid w:val="007273C8"/>
    <w:rsid w:val="00727D35"/>
    <w:rsid w:val="00727DE6"/>
    <w:rsid w:val="00730355"/>
    <w:rsid w:val="00730A84"/>
    <w:rsid w:val="0073114A"/>
    <w:rsid w:val="0073158E"/>
    <w:rsid w:val="0073172A"/>
    <w:rsid w:val="0073213C"/>
    <w:rsid w:val="00732773"/>
    <w:rsid w:val="00732E04"/>
    <w:rsid w:val="00732EBC"/>
    <w:rsid w:val="00733555"/>
    <w:rsid w:val="007335D9"/>
    <w:rsid w:val="00733672"/>
    <w:rsid w:val="0073379C"/>
    <w:rsid w:val="00733892"/>
    <w:rsid w:val="00733FFC"/>
    <w:rsid w:val="0073414D"/>
    <w:rsid w:val="00734289"/>
    <w:rsid w:val="007345C7"/>
    <w:rsid w:val="00734FA0"/>
    <w:rsid w:val="007351CE"/>
    <w:rsid w:val="00735231"/>
    <w:rsid w:val="00735263"/>
    <w:rsid w:val="00735626"/>
    <w:rsid w:val="00735944"/>
    <w:rsid w:val="00735C2D"/>
    <w:rsid w:val="00735FD5"/>
    <w:rsid w:val="00736137"/>
    <w:rsid w:val="00736507"/>
    <w:rsid w:val="00736733"/>
    <w:rsid w:val="007369A5"/>
    <w:rsid w:val="00736BB2"/>
    <w:rsid w:val="00736E4A"/>
    <w:rsid w:val="007371A6"/>
    <w:rsid w:val="00737221"/>
    <w:rsid w:val="00737264"/>
    <w:rsid w:val="007375D8"/>
    <w:rsid w:val="0073782C"/>
    <w:rsid w:val="007378B7"/>
    <w:rsid w:val="00737BA6"/>
    <w:rsid w:val="00740265"/>
    <w:rsid w:val="0074044B"/>
    <w:rsid w:val="00740908"/>
    <w:rsid w:val="007409B2"/>
    <w:rsid w:val="00741510"/>
    <w:rsid w:val="0074279D"/>
    <w:rsid w:val="00742935"/>
    <w:rsid w:val="007431AD"/>
    <w:rsid w:val="00743871"/>
    <w:rsid w:val="00743A4F"/>
    <w:rsid w:val="00743ADC"/>
    <w:rsid w:val="00743EB0"/>
    <w:rsid w:val="00744265"/>
    <w:rsid w:val="007442D2"/>
    <w:rsid w:val="00744416"/>
    <w:rsid w:val="0074446F"/>
    <w:rsid w:val="00744493"/>
    <w:rsid w:val="00744C97"/>
    <w:rsid w:val="00745849"/>
    <w:rsid w:val="00745907"/>
    <w:rsid w:val="00745B70"/>
    <w:rsid w:val="007462EC"/>
    <w:rsid w:val="00746589"/>
    <w:rsid w:val="0074663B"/>
    <w:rsid w:val="007466C6"/>
    <w:rsid w:val="00746FCF"/>
    <w:rsid w:val="00747547"/>
    <w:rsid w:val="0075090A"/>
    <w:rsid w:val="00750B94"/>
    <w:rsid w:val="00751195"/>
    <w:rsid w:val="0075156B"/>
    <w:rsid w:val="00751770"/>
    <w:rsid w:val="007522AF"/>
    <w:rsid w:val="00752B81"/>
    <w:rsid w:val="00753177"/>
    <w:rsid w:val="0075320A"/>
    <w:rsid w:val="007533C9"/>
    <w:rsid w:val="007539CB"/>
    <w:rsid w:val="007544A9"/>
    <w:rsid w:val="0075484C"/>
    <w:rsid w:val="00754A8C"/>
    <w:rsid w:val="007550AB"/>
    <w:rsid w:val="007551C6"/>
    <w:rsid w:val="007554CA"/>
    <w:rsid w:val="0075578B"/>
    <w:rsid w:val="00755855"/>
    <w:rsid w:val="00755D9A"/>
    <w:rsid w:val="00756934"/>
    <w:rsid w:val="00756B31"/>
    <w:rsid w:val="00757425"/>
    <w:rsid w:val="00760417"/>
    <w:rsid w:val="007606FF"/>
    <w:rsid w:val="0076089E"/>
    <w:rsid w:val="00761147"/>
    <w:rsid w:val="007613A5"/>
    <w:rsid w:val="0076148D"/>
    <w:rsid w:val="007619B5"/>
    <w:rsid w:val="00761AC8"/>
    <w:rsid w:val="0076206F"/>
    <w:rsid w:val="00762546"/>
    <w:rsid w:val="00762CF0"/>
    <w:rsid w:val="007630AA"/>
    <w:rsid w:val="007632E0"/>
    <w:rsid w:val="00763587"/>
    <w:rsid w:val="00764453"/>
    <w:rsid w:val="00764801"/>
    <w:rsid w:val="00764926"/>
    <w:rsid w:val="00764C4A"/>
    <w:rsid w:val="00764DCD"/>
    <w:rsid w:val="00764FFA"/>
    <w:rsid w:val="0076515D"/>
    <w:rsid w:val="0076519D"/>
    <w:rsid w:val="007655FA"/>
    <w:rsid w:val="007658E5"/>
    <w:rsid w:val="00765AA7"/>
    <w:rsid w:val="007662F0"/>
    <w:rsid w:val="00766FC0"/>
    <w:rsid w:val="00767298"/>
    <w:rsid w:val="00767458"/>
    <w:rsid w:val="007679EB"/>
    <w:rsid w:val="0077029E"/>
    <w:rsid w:val="00770D94"/>
    <w:rsid w:val="00771631"/>
    <w:rsid w:val="00771D33"/>
    <w:rsid w:val="00771F9B"/>
    <w:rsid w:val="00772053"/>
    <w:rsid w:val="0077261D"/>
    <w:rsid w:val="0077271B"/>
    <w:rsid w:val="00772791"/>
    <w:rsid w:val="007728E9"/>
    <w:rsid w:val="00772ADE"/>
    <w:rsid w:val="007734B9"/>
    <w:rsid w:val="00773934"/>
    <w:rsid w:val="0077393E"/>
    <w:rsid w:val="00773E57"/>
    <w:rsid w:val="00774761"/>
    <w:rsid w:val="00774B06"/>
    <w:rsid w:val="00774C2B"/>
    <w:rsid w:val="00774D28"/>
    <w:rsid w:val="007757BD"/>
    <w:rsid w:val="00775DBF"/>
    <w:rsid w:val="0077604F"/>
    <w:rsid w:val="007762CD"/>
    <w:rsid w:val="0077645A"/>
    <w:rsid w:val="00777290"/>
    <w:rsid w:val="007774E8"/>
    <w:rsid w:val="007775B5"/>
    <w:rsid w:val="00777F8B"/>
    <w:rsid w:val="00780273"/>
    <w:rsid w:val="007802DF"/>
    <w:rsid w:val="00780482"/>
    <w:rsid w:val="007808C2"/>
    <w:rsid w:val="00780956"/>
    <w:rsid w:val="007809D2"/>
    <w:rsid w:val="00780A25"/>
    <w:rsid w:val="00780C46"/>
    <w:rsid w:val="00780D18"/>
    <w:rsid w:val="00781645"/>
    <w:rsid w:val="007820D4"/>
    <w:rsid w:val="0078233F"/>
    <w:rsid w:val="00782D8F"/>
    <w:rsid w:val="00782F00"/>
    <w:rsid w:val="00782F37"/>
    <w:rsid w:val="00782FC5"/>
    <w:rsid w:val="00783485"/>
    <w:rsid w:val="00783533"/>
    <w:rsid w:val="0078357E"/>
    <w:rsid w:val="0078385A"/>
    <w:rsid w:val="007839E7"/>
    <w:rsid w:val="00783A81"/>
    <w:rsid w:val="00783C90"/>
    <w:rsid w:val="00783C9A"/>
    <w:rsid w:val="007841FF"/>
    <w:rsid w:val="00785009"/>
    <w:rsid w:val="00785E26"/>
    <w:rsid w:val="00785EFF"/>
    <w:rsid w:val="00786302"/>
    <w:rsid w:val="00786824"/>
    <w:rsid w:val="0078724C"/>
    <w:rsid w:val="00787A3F"/>
    <w:rsid w:val="00787C9D"/>
    <w:rsid w:val="007906CA"/>
    <w:rsid w:val="00791503"/>
    <w:rsid w:val="0079172F"/>
    <w:rsid w:val="0079226C"/>
    <w:rsid w:val="0079255B"/>
    <w:rsid w:val="007934D4"/>
    <w:rsid w:val="007939BD"/>
    <w:rsid w:val="00793C16"/>
    <w:rsid w:val="00793FBD"/>
    <w:rsid w:val="0079482C"/>
    <w:rsid w:val="007948B9"/>
    <w:rsid w:val="00795610"/>
    <w:rsid w:val="00795792"/>
    <w:rsid w:val="00795B14"/>
    <w:rsid w:val="00796448"/>
    <w:rsid w:val="0079648F"/>
    <w:rsid w:val="00796619"/>
    <w:rsid w:val="00796985"/>
    <w:rsid w:val="00796AC3"/>
    <w:rsid w:val="00796C5E"/>
    <w:rsid w:val="0079775B"/>
    <w:rsid w:val="007978DA"/>
    <w:rsid w:val="00797960"/>
    <w:rsid w:val="007A0692"/>
    <w:rsid w:val="007A0B62"/>
    <w:rsid w:val="007A11B0"/>
    <w:rsid w:val="007A1236"/>
    <w:rsid w:val="007A1813"/>
    <w:rsid w:val="007A1A9E"/>
    <w:rsid w:val="007A1D32"/>
    <w:rsid w:val="007A1FF1"/>
    <w:rsid w:val="007A21A0"/>
    <w:rsid w:val="007A2445"/>
    <w:rsid w:val="007A2A69"/>
    <w:rsid w:val="007A2A6F"/>
    <w:rsid w:val="007A3827"/>
    <w:rsid w:val="007A39D3"/>
    <w:rsid w:val="007A3BDD"/>
    <w:rsid w:val="007A3E4D"/>
    <w:rsid w:val="007A40B0"/>
    <w:rsid w:val="007A42E0"/>
    <w:rsid w:val="007A4436"/>
    <w:rsid w:val="007A4506"/>
    <w:rsid w:val="007A4A78"/>
    <w:rsid w:val="007A4F19"/>
    <w:rsid w:val="007A57AE"/>
    <w:rsid w:val="007A66E6"/>
    <w:rsid w:val="007A6E20"/>
    <w:rsid w:val="007A73DA"/>
    <w:rsid w:val="007A74B2"/>
    <w:rsid w:val="007A7625"/>
    <w:rsid w:val="007A76FB"/>
    <w:rsid w:val="007A7777"/>
    <w:rsid w:val="007A7941"/>
    <w:rsid w:val="007A7E06"/>
    <w:rsid w:val="007B07C4"/>
    <w:rsid w:val="007B0B94"/>
    <w:rsid w:val="007B11EC"/>
    <w:rsid w:val="007B1F57"/>
    <w:rsid w:val="007B1FE7"/>
    <w:rsid w:val="007B3766"/>
    <w:rsid w:val="007B3C3F"/>
    <w:rsid w:val="007B4597"/>
    <w:rsid w:val="007B4619"/>
    <w:rsid w:val="007B47A0"/>
    <w:rsid w:val="007B5174"/>
    <w:rsid w:val="007B52AC"/>
    <w:rsid w:val="007B5336"/>
    <w:rsid w:val="007B55C5"/>
    <w:rsid w:val="007B57D2"/>
    <w:rsid w:val="007B5854"/>
    <w:rsid w:val="007B5912"/>
    <w:rsid w:val="007B5E43"/>
    <w:rsid w:val="007B5FD9"/>
    <w:rsid w:val="007B61F9"/>
    <w:rsid w:val="007B6369"/>
    <w:rsid w:val="007B63DD"/>
    <w:rsid w:val="007B6F00"/>
    <w:rsid w:val="007B70FB"/>
    <w:rsid w:val="007B74DB"/>
    <w:rsid w:val="007B75D7"/>
    <w:rsid w:val="007B79F4"/>
    <w:rsid w:val="007B7E22"/>
    <w:rsid w:val="007C0482"/>
    <w:rsid w:val="007C04F3"/>
    <w:rsid w:val="007C06F6"/>
    <w:rsid w:val="007C123C"/>
    <w:rsid w:val="007C12F9"/>
    <w:rsid w:val="007C1DC9"/>
    <w:rsid w:val="007C20FE"/>
    <w:rsid w:val="007C2678"/>
    <w:rsid w:val="007C270B"/>
    <w:rsid w:val="007C2A9A"/>
    <w:rsid w:val="007C3052"/>
    <w:rsid w:val="007C30DE"/>
    <w:rsid w:val="007C3435"/>
    <w:rsid w:val="007C35BC"/>
    <w:rsid w:val="007C3654"/>
    <w:rsid w:val="007C376A"/>
    <w:rsid w:val="007C3C85"/>
    <w:rsid w:val="007C46AF"/>
    <w:rsid w:val="007C4A77"/>
    <w:rsid w:val="007C55BE"/>
    <w:rsid w:val="007C5AB5"/>
    <w:rsid w:val="007C5E9B"/>
    <w:rsid w:val="007C766F"/>
    <w:rsid w:val="007C7AD6"/>
    <w:rsid w:val="007C7C59"/>
    <w:rsid w:val="007C7DC7"/>
    <w:rsid w:val="007D0D0A"/>
    <w:rsid w:val="007D14F9"/>
    <w:rsid w:val="007D1667"/>
    <w:rsid w:val="007D1767"/>
    <w:rsid w:val="007D1AAA"/>
    <w:rsid w:val="007D1F9B"/>
    <w:rsid w:val="007D39AD"/>
    <w:rsid w:val="007D3F77"/>
    <w:rsid w:val="007D40F5"/>
    <w:rsid w:val="007D44D6"/>
    <w:rsid w:val="007D45BD"/>
    <w:rsid w:val="007D46D8"/>
    <w:rsid w:val="007D4892"/>
    <w:rsid w:val="007D48E9"/>
    <w:rsid w:val="007D4FFB"/>
    <w:rsid w:val="007D53CB"/>
    <w:rsid w:val="007D577D"/>
    <w:rsid w:val="007D5857"/>
    <w:rsid w:val="007D603C"/>
    <w:rsid w:val="007D6D95"/>
    <w:rsid w:val="007D6F86"/>
    <w:rsid w:val="007D72EB"/>
    <w:rsid w:val="007D75DD"/>
    <w:rsid w:val="007D7FC2"/>
    <w:rsid w:val="007E013C"/>
    <w:rsid w:val="007E03B3"/>
    <w:rsid w:val="007E0BDB"/>
    <w:rsid w:val="007E0F8F"/>
    <w:rsid w:val="007E192F"/>
    <w:rsid w:val="007E1DA4"/>
    <w:rsid w:val="007E24D0"/>
    <w:rsid w:val="007E25FC"/>
    <w:rsid w:val="007E2608"/>
    <w:rsid w:val="007E28D6"/>
    <w:rsid w:val="007E317C"/>
    <w:rsid w:val="007E340C"/>
    <w:rsid w:val="007E381B"/>
    <w:rsid w:val="007E3E82"/>
    <w:rsid w:val="007E4101"/>
    <w:rsid w:val="007E4435"/>
    <w:rsid w:val="007E44F9"/>
    <w:rsid w:val="007E4860"/>
    <w:rsid w:val="007E5BB4"/>
    <w:rsid w:val="007E5E71"/>
    <w:rsid w:val="007E5ED9"/>
    <w:rsid w:val="007E5EDC"/>
    <w:rsid w:val="007E642C"/>
    <w:rsid w:val="007E6646"/>
    <w:rsid w:val="007E6A26"/>
    <w:rsid w:val="007E6B40"/>
    <w:rsid w:val="007E6B67"/>
    <w:rsid w:val="007E6C51"/>
    <w:rsid w:val="007E7232"/>
    <w:rsid w:val="007E72AB"/>
    <w:rsid w:val="007E7A7D"/>
    <w:rsid w:val="007F0378"/>
    <w:rsid w:val="007F0684"/>
    <w:rsid w:val="007F06B6"/>
    <w:rsid w:val="007F06E8"/>
    <w:rsid w:val="007F0AF8"/>
    <w:rsid w:val="007F0F86"/>
    <w:rsid w:val="007F1C60"/>
    <w:rsid w:val="007F219A"/>
    <w:rsid w:val="007F235F"/>
    <w:rsid w:val="007F3015"/>
    <w:rsid w:val="007F31BC"/>
    <w:rsid w:val="007F3F16"/>
    <w:rsid w:val="007F4981"/>
    <w:rsid w:val="007F556F"/>
    <w:rsid w:val="007F5FE0"/>
    <w:rsid w:val="007F65DB"/>
    <w:rsid w:val="007F6761"/>
    <w:rsid w:val="007F6BC4"/>
    <w:rsid w:val="007F6D1D"/>
    <w:rsid w:val="007F7023"/>
    <w:rsid w:val="007F7095"/>
    <w:rsid w:val="007F70D4"/>
    <w:rsid w:val="007F7695"/>
    <w:rsid w:val="007F76B6"/>
    <w:rsid w:val="007F78F7"/>
    <w:rsid w:val="007F79F3"/>
    <w:rsid w:val="0080030C"/>
    <w:rsid w:val="00800686"/>
    <w:rsid w:val="0080073F"/>
    <w:rsid w:val="00801CB1"/>
    <w:rsid w:val="008025D9"/>
    <w:rsid w:val="00802AA7"/>
    <w:rsid w:val="00802B6F"/>
    <w:rsid w:val="00802C00"/>
    <w:rsid w:val="00802DDE"/>
    <w:rsid w:val="00802F94"/>
    <w:rsid w:val="008038FF"/>
    <w:rsid w:val="00803ACE"/>
    <w:rsid w:val="00803B37"/>
    <w:rsid w:val="00803B8E"/>
    <w:rsid w:val="00804185"/>
    <w:rsid w:val="008053A6"/>
    <w:rsid w:val="00805B99"/>
    <w:rsid w:val="008062B2"/>
    <w:rsid w:val="00806430"/>
    <w:rsid w:val="00806592"/>
    <w:rsid w:val="00806659"/>
    <w:rsid w:val="00806E16"/>
    <w:rsid w:val="00806E9B"/>
    <w:rsid w:val="00807090"/>
    <w:rsid w:val="00807926"/>
    <w:rsid w:val="00807A15"/>
    <w:rsid w:val="00807AB5"/>
    <w:rsid w:val="00807C32"/>
    <w:rsid w:val="008100A2"/>
    <w:rsid w:val="00810357"/>
    <w:rsid w:val="008107F5"/>
    <w:rsid w:val="00810A78"/>
    <w:rsid w:val="00810E30"/>
    <w:rsid w:val="00810ED7"/>
    <w:rsid w:val="00811973"/>
    <w:rsid w:val="008129D1"/>
    <w:rsid w:val="008136F7"/>
    <w:rsid w:val="00813A3D"/>
    <w:rsid w:val="00813AEB"/>
    <w:rsid w:val="00814CAD"/>
    <w:rsid w:val="00815467"/>
    <w:rsid w:val="0081580A"/>
    <w:rsid w:val="008166DC"/>
    <w:rsid w:val="00816B9F"/>
    <w:rsid w:val="00816FBA"/>
    <w:rsid w:val="0081756E"/>
    <w:rsid w:val="00817D96"/>
    <w:rsid w:val="00817F9A"/>
    <w:rsid w:val="00820524"/>
    <w:rsid w:val="008227FA"/>
    <w:rsid w:val="008229A2"/>
    <w:rsid w:val="00822B56"/>
    <w:rsid w:val="00823BBB"/>
    <w:rsid w:val="00824237"/>
    <w:rsid w:val="008243B8"/>
    <w:rsid w:val="0082443D"/>
    <w:rsid w:val="008247B0"/>
    <w:rsid w:val="00824A9E"/>
    <w:rsid w:val="00825A66"/>
    <w:rsid w:val="00825F58"/>
    <w:rsid w:val="008268CF"/>
    <w:rsid w:val="008270EE"/>
    <w:rsid w:val="008273E4"/>
    <w:rsid w:val="00827497"/>
    <w:rsid w:val="00827615"/>
    <w:rsid w:val="0083026B"/>
    <w:rsid w:val="00830387"/>
    <w:rsid w:val="00830C1A"/>
    <w:rsid w:val="00831472"/>
    <w:rsid w:val="008329FF"/>
    <w:rsid w:val="00832ECB"/>
    <w:rsid w:val="0083351E"/>
    <w:rsid w:val="00833526"/>
    <w:rsid w:val="00833AA3"/>
    <w:rsid w:val="00833D24"/>
    <w:rsid w:val="00833E29"/>
    <w:rsid w:val="008340EC"/>
    <w:rsid w:val="008343FF"/>
    <w:rsid w:val="00834A85"/>
    <w:rsid w:val="00834B47"/>
    <w:rsid w:val="00835364"/>
    <w:rsid w:val="008353FA"/>
    <w:rsid w:val="00835459"/>
    <w:rsid w:val="0083553C"/>
    <w:rsid w:val="00836A63"/>
    <w:rsid w:val="00836C86"/>
    <w:rsid w:val="008374E1"/>
    <w:rsid w:val="0083781A"/>
    <w:rsid w:val="00837BE1"/>
    <w:rsid w:val="00837C92"/>
    <w:rsid w:val="00837F0F"/>
    <w:rsid w:val="00837FA4"/>
    <w:rsid w:val="008414CC"/>
    <w:rsid w:val="008415D8"/>
    <w:rsid w:val="0084160C"/>
    <w:rsid w:val="008416E5"/>
    <w:rsid w:val="0084188C"/>
    <w:rsid w:val="0084210C"/>
    <w:rsid w:val="00842300"/>
    <w:rsid w:val="008423BD"/>
    <w:rsid w:val="00842BBA"/>
    <w:rsid w:val="00842D41"/>
    <w:rsid w:val="00843029"/>
    <w:rsid w:val="00843420"/>
    <w:rsid w:val="00843B5D"/>
    <w:rsid w:val="008447D4"/>
    <w:rsid w:val="0084506C"/>
    <w:rsid w:val="008454BD"/>
    <w:rsid w:val="00845A22"/>
    <w:rsid w:val="00845A8C"/>
    <w:rsid w:val="00845A8E"/>
    <w:rsid w:val="00845ED3"/>
    <w:rsid w:val="008463F3"/>
    <w:rsid w:val="008469FE"/>
    <w:rsid w:val="00846D76"/>
    <w:rsid w:val="008473E8"/>
    <w:rsid w:val="0085005F"/>
    <w:rsid w:val="0085062F"/>
    <w:rsid w:val="008506E9"/>
    <w:rsid w:val="0085112A"/>
    <w:rsid w:val="00851307"/>
    <w:rsid w:val="008515B1"/>
    <w:rsid w:val="008519D0"/>
    <w:rsid w:val="0085201C"/>
    <w:rsid w:val="00852508"/>
    <w:rsid w:val="00852E5B"/>
    <w:rsid w:val="00853010"/>
    <w:rsid w:val="00853677"/>
    <w:rsid w:val="00853ACD"/>
    <w:rsid w:val="00853ACF"/>
    <w:rsid w:val="00853F1F"/>
    <w:rsid w:val="008544D3"/>
    <w:rsid w:val="0085457E"/>
    <w:rsid w:val="008551C1"/>
    <w:rsid w:val="00855295"/>
    <w:rsid w:val="00855461"/>
    <w:rsid w:val="008558A1"/>
    <w:rsid w:val="00855F90"/>
    <w:rsid w:val="00855FCF"/>
    <w:rsid w:val="0085642F"/>
    <w:rsid w:val="00856CE4"/>
    <w:rsid w:val="00857076"/>
    <w:rsid w:val="00857199"/>
    <w:rsid w:val="008573AF"/>
    <w:rsid w:val="00857645"/>
    <w:rsid w:val="00857D80"/>
    <w:rsid w:val="008602FC"/>
    <w:rsid w:val="008605B9"/>
    <w:rsid w:val="00860989"/>
    <w:rsid w:val="00860C69"/>
    <w:rsid w:val="00860CF9"/>
    <w:rsid w:val="00860D3D"/>
    <w:rsid w:val="00860DF0"/>
    <w:rsid w:val="00860E53"/>
    <w:rsid w:val="00862156"/>
    <w:rsid w:val="008622D3"/>
    <w:rsid w:val="0086268A"/>
    <w:rsid w:val="0086375F"/>
    <w:rsid w:val="008639A2"/>
    <w:rsid w:val="00863BBB"/>
    <w:rsid w:val="008640FD"/>
    <w:rsid w:val="0086426C"/>
    <w:rsid w:val="008652E9"/>
    <w:rsid w:val="008653D4"/>
    <w:rsid w:val="0086564F"/>
    <w:rsid w:val="00865681"/>
    <w:rsid w:val="00866618"/>
    <w:rsid w:val="0086709E"/>
    <w:rsid w:val="008672AC"/>
    <w:rsid w:val="008675FF"/>
    <w:rsid w:val="00867B6B"/>
    <w:rsid w:val="00867CDA"/>
    <w:rsid w:val="00870A79"/>
    <w:rsid w:val="00870AFC"/>
    <w:rsid w:val="008712D2"/>
    <w:rsid w:val="008715CC"/>
    <w:rsid w:val="00872589"/>
    <w:rsid w:val="00872770"/>
    <w:rsid w:val="00872813"/>
    <w:rsid w:val="00873410"/>
    <w:rsid w:val="008736AF"/>
    <w:rsid w:val="00873754"/>
    <w:rsid w:val="00874394"/>
    <w:rsid w:val="0087446F"/>
    <w:rsid w:val="008752FC"/>
    <w:rsid w:val="00875FA4"/>
    <w:rsid w:val="008763B9"/>
    <w:rsid w:val="008763C8"/>
    <w:rsid w:val="0087669F"/>
    <w:rsid w:val="008766C0"/>
    <w:rsid w:val="00876AEA"/>
    <w:rsid w:val="00877492"/>
    <w:rsid w:val="00877512"/>
    <w:rsid w:val="00877774"/>
    <w:rsid w:val="00877D6E"/>
    <w:rsid w:val="00877E35"/>
    <w:rsid w:val="0088014E"/>
    <w:rsid w:val="00880344"/>
    <w:rsid w:val="00880BAB"/>
    <w:rsid w:val="0088143E"/>
    <w:rsid w:val="00881769"/>
    <w:rsid w:val="008817FF"/>
    <w:rsid w:val="00881C39"/>
    <w:rsid w:val="00881D9C"/>
    <w:rsid w:val="0088239C"/>
    <w:rsid w:val="00882745"/>
    <w:rsid w:val="008828F7"/>
    <w:rsid w:val="00882A65"/>
    <w:rsid w:val="00882E58"/>
    <w:rsid w:val="00882F8E"/>
    <w:rsid w:val="0088323D"/>
    <w:rsid w:val="008835B1"/>
    <w:rsid w:val="00883B3F"/>
    <w:rsid w:val="00884158"/>
    <w:rsid w:val="00884491"/>
    <w:rsid w:val="00884939"/>
    <w:rsid w:val="00884DE2"/>
    <w:rsid w:val="008851BE"/>
    <w:rsid w:val="00885538"/>
    <w:rsid w:val="008856F6"/>
    <w:rsid w:val="00885D3C"/>
    <w:rsid w:val="00885D91"/>
    <w:rsid w:val="00886188"/>
    <w:rsid w:val="00886C33"/>
    <w:rsid w:val="00886F6F"/>
    <w:rsid w:val="00887063"/>
    <w:rsid w:val="00887E89"/>
    <w:rsid w:val="00887F1B"/>
    <w:rsid w:val="00887FAA"/>
    <w:rsid w:val="008900CF"/>
    <w:rsid w:val="00890764"/>
    <w:rsid w:val="00890E19"/>
    <w:rsid w:val="00890FA6"/>
    <w:rsid w:val="00891229"/>
    <w:rsid w:val="008912F3"/>
    <w:rsid w:val="00891A88"/>
    <w:rsid w:val="00891C0B"/>
    <w:rsid w:val="00892153"/>
    <w:rsid w:val="008922CF"/>
    <w:rsid w:val="008922E1"/>
    <w:rsid w:val="008923D1"/>
    <w:rsid w:val="008925B9"/>
    <w:rsid w:val="00892AC4"/>
    <w:rsid w:val="00892C63"/>
    <w:rsid w:val="008937CB"/>
    <w:rsid w:val="00893E2E"/>
    <w:rsid w:val="0089427B"/>
    <w:rsid w:val="00894386"/>
    <w:rsid w:val="00894669"/>
    <w:rsid w:val="0089483C"/>
    <w:rsid w:val="00894A6B"/>
    <w:rsid w:val="00894A7F"/>
    <w:rsid w:val="00894EEF"/>
    <w:rsid w:val="008954B1"/>
    <w:rsid w:val="00895573"/>
    <w:rsid w:val="00895E5A"/>
    <w:rsid w:val="00896FBF"/>
    <w:rsid w:val="00897013"/>
    <w:rsid w:val="00897344"/>
    <w:rsid w:val="00897502"/>
    <w:rsid w:val="00897855"/>
    <w:rsid w:val="008A0E63"/>
    <w:rsid w:val="008A1088"/>
    <w:rsid w:val="008A1438"/>
    <w:rsid w:val="008A173F"/>
    <w:rsid w:val="008A1EED"/>
    <w:rsid w:val="008A1EFD"/>
    <w:rsid w:val="008A2087"/>
    <w:rsid w:val="008A25C3"/>
    <w:rsid w:val="008A26FC"/>
    <w:rsid w:val="008A2790"/>
    <w:rsid w:val="008A2C5D"/>
    <w:rsid w:val="008A3C32"/>
    <w:rsid w:val="008A4F57"/>
    <w:rsid w:val="008A52CE"/>
    <w:rsid w:val="008A574C"/>
    <w:rsid w:val="008A5B73"/>
    <w:rsid w:val="008A68A0"/>
    <w:rsid w:val="008A6A25"/>
    <w:rsid w:val="008A6C26"/>
    <w:rsid w:val="008A6CE6"/>
    <w:rsid w:val="008A6D28"/>
    <w:rsid w:val="008A6F57"/>
    <w:rsid w:val="008A6FA7"/>
    <w:rsid w:val="008B0663"/>
    <w:rsid w:val="008B069A"/>
    <w:rsid w:val="008B0707"/>
    <w:rsid w:val="008B07AF"/>
    <w:rsid w:val="008B091D"/>
    <w:rsid w:val="008B0AED"/>
    <w:rsid w:val="008B0BA7"/>
    <w:rsid w:val="008B0D52"/>
    <w:rsid w:val="008B0EAB"/>
    <w:rsid w:val="008B1459"/>
    <w:rsid w:val="008B1DF8"/>
    <w:rsid w:val="008B1E06"/>
    <w:rsid w:val="008B20A4"/>
    <w:rsid w:val="008B2BD9"/>
    <w:rsid w:val="008B2DE5"/>
    <w:rsid w:val="008B2F1A"/>
    <w:rsid w:val="008B31AD"/>
    <w:rsid w:val="008B32E4"/>
    <w:rsid w:val="008B331F"/>
    <w:rsid w:val="008B3A87"/>
    <w:rsid w:val="008B3C1F"/>
    <w:rsid w:val="008B3D67"/>
    <w:rsid w:val="008B4238"/>
    <w:rsid w:val="008B4243"/>
    <w:rsid w:val="008B4953"/>
    <w:rsid w:val="008B4E19"/>
    <w:rsid w:val="008B4F72"/>
    <w:rsid w:val="008B50DC"/>
    <w:rsid w:val="008B5F58"/>
    <w:rsid w:val="008B6367"/>
    <w:rsid w:val="008B63AD"/>
    <w:rsid w:val="008B6BC4"/>
    <w:rsid w:val="008B6E1E"/>
    <w:rsid w:val="008B7546"/>
    <w:rsid w:val="008C0557"/>
    <w:rsid w:val="008C0771"/>
    <w:rsid w:val="008C0845"/>
    <w:rsid w:val="008C111C"/>
    <w:rsid w:val="008C1779"/>
    <w:rsid w:val="008C1DC1"/>
    <w:rsid w:val="008C1F65"/>
    <w:rsid w:val="008C28B3"/>
    <w:rsid w:val="008C3591"/>
    <w:rsid w:val="008C35DB"/>
    <w:rsid w:val="008C3A88"/>
    <w:rsid w:val="008C3AC1"/>
    <w:rsid w:val="008C4964"/>
    <w:rsid w:val="008C4A17"/>
    <w:rsid w:val="008C4B69"/>
    <w:rsid w:val="008C4EB8"/>
    <w:rsid w:val="008C5A05"/>
    <w:rsid w:val="008C60E1"/>
    <w:rsid w:val="008C61B0"/>
    <w:rsid w:val="008C6BB1"/>
    <w:rsid w:val="008C6D54"/>
    <w:rsid w:val="008C6FD3"/>
    <w:rsid w:val="008C70EB"/>
    <w:rsid w:val="008C755A"/>
    <w:rsid w:val="008C7757"/>
    <w:rsid w:val="008C77AC"/>
    <w:rsid w:val="008C7BEB"/>
    <w:rsid w:val="008C7EFC"/>
    <w:rsid w:val="008C7FA7"/>
    <w:rsid w:val="008D04B6"/>
    <w:rsid w:val="008D057C"/>
    <w:rsid w:val="008D13F7"/>
    <w:rsid w:val="008D1545"/>
    <w:rsid w:val="008D155D"/>
    <w:rsid w:val="008D15E6"/>
    <w:rsid w:val="008D1A55"/>
    <w:rsid w:val="008D1AED"/>
    <w:rsid w:val="008D1C9A"/>
    <w:rsid w:val="008D229E"/>
    <w:rsid w:val="008D24C5"/>
    <w:rsid w:val="008D27F1"/>
    <w:rsid w:val="008D35A9"/>
    <w:rsid w:val="008D36D2"/>
    <w:rsid w:val="008D3FE4"/>
    <w:rsid w:val="008D415F"/>
    <w:rsid w:val="008D4606"/>
    <w:rsid w:val="008D5506"/>
    <w:rsid w:val="008D5B6F"/>
    <w:rsid w:val="008D5DAB"/>
    <w:rsid w:val="008D6641"/>
    <w:rsid w:val="008D6847"/>
    <w:rsid w:val="008D6968"/>
    <w:rsid w:val="008D6C68"/>
    <w:rsid w:val="008D6F45"/>
    <w:rsid w:val="008D70F4"/>
    <w:rsid w:val="008D71F3"/>
    <w:rsid w:val="008D7AFD"/>
    <w:rsid w:val="008D7E3E"/>
    <w:rsid w:val="008D7EA6"/>
    <w:rsid w:val="008E0029"/>
    <w:rsid w:val="008E0041"/>
    <w:rsid w:val="008E01BA"/>
    <w:rsid w:val="008E0219"/>
    <w:rsid w:val="008E0DE2"/>
    <w:rsid w:val="008E1568"/>
    <w:rsid w:val="008E1CA4"/>
    <w:rsid w:val="008E2301"/>
    <w:rsid w:val="008E2BCC"/>
    <w:rsid w:val="008E3959"/>
    <w:rsid w:val="008E39DD"/>
    <w:rsid w:val="008E3AAA"/>
    <w:rsid w:val="008E3F1C"/>
    <w:rsid w:val="008E4648"/>
    <w:rsid w:val="008E46B7"/>
    <w:rsid w:val="008E4B95"/>
    <w:rsid w:val="008E4D65"/>
    <w:rsid w:val="008E57E3"/>
    <w:rsid w:val="008E5A4E"/>
    <w:rsid w:val="008E5E7E"/>
    <w:rsid w:val="008E6D37"/>
    <w:rsid w:val="008E6F6B"/>
    <w:rsid w:val="008E7155"/>
    <w:rsid w:val="008E71FB"/>
    <w:rsid w:val="008E7365"/>
    <w:rsid w:val="008E7AF1"/>
    <w:rsid w:val="008E7B40"/>
    <w:rsid w:val="008F0248"/>
    <w:rsid w:val="008F07B8"/>
    <w:rsid w:val="008F0932"/>
    <w:rsid w:val="008F0AAF"/>
    <w:rsid w:val="008F0EF5"/>
    <w:rsid w:val="008F1238"/>
    <w:rsid w:val="008F1522"/>
    <w:rsid w:val="008F1F94"/>
    <w:rsid w:val="008F257A"/>
    <w:rsid w:val="008F28D8"/>
    <w:rsid w:val="008F2A1F"/>
    <w:rsid w:val="008F2CD4"/>
    <w:rsid w:val="008F301E"/>
    <w:rsid w:val="008F30E1"/>
    <w:rsid w:val="008F31C8"/>
    <w:rsid w:val="008F3225"/>
    <w:rsid w:val="008F35D9"/>
    <w:rsid w:val="008F3793"/>
    <w:rsid w:val="008F438C"/>
    <w:rsid w:val="008F4606"/>
    <w:rsid w:val="008F4CB8"/>
    <w:rsid w:val="008F525C"/>
    <w:rsid w:val="008F533A"/>
    <w:rsid w:val="008F540C"/>
    <w:rsid w:val="008F5C2A"/>
    <w:rsid w:val="008F5C74"/>
    <w:rsid w:val="008F6060"/>
    <w:rsid w:val="008F6426"/>
    <w:rsid w:val="008F64E1"/>
    <w:rsid w:val="008F6B8B"/>
    <w:rsid w:val="008F744C"/>
    <w:rsid w:val="008F752E"/>
    <w:rsid w:val="0090146E"/>
    <w:rsid w:val="00901724"/>
    <w:rsid w:val="00901A3E"/>
    <w:rsid w:val="00901E4D"/>
    <w:rsid w:val="009020DE"/>
    <w:rsid w:val="009025D5"/>
    <w:rsid w:val="00902FDC"/>
    <w:rsid w:val="009031C5"/>
    <w:rsid w:val="00903424"/>
    <w:rsid w:val="00903587"/>
    <w:rsid w:val="00903E12"/>
    <w:rsid w:val="00904010"/>
    <w:rsid w:val="00904206"/>
    <w:rsid w:val="0090468B"/>
    <w:rsid w:val="00905456"/>
    <w:rsid w:val="009055C2"/>
    <w:rsid w:val="0090621C"/>
    <w:rsid w:val="00906618"/>
    <w:rsid w:val="00906835"/>
    <w:rsid w:val="00906C4A"/>
    <w:rsid w:val="0090736C"/>
    <w:rsid w:val="00907976"/>
    <w:rsid w:val="00910400"/>
    <w:rsid w:val="00910451"/>
    <w:rsid w:val="00910629"/>
    <w:rsid w:val="0091071F"/>
    <w:rsid w:val="00910866"/>
    <w:rsid w:val="009110AD"/>
    <w:rsid w:val="009111CC"/>
    <w:rsid w:val="00911313"/>
    <w:rsid w:val="009114FF"/>
    <w:rsid w:val="00911A79"/>
    <w:rsid w:val="00911C55"/>
    <w:rsid w:val="00911D8B"/>
    <w:rsid w:val="00912025"/>
    <w:rsid w:val="0091227B"/>
    <w:rsid w:val="00912622"/>
    <w:rsid w:val="009127CC"/>
    <w:rsid w:val="00912CBF"/>
    <w:rsid w:val="00913279"/>
    <w:rsid w:val="00913EBD"/>
    <w:rsid w:val="00914316"/>
    <w:rsid w:val="00914573"/>
    <w:rsid w:val="0091478A"/>
    <w:rsid w:val="00914B78"/>
    <w:rsid w:val="009158B9"/>
    <w:rsid w:val="00915B61"/>
    <w:rsid w:val="00915DC8"/>
    <w:rsid w:val="0091620A"/>
    <w:rsid w:val="00916863"/>
    <w:rsid w:val="009168F0"/>
    <w:rsid w:val="009168FC"/>
    <w:rsid w:val="00916F5A"/>
    <w:rsid w:val="009172A6"/>
    <w:rsid w:val="00917458"/>
    <w:rsid w:val="00917A98"/>
    <w:rsid w:val="00920225"/>
    <w:rsid w:val="009204F2"/>
    <w:rsid w:val="0092096D"/>
    <w:rsid w:val="00920CB1"/>
    <w:rsid w:val="0092108E"/>
    <w:rsid w:val="00921721"/>
    <w:rsid w:val="00921E56"/>
    <w:rsid w:val="00922166"/>
    <w:rsid w:val="009221ED"/>
    <w:rsid w:val="009224CB"/>
    <w:rsid w:val="0092259C"/>
    <w:rsid w:val="00922AAE"/>
    <w:rsid w:val="00922C63"/>
    <w:rsid w:val="0092301E"/>
    <w:rsid w:val="00923201"/>
    <w:rsid w:val="0092434C"/>
    <w:rsid w:val="00925018"/>
    <w:rsid w:val="00925620"/>
    <w:rsid w:val="0092569B"/>
    <w:rsid w:val="00925B80"/>
    <w:rsid w:val="00926F09"/>
    <w:rsid w:val="00926F12"/>
    <w:rsid w:val="00927DE3"/>
    <w:rsid w:val="009301E0"/>
    <w:rsid w:val="00930372"/>
    <w:rsid w:val="00930591"/>
    <w:rsid w:val="00930609"/>
    <w:rsid w:val="00930615"/>
    <w:rsid w:val="00930B72"/>
    <w:rsid w:val="0093196E"/>
    <w:rsid w:val="00931A58"/>
    <w:rsid w:val="00932113"/>
    <w:rsid w:val="009324E6"/>
    <w:rsid w:val="00932AD7"/>
    <w:rsid w:val="00932E71"/>
    <w:rsid w:val="00932ED3"/>
    <w:rsid w:val="0093312B"/>
    <w:rsid w:val="009340F5"/>
    <w:rsid w:val="009341B7"/>
    <w:rsid w:val="00934C07"/>
    <w:rsid w:val="009350DC"/>
    <w:rsid w:val="009352C5"/>
    <w:rsid w:val="00935534"/>
    <w:rsid w:val="0093562F"/>
    <w:rsid w:val="00935F61"/>
    <w:rsid w:val="009360BB"/>
    <w:rsid w:val="009364F8"/>
    <w:rsid w:val="00936772"/>
    <w:rsid w:val="00936B1F"/>
    <w:rsid w:val="00936BB9"/>
    <w:rsid w:val="009370A4"/>
    <w:rsid w:val="009378CF"/>
    <w:rsid w:val="009379F0"/>
    <w:rsid w:val="00937A67"/>
    <w:rsid w:val="00940193"/>
    <w:rsid w:val="00940820"/>
    <w:rsid w:val="00940CAF"/>
    <w:rsid w:val="009415BC"/>
    <w:rsid w:val="00941946"/>
    <w:rsid w:val="009425E7"/>
    <w:rsid w:val="00942B2E"/>
    <w:rsid w:val="009431A8"/>
    <w:rsid w:val="00943238"/>
    <w:rsid w:val="00943843"/>
    <w:rsid w:val="009438B3"/>
    <w:rsid w:val="00943ADB"/>
    <w:rsid w:val="00943C15"/>
    <w:rsid w:val="00943CFE"/>
    <w:rsid w:val="00943F96"/>
    <w:rsid w:val="00943FA2"/>
    <w:rsid w:val="00944115"/>
    <w:rsid w:val="0094494D"/>
    <w:rsid w:val="00944E59"/>
    <w:rsid w:val="00944E95"/>
    <w:rsid w:val="00945401"/>
    <w:rsid w:val="00945648"/>
    <w:rsid w:val="009459F4"/>
    <w:rsid w:val="00945ABE"/>
    <w:rsid w:val="00945DE7"/>
    <w:rsid w:val="00945E58"/>
    <w:rsid w:val="00946127"/>
    <w:rsid w:val="009462A4"/>
    <w:rsid w:val="00946427"/>
    <w:rsid w:val="00946907"/>
    <w:rsid w:val="00946DB0"/>
    <w:rsid w:val="009477C7"/>
    <w:rsid w:val="00950CAE"/>
    <w:rsid w:val="009512EC"/>
    <w:rsid w:val="009523F9"/>
    <w:rsid w:val="009526CD"/>
    <w:rsid w:val="009527BA"/>
    <w:rsid w:val="0095315A"/>
    <w:rsid w:val="009534DD"/>
    <w:rsid w:val="009535C2"/>
    <w:rsid w:val="00953A73"/>
    <w:rsid w:val="00953D0E"/>
    <w:rsid w:val="00954D5A"/>
    <w:rsid w:val="009551A8"/>
    <w:rsid w:val="009552E3"/>
    <w:rsid w:val="0095604D"/>
    <w:rsid w:val="00956B6C"/>
    <w:rsid w:val="0095714C"/>
    <w:rsid w:val="009572FA"/>
    <w:rsid w:val="00957383"/>
    <w:rsid w:val="009573EA"/>
    <w:rsid w:val="00957B5B"/>
    <w:rsid w:val="00957E69"/>
    <w:rsid w:val="00957F1F"/>
    <w:rsid w:val="009601CB"/>
    <w:rsid w:val="0096059A"/>
    <w:rsid w:val="0096081E"/>
    <w:rsid w:val="00960D39"/>
    <w:rsid w:val="00960F7E"/>
    <w:rsid w:val="009611A5"/>
    <w:rsid w:val="009612D0"/>
    <w:rsid w:val="0096193B"/>
    <w:rsid w:val="00961C02"/>
    <w:rsid w:val="00963188"/>
    <w:rsid w:val="00963240"/>
    <w:rsid w:val="009634FC"/>
    <w:rsid w:val="00963A0E"/>
    <w:rsid w:val="00963ADA"/>
    <w:rsid w:val="00963AFA"/>
    <w:rsid w:val="00963B82"/>
    <w:rsid w:val="00964475"/>
    <w:rsid w:val="00964A6E"/>
    <w:rsid w:val="00964FB4"/>
    <w:rsid w:val="00965327"/>
    <w:rsid w:val="00965C61"/>
    <w:rsid w:val="009666BD"/>
    <w:rsid w:val="00966BE4"/>
    <w:rsid w:val="00966BFB"/>
    <w:rsid w:val="009675F0"/>
    <w:rsid w:val="00967CDA"/>
    <w:rsid w:val="00970048"/>
    <w:rsid w:val="00970960"/>
    <w:rsid w:val="00970A77"/>
    <w:rsid w:val="00970E59"/>
    <w:rsid w:val="00970EF9"/>
    <w:rsid w:val="00971145"/>
    <w:rsid w:val="00971831"/>
    <w:rsid w:val="00971940"/>
    <w:rsid w:val="00971B93"/>
    <w:rsid w:val="00971EBA"/>
    <w:rsid w:val="00972113"/>
    <w:rsid w:val="0097216D"/>
    <w:rsid w:val="009726BA"/>
    <w:rsid w:val="00972945"/>
    <w:rsid w:val="00972A64"/>
    <w:rsid w:val="00972B02"/>
    <w:rsid w:val="00972CB8"/>
    <w:rsid w:val="00972D8F"/>
    <w:rsid w:val="00973299"/>
    <w:rsid w:val="00973C2B"/>
    <w:rsid w:val="0097437B"/>
    <w:rsid w:val="0097441E"/>
    <w:rsid w:val="009745A2"/>
    <w:rsid w:val="00974751"/>
    <w:rsid w:val="00975394"/>
    <w:rsid w:val="00975E7D"/>
    <w:rsid w:val="00975F87"/>
    <w:rsid w:val="00975FB0"/>
    <w:rsid w:val="00976242"/>
    <w:rsid w:val="009762C7"/>
    <w:rsid w:val="009766CB"/>
    <w:rsid w:val="0097670F"/>
    <w:rsid w:val="00976C32"/>
    <w:rsid w:val="00976C61"/>
    <w:rsid w:val="009803EC"/>
    <w:rsid w:val="00980BF4"/>
    <w:rsid w:val="00981215"/>
    <w:rsid w:val="009812FC"/>
    <w:rsid w:val="009813BF"/>
    <w:rsid w:val="009819CD"/>
    <w:rsid w:val="00981B60"/>
    <w:rsid w:val="00981DEB"/>
    <w:rsid w:val="00981E3F"/>
    <w:rsid w:val="00982582"/>
    <w:rsid w:val="0098284A"/>
    <w:rsid w:val="00982C0D"/>
    <w:rsid w:val="00983C71"/>
    <w:rsid w:val="00983D86"/>
    <w:rsid w:val="00983D98"/>
    <w:rsid w:val="009841D6"/>
    <w:rsid w:val="00984367"/>
    <w:rsid w:val="009844B4"/>
    <w:rsid w:val="0098453B"/>
    <w:rsid w:val="0098487D"/>
    <w:rsid w:val="00984D82"/>
    <w:rsid w:val="00984EC5"/>
    <w:rsid w:val="0098552E"/>
    <w:rsid w:val="0098572B"/>
    <w:rsid w:val="00985CDA"/>
    <w:rsid w:val="00985DE6"/>
    <w:rsid w:val="00985E82"/>
    <w:rsid w:val="0098603A"/>
    <w:rsid w:val="00986137"/>
    <w:rsid w:val="00986339"/>
    <w:rsid w:val="00986B96"/>
    <w:rsid w:val="00987125"/>
    <w:rsid w:val="00987351"/>
    <w:rsid w:val="0098740B"/>
    <w:rsid w:val="00987C6F"/>
    <w:rsid w:val="0099018C"/>
    <w:rsid w:val="00990708"/>
    <w:rsid w:val="0099076F"/>
    <w:rsid w:val="00990AA8"/>
    <w:rsid w:val="00990C3D"/>
    <w:rsid w:val="00991088"/>
    <w:rsid w:val="0099199D"/>
    <w:rsid w:val="00991B9A"/>
    <w:rsid w:val="00991BF9"/>
    <w:rsid w:val="0099214E"/>
    <w:rsid w:val="009923C3"/>
    <w:rsid w:val="00993499"/>
    <w:rsid w:val="009934DB"/>
    <w:rsid w:val="009939C7"/>
    <w:rsid w:val="009939CB"/>
    <w:rsid w:val="00993D95"/>
    <w:rsid w:val="009948FE"/>
    <w:rsid w:val="00994984"/>
    <w:rsid w:val="009956DE"/>
    <w:rsid w:val="00995756"/>
    <w:rsid w:val="00996876"/>
    <w:rsid w:val="00997125"/>
    <w:rsid w:val="0099726D"/>
    <w:rsid w:val="00997960"/>
    <w:rsid w:val="009979C6"/>
    <w:rsid w:val="009A002D"/>
    <w:rsid w:val="009A01EB"/>
    <w:rsid w:val="009A0208"/>
    <w:rsid w:val="009A0B05"/>
    <w:rsid w:val="009A11A6"/>
    <w:rsid w:val="009A1B80"/>
    <w:rsid w:val="009A21EE"/>
    <w:rsid w:val="009A253B"/>
    <w:rsid w:val="009A2F2E"/>
    <w:rsid w:val="009A3C6E"/>
    <w:rsid w:val="009A3F83"/>
    <w:rsid w:val="009A42AB"/>
    <w:rsid w:val="009A4472"/>
    <w:rsid w:val="009A552D"/>
    <w:rsid w:val="009A5566"/>
    <w:rsid w:val="009A5696"/>
    <w:rsid w:val="009A63C5"/>
    <w:rsid w:val="009A640C"/>
    <w:rsid w:val="009A6722"/>
    <w:rsid w:val="009A6A04"/>
    <w:rsid w:val="009A6A34"/>
    <w:rsid w:val="009A6F26"/>
    <w:rsid w:val="009A7042"/>
    <w:rsid w:val="009A7846"/>
    <w:rsid w:val="009A78A6"/>
    <w:rsid w:val="009B01AE"/>
    <w:rsid w:val="009B04F2"/>
    <w:rsid w:val="009B0763"/>
    <w:rsid w:val="009B076D"/>
    <w:rsid w:val="009B0A43"/>
    <w:rsid w:val="009B0A66"/>
    <w:rsid w:val="009B0AA4"/>
    <w:rsid w:val="009B123D"/>
    <w:rsid w:val="009B1C1B"/>
    <w:rsid w:val="009B1E55"/>
    <w:rsid w:val="009B30DC"/>
    <w:rsid w:val="009B3178"/>
    <w:rsid w:val="009B35BF"/>
    <w:rsid w:val="009B4194"/>
    <w:rsid w:val="009B472A"/>
    <w:rsid w:val="009B4C04"/>
    <w:rsid w:val="009B4C3E"/>
    <w:rsid w:val="009B4D2F"/>
    <w:rsid w:val="009B5038"/>
    <w:rsid w:val="009B508C"/>
    <w:rsid w:val="009B5121"/>
    <w:rsid w:val="009B55B6"/>
    <w:rsid w:val="009B56BE"/>
    <w:rsid w:val="009B573C"/>
    <w:rsid w:val="009B5A2F"/>
    <w:rsid w:val="009B5B0B"/>
    <w:rsid w:val="009B6816"/>
    <w:rsid w:val="009B6E08"/>
    <w:rsid w:val="009B6E0F"/>
    <w:rsid w:val="009B7356"/>
    <w:rsid w:val="009B7A8A"/>
    <w:rsid w:val="009C0156"/>
    <w:rsid w:val="009C0463"/>
    <w:rsid w:val="009C04D2"/>
    <w:rsid w:val="009C04DE"/>
    <w:rsid w:val="009C099B"/>
    <w:rsid w:val="009C0B86"/>
    <w:rsid w:val="009C1056"/>
    <w:rsid w:val="009C1219"/>
    <w:rsid w:val="009C1470"/>
    <w:rsid w:val="009C19F1"/>
    <w:rsid w:val="009C1ADB"/>
    <w:rsid w:val="009C1BF2"/>
    <w:rsid w:val="009C2E83"/>
    <w:rsid w:val="009C309B"/>
    <w:rsid w:val="009C33AD"/>
    <w:rsid w:val="009C350A"/>
    <w:rsid w:val="009C37BF"/>
    <w:rsid w:val="009C398A"/>
    <w:rsid w:val="009C3DDC"/>
    <w:rsid w:val="009C40BF"/>
    <w:rsid w:val="009C4676"/>
    <w:rsid w:val="009C5755"/>
    <w:rsid w:val="009C5C27"/>
    <w:rsid w:val="009C5FC3"/>
    <w:rsid w:val="009C60E9"/>
    <w:rsid w:val="009C61F4"/>
    <w:rsid w:val="009C6572"/>
    <w:rsid w:val="009C6629"/>
    <w:rsid w:val="009C7896"/>
    <w:rsid w:val="009C796F"/>
    <w:rsid w:val="009C7D0B"/>
    <w:rsid w:val="009D010B"/>
    <w:rsid w:val="009D0530"/>
    <w:rsid w:val="009D056C"/>
    <w:rsid w:val="009D0596"/>
    <w:rsid w:val="009D0C23"/>
    <w:rsid w:val="009D0CF4"/>
    <w:rsid w:val="009D0D52"/>
    <w:rsid w:val="009D140A"/>
    <w:rsid w:val="009D1A74"/>
    <w:rsid w:val="009D1ADF"/>
    <w:rsid w:val="009D24C1"/>
    <w:rsid w:val="009D2B26"/>
    <w:rsid w:val="009D2B87"/>
    <w:rsid w:val="009D2BE6"/>
    <w:rsid w:val="009D2F55"/>
    <w:rsid w:val="009D36C8"/>
    <w:rsid w:val="009D39E1"/>
    <w:rsid w:val="009D3B6A"/>
    <w:rsid w:val="009D3D90"/>
    <w:rsid w:val="009D43C4"/>
    <w:rsid w:val="009D44A1"/>
    <w:rsid w:val="009D4BCE"/>
    <w:rsid w:val="009D4C5D"/>
    <w:rsid w:val="009D5B6D"/>
    <w:rsid w:val="009D6019"/>
    <w:rsid w:val="009D645F"/>
    <w:rsid w:val="009D64A7"/>
    <w:rsid w:val="009D6D3F"/>
    <w:rsid w:val="009D6F87"/>
    <w:rsid w:val="009D7067"/>
    <w:rsid w:val="009D70A2"/>
    <w:rsid w:val="009D7203"/>
    <w:rsid w:val="009D7312"/>
    <w:rsid w:val="009D7410"/>
    <w:rsid w:val="009D7601"/>
    <w:rsid w:val="009D7622"/>
    <w:rsid w:val="009E05A2"/>
    <w:rsid w:val="009E074C"/>
    <w:rsid w:val="009E1377"/>
    <w:rsid w:val="009E1908"/>
    <w:rsid w:val="009E2463"/>
    <w:rsid w:val="009E2B4C"/>
    <w:rsid w:val="009E2C55"/>
    <w:rsid w:val="009E2D07"/>
    <w:rsid w:val="009E2E3F"/>
    <w:rsid w:val="009E2FAC"/>
    <w:rsid w:val="009E37B0"/>
    <w:rsid w:val="009E3971"/>
    <w:rsid w:val="009E39F0"/>
    <w:rsid w:val="009E3F94"/>
    <w:rsid w:val="009E44A4"/>
    <w:rsid w:val="009E4661"/>
    <w:rsid w:val="009E486C"/>
    <w:rsid w:val="009E4A34"/>
    <w:rsid w:val="009E4A5F"/>
    <w:rsid w:val="009E4E3B"/>
    <w:rsid w:val="009E59F4"/>
    <w:rsid w:val="009E61B0"/>
    <w:rsid w:val="009E63F0"/>
    <w:rsid w:val="009E675A"/>
    <w:rsid w:val="009E73B1"/>
    <w:rsid w:val="009E7BCD"/>
    <w:rsid w:val="009F012F"/>
    <w:rsid w:val="009F046E"/>
    <w:rsid w:val="009F05AC"/>
    <w:rsid w:val="009F086C"/>
    <w:rsid w:val="009F0971"/>
    <w:rsid w:val="009F09F5"/>
    <w:rsid w:val="009F09FB"/>
    <w:rsid w:val="009F0F11"/>
    <w:rsid w:val="009F1443"/>
    <w:rsid w:val="009F1778"/>
    <w:rsid w:val="009F1EEE"/>
    <w:rsid w:val="009F2229"/>
    <w:rsid w:val="009F236B"/>
    <w:rsid w:val="009F239C"/>
    <w:rsid w:val="009F290A"/>
    <w:rsid w:val="009F2B35"/>
    <w:rsid w:val="009F2E88"/>
    <w:rsid w:val="009F376C"/>
    <w:rsid w:val="009F3ED0"/>
    <w:rsid w:val="009F4220"/>
    <w:rsid w:val="009F429E"/>
    <w:rsid w:val="009F4825"/>
    <w:rsid w:val="009F4921"/>
    <w:rsid w:val="009F49FF"/>
    <w:rsid w:val="009F52E0"/>
    <w:rsid w:val="009F5CE6"/>
    <w:rsid w:val="009F5D65"/>
    <w:rsid w:val="009F60E0"/>
    <w:rsid w:val="009F68A3"/>
    <w:rsid w:val="009F6B75"/>
    <w:rsid w:val="009F6FA5"/>
    <w:rsid w:val="009F7007"/>
    <w:rsid w:val="009F74DB"/>
    <w:rsid w:val="009F77DF"/>
    <w:rsid w:val="009F7813"/>
    <w:rsid w:val="009F7932"/>
    <w:rsid w:val="00A00221"/>
    <w:rsid w:val="00A00437"/>
    <w:rsid w:val="00A00BE9"/>
    <w:rsid w:val="00A00DDA"/>
    <w:rsid w:val="00A01385"/>
    <w:rsid w:val="00A01B9D"/>
    <w:rsid w:val="00A02C0A"/>
    <w:rsid w:val="00A02ECC"/>
    <w:rsid w:val="00A031CE"/>
    <w:rsid w:val="00A03652"/>
    <w:rsid w:val="00A03A2A"/>
    <w:rsid w:val="00A03CB1"/>
    <w:rsid w:val="00A047FA"/>
    <w:rsid w:val="00A0480E"/>
    <w:rsid w:val="00A04844"/>
    <w:rsid w:val="00A06ED8"/>
    <w:rsid w:val="00A07570"/>
    <w:rsid w:val="00A07E5B"/>
    <w:rsid w:val="00A10103"/>
    <w:rsid w:val="00A10D64"/>
    <w:rsid w:val="00A11137"/>
    <w:rsid w:val="00A111EA"/>
    <w:rsid w:val="00A1135E"/>
    <w:rsid w:val="00A11447"/>
    <w:rsid w:val="00A11B67"/>
    <w:rsid w:val="00A11DEE"/>
    <w:rsid w:val="00A11DF8"/>
    <w:rsid w:val="00A12195"/>
    <w:rsid w:val="00A123D5"/>
    <w:rsid w:val="00A12B28"/>
    <w:rsid w:val="00A135AE"/>
    <w:rsid w:val="00A13A38"/>
    <w:rsid w:val="00A13D2F"/>
    <w:rsid w:val="00A13EAB"/>
    <w:rsid w:val="00A1423C"/>
    <w:rsid w:val="00A14BC6"/>
    <w:rsid w:val="00A1538B"/>
    <w:rsid w:val="00A15693"/>
    <w:rsid w:val="00A15AB8"/>
    <w:rsid w:val="00A162DF"/>
    <w:rsid w:val="00A16324"/>
    <w:rsid w:val="00A16DCB"/>
    <w:rsid w:val="00A17013"/>
    <w:rsid w:val="00A17526"/>
    <w:rsid w:val="00A176A3"/>
    <w:rsid w:val="00A17AF1"/>
    <w:rsid w:val="00A17B4D"/>
    <w:rsid w:val="00A17B91"/>
    <w:rsid w:val="00A20220"/>
    <w:rsid w:val="00A20CAE"/>
    <w:rsid w:val="00A210C0"/>
    <w:rsid w:val="00A21A7C"/>
    <w:rsid w:val="00A21C7C"/>
    <w:rsid w:val="00A21DE7"/>
    <w:rsid w:val="00A21E5B"/>
    <w:rsid w:val="00A21E7F"/>
    <w:rsid w:val="00A21EBF"/>
    <w:rsid w:val="00A222FD"/>
    <w:rsid w:val="00A22C23"/>
    <w:rsid w:val="00A23269"/>
    <w:rsid w:val="00A23BFA"/>
    <w:rsid w:val="00A23EC7"/>
    <w:rsid w:val="00A23F95"/>
    <w:rsid w:val="00A24C5B"/>
    <w:rsid w:val="00A254AA"/>
    <w:rsid w:val="00A25DFB"/>
    <w:rsid w:val="00A25E6E"/>
    <w:rsid w:val="00A2610D"/>
    <w:rsid w:val="00A26312"/>
    <w:rsid w:val="00A26462"/>
    <w:rsid w:val="00A26700"/>
    <w:rsid w:val="00A26A0F"/>
    <w:rsid w:val="00A26B21"/>
    <w:rsid w:val="00A274E2"/>
    <w:rsid w:val="00A27727"/>
    <w:rsid w:val="00A27F30"/>
    <w:rsid w:val="00A30562"/>
    <w:rsid w:val="00A30786"/>
    <w:rsid w:val="00A307DF"/>
    <w:rsid w:val="00A30B97"/>
    <w:rsid w:val="00A31193"/>
    <w:rsid w:val="00A312AD"/>
    <w:rsid w:val="00A312FC"/>
    <w:rsid w:val="00A316FF"/>
    <w:rsid w:val="00A31909"/>
    <w:rsid w:val="00A31A9F"/>
    <w:rsid w:val="00A31F9A"/>
    <w:rsid w:val="00A32038"/>
    <w:rsid w:val="00A32237"/>
    <w:rsid w:val="00A3288D"/>
    <w:rsid w:val="00A32A9B"/>
    <w:rsid w:val="00A32E54"/>
    <w:rsid w:val="00A3307A"/>
    <w:rsid w:val="00A3497B"/>
    <w:rsid w:val="00A34BDA"/>
    <w:rsid w:val="00A358DC"/>
    <w:rsid w:val="00A362FE"/>
    <w:rsid w:val="00A36969"/>
    <w:rsid w:val="00A36979"/>
    <w:rsid w:val="00A36BED"/>
    <w:rsid w:val="00A37640"/>
    <w:rsid w:val="00A37789"/>
    <w:rsid w:val="00A377EC"/>
    <w:rsid w:val="00A3799F"/>
    <w:rsid w:val="00A37B75"/>
    <w:rsid w:val="00A37E2E"/>
    <w:rsid w:val="00A40079"/>
    <w:rsid w:val="00A40C15"/>
    <w:rsid w:val="00A414A5"/>
    <w:rsid w:val="00A4164A"/>
    <w:rsid w:val="00A41C3D"/>
    <w:rsid w:val="00A41F2E"/>
    <w:rsid w:val="00A427FE"/>
    <w:rsid w:val="00A42822"/>
    <w:rsid w:val="00A42BB2"/>
    <w:rsid w:val="00A42BF6"/>
    <w:rsid w:val="00A432A0"/>
    <w:rsid w:val="00A4354B"/>
    <w:rsid w:val="00A43BFD"/>
    <w:rsid w:val="00A43F0A"/>
    <w:rsid w:val="00A43FF9"/>
    <w:rsid w:val="00A44220"/>
    <w:rsid w:val="00A443AA"/>
    <w:rsid w:val="00A44B28"/>
    <w:rsid w:val="00A452DB"/>
    <w:rsid w:val="00A45500"/>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3CF6"/>
    <w:rsid w:val="00A5508D"/>
    <w:rsid w:val="00A550F7"/>
    <w:rsid w:val="00A55474"/>
    <w:rsid w:val="00A557AA"/>
    <w:rsid w:val="00A558B3"/>
    <w:rsid w:val="00A562BE"/>
    <w:rsid w:val="00A56A4F"/>
    <w:rsid w:val="00A56B72"/>
    <w:rsid w:val="00A56DDE"/>
    <w:rsid w:val="00A56FEE"/>
    <w:rsid w:val="00A5777D"/>
    <w:rsid w:val="00A5787F"/>
    <w:rsid w:val="00A57E73"/>
    <w:rsid w:val="00A60436"/>
    <w:rsid w:val="00A607D9"/>
    <w:rsid w:val="00A60A8B"/>
    <w:rsid w:val="00A60C3A"/>
    <w:rsid w:val="00A6124D"/>
    <w:rsid w:val="00A6198C"/>
    <w:rsid w:val="00A6203D"/>
    <w:rsid w:val="00A62199"/>
    <w:rsid w:val="00A621B7"/>
    <w:rsid w:val="00A63037"/>
    <w:rsid w:val="00A6323E"/>
    <w:rsid w:val="00A63315"/>
    <w:rsid w:val="00A63575"/>
    <w:rsid w:val="00A63AF3"/>
    <w:rsid w:val="00A6419E"/>
    <w:rsid w:val="00A64A06"/>
    <w:rsid w:val="00A64E8C"/>
    <w:rsid w:val="00A64EF8"/>
    <w:rsid w:val="00A65016"/>
    <w:rsid w:val="00A65A63"/>
    <w:rsid w:val="00A65B00"/>
    <w:rsid w:val="00A65CC9"/>
    <w:rsid w:val="00A65E01"/>
    <w:rsid w:val="00A66413"/>
    <w:rsid w:val="00A664B6"/>
    <w:rsid w:val="00A6677B"/>
    <w:rsid w:val="00A67A3C"/>
    <w:rsid w:val="00A67D1C"/>
    <w:rsid w:val="00A67D72"/>
    <w:rsid w:val="00A7089D"/>
    <w:rsid w:val="00A710AC"/>
    <w:rsid w:val="00A7126B"/>
    <w:rsid w:val="00A717AD"/>
    <w:rsid w:val="00A7186E"/>
    <w:rsid w:val="00A719E2"/>
    <w:rsid w:val="00A71B1D"/>
    <w:rsid w:val="00A71FC9"/>
    <w:rsid w:val="00A7220A"/>
    <w:rsid w:val="00A725DB"/>
    <w:rsid w:val="00A72751"/>
    <w:rsid w:val="00A7337F"/>
    <w:rsid w:val="00A73655"/>
    <w:rsid w:val="00A73667"/>
    <w:rsid w:val="00A73738"/>
    <w:rsid w:val="00A73CB7"/>
    <w:rsid w:val="00A73D7C"/>
    <w:rsid w:val="00A73E8F"/>
    <w:rsid w:val="00A747DC"/>
    <w:rsid w:val="00A74D4E"/>
    <w:rsid w:val="00A753BD"/>
    <w:rsid w:val="00A7616A"/>
    <w:rsid w:val="00A761EE"/>
    <w:rsid w:val="00A762FD"/>
    <w:rsid w:val="00A76818"/>
    <w:rsid w:val="00A769BA"/>
    <w:rsid w:val="00A76B33"/>
    <w:rsid w:val="00A77933"/>
    <w:rsid w:val="00A77F98"/>
    <w:rsid w:val="00A80813"/>
    <w:rsid w:val="00A80C47"/>
    <w:rsid w:val="00A80EA4"/>
    <w:rsid w:val="00A81275"/>
    <w:rsid w:val="00A8162A"/>
    <w:rsid w:val="00A816E3"/>
    <w:rsid w:val="00A819DD"/>
    <w:rsid w:val="00A81B62"/>
    <w:rsid w:val="00A81C95"/>
    <w:rsid w:val="00A82527"/>
    <w:rsid w:val="00A8316D"/>
    <w:rsid w:val="00A833BF"/>
    <w:rsid w:val="00A83509"/>
    <w:rsid w:val="00A83903"/>
    <w:rsid w:val="00A83A16"/>
    <w:rsid w:val="00A83CA5"/>
    <w:rsid w:val="00A84336"/>
    <w:rsid w:val="00A84863"/>
    <w:rsid w:val="00A84AB6"/>
    <w:rsid w:val="00A84EBD"/>
    <w:rsid w:val="00A84EDD"/>
    <w:rsid w:val="00A84F34"/>
    <w:rsid w:val="00A84FAC"/>
    <w:rsid w:val="00A854BC"/>
    <w:rsid w:val="00A85B89"/>
    <w:rsid w:val="00A8620E"/>
    <w:rsid w:val="00A864E9"/>
    <w:rsid w:val="00A86CC9"/>
    <w:rsid w:val="00A87600"/>
    <w:rsid w:val="00A87906"/>
    <w:rsid w:val="00A87958"/>
    <w:rsid w:val="00A87CD3"/>
    <w:rsid w:val="00A87E9E"/>
    <w:rsid w:val="00A901BE"/>
    <w:rsid w:val="00A904E2"/>
    <w:rsid w:val="00A908FF"/>
    <w:rsid w:val="00A90AD4"/>
    <w:rsid w:val="00A90D2E"/>
    <w:rsid w:val="00A90DCE"/>
    <w:rsid w:val="00A90F25"/>
    <w:rsid w:val="00A912E7"/>
    <w:rsid w:val="00A91A2C"/>
    <w:rsid w:val="00A91E97"/>
    <w:rsid w:val="00A9260E"/>
    <w:rsid w:val="00A92BCF"/>
    <w:rsid w:val="00A93095"/>
    <w:rsid w:val="00A93A32"/>
    <w:rsid w:val="00A93E6F"/>
    <w:rsid w:val="00A940DB"/>
    <w:rsid w:val="00A941B0"/>
    <w:rsid w:val="00A941D7"/>
    <w:rsid w:val="00A94511"/>
    <w:rsid w:val="00A94FE5"/>
    <w:rsid w:val="00A96085"/>
    <w:rsid w:val="00A9628F"/>
    <w:rsid w:val="00A96424"/>
    <w:rsid w:val="00A969D8"/>
    <w:rsid w:val="00A96BEA"/>
    <w:rsid w:val="00A9745B"/>
    <w:rsid w:val="00AA19A6"/>
    <w:rsid w:val="00AA1AED"/>
    <w:rsid w:val="00AA20B1"/>
    <w:rsid w:val="00AA262E"/>
    <w:rsid w:val="00AA2BC1"/>
    <w:rsid w:val="00AA2C89"/>
    <w:rsid w:val="00AA3451"/>
    <w:rsid w:val="00AA38F8"/>
    <w:rsid w:val="00AA3906"/>
    <w:rsid w:val="00AA4312"/>
    <w:rsid w:val="00AA43BD"/>
    <w:rsid w:val="00AA46E6"/>
    <w:rsid w:val="00AA47DB"/>
    <w:rsid w:val="00AA48C1"/>
    <w:rsid w:val="00AA4945"/>
    <w:rsid w:val="00AA4B2F"/>
    <w:rsid w:val="00AA4FC0"/>
    <w:rsid w:val="00AA564B"/>
    <w:rsid w:val="00AA5889"/>
    <w:rsid w:val="00AA5915"/>
    <w:rsid w:val="00AA5CE3"/>
    <w:rsid w:val="00AA60A4"/>
    <w:rsid w:val="00AA64DE"/>
    <w:rsid w:val="00AA6D8A"/>
    <w:rsid w:val="00AA73A8"/>
    <w:rsid w:val="00AB006F"/>
    <w:rsid w:val="00AB00E8"/>
    <w:rsid w:val="00AB106B"/>
    <w:rsid w:val="00AB114C"/>
    <w:rsid w:val="00AB153D"/>
    <w:rsid w:val="00AB156D"/>
    <w:rsid w:val="00AB1685"/>
    <w:rsid w:val="00AB17B3"/>
    <w:rsid w:val="00AB1A9F"/>
    <w:rsid w:val="00AB2A38"/>
    <w:rsid w:val="00AB2A74"/>
    <w:rsid w:val="00AB2E0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6DA7"/>
    <w:rsid w:val="00AB7024"/>
    <w:rsid w:val="00AB7213"/>
    <w:rsid w:val="00AB73F4"/>
    <w:rsid w:val="00AB7442"/>
    <w:rsid w:val="00AB759E"/>
    <w:rsid w:val="00AB7A55"/>
    <w:rsid w:val="00AB7CB4"/>
    <w:rsid w:val="00AB7D0B"/>
    <w:rsid w:val="00AB7D4B"/>
    <w:rsid w:val="00AB7D75"/>
    <w:rsid w:val="00AB7FA0"/>
    <w:rsid w:val="00AC03EA"/>
    <w:rsid w:val="00AC0478"/>
    <w:rsid w:val="00AC105F"/>
    <w:rsid w:val="00AC1226"/>
    <w:rsid w:val="00AC14E0"/>
    <w:rsid w:val="00AC1686"/>
    <w:rsid w:val="00AC179A"/>
    <w:rsid w:val="00AC2121"/>
    <w:rsid w:val="00AC2218"/>
    <w:rsid w:val="00AC2385"/>
    <w:rsid w:val="00AC24F6"/>
    <w:rsid w:val="00AC26DC"/>
    <w:rsid w:val="00AC2837"/>
    <w:rsid w:val="00AC299E"/>
    <w:rsid w:val="00AC3375"/>
    <w:rsid w:val="00AC3834"/>
    <w:rsid w:val="00AC5774"/>
    <w:rsid w:val="00AC5C6A"/>
    <w:rsid w:val="00AC5EA2"/>
    <w:rsid w:val="00AC5F59"/>
    <w:rsid w:val="00AC60DA"/>
    <w:rsid w:val="00AC65AF"/>
    <w:rsid w:val="00AC6A61"/>
    <w:rsid w:val="00AC6DA9"/>
    <w:rsid w:val="00AC7052"/>
    <w:rsid w:val="00AC739C"/>
    <w:rsid w:val="00AC7672"/>
    <w:rsid w:val="00AC7703"/>
    <w:rsid w:val="00AC7D7E"/>
    <w:rsid w:val="00AC7E57"/>
    <w:rsid w:val="00AD0558"/>
    <w:rsid w:val="00AD0C0E"/>
    <w:rsid w:val="00AD0DD7"/>
    <w:rsid w:val="00AD0FBD"/>
    <w:rsid w:val="00AD10E5"/>
    <w:rsid w:val="00AD1165"/>
    <w:rsid w:val="00AD13DF"/>
    <w:rsid w:val="00AD150C"/>
    <w:rsid w:val="00AD1F44"/>
    <w:rsid w:val="00AD1FF4"/>
    <w:rsid w:val="00AD2362"/>
    <w:rsid w:val="00AD23CC"/>
    <w:rsid w:val="00AD2741"/>
    <w:rsid w:val="00AD31EC"/>
    <w:rsid w:val="00AD3373"/>
    <w:rsid w:val="00AD35A4"/>
    <w:rsid w:val="00AD35C0"/>
    <w:rsid w:val="00AD37F0"/>
    <w:rsid w:val="00AD3C2A"/>
    <w:rsid w:val="00AD3DAA"/>
    <w:rsid w:val="00AD3E6B"/>
    <w:rsid w:val="00AD4379"/>
    <w:rsid w:val="00AD52BE"/>
    <w:rsid w:val="00AD5D9A"/>
    <w:rsid w:val="00AD6676"/>
    <w:rsid w:val="00AD6769"/>
    <w:rsid w:val="00AD6833"/>
    <w:rsid w:val="00AD715B"/>
    <w:rsid w:val="00AD77FA"/>
    <w:rsid w:val="00AD7A80"/>
    <w:rsid w:val="00AE0B3D"/>
    <w:rsid w:val="00AE0D94"/>
    <w:rsid w:val="00AE156A"/>
    <w:rsid w:val="00AE1923"/>
    <w:rsid w:val="00AE1A43"/>
    <w:rsid w:val="00AE1C81"/>
    <w:rsid w:val="00AE1D4C"/>
    <w:rsid w:val="00AE252A"/>
    <w:rsid w:val="00AE2F4E"/>
    <w:rsid w:val="00AE35BF"/>
    <w:rsid w:val="00AE39A6"/>
    <w:rsid w:val="00AE4199"/>
    <w:rsid w:val="00AE4207"/>
    <w:rsid w:val="00AE486A"/>
    <w:rsid w:val="00AE48A4"/>
    <w:rsid w:val="00AE4C70"/>
    <w:rsid w:val="00AE4F38"/>
    <w:rsid w:val="00AE507F"/>
    <w:rsid w:val="00AE5C73"/>
    <w:rsid w:val="00AE6873"/>
    <w:rsid w:val="00AE6D21"/>
    <w:rsid w:val="00AE78CF"/>
    <w:rsid w:val="00AE7F9B"/>
    <w:rsid w:val="00AF0016"/>
    <w:rsid w:val="00AF0A0B"/>
    <w:rsid w:val="00AF0D03"/>
    <w:rsid w:val="00AF0F7F"/>
    <w:rsid w:val="00AF1618"/>
    <w:rsid w:val="00AF1771"/>
    <w:rsid w:val="00AF1DE2"/>
    <w:rsid w:val="00AF24F2"/>
    <w:rsid w:val="00AF2806"/>
    <w:rsid w:val="00AF2F7F"/>
    <w:rsid w:val="00AF31F6"/>
    <w:rsid w:val="00AF3AE3"/>
    <w:rsid w:val="00AF3BDB"/>
    <w:rsid w:val="00AF406C"/>
    <w:rsid w:val="00AF40E0"/>
    <w:rsid w:val="00AF41B6"/>
    <w:rsid w:val="00AF428A"/>
    <w:rsid w:val="00AF4336"/>
    <w:rsid w:val="00AF45AF"/>
    <w:rsid w:val="00AF498E"/>
    <w:rsid w:val="00AF4AF0"/>
    <w:rsid w:val="00AF4E90"/>
    <w:rsid w:val="00AF52DD"/>
    <w:rsid w:val="00AF535F"/>
    <w:rsid w:val="00AF5912"/>
    <w:rsid w:val="00AF5D8B"/>
    <w:rsid w:val="00AF6220"/>
    <w:rsid w:val="00AF6DFF"/>
    <w:rsid w:val="00AF72AA"/>
    <w:rsid w:val="00AF7341"/>
    <w:rsid w:val="00AF7BAB"/>
    <w:rsid w:val="00B0063B"/>
    <w:rsid w:val="00B00D2D"/>
    <w:rsid w:val="00B00F17"/>
    <w:rsid w:val="00B01C0B"/>
    <w:rsid w:val="00B01DB9"/>
    <w:rsid w:val="00B01E36"/>
    <w:rsid w:val="00B01F90"/>
    <w:rsid w:val="00B03388"/>
    <w:rsid w:val="00B03DEF"/>
    <w:rsid w:val="00B043FA"/>
    <w:rsid w:val="00B04C10"/>
    <w:rsid w:val="00B05579"/>
    <w:rsid w:val="00B0575B"/>
    <w:rsid w:val="00B0581C"/>
    <w:rsid w:val="00B0588C"/>
    <w:rsid w:val="00B05D0B"/>
    <w:rsid w:val="00B05E04"/>
    <w:rsid w:val="00B06249"/>
    <w:rsid w:val="00B06576"/>
    <w:rsid w:val="00B068E4"/>
    <w:rsid w:val="00B068FF"/>
    <w:rsid w:val="00B10C0C"/>
    <w:rsid w:val="00B1114A"/>
    <w:rsid w:val="00B115ED"/>
    <w:rsid w:val="00B117CB"/>
    <w:rsid w:val="00B117D7"/>
    <w:rsid w:val="00B11A1C"/>
    <w:rsid w:val="00B12425"/>
    <w:rsid w:val="00B12732"/>
    <w:rsid w:val="00B13785"/>
    <w:rsid w:val="00B13A62"/>
    <w:rsid w:val="00B13B8E"/>
    <w:rsid w:val="00B13F9C"/>
    <w:rsid w:val="00B142E0"/>
    <w:rsid w:val="00B15237"/>
    <w:rsid w:val="00B16610"/>
    <w:rsid w:val="00B166A6"/>
    <w:rsid w:val="00B166AB"/>
    <w:rsid w:val="00B16817"/>
    <w:rsid w:val="00B20497"/>
    <w:rsid w:val="00B2128C"/>
    <w:rsid w:val="00B21406"/>
    <w:rsid w:val="00B2238D"/>
    <w:rsid w:val="00B229A1"/>
    <w:rsid w:val="00B23034"/>
    <w:rsid w:val="00B2308E"/>
    <w:rsid w:val="00B231BC"/>
    <w:rsid w:val="00B23573"/>
    <w:rsid w:val="00B23ABE"/>
    <w:rsid w:val="00B23B67"/>
    <w:rsid w:val="00B24B78"/>
    <w:rsid w:val="00B24C03"/>
    <w:rsid w:val="00B25E29"/>
    <w:rsid w:val="00B266F1"/>
    <w:rsid w:val="00B2674D"/>
    <w:rsid w:val="00B26797"/>
    <w:rsid w:val="00B26C98"/>
    <w:rsid w:val="00B26E4F"/>
    <w:rsid w:val="00B271E8"/>
    <w:rsid w:val="00B27548"/>
    <w:rsid w:val="00B275D8"/>
    <w:rsid w:val="00B27C62"/>
    <w:rsid w:val="00B30166"/>
    <w:rsid w:val="00B3101D"/>
    <w:rsid w:val="00B313F6"/>
    <w:rsid w:val="00B318E3"/>
    <w:rsid w:val="00B32506"/>
    <w:rsid w:val="00B32F66"/>
    <w:rsid w:val="00B33345"/>
    <w:rsid w:val="00B33678"/>
    <w:rsid w:val="00B33850"/>
    <w:rsid w:val="00B338BA"/>
    <w:rsid w:val="00B33F6F"/>
    <w:rsid w:val="00B33FD6"/>
    <w:rsid w:val="00B34AFD"/>
    <w:rsid w:val="00B3512D"/>
    <w:rsid w:val="00B354E2"/>
    <w:rsid w:val="00B358C1"/>
    <w:rsid w:val="00B35CB1"/>
    <w:rsid w:val="00B3634F"/>
    <w:rsid w:val="00B36705"/>
    <w:rsid w:val="00B36A7A"/>
    <w:rsid w:val="00B37073"/>
    <w:rsid w:val="00B37C50"/>
    <w:rsid w:val="00B40037"/>
    <w:rsid w:val="00B4055F"/>
    <w:rsid w:val="00B40572"/>
    <w:rsid w:val="00B4108E"/>
    <w:rsid w:val="00B4111C"/>
    <w:rsid w:val="00B4120D"/>
    <w:rsid w:val="00B41314"/>
    <w:rsid w:val="00B413D2"/>
    <w:rsid w:val="00B41861"/>
    <w:rsid w:val="00B41A1A"/>
    <w:rsid w:val="00B420A2"/>
    <w:rsid w:val="00B42107"/>
    <w:rsid w:val="00B425D2"/>
    <w:rsid w:val="00B42F63"/>
    <w:rsid w:val="00B431AD"/>
    <w:rsid w:val="00B4365C"/>
    <w:rsid w:val="00B436E2"/>
    <w:rsid w:val="00B438A8"/>
    <w:rsid w:val="00B439B0"/>
    <w:rsid w:val="00B439E5"/>
    <w:rsid w:val="00B440D1"/>
    <w:rsid w:val="00B44412"/>
    <w:rsid w:val="00B44A28"/>
    <w:rsid w:val="00B453BC"/>
    <w:rsid w:val="00B457F9"/>
    <w:rsid w:val="00B45BBA"/>
    <w:rsid w:val="00B45FDC"/>
    <w:rsid w:val="00B462D8"/>
    <w:rsid w:val="00B46347"/>
    <w:rsid w:val="00B46444"/>
    <w:rsid w:val="00B472E3"/>
    <w:rsid w:val="00B4762E"/>
    <w:rsid w:val="00B479CF"/>
    <w:rsid w:val="00B47BCD"/>
    <w:rsid w:val="00B507E3"/>
    <w:rsid w:val="00B512C2"/>
    <w:rsid w:val="00B5139C"/>
    <w:rsid w:val="00B51B92"/>
    <w:rsid w:val="00B51D8B"/>
    <w:rsid w:val="00B52EAD"/>
    <w:rsid w:val="00B52F36"/>
    <w:rsid w:val="00B52FD8"/>
    <w:rsid w:val="00B533DB"/>
    <w:rsid w:val="00B535DF"/>
    <w:rsid w:val="00B536F9"/>
    <w:rsid w:val="00B53ABB"/>
    <w:rsid w:val="00B5463E"/>
    <w:rsid w:val="00B5474A"/>
    <w:rsid w:val="00B54B97"/>
    <w:rsid w:val="00B5505C"/>
    <w:rsid w:val="00B55825"/>
    <w:rsid w:val="00B55E9E"/>
    <w:rsid w:val="00B55FAE"/>
    <w:rsid w:val="00B56101"/>
    <w:rsid w:val="00B5628A"/>
    <w:rsid w:val="00B57320"/>
    <w:rsid w:val="00B574FC"/>
    <w:rsid w:val="00B57639"/>
    <w:rsid w:val="00B57D8B"/>
    <w:rsid w:val="00B6019F"/>
    <w:rsid w:val="00B60E24"/>
    <w:rsid w:val="00B61068"/>
    <w:rsid w:val="00B6118D"/>
    <w:rsid w:val="00B629F8"/>
    <w:rsid w:val="00B62AB3"/>
    <w:rsid w:val="00B62AF2"/>
    <w:rsid w:val="00B6300B"/>
    <w:rsid w:val="00B636B2"/>
    <w:rsid w:val="00B638BD"/>
    <w:rsid w:val="00B63B4B"/>
    <w:rsid w:val="00B649C3"/>
    <w:rsid w:val="00B656D5"/>
    <w:rsid w:val="00B65EAD"/>
    <w:rsid w:val="00B66449"/>
    <w:rsid w:val="00B66F41"/>
    <w:rsid w:val="00B674BE"/>
    <w:rsid w:val="00B67A5D"/>
    <w:rsid w:val="00B67BF5"/>
    <w:rsid w:val="00B70240"/>
    <w:rsid w:val="00B706E0"/>
    <w:rsid w:val="00B70E68"/>
    <w:rsid w:val="00B7115C"/>
    <w:rsid w:val="00B71267"/>
    <w:rsid w:val="00B717A4"/>
    <w:rsid w:val="00B71802"/>
    <w:rsid w:val="00B71BEA"/>
    <w:rsid w:val="00B71D0E"/>
    <w:rsid w:val="00B71D57"/>
    <w:rsid w:val="00B71F1E"/>
    <w:rsid w:val="00B72616"/>
    <w:rsid w:val="00B727C3"/>
    <w:rsid w:val="00B727F5"/>
    <w:rsid w:val="00B7296F"/>
    <w:rsid w:val="00B732CD"/>
    <w:rsid w:val="00B7351F"/>
    <w:rsid w:val="00B73A8A"/>
    <w:rsid w:val="00B743DF"/>
    <w:rsid w:val="00B7465C"/>
    <w:rsid w:val="00B74B6F"/>
    <w:rsid w:val="00B74BD5"/>
    <w:rsid w:val="00B752A3"/>
    <w:rsid w:val="00B75471"/>
    <w:rsid w:val="00B75640"/>
    <w:rsid w:val="00B75690"/>
    <w:rsid w:val="00B75853"/>
    <w:rsid w:val="00B75BF1"/>
    <w:rsid w:val="00B76A80"/>
    <w:rsid w:val="00B76B8C"/>
    <w:rsid w:val="00B76E86"/>
    <w:rsid w:val="00B77355"/>
    <w:rsid w:val="00B773D3"/>
    <w:rsid w:val="00B779BE"/>
    <w:rsid w:val="00B77E94"/>
    <w:rsid w:val="00B77EC0"/>
    <w:rsid w:val="00B802C8"/>
    <w:rsid w:val="00B80321"/>
    <w:rsid w:val="00B80F6B"/>
    <w:rsid w:val="00B81895"/>
    <w:rsid w:val="00B820BD"/>
    <w:rsid w:val="00B82A43"/>
    <w:rsid w:val="00B83B02"/>
    <w:rsid w:val="00B843CE"/>
    <w:rsid w:val="00B8562C"/>
    <w:rsid w:val="00B862C2"/>
    <w:rsid w:val="00B862F5"/>
    <w:rsid w:val="00B863E7"/>
    <w:rsid w:val="00B8669E"/>
    <w:rsid w:val="00B875FA"/>
    <w:rsid w:val="00B8778B"/>
    <w:rsid w:val="00B87A0E"/>
    <w:rsid w:val="00B90076"/>
    <w:rsid w:val="00B9021A"/>
    <w:rsid w:val="00B9029E"/>
    <w:rsid w:val="00B9031C"/>
    <w:rsid w:val="00B90653"/>
    <w:rsid w:val="00B90BB1"/>
    <w:rsid w:val="00B9112C"/>
    <w:rsid w:val="00B9114D"/>
    <w:rsid w:val="00B925DB"/>
    <w:rsid w:val="00B92B1F"/>
    <w:rsid w:val="00B92BCA"/>
    <w:rsid w:val="00B92CDD"/>
    <w:rsid w:val="00B92F57"/>
    <w:rsid w:val="00B9333B"/>
    <w:rsid w:val="00B938E4"/>
    <w:rsid w:val="00B93EB5"/>
    <w:rsid w:val="00B93EBE"/>
    <w:rsid w:val="00B94237"/>
    <w:rsid w:val="00B947BF"/>
    <w:rsid w:val="00B9490A"/>
    <w:rsid w:val="00B94E55"/>
    <w:rsid w:val="00B94F87"/>
    <w:rsid w:val="00B951C1"/>
    <w:rsid w:val="00B9550F"/>
    <w:rsid w:val="00B9556E"/>
    <w:rsid w:val="00B95AB0"/>
    <w:rsid w:val="00B95D3A"/>
    <w:rsid w:val="00B95DC7"/>
    <w:rsid w:val="00B95FFF"/>
    <w:rsid w:val="00B9691F"/>
    <w:rsid w:val="00B96960"/>
    <w:rsid w:val="00B96C53"/>
    <w:rsid w:val="00B975CF"/>
    <w:rsid w:val="00BA0056"/>
    <w:rsid w:val="00BA0218"/>
    <w:rsid w:val="00BA0280"/>
    <w:rsid w:val="00BA07B1"/>
    <w:rsid w:val="00BA0F89"/>
    <w:rsid w:val="00BA1049"/>
    <w:rsid w:val="00BA179D"/>
    <w:rsid w:val="00BA1AFD"/>
    <w:rsid w:val="00BA1FE9"/>
    <w:rsid w:val="00BA217B"/>
    <w:rsid w:val="00BA2898"/>
    <w:rsid w:val="00BA2A85"/>
    <w:rsid w:val="00BA2C58"/>
    <w:rsid w:val="00BA2CA1"/>
    <w:rsid w:val="00BA2D16"/>
    <w:rsid w:val="00BA31C3"/>
    <w:rsid w:val="00BA399C"/>
    <w:rsid w:val="00BA4312"/>
    <w:rsid w:val="00BA4525"/>
    <w:rsid w:val="00BA4BFB"/>
    <w:rsid w:val="00BA4FBA"/>
    <w:rsid w:val="00BA51F6"/>
    <w:rsid w:val="00BA5B47"/>
    <w:rsid w:val="00BA5D22"/>
    <w:rsid w:val="00BA5ED6"/>
    <w:rsid w:val="00BA5FEB"/>
    <w:rsid w:val="00BA648B"/>
    <w:rsid w:val="00BA65B4"/>
    <w:rsid w:val="00BA6818"/>
    <w:rsid w:val="00BA6DEA"/>
    <w:rsid w:val="00BA6F75"/>
    <w:rsid w:val="00BA77DE"/>
    <w:rsid w:val="00BA782E"/>
    <w:rsid w:val="00BA7A25"/>
    <w:rsid w:val="00BA7AFF"/>
    <w:rsid w:val="00BB04EB"/>
    <w:rsid w:val="00BB05F4"/>
    <w:rsid w:val="00BB0630"/>
    <w:rsid w:val="00BB12F6"/>
    <w:rsid w:val="00BB13AC"/>
    <w:rsid w:val="00BB155B"/>
    <w:rsid w:val="00BB26B7"/>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3A7"/>
    <w:rsid w:val="00BB772D"/>
    <w:rsid w:val="00BB7FFA"/>
    <w:rsid w:val="00BC091B"/>
    <w:rsid w:val="00BC0BA0"/>
    <w:rsid w:val="00BC0D36"/>
    <w:rsid w:val="00BC13E1"/>
    <w:rsid w:val="00BC23C0"/>
    <w:rsid w:val="00BC265E"/>
    <w:rsid w:val="00BC2978"/>
    <w:rsid w:val="00BC2AFC"/>
    <w:rsid w:val="00BC2C40"/>
    <w:rsid w:val="00BC2C7A"/>
    <w:rsid w:val="00BC3288"/>
    <w:rsid w:val="00BC3563"/>
    <w:rsid w:val="00BC3677"/>
    <w:rsid w:val="00BC3839"/>
    <w:rsid w:val="00BC3C2D"/>
    <w:rsid w:val="00BC3F6B"/>
    <w:rsid w:val="00BC4B99"/>
    <w:rsid w:val="00BC4BE7"/>
    <w:rsid w:val="00BC55AC"/>
    <w:rsid w:val="00BC6794"/>
    <w:rsid w:val="00BC6A2A"/>
    <w:rsid w:val="00BC6ABA"/>
    <w:rsid w:val="00BC700B"/>
    <w:rsid w:val="00BC730B"/>
    <w:rsid w:val="00BC7AB1"/>
    <w:rsid w:val="00BC7C23"/>
    <w:rsid w:val="00BD0507"/>
    <w:rsid w:val="00BD053A"/>
    <w:rsid w:val="00BD0750"/>
    <w:rsid w:val="00BD0CA0"/>
    <w:rsid w:val="00BD0E33"/>
    <w:rsid w:val="00BD1A6E"/>
    <w:rsid w:val="00BD1B1A"/>
    <w:rsid w:val="00BD1D83"/>
    <w:rsid w:val="00BD1F79"/>
    <w:rsid w:val="00BD2379"/>
    <w:rsid w:val="00BD29E2"/>
    <w:rsid w:val="00BD35A5"/>
    <w:rsid w:val="00BD35F1"/>
    <w:rsid w:val="00BD361E"/>
    <w:rsid w:val="00BD37BA"/>
    <w:rsid w:val="00BD383C"/>
    <w:rsid w:val="00BD3AE8"/>
    <w:rsid w:val="00BD42A4"/>
    <w:rsid w:val="00BD4780"/>
    <w:rsid w:val="00BD4CCC"/>
    <w:rsid w:val="00BD4CF5"/>
    <w:rsid w:val="00BD5509"/>
    <w:rsid w:val="00BD5BA6"/>
    <w:rsid w:val="00BD5EB2"/>
    <w:rsid w:val="00BD601C"/>
    <w:rsid w:val="00BD609B"/>
    <w:rsid w:val="00BD68FA"/>
    <w:rsid w:val="00BD6B3D"/>
    <w:rsid w:val="00BD70AE"/>
    <w:rsid w:val="00BD72D4"/>
    <w:rsid w:val="00BD734C"/>
    <w:rsid w:val="00BE0C0C"/>
    <w:rsid w:val="00BE0DCB"/>
    <w:rsid w:val="00BE1227"/>
    <w:rsid w:val="00BE16C4"/>
    <w:rsid w:val="00BE1859"/>
    <w:rsid w:val="00BE1A96"/>
    <w:rsid w:val="00BE213C"/>
    <w:rsid w:val="00BE241E"/>
    <w:rsid w:val="00BE24E9"/>
    <w:rsid w:val="00BE28C7"/>
    <w:rsid w:val="00BE2D0C"/>
    <w:rsid w:val="00BE2F05"/>
    <w:rsid w:val="00BE35F6"/>
    <w:rsid w:val="00BE396B"/>
    <w:rsid w:val="00BE4180"/>
    <w:rsid w:val="00BE4695"/>
    <w:rsid w:val="00BE499A"/>
    <w:rsid w:val="00BE4A14"/>
    <w:rsid w:val="00BE538C"/>
    <w:rsid w:val="00BE63D8"/>
    <w:rsid w:val="00BE6738"/>
    <w:rsid w:val="00BE6876"/>
    <w:rsid w:val="00BE6ED1"/>
    <w:rsid w:val="00BE756C"/>
    <w:rsid w:val="00BE7822"/>
    <w:rsid w:val="00BE7934"/>
    <w:rsid w:val="00BE7AC2"/>
    <w:rsid w:val="00BE7C29"/>
    <w:rsid w:val="00BF01F1"/>
    <w:rsid w:val="00BF024B"/>
    <w:rsid w:val="00BF0319"/>
    <w:rsid w:val="00BF04AD"/>
    <w:rsid w:val="00BF07D6"/>
    <w:rsid w:val="00BF0D2C"/>
    <w:rsid w:val="00BF1740"/>
    <w:rsid w:val="00BF175C"/>
    <w:rsid w:val="00BF1BFC"/>
    <w:rsid w:val="00BF1F0F"/>
    <w:rsid w:val="00BF20AE"/>
    <w:rsid w:val="00BF2184"/>
    <w:rsid w:val="00BF2BE3"/>
    <w:rsid w:val="00BF2F85"/>
    <w:rsid w:val="00BF35E4"/>
    <w:rsid w:val="00BF3683"/>
    <w:rsid w:val="00BF381C"/>
    <w:rsid w:val="00BF3B26"/>
    <w:rsid w:val="00BF3D2B"/>
    <w:rsid w:val="00BF3E13"/>
    <w:rsid w:val="00BF41D3"/>
    <w:rsid w:val="00BF4419"/>
    <w:rsid w:val="00BF4733"/>
    <w:rsid w:val="00BF498B"/>
    <w:rsid w:val="00BF4E26"/>
    <w:rsid w:val="00BF4EB8"/>
    <w:rsid w:val="00BF5D42"/>
    <w:rsid w:val="00BF5F2E"/>
    <w:rsid w:val="00BF60DA"/>
    <w:rsid w:val="00BF6690"/>
    <w:rsid w:val="00BF75F5"/>
    <w:rsid w:val="00BF7E98"/>
    <w:rsid w:val="00BF7E99"/>
    <w:rsid w:val="00C002F0"/>
    <w:rsid w:val="00C00469"/>
    <w:rsid w:val="00C0047B"/>
    <w:rsid w:val="00C010FA"/>
    <w:rsid w:val="00C016D5"/>
    <w:rsid w:val="00C01B24"/>
    <w:rsid w:val="00C01BB0"/>
    <w:rsid w:val="00C0290F"/>
    <w:rsid w:val="00C03FC3"/>
    <w:rsid w:val="00C042FB"/>
    <w:rsid w:val="00C05075"/>
    <w:rsid w:val="00C05422"/>
    <w:rsid w:val="00C05438"/>
    <w:rsid w:val="00C05541"/>
    <w:rsid w:val="00C055C0"/>
    <w:rsid w:val="00C0591B"/>
    <w:rsid w:val="00C06406"/>
    <w:rsid w:val="00C0643E"/>
    <w:rsid w:val="00C06515"/>
    <w:rsid w:val="00C06FD8"/>
    <w:rsid w:val="00C076A5"/>
    <w:rsid w:val="00C07AE4"/>
    <w:rsid w:val="00C10107"/>
    <w:rsid w:val="00C107DD"/>
    <w:rsid w:val="00C10E4A"/>
    <w:rsid w:val="00C10F84"/>
    <w:rsid w:val="00C11958"/>
    <w:rsid w:val="00C11D58"/>
    <w:rsid w:val="00C11D80"/>
    <w:rsid w:val="00C11E76"/>
    <w:rsid w:val="00C12776"/>
    <w:rsid w:val="00C129C1"/>
    <w:rsid w:val="00C12AB0"/>
    <w:rsid w:val="00C13527"/>
    <w:rsid w:val="00C13704"/>
    <w:rsid w:val="00C13EC6"/>
    <w:rsid w:val="00C1404C"/>
    <w:rsid w:val="00C14145"/>
    <w:rsid w:val="00C1428D"/>
    <w:rsid w:val="00C146BA"/>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B0"/>
    <w:rsid w:val="00C224D0"/>
    <w:rsid w:val="00C22E4B"/>
    <w:rsid w:val="00C22EF9"/>
    <w:rsid w:val="00C22FC9"/>
    <w:rsid w:val="00C23BA3"/>
    <w:rsid w:val="00C23BC5"/>
    <w:rsid w:val="00C23E65"/>
    <w:rsid w:val="00C23FA5"/>
    <w:rsid w:val="00C240D2"/>
    <w:rsid w:val="00C24149"/>
    <w:rsid w:val="00C24886"/>
    <w:rsid w:val="00C24960"/>
    <w:rsid w:val="00C24A19"/>
    <w:rsid w:val="00C24A20"/>
    <w:rsid w:val="00C24CE5"/>
    <w:rsid w:val="00C25770"/>
    <w:rsid w:val="00C2607D"/>
    <w:rsid w:val="00C2636E"/>
    <w:rsid w:val="00C268C6"/>
    <w:rsid w:val="00C2787C"/>
    <w:rsid w:val="00C27F83"/>
    <w:rsid w:val="00C3055A"/>
    <w:rsid w:val="00C3074B"/>
    <w:rsid w:val="00C30904"/>
    <w:rsid w:val="00C3121C"/>
    <w:rsid w:val="00C3156C"/>
    <w:rsid w:val="00C317BF"/>
    <w:rsid w:val="00C3188A"/>
    <w:rsid w:val="00C318AF"/>
    <w:rsid w:val="00C321FC"/>
    <w:rsid w:val="00C324F0"/>
    <w:rsid w:val="00C3267E"/>
    <w:rsid w:val="00C327BC"/>
    <w:rsid w:val="00C33824"/>
    <w:rsid w:val="00C3385B"/>
    <w:rsid w:val="00C34156"/>
    <w:rsid w:val="00C34193"/>
    <w:rsid w:val="00C35323"/>
    <w:rsid w:val="00C353D0"/>
    <w:rsid w:val="00C35747"/>
    <w:rsid w:val="00C35A2D"/>
    <w:rsid w:val="00C3671C"/>
    <w:rsid w:val="00C368B2"/>
    <w:rsid w:val="00C36FB7"/>
    <w:rsid w:val="00C370F9"/>
    <w:rsid w:val="00C37102"/>
    <w:rsid w:val="00C3718D"/>
    <w:rsid w:val="00C37A49"/>
    <w:rsid w:val="00C37ABA"/>
    <w:rsid w:val="00C40D09"/>
    <w:rsid w:val="00C418AB"/>
    <w:rsid w:val="00C41DFB"/>
    <w:rsid w:val="00C41E7E"/>
    <w:rsid w:val="00C4227F"/>
    <w:rsid w:val="00C42FB1"/>
    <w:rsid w:val="00C43770"/>
    <w:rsid w:val="00C43AD5"/>
    <w:rsid w:val="00C43B4C"/>
    <w:rsid w:val="00C43DB2"/>
    <w:rsid w:val="00C43F3C"/>
    <w:rsid w:val="00C44B2F"/>
    <w:rsid w:val="00C44D96"/>
    <w:rsid w:val="00C4508E"/>
    <w:rsid w:val="00C45EA1"/>
    <w:rsid w:val="00C46905"/>
    <w:rsid w:val="00C470BF"/>
    <w:rsid w:val="00C4786D"/>
    <w:rsid w:val="00C47DE2"/>
    <w:rsid w:val="00C50543"/>
    <w:rsid w:val="00C505BA"/>
    <w:rsid w:val="00C510AE"/>
    <w:rsid w:val="00C5157D"/>
    <w:rsid w:val="00C52CEE"/>
    <w:rsid w:val="00C52F9A"/>
    <w:rsid w:val="00C530B7"/>
    <w:rsid w:val="00C53131"/>
    <w:rsid w:val="00C53C97"/>
    <w:rsid w:val="00C54C3C"/>
    <w:rsid w:val="00C54F0B"/>
    <w:rsid w:val="00C55C52"/>
    <w:rsid w:val="00C56DA7"/>
    <w:rsid w:val="00C56EA1"/>
    <w:rsid w:val="00C57016"/>
    <w:rsid w:val="00C57439"/>
    <w:rsid w:val="00C5752E"/>
    <w:rsid w:val="00C57A01"/>
    <w:rsid w:val="00C57A60"/>
    <w:rsid w:val="00C57C31"/>
    <w:rsid w:val="00C60065"/>
    <w:rsid w:val="00C61102"/>
    <w:rsid w:val="00C61EB8"/>
    <w:rsid w:val="00C620C3"/>
    <w:rsid w:val="00C622B7"/>
    <w:rsid w:val="00C624A9"/>
    <w:rsid w:val="00C6290A"/>
    <w:rsid w:val="00C62B22"/>
    <w:rsid w:val="00C62F1F"/>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AA3"/>
    <w:rsid w:val="00C71AA9"/>
    <w:rsid w:val="00C71C06"/>
    <w:rsid w:val="00C71DE5"/>
    <w:rsid w:val="00C71F25"/>
    <w:rsid w:val="00C72540"/>
    <w:rsid w:val="00C72823"/>
    <w:rsid w:val="00C72E13"/>
    <w:rsid w:val="00C7346A"/>
    <w:rsid w:val="00C736A6"/>
    <w:rsid w:val="00C737D4"/>
    <w:rsid w:val="00C73BEB"/>
    <w:rsid w:val="00C73F09"/>
    <w:rsid w:val="00C73F28"/>
    <w:rsid w:val="00C74808"/>
    <w:rsid w:val="00C7480B"/>
    <w:rsid w:val="00C74947"/>
    <w:rsid w:val="00C74BE6"/>
    <w:rsid w:val="00C7524C"/>
    <w:rsid w:val="00C757B7"/>
    <w:rsid w:val="00C75D57"/>
    <w:rsid w:val="00C766FC"/>
    <w:rsid w:val="00C76C34"/>
    <w:rsid w:val="00C76D6D"/>
    <w:rsid w:val="00C7708B"/>
    <w:rsid w:val="00C771A9"/>
    <w:rsid w:val="00C7724A"/>
    <w:rsid w:val="00C776FD"/>
    <w:rsid w:val="00C77B54"/>
    <w:rsid w:val="00C80033"/>
    <w:rsid w:val="00C8020F"/>
    <w:rsid w:val="00C804E2"/>
    <w:rsid w:val="00C8050C"/>
    <w:rsid w:val="00C8057B"/>
    <w:rsid w:val="00C811C0"/>
    <w:rsid w:val="00C81406"/>
    <w:rsid w:val="00C81555"/>
    <w:rsid w:val="00C81842"/>
    <w:rsid w:val="00C81F82"/>
    <w:rsid w:val="00C8225E"/>
    <w:rsid w:val="00C82E09"/>
    <w:rsid w:val="00C8340A"/>
    <w:rsid w:val="00C8345E"/>
    <w:rsid w:val="00C83948"/>
    <w:rsid w:val="00C83FC0"/>
    <w:rsid w:val="00C84351"/>
    <w:rsid w:val="00C845DF"/>
    <w:rsid w:val="00C848BA"/>
    <w:rsid w:val="00C84F98"/>
    <w:rsid w:val="00C852CD"/>
    <w:rsid w:val="00C85392"/>
    <w:rsid w:val="00C85810"/>
    <w:rsid w:val="00C85A6D"/>
    <w:rsid w:val="00C85C14"/>
    <w:rsid w:val="00C85DB5"/>
    <w:rsid w:val="00C863E3"/>
    <w:rsid w:val="00C86576"/>
    <w:rsid w:val="00C867A0"/>
    <w:rsid w:val="00C86A07"/>
    <w:rsid w:val="00C871C2"/>
    <w:rsid w:val="00C8750E"/>
    <w:rsid w:val="00C8799A"/>
    <w:rsid w:val="00C903B9"/>
    <w:rsid w:val="00C9086C"/>
    <w:rsid w:val="00C90B3F"/>
    <w:rsid w:val="00C90D16"/>
    <w:rsid w:val="00C91B89"/>
    <w:rsid w:val="00C91C46"/>
    <w:rsid w:val="00C91EB2"/>
    <w:rsid w:val="00C92387"/>
    <w:rsid w:val="00C923C0"/>
    <w:rsid w:val="00C925B9"/>
    <w:rsid w:val="00C929F3"/>
    <w:rsid w:val="00C92D02"/>
    <w:rsid w:val="00C93087"/>
    <w:rsid w:val="00C93944"/>
    <w:rsid w:val="00C9424C"/>
    <w:rsid w:val="00C94660"/>
    <w:rsid w:val="00C94796"/>
    <w:rsid w:val="00C94C8D"/>
    <w:rsid w:val="00C95281"/>
    <w:rsid w:val="00C955D7"/>
    <w:rsid w:val="00C95C45"/>
    <w:rsid w:val="00C95DD8"/>
    <w:rsid w:val="00C95F4E"/>
    <w:rsid w:val="00C960F1"/>
    <w:rsid w:val="00C9623E"/>
    <w:rsid w:val="00C96502"/>
    <w:rsid w:val="00C971AB"/>
    <w:rsid w:val="00C9724C"/>
    <w:rsid w:val="00C97AD3"/>
    <w:rsid w:val="00C97CB1"/>
    <w:rsid w:val="00CA043B"/>
    <w:rsid w:val="00CA062B"/>
    <w:rsid w:val="00CA0CFC"/>
    <w:rsid w:val="00CA1396"/>
    <w:rsid w:val="00CA1D40"/>
    <w:rsid w:val="00CA2076"/>
    <w:rsid w:val="00CA209D"/>
    <w:rsid w:val="00CA2E6A"/>
    <w:rsid w:val="00CA301A"/>
    <w:rsid w:val="00CA3219"/>
    <w:rsid w:val="00CA3970"/>
    <w:rsid w:val="00CA3981"/>
    <w:rsid w:val="00CA3BBD"/>
    <w:rsid w:val="00CA46A4"/>
    <w:rsid w:val="00CA476E"/>
    <w:rsid w:val="00CA4B8E"/>
    <w:rsid w:val="00CA4CB1"/>
    <w:rsid w:val="00CA4D0A"/>
    <w:rsid w:val="00CA5A78"/>
    <w:rsid w:val="00CA5CE9"/>
    <w:rsid w:val="00CA689A"/>
    <w:rsid w:val="00CA68D4"/>
    <w:rsid w:val="00CA7B07"/>
    <w:rsid w:val="00CB0479"/>
    <w:rsid w:val="00CB08BD"/>
    <w:rsid w:val="00CB092C"/>
    <w:rsid w:val="00CB0A16"/>
    <w:rsid w:val="00CB0C19"/>
    <w:rsid w:val="00CB0C31"/>
    <w:rsid w:val="00CB1696"/>
    <w:rsid w:val="00CB1852"/>
    <w:rsid w:val="00CB1DCD"/>
    <w:rsid w:val="00CB22FC"/>
    <w:rsid w:val="00CB2603"/>
    <w:rsid w:val="00CB2774"/>
    <w:rsid w:val="00CB29FE"/>
    <w:rsid w:val="00CB2A32"/>
    <w:rsid w:val="00CB2F96"/>
    <w:rsid w:val="00CB32CE"/>
    <w:rsid w:val="00CB356C"/>
    <w:rsid w:val="00CB38EE"/>
    <w:rsid w:val="00CB3AE4"/>
    <w:rsid w:val="00CB4562"/>
    <w:rsid w:val="00CB478A"/>
    <w:rsid w:val="00CB47F9"/>
    <w:rsid w:val="00CB4CD7"/>
    <w:rsid w:val="00CB4FE5"/>
    <w:rsid w:val="00CB5417"/>
    <w:rsid w:val="00CB5679"/>
    <w:rsid w:val="00CB5713"/>
    <w:rsid w:val="00CB60AD"/>
    <w:rsid w:val="00CB68A2"/>
    <w:rsid w:val="00CB731B"/>
    <w:rsid w:val="00CB749B"/>
    <w:rsid w:val="00CB75D1"/>
    <w:rsid w:val="00CB77D5"/>
    <w:rsid w:val="00CB7B06"/>
    <w:rsid w:val="00CB7F3B"/>
    <w:rsid w:val="00CC01EB"/>
    <w:rsid w:val="00CC02A5"/>
    <w:rsid w:val="00CC03BF"/>
    <w:rsid w:val="00CC0A7F"/>
    <w:rsid w:val="00CC150E"/>
    <w:rsid w:val="00CC25FD"/>
    <w:rsid w:val="00CC2CA2"/>
    <w:rsid w:val="00CC327F"/>
    <w:rsid w:val="00CC474A"/>
    <w:rsid w:val="00CC4785"/>
    <w:rsid w:val="00CC4C03"/>
    <w:rsid w:val="00CC4E6E"/>
    <w:rsid w:val="00CC4FB3"/>
    <w:rsid w:val="00CC5B01"/>
    <w:rsid w:val="00CC61AA"/>
    <w:rsid w:val="00CC71A0"/>
    <w:rsid w:val="00CC71F3"/>
    <w:rsid w:val="00CC7385"/>
    <w:rsid w:val="00CC75C2"/>
    <w:rsid w:val="00CC778A"/>
    <w:rsid w:val="00CC7F2A"/>
    <w:rsid w:val="00CC7F41"/>
    <w:rsid w:val="00CD0246"/>
    <w:rsid w:val="00CD06B1"/>
    <w:rsid w:val="00CD0842"/>
    <w:rsid w:val="00CD0D42"/>
    <w:rsid w:val="00CD111B"/>
    <w:rsid w:val="00CD157B"/>
    <w:rsid w:val="00CD1836"/>
    <w:rsid w:val="00CD1952"/>
    <w:rsid w:val="00CD1DC8"/>
    <w:rsid w:val="00CD20D5"/>
    <w:rsid w:val="00CD23D6"/>
    <w:rsid w:val="00CD2421"/>
    <w:rsid w:val="00CD2656"/>
    <w:rsid w:val="00CD2DCD"/>
    <w:rsid w:val="00CD2E5F"/>
    <w:rsid w:val="00CD31A5"/>
    <w:rsid w:val="00CD365A"/>
    <w:rsid w:val="00CD3667"/>
    <w:rsid w:val="00CD3BBC"/>
    <w:rsid w:val="00CD3F18"/>
    <w:rsid w:val="00CD45E3"/>
    <w:rsid w:val="00CD4B8D"/>
    <w:rsid w:val="00CD4ECA"/>
    <w:rsid w:val="00CD51D2"/>
    <w:rsid w:val="00CD5857"/>
    <w:rsid w:val="00CD5FFD"/>
    <w:rsid w:val="00CD688F"/>
    <w:rsid w:val="00CD7B0A"/>
    <w:rsid w:val="00CD7CC3"/>
    <w:rsid w:val="00CE02E6"/>
    <w:rsid w:val="00CE0B5B"/>
    <w:rsid w:val="00CE1043"/>
    <w:rsid w:val="00CE1AC9"/>
    <w:rsid w:val="00CE1F54"/>
    <w:rsid w:val="00CE30AE"/>
    <w:rsid w:val="00CE31E5"/>
    <w:rsid w:val="00CE3214"/>
    <w:rsid w:val="00CE3284"/>
    <w:rsid w:val="00CE3564"/>
    <w:rsid w:val="00CE35A0"/>
    <w:rsid w:val="00CE40E5"/>
    <w:rsid w:val="00CE42A1"/>
    <w:rsid w:val="00CE44A7"/>
    <w:rsid w:val="00CE4E08"/>
    <w:rsid w:val="00CE528E"/>
    <w:rsid w:val="00CE52ED"/>
    <w:rsid w:val="00CE569D"/>
    <w:rsid w:val="00CE6528"/>
    <w:rsid w:val="00CE6B16"/>
    <w:rsid w:val="00CE6BB0"/>
    <w:rsid w:val="00CE6F27"/>
    <w:rsid w:val="00CE786A"/>
    <w:rsid w:val="00CE79FE"/>
    <w:rsid w:val="00CE7E16"/>
    <w:rsid w:val="00CF010F"/>
    <w:rsid w:val="00CF027F"/>
    <w:rsid w:val="00CF029A"/>
    <w:rsid w:val="00CF072B"/>
    <w:rsid w:val="00CF0ADD"/>
    <w:rsid w:val="00CF0AFE"/>
    <w:rsid w:val="00CF0D20"/>
    <w:rsid w:val="00CF0DE7"/>
    <w:rsid w:val="00CF192F"/>
    <w:rsid w:val="00CF1E4F"/>
    <w:rsid w:val="00CF2234"/>
    <w:rsid w:val="00CF28EE"/>
    <w:rsid w:val="00CF2991"/>
    <w:rsid w:val="00CF2C40"/>
    <w:rsid w:val="00CF3159"/>
    <w:rsid w:val="00CF340B"/>
    <w:rsid w:val="00CF3488"/>
    <w:rsid w:val="00CF35D6"/>
    <w:rsid w:val="00CF402D"/>
    <w:rsid w:val="00CF431B"/>
    <w:rsid w:val="00CF49E3"/>
    <w:rsid w:val="00CF49FA"/>
    <w:rsid w:val="00CF4CD4"/>
    <w:rsid w:val="00CF5577"/>
    <w:rsid w:val="00CF5765"/>
    <w:rsid w:val="00CF5BF6"/>
    <w:rsid w:val="00CF62A8"/>
    <w:rsid w:val="00CF6DF4"/>
    <w:rsid w:val="00CF6EA7"/>
    <w:rsid w:val="00CF7684"/>
    <w:rsid w:val="00CF782A"/>
    <w:rsid w:val="00CF7B31"/>
    <w:rsid w:val="00D0078A"/>
    <w:rsid w:val="00D0093A"/>
    <w:rsid w:val="00D011F0"/>
    <w:rsid w:val="00D0130C"/>
    <w:rsid w:val="00D01731"/>
    <w:rsid w:val="00D0212E"/>
    <w:rsid w:val="00D0241E"/>
    <w:rsid w:val="00D04F7B"/>
    <w:rsid w:val="00D0512C"/>
    <w:rsid w:val="00D058AF"/>
    <w:rsid w:val="00D05E53"/>
    <w:rsid w:val="00D06211"/>
    <w:rsid w:val="00D0698A"/>
    <w:rsid w:val="00D06E9F"/>
    <w:rsid w:val="00D06FFF"/>
    <w:rsid w:val="00D078A4"/>
    <w:rsid w:val="00D0795F"/>
    <w:rsid w:val="00D07B7D"/>
    <w:rsid w:val="00D07CAD"/>
    <w:rsid w:val="00D07D59"/>
    <w:rsid w:val="00D10487"/>
    <w:rsid w:val="00D10BDB"/>
    <w:rsid w:val="00D10FDD"/>
    <w:rsid w:val="00D113E7"/>
    <w:rsid w:val="00D1163D"/>
    <w:rsid w:val="00D116F0"/>
    <w:rsid w:val="00D119B8"/>
    <w:rsid w:val="00D11A1D"/>
    <w:rsid w:val="00D11B26"/>
    <w:rsid w:val="00D11E6A"/>
    <w:rsid w:val="00D122BD"/>
    <w:rsid w:val="00D12A77"/>
    <w:rsid w:val="00D12E24"/>
    <w:rsid w:val="00D1347B"/>
    <w:rsid w:val="00D13CD4"/>
    <w:rsid w:val="00D13DB1"/>
    <w:rsid w:val="00D14191"/>
    <w:rsid w:val="00D14332"/>
    <w:rsid w:val="00D148FB"/>
    <w:rsid w:val="00D15178"/>
    <w:rsid w:val="00D15711"/>
    <w:rsid w:val="00D157D3"/>
    <w:rsid w:val="00D15B0C"/>
    <w:rsid w:val="00D167E6"/>
    <w:rsid w:val="00D169DA"/>
    <w:rsid w:val="00D16F9B"/>
    <w:rsid w:val="00D172C2"/>
    <w:rsid w:val="00D17611"/>
    <w:rsid w:val="00D17E36"/>
    <w:rsid w:val="00D2021E"/>
    <w:rsid w:val="00D20D13"/>
    <w:rsid w:val="00D20E60"/>
    <w:rsid w:val="00D21A5A"/>
    <w:rsid w:val="00D21E4C"/>
    <w:rsid w:val="00D22137"/>
    <w:rsid w:val="00D22534"/>
    <w:rsid w:val="00D22863"/>
    <w:rsid w:val="00D22A36"/>
    <w:rsid w:val="00D22BF5"/>
    <w:rsid w:val="00D23502"/>
    <w:rsid w:val="00D2374B"/>
    <w:rsid w:val="00D2419F"/>
    <w:rsid w:val="00D24778"/>
    <w:rsid w:val="00D24D4F"/>
    <w:rsid w:val="00D2528E"/>
    <w:rsid w:val="00D25419"/>
    <w:rsid w:val="00D2567E"/>
    <w:rsid w:val="00D25ADF"/>
    <w:rsid w:val="00D25BE6"/>
    <w:rsid w:val="00D25C2E"/>
    <w:rsid w:val="00D25FFA"/>
    <w:rsid w:val="00D264A4"/>
    <w:rsid w:val="00D26727"/>
    <w:rsid w:val="00D268A9"/>
    <w:rsid w:val="00D26E87"/>
    <w:rsid w:val="00D27086"/>
    <w:rsid w:val="00D27231"/>
    <w:rsid w:val="00D274DD"/>
    <w:rsid w:val="00D27AE9"/>
    <w:rsid w:val="00D27CDB"/>
    <w:rsid w:val="00D3012A"/>
    <w:rsid w:val="00D30458"/>
    <w:rsid w:val="00D30B67"/>
    <w:rsid w:val="00D30D2F"/>
    <w:rsid w:val="00D30D54"/>
    <w:rsid w:val="00D31529"/>
    <w:rsid w:val="00D31750"/>
    <w:rsid w:val="00D3190D"/>
    <w:rsid w:val="00D31A06"/>
    <w:rsid w:val="00D31B78"/>
    <w:rsid w:val="00D331F3"/>
    <w:rsid w:val="00D3345B"/>
    <w:rsid w:val="00D33974"/>
    <w:rsid w:val="00D34220"/>
    <w:rsid w:val="00D346EB"/>
    <w:rsid w:val="00D3493E"/>
    <w:rsid w:val="00D34974"/>
    <w:rsid w:val="00D353DC"/>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985"/>
    <w:rsid w:val="00D41BB5"/>
    <w:rsid w:val="00D41BD7"/>
    <w:rsid w:val="00D41C9A"/>
    <w:rsid w:val="00D41E32"/>
    <w:rsid w:val="00D42078"/>
    <w:rsid w:val="00D4227E"/>
    <w:rsid w:val="00D42CC1"/>
    <w:rsid w:val="00D42F6C"/>
    <w:rsid w:val="00D438D1"/>
    <w:rsid w:val="00D43A1F"/>
    <w:rsid w:val="00D43E29"/>
    <w:rsid w:val="00D440C0"/>
    <w:rsid w:val="00D44755"/>
    <w:rsid w:val="00D452CD"/>
    <w:rsid w:val="00D45EDA"/>
    <w:rsid w:val="00D46126"/>
    <w:rsid w:val="00D464AF"/>
    <w:rsid w:val="00D47E26"/>
    <w:rsid w:val="00D5020B"/>
    <w:rsid w:val="00D50BB5"/>
    <w:rsid w:val="00D50DFF"/>
    <w:rsid w:val="00D512A4"/>
    <w:rsid w:val="00D5138A"/>
    <w:rsid w:val="00D514CB"/>
    <w:rsid w:val="00D51A7A"/>
    <w:rsid w:val="00D521C2"/>
    <w:rsid w:val="00D52CA1"/>
    <w:rsid w:val="00D53401"/>
    <w:rsid w:val="00D535DF"/>
    <w:rsid w:val="00D5370C"/>
    <w:rsid w:val="00D538D5"/>
    <w:rsid w:val="00D53A72"/>
    <w:rsid w:val="00D53E15"/>
    <w:rsid w:val="00D54213"/>
    <w:rsid w:val="00D54510"/>
    <w:rsid w:val="00D54E5C"/>
    <w:rsid w:val="00D54F96"/>
    <w:rsid w:val="00D5509A"/>
    <w:rsid w:val="00D55302"/>
    <w:rsid w:val="00D55F36"/>
    <w:rsid w:val="00D561B5"/>
    <w:rsid w:val="00D56846"/>
    <w:rsid w:val="00D57027"/>
    <w:rsid w:val="00D578C2"/>
    <w:rsid w:val="00D578DF"/>
    <w:rsid w:val="00D579C3"/>
    <w:rsid w:val="00D57DB4"/>
    <w:rsid w:val="00D60147"/>
    <w:rsid w:val="00D60DEF"/>
    <w:rsid w:val="00D6114F"/>
    <w:rsid w:val="00D6142F"/>
    <w:rsid w:val="00D614D6"/>
    <w:rsid w:val="00D61BBD"/>
    <w:rsid w:val="00D61D9D"/>
    <w:rsid w:val="00D62056"/>
    <w:rsid w:val="00D6217D"/>
    <w:rsid w:val="00D6231B"/>
    <w:rsid w:val="00D62367"/>
    <w:rsid w:val="00D62D22"/>
    <w:rsid w:val="00D62DFA"/>
    <w:rsid w:val="00D63142"/>
    <w:rsid w:val="00D6319F"/>
    <w:rsid w:val="00D63ACC"/>
    <w:rsid w:val="00D64AE6"/>
    <w:rsid w:val="00D64E39"/>
    <w:rsid w:val="00D654E1"/>
    <w:rsid w:val="00D65603"/>
    <w:rsid w:val="00D66949"/>
    <w:rsid w:val="00D67077"/>
    <w:rsid w:val="00D67217"/>
    <w:rsid w:val="00D67A60"/>
    <w:rsid w:val="00D67B5B"/>
    <w:rsid w:val="00D67D54"/>
    <w:rsid w:val="00D70016"/>
    <w:rsid w:val="00D70178"/>
    <w:rsid w:val="00D701D4"/>
    <w:rsid w:val="00D7100B"/>
    <w:rsid w:val="00D7105D"/>
    <w:rsid w:val="00D71336"/>
    <w:rsid w:val="00D71461"/>
    <w:rsid w:val="00D71471"/>
    <w:rsid w:val="00D71C56"/>
    <w:rsid w:val="00D722AF"/>
    <w:rsid w:val="00D7357E"/>
    <w:rsid w:val="00D73865"/>
    <w:rsid w:val="00D73C72"/>
    <w:rsid w:val="00D73DDB"/>
    <w:rsid w:val="00D7519D"/>
    <w:rsid w:val="00D75281"/>
    <w:rsid w:val="00D75B25"/>
    <w:rsid w:val="00D7657C"/>
    <w:rsid w:val="00D76BAD"/>
    <w:rsid w:val="00D76E8B"/>
    <w:rsid w:val="00D7706C"/>
    <w:rsid w:val="00D770EA"/>
    <w:rsid w:val="00D77433"/>
    <w:rsid w:val="00D77966"/>
    <w:rsid w:val="00D77CC3"/>
    <w:rsid w:val="00D80155"/>
    <w:rsid w:val="00D80347"/>
    <w:rsid w:val="00D80517"/>
    <w:rsid w:val="00D80F0E"/>
    <w:rsid w:val="00D810BB"/>
    <w:rsid w:val="00D81349"/>
    <w:rsid w:val="00D81801"/>
    <w:rsid w:val="00D819BD"/>
    <w:rsid w:val="00D8205D"/>
    <w:rsid w:val="00D82131"/>
    <w:rsid w:val="00D82276"/>
    <w:rsid w:val="00D82798"/>
    <w:rsid w:val="00D82A69"/>
    <w:rsid w:val="00D82D1E"/>
    <w:rsid w:val="00D82D66"/>
    <w:rsid w:val="00D83023"/>
    <w:rsid w:val="00D83237"/>
    <w:rsid w:val="00D83868"/>
    <w:rsid w:val="00D839FC"/>
    <w:rsid w:val="00D844C1"/>
    <w:rsid w:val="00D845C6"/>
    <w:rsid w:val="00D846FB"/>
    <w:rsid w:val="00D84E58"/>
    <w:rsid w:val="00D8567A"/>
    <w:rsid w:val="00D85FD1"/>
    <w:rsid w:val="00D86512"/>
    <w:rsid w:val="00D86695"/>
    <w:rsid w:val="00D867A8"/>
    <w:rsid w:val="00D86A06"/>
    <w:rsid w:val="00D86ABB"/>
    <w:rsid w:val="00D86AD8"/>
    <w:rsid w:val="00D86C54"/>
    <w:rsid w:val="00D87080"/>
    <w:rsid w:val="00D87110"/>
    <w:rsid w:val="00D87115"/>
    <w:rsid w:val="00D879AF"/>
    <w:rsid w:val="00D879C1"/>
    <w:rsid w:val="00D90803"/>
    <w:rsid w:val="00D90A77"/>
    <w:rsid w:val="00D90BA1"/>
    <w:rsid w:val="00D91911"/>
    <w:rsid w:val="00D91B8A"/>
    <w:rsid w:val="00D921F7"/>
    <w:rsid w:val="00D9234C"/>
    <w:rsid w:val="00D92633"/>
    <w:rsid w:val="00D9376B"/>
    <w:rsid w:val="00D93E53"/>
    <w:rsid w:val="00D93F89"/>
    <w:rsid w:val="00D9449B"/>
    <w:rsid w:val="00D94887"/>
    <w:rsid w:val="00D94A33"/>
    <w:rsid w:val="00D9537D"/>
    <w:rsid w:val="00D9543D"/>
    <w:rsid w:val="00D958D0"/>
    <w:rsid w:val="00D95BC4"/>
    <w:rsid w:val="00D96760"/>
    <w:rsid w:val="00D96B53"/>
    <w:rsid w:val="00D96F70"/>
    <w:rsid w:val="00D97110"/>
    <w:rsid w:val="00D974B9"/>
    <w:rsid w:val="00D97CB3"/>
    <w:rsid w:val="00DA0132"/>
    <w:rsid w:val="00DA022B"/>
    <w:rsid w:val="00DA037D"/>
    <w:rsid w:val="00DA0742"/>
    <w:rsid w:val="00DA182E"/>
    <w:rsid w:val="00DA1D15"/>
    <w:rsid w:val="00DA1E23"/>
    <w:rsid w:val="00DA2F88"/>
    <w:rsid w:val="00DA30ED"/>
    <w:rsid w:val="00DA32AF"/>
    <w:rsid w:val="00DA33EF"/>
    <w:rsid w:val="00DA35AD"/>
    <w:rsid w:val="00DA3EAD"/>
    <w:rsid w:val="00DA4370"/>
    <w:rsid w:val="00DA477A"/>
    <w:rsid w:val="00DA4973"/>
    <w:rsid w:val="00DA4BF3"/>
    <w:rsid w:val="00DA5172"/>
    <w:rsid w:val="00DA5259"/>
    <w:rsid w:val="00DA545B"/>
    <w:rsid w:val="00DA64F1"/>
    <w:rsid w:val="00DA67B4"/>
    <w:rsid w:val="00DA6B61"/>
    <w:rsid w:val="00DA6CF4"/>
    <w:rsid w:val="00DA70E8"/>
    <w:rsid w:val="00DA73AF"/>
    <w:rsid w:val="00DA79AE"/>
    <w:rsid w:val="00DA7CFE"/>
    <w:rsid w:val="00DB0056"/>
    <w:rsid w:val="00DB016D"/>
    <w:rsid w:val="00DB0DD9"/>
    <w:rsid w:val="00DB1050"/>
    <w:rsid w:val="00DB1368"/>
    <w:rsid w:val="00DB14EF"/>
    <w:rsid w:val="00DB152B"/>
    <w:rsid w:val="00DB2058"/>
    <w:rsid w:val="00DB30F4"/>
    <w:rsid w:val="00DB37C9"/>
    <w:rsid w:val="00DB3A12"/>
    <w:rsid w:val="00DB3D95"/>
    <w:rsid w:val="00DB40C6"/>
    <w:rsid w:val="00DB49CD"/>
    <w:rsid w:val="00DB5833"/>
    <w:rsid w:val="00DB59FC"/>
    <w:rsid w:val="00DB6332"/>
    <w:rsid w:val="00DB6E07"/>
    <w:rsid w:val="00DB7113"/>
    <w:rsid w:val="00DB73D7"/>
    <w:rsid w:val="00DB7ED2"/>
    <w:rsid w:val="00DC0138"/>
    <w:rsid w:val="00DC07F7"/>
    <w:rsid w:val="00DC0D2B"/>
    <w:rsid w:val="00DC11BA"/>
    <w:rsid w:val="00DC1926"/>
    <w:rsid w:val="00DC1937"/>
    <w:rsid w:val="00DC1A8F"/>
    <w:rsid w:val="00DC1C01"/>
    <w:rsid w:val="00DC1DA9"/>
    <w:rsid w:val="00DC1E36"/>
    <w:rsid w:val="00DC1FFA"/>
    <w:rsid w:val="00DC2886"/>
    <w:rsid w:val="00DC2B34"/>
    <w:rsid w:val="00DC2BBB"/>
    <w:rsid w:val="00DC3012"/>
    <w:rsid w:val="00DC390F"/>
    <w:rsid w:val="00DC3A85"/>
    <w:rsid w:val="00DC4904"/>
    <w:rsid w:val="00DC4BC8"/>
    <w:rsid w:val="00DC55EF"/>
    <w:rsid w:val="00DC5D3B"/>
    <w:rsid w:val="00DC5DB6"/>
    <w:rsid w:val="00DC6C74"/>
    <w:rsid w:val="00DC6D7E"/>
    <w:rsid w:val="00DC7C4E"/>
    <w:rsid w:val="00DC7C54"/>
    <w:rsid w:val="00DD102A"/>
    <w:rsid w:val="00DD160F"/>
    <w:rsid w:val="00DD19BB"/>
    <w:rsid w:val="00DD2301"/>
    <w:rsid w:val="00DD2520"/>
    <w:rsid w:val="00DD26EB"/>
    <w:rsid w:val="00DD2863"/>
    <w:rsid w:val="00DD28FB"/>
    <w:rsid w:val="00DD30CB"/>
    <w:rsid w:val="00DD31DE"/>
    <w:rsid w:val="00DD3791"/>
    <w:rsid w:val="00DD3A1E"/>
    <w:rsid w:val="00DD4752"/>
    <w:rsid w:val="00DD488F"/>
    <w:rsid w:val="00DD4D46"/>
    <w:rsid w:val="00DD4DAF"/>
    <w:rsid w:val="00DD5948"/>
    <w:rsid w:val="00DD6294"/>
    <w:rsid w:val="00DD62BC"/>
    <w:rsid w:val="00DD67E5"/>
    <w:rsid w:val="00DD695B"/>
    <w:rsid w:val="00DD6A57"/>
    <w:rsid w:val="00DD6DE4"/>
    <w:rsid w:val="00DD733A"/>
    <w:rsid w:val="00DD7750"/>
    <w:rsid w:val="00DD7848"/>
    <w:rsid w:val="00DD7EAF"/>
    <w:rsid w:val="00DD7F81"/>
    <w:rsid w:val="00DE0FBE"/>
    <w:rsid w:val="00DE0FC3"/>
    <w:rsid w:val="00DE1164"/>
    <w:rsid w:val="00DE1343"/>
    <w:rsid w:val="00DE1A30"/>
    <w:rsid w:val="00DE1B18"/>
    <w:rsid w:val="00DE1D5F"/>
    <w:rsid w:val="00DE1DCD"/>
    <w:rsid w:val="00DE1FAB"/>
    <w:rsid w:val="00DE2010"/>
    <w:rsid w:val="00DE20F1"/>
    <w:rsid w:val="00DE21F5"/>
    <w:rsid w:val="00DE2445"/>
    <w:rsid w:val="00DE2608"/>
    <w:rsid w:val="00DE268A"/>
    <w:rsid w:val="00DE2755"/>
    <w:rsid w:val="00DE2792"/>
    <w:rsid w:val="00DE284F"/>
    <w:rsid w:val="00DE2EB4"/>
    <w:rsid w:val="00DE34E7"/>
    <w:rsid w:val="00DE3567"/>
    <w:rsid w:val="00DE357C"/>
    <w:rsid w:val="00DE377D"/>
    <w:rsid w:val="00DE37A4"/>
    <w:rsid w:val="00DE38E9"/>
    <w:rsid w:val="00DE3A21"/>
    <w:rsid w:val="00DE3CE5"/>
    <w:rsid w:val="00DE3F60"/>
    <w:rsid w:val="00DE4063"/>
    <w:rsid w:val="00DE408F"/>
    <w:rsid w:val="00DE43C1"/>
    <w:rsid w:val="00DE472C"/>
    <w:rsid w:val="00DE5F1B"/>
    <w:rsid w:val="00DE6D7A"/>
    <w:rsid w:val="00DE6EB9"/>
    <w:rsid w:val="00DE76E1"/>
    <w:rsid w:val="00DE7B6E"/>
    <w:rsid w:val="00DE7F64"/>
    <w:rsid w:val="00DF074F"/>
    <w:rsid w:val="00DF0BAD"/>
    <w:rsid w:val="00DF12B3"/>
    <w:rsid w:val="00DF15B6"/>
    <w:rsid w:val="00DF1613"/>
    <w:rsid w:val="00DF1A16"/>
    <w:rsid w:val="00DF1C08"/>
    <w:rsid w:val="00DF21F4"/>
    <w:rsid w:val="00DF2583"/>
    <w:rsid w:val="00DF26B1"/>
    <w:rsid w:val="00DF2AF3"/>
    <w:rsid w:val="00DF2CE5"/>
    <w:rsid w:val="00DF2DDB"/>
    <w:rsid w:val="00DF2E7F"/>
    <w:rsid w:val="00DF3158"/>
    <w:rsid w:val="00DF3219"/>
    <w:rsid w:val="00DF34BA"/>
    <w:rsid w:val="00DF390D"/>
    <w:rsid w:val="00DF3CC5"/>
    <w:rsid w:val="00DF3DA5"/>
    <w:rsid w:val="00DF4420"/>
    <w:rsid w:val="00DF4506"/>
    <w:rsid w:val="00DF4FB9"/>
    <w:rsid w:val="00DF6037"/>
    <w:rsid w:val="00DF681C"/>
    <w:rsid w:val="00DF6B4D"/>
    <w:rsid w:val="00DF6EB2"/>
    <w:rsid w:val="00DF72B0"/>
    <w:rsid w:val="00DF75FE"/>
    <w:rsid w:val="00DF781D"/>
    <w:rsid w:val="00DF7E8C"/>
    <w:rsid w:val="00E004C3"/>
    <w:rsid w:val="00E0085F"/>
    <w:rsid w:val="00E00C25"/>
    <w:rsid w:val="00E016A7"/>
    <w:rsid w:val="00E01A40"/>
    <w:rsid w:val="00E01CA7"/>
    <w:rsid w:val="00E0208A"/>
    <w:rsid w:val="00E0286D"/>
    <w:rsid w:val="00E029D7"/>
    <w:rsid w:val="00E02E95"/>
    <w:rsid w:val="00E033BA"/>
    <w:rsid w:val="00E03692"/>
    <w:rsid w:val="00E0382F"/>
    <w:rsid w:val="00E03980"/>
    <w:rsid w:val="00E041EC"/>
    <w:rsid w:val="00E04226"/>
    <w:rsid w:val="00E047AD"/>
    <w:rsid w:val="00E04DE8"/>
    <w:rsid w:val="00E05696"/>
    <w:rsid w:val="00E058EE"/>
    <w:rsid w:val="00E06676"/>
    <w:rsid w:val="00E06A0D"/>
    <w:rsid w:val="00E075BD"/>
    <w:rsid w:val="00E075DE"/>
    <w:rsid w:val="00E07761"/>
    <w:rsid w:val="00E07AA3"/>
    <w:rsid w:val="00E07AB5"/>
    <w:rsid w:val="00E10F2D"/>
    <w:rsid w:val="00E118F5"/>
    <w:rsid w:val="00E11BF2"/>
    <w:rsid w:val="00E11DB0"/>
    <w:rsid w:val="00E11F70"/>
    <w:rsid w:val="00E1213E"/>
    <w:rsid w:val="00E1260C"/>
    <w:rsid w:val="00E12CBB"/>
    <w:rsid w:val="00E12CC4"/>
    <w:rsid w:val="00E12D6C"/>
    <w:rsid w:val="00E12EDF"/>
    <w:rsid w:val="00E13509"/>
    <w:rsid w:val="00E1448C"/>
    <w:rsid w:val="00E14610"/>
    <w:rsid w:val="00E147DD"/>
    <w:rsid w:val="00E14B7B"/>
    <w:rsid w:val="00E14D04"/>
    <w:rsid w:val="00E15B76"/>
    <w:rsid w:val="00E16067"/>
    <w:rsid w:val="00E164F4"/>
    <w:rsid w:val="00E16B28"/>
    <w:rsid w:val="00E16D2F"/>
    <w:rsid w:val="00E16F51"/>
    <w:rsid w:val="00E175FA"/>
    <w:rsid w:val="00E17B40"/>
    <w:rsid w:val="00E17D6E"/>
    <w:rsid w:val="00E17F71"/>
    <w:rsid w:val="00E21224"/>
    <w:rsid w:val="00E21351"/>
    <w:rsid w:val="00E21A79"/>
    <w:rsid w:val="00E229FE"/>
    <w:rsid w:val="00E22E57"/>
    <w:rsid w:val="00E22E87"/>
    <w:rsid w:val="00E2360B"/>
    <w:rsid w:val="00E2361F"/>
    <w:rsid w:val="00E2374E"/>
    <w:rsid w:val="00E23C52"/>
    <w:rsid w:val="00E23C67"/>
    <w:rsid w:val="00E23CEF"/>
    <w:rsid w:val="00E23D0D"/>
    <w:rsid w:val="00E25459"/>
    <w:rsid w:val="00E25948"/>
    <w:rsid w:val="00E25A89"/>
    <w:rsid w:val="00E2631F"/>
    <w:rsid w:val="00E26A6B"/>
    <w:rsid w:val="00E26C49"/>
    <w:rsid w:val="00E27665"/>
    <w:rsid w:val="00E278AC"/>
    <w:rsid w:val="00E27BEE"/>
    <w:rsid w:val="00E27D5D"/>
    <w:rsid w:val="00E27DF8"/>
    <w:rsid w:val="00E30324"/>
    <w:rsid w:val="00E303AB"/>
    <w:rsid w:val="00E3046D"/>
    <w:rsid w:val="00E3052B"/>
    <w:rsid w:val="00E30544"/>
    <w:rsid w:val="00E305F5"/>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40D"/>
    <w:rsid w:val="00E3750A"/>
    <w:rsid w:val="00E37667"/>
    <w:rsid w:val="00E378C0"/>
    <w:rsid w:val="00E37F05"/>
    <w:rsid w:val="00E406DA"/>
    <w:rsid w:val="00E40ADA"/>
    <w:rsid w:val="00E415FC"/>
    <w:rsid w:val="00E4170E"/>
    <w:rsid w:val="00E423B1"/>
    <w:rsid w:val="00E43398"/>
    <w:rsid w:val="00E43665"/>
    <w:rsid w:val="00E43C15"/>
    <w:rsid w:val="00E43C5A"/>
    <w:rsid w:val="00E43FB8"/>
    <w:rsid w:val="00E44028"/>
    <w:rsid w:val="00E44214"/>
    <w:rsid w:val="00E44594"/>
    <w:rsid w:val="00E44A83"/>
    <w:rsid w:val="00E44B43"/>
    <w:rsid w:val="00E44BFF"/>
    <w:rsid w:val="00E44C59"/>
    <w:rsid w:val="00E44EBC"/>
    <w:rsid w:val="00E45109"/>
    <w:rsid w:val="00E4549D"/>
    <w:rsid w:val="00E45634"/>
    <w:rsid w:val="00E45BF2"/>
    <w:rsid w:val="00E45DEA"/>
    <w:rsid w:val="00E46020"/>
    <w:rsid w:val="00E47409"/>
    <w:rsid w:val="00E47684"/>
    <w:rsid w:val="00E50035"/>
    <w:rsid w:val="00E50C4C"/>
    <w:rsid w:val="00E513CB"/>
    <w:rsid w:val="00E51829"/>
    <w:rsid w:val="00E526A3"/>
    <w:rsid w:val="00E52926"/>
    <w:rsid w:val="00E52D09"/>
    <w:rsid w:val="00E5350C"/>
    <w:rsid w:val="00E54291"/>
    <w:rsid w:val="00E5459C"/>
    <w:rsid w:val="00E549C2"/>
    <w:rsid w:val="00E54C6D"/>
    <w:rsid w:val="00E557B5"/>
    <w:rsid w:val="00E55C12"/>
    <w:rsid w:val="00E55CAB"/>
    <w:rsid w:val="00E56BD8"/>
    <w:rsid w:val="00E56F3C"/>
    <w:rsid w:val="00E57379"/>
    <w:rsid w:val="00E57B6A"/>
    <w:rsid w:val="00E60295"/>
    <w:rsid w:val="00E60468"/>
    <w:rsid w:val="00E60952"/>
    <w:rsid w:val="00E60A48"/>
    <w:rsid w:val="00E61098"/>
    <w:rsid w:val="00E61857"/>
    <w:rsid w:val="00E61AA0"/>
    <w:rsid w:val="00E61E23"/>
    <w:rsid w:val="00E620A6"/>
    <w:rsid w:val="00E6210D"/>
    <w:rsid w:val="00E62171"/>
    <w:rsid w:val="00E6226E"/>
    <w:rsid w:val="00E62768"/>
    <w:rsid w:val="00E629C4"/>
    <w:rsid w:val="00E632F9"/>
    <w:rsid w:val="00E6369F"/>
    <w:rsid w:val="00E63786"/>
    <w:rsid w:val="00E64233"/>
    <w:rsid w:val="00E6462C"/>
    <w:rsid w:val="00E64F0F"/>
    <w:rsid w:val="00E659A0"/>
    <w:rsid w:val="00E65BCA"/>
    <w:rsid w:val="00E66308"/>
    <w:rsid w:val="00E66365"/>
    <w:rsid w:val="00E667BF"/>
    <w:rsid w:val="00E668A0"/>
    <w:rsid w:val="00E67DF8"/>
    <w:rsid w:val="00E67DFC"/>
    <w:rsid w:val="00E7054F"/>
    <w:rsid w:val="00E70BF0"/>
    <w:rsid w:val="00E70D4D"/>
    <w:rsid w:val="00E71702"/>
    <w:rsid w:val="00E7174E"/>
    <w:rsid w:val="00E719D3"/>
    <w:rsid w:val="00E71C36"/>
    <w:rsid w:val="00E720D0"/>
    <w:rsid w:val="00E720FE"/>
    <w:rsid w:val="00E72A86"/>
    <w:rsid w:val="00E72C29"/>
    <w:rsid w:val="00E730E8"/>
    <w:rsid w:val="00E73583"/>
    <w:rsid w:val="00E74C89"/>
    <w:rsid w:val="00E74EE7"/>
    <w:rsid w:val="00E75137"/>
    <w:rsid w:val="00E76782"/>
    <w:rsid w:val="00E7691A"/>
    <w:rsid w:val="00E76956"/>
    <w:rsid w:val="00E76FD7"/>
    <w:rsid w:val="00E77030"/>
    <w:rsid w:val="00E77653"/>
    <w:rsid w:val="00E779CB"/>
    <w:rsid w:val="00E80193"/>
    <w:rsid w:val="00E802E8"/>
    <w:rsid w:val="00E80B80"/>
    <w:rsid w:val="00E80F03"/>
    <w:rsid w:val="00E814BC"/>
    <w:rsid w:val="00E81603"/>
    <w:rsid w:val="00E817DF"/>
    <w:rsid w:val="00E81A4E"/>
    <w:rsid w:val="00E83366"/>
    <w:rsid w:val="00E83D1B"/>
    <w:rsid w:val="00E84AB4"/>
    <w:rsid w:val="00E84B48"/>
    <w:rsid w:val="00E84EBF"/>
    <w:rsid w:val="00E856F6"/>
    <w:rsid w:val="00E8590A"/>
    <w:rsid w:val="00E85BB3"/>
    <w:rsid w:val="00E85F38"/>
    <w:rsid w:val="00E861A8"/>
    <w:rsid w:val="00E862F6"/>
    <w:rsid w:val="00E86DC3"/>
    <w:rsid w:val="00E86ED2"/>
    <w:rsid w:val="00E87100"/>
    <w:rsid w:val="00E87629"/>
    <w:rsid w:val="00E87846"/>
    <w:rsid w:val="00E87853"/>
    <w:rsid w:val="00E8787C"/>
    <w:rsid w:val="00E879CD"/>
    <w:rsid w:val="00E90423"/>
    <w:rsid w:val="00E9047F"/>
    <w:rsid w:val="00E90602"/>
    <w:rsid w:val="00E90630"/>
    <w:rsid w:val="00E90938"/>
    <w:rsid w:val="00E911F0"/>
    <w:rsid w:val="00E91273"/>
    <w:rsid w:val="00E91621"/>
    <w:rsid w:val="00E91C47"/>
    <w:rsid w:val="00E91D47"/>
    <w:rsid w:val="00E92935"/>
    <w:rsid w:val="00E92D6D"/>
    <w:rsid w:val="00E94323"/>
    <w:rsid w:val="00E949D3"/>
    <w:rsid w:val="00E950B7"/>
    <w:rsid w:val="00E96473"/>
    <w:rsid w:val="00E9686D"/>
    <w:rsid w:val="00E96A08"/>
    <w:rsid w:val="00E96E5F"/>
    <w:rsid w:val="00E97928"/>
    <w:rsid w:val="00E97A5E"/>
    <w:rsid w:val="00E97B27"/>
    <w:rsid w:val="00EA01C2"/>
    <w:rsid w:val="00EA060C"/>
    <w:rsid w:val="00EA0894"/>
    <w:rsid w:val="00EA0D57"/>
    <w:rsid w:val="00EA0E45"/>
    <w:rsid w:val="00EA1B8B"/>
    <w:rsid w:val="00EA1E87"/>
    <w:rsid w:val="00EA1EAD"/>
    <w:rsid w:val="00EA2035"/>
    <w:rsid w:val="00EA205B"/>
    <w:rsid w:val="00EA20FA"/>
    <w:rsid w:val="00EA25B6"/>
    <w:rsid w:val="00EA3D47"/>
    <w:rsid w:val="00EA4907"/>
    <w:rsid w:val="00EA4974"/>
    <w:rsid w:val="00EA4A2E"/>
    <w:rsid w:val="00EA5618"/>
    <w:rsid w:val="00EA56B3"/>
    <w:rsid w:val="00EA6303"/>
    <w:rsid w:val="00EA66CD"/>
    <w:rsid w:val="00EA6872"/>
    <w:rsid w:val="00EA6B90"/>
    <w:rsid w:val="00EA6EA1"/>
    <w:rsid w:val="00EA72B6"/>
    <w:rsid w:val="00EA7403"/>
    <w:rsid w:val="00EA7A0F"/>
    <w:rsid w:val="00EB04B5"/>
    <w:rsid w:val="00EB0F0D"/>
    <w:rsid w:val="00EB1073"/>
    <w:rsid w:val="00EB199B"/>
    <w:rsid w:val="00EB1B46"/>
    <w:rsid w:val="00EB1BD3"/>
    <w:rsid w:val="00EB210B"/>
    <w:rsid w:val="00EB269D"/>
    <w:rsid w:val="00EB28AE"/>
    <w:rsid w:val="00EB2979"/>
    <w:rsid w:val="00EB306B"/>
    <w:rsid w:val="00EB39F9"/>
    <w:rsid w:val="00EB3BCE"/>
    <w:rsid w:val="00EB3C82"/>
    <w:rsid w:val="00EB3E3A"/>
    <w:rsid w:val="00EB4093"/>
    <w:rsid w:val="00EB47E5"/>
    <w:rsid w:val="00EB537C"/>
    <w:rsid w:val="00EB53A3"/>
    <w:rsid w:val="00EB5877"/>
    <w:rsid w:val="00EB5BA4"/>
    <w:rsid w:val="00EB5CAD"/>
    <w:rsid w:val="00EB621E"/>
    <w:rsid w:val="00EB65A1"/>
    <w:rsid w:val="00EB6633"/>
    <w:rsid w:val="00EB67A1"/>
    <w:rsid w:val="00EB684B"/>
    <w:rsid w:val="00EB6AA5"/>
    <w:rsid w:val="00EB7175"/>
    <w:rsid w:val="00EB73C0"/>
    <w:rsid w:val="00EB7939"/>
    <w:rsid w:val="00EB7C89"/>
    <w:rsid w:val="00EC0768"/>
    <w:rsid w:val="00EC0CD1"/>
    <w:rsid w:val="00EC0DD2"/>
    <w:rsid w:val="00EC0E73"/>
    <w:rsid w:val="00EC0F63"/>
    <w:rsid w:val="00EC1104"/>
    <w:rsid w:val="00EC1543"/>
    <w:rsid w:val="00EC225A"/>
    <w:rsid w:val="00EC23B5"/>
    <w:rsid w:val="00EC2B6C"/>
    <w:rsid w:val="00EC2C2F"/>
    <w:rsid w:val="00EC2CF2"/>
    <w:rsid w:val="00EC2F71"/>
    <w:rsid w:val="00EC3159"/>
    <w:rsid w:val="00EC323A"/>
    <w:rsid w:val="00EC34E3"/>
    <w:rsid w:val="00EC3D4A"/>
    <w:rsid w:val="00EC4820"/>
    <w:rsid w:val="00EC5335"/>
    <w:rsid w:val="00EC5470"/>
    <w:rsid w:val="00EC5DD1"/>
    <w:rsid w:val="00EC6830"/>
    <w:rsid w:val="00EC6BEC"/>
    <w:rsid w:val="00EC70F7"/>
    <w:rsid w:val="00EC7C78"/>
    <w:rsid w:val="00EC7EB7"/>
    <w:rsid w:val="00ED0078"/>
    <w:rsid w:val="00ED053F"/>
    <w:rsid w:val="00ED0D4B"/>
    <w:rsid w:val="00ED0DE8"/>
    <w:rsid w:val="00ED104C"/>
    <w:rsid w:val="00ED1925"/>
    <w:rsid w:val="00ED1A2D"/>
    <w:rsid w:val="00ED1EF8"/>
    <w:rsid w:val="00ED241C"/>
    <w:rsid w:val="00ED2867"/>
    <w:rsid w:val="00ED28D4"/>
    <w:rsid w:val="00ED2F2E"/>
    <w:rsid w:val="00ED2F32"/>
    <w:rsid w:val="00ED3319"/>
    <w:rsid w:val="00ED38A1"/>
    <w:rsid w:val="00ED3A50"/>
    <w:rsid w:val="00ED3CFE"/>
    <w:rsid w:val="00ED3E46"/>
    <w:rsid w:val="00ED4488"/>
    <w:rsid w:val="00ED456E"/>
    <w:rsid w:val="00ED46D7"/>
    <w:rsid w:val="00ED4E9D"/>
    <w:rsid w:val="00ED542F"/>
    <w:rsid w:val="00ED54B3"/>
    <w:rsid w:val="00ED56F2"/>
    <w:rsid w:val="00ED6A8D"/>
    <w:rsid w:val="00ED6B2E"/>
    <w:rsid w:val="00ED710B"/>
    <w:rsid w:val="00ED7133"/>
    <w:rsid w:val="00ED7924"/>
    <w:rsid w:val="00ED794A"/>
    <w:rsid w:val="00EE0989"/>
    <w:rsid w:val="00EE11F8"/>
    <w:rsid w:val="00EE1427"/>
    <w:rsid w:val="00EE224B"/>
    <w:rsid w:val="00EE2696"/>
    <w:rsid w:val="00EE27E2"/>
    <w:rsid w:val="00EE2819"/>
    <w:rsid w:val="00EE2A4B"/>
    <w:rsid w:val="00EE2C81"/>
    <w:rsid w:val="00EE2EC4"/>
    <w:rsid w:val="00EE38B4"/>
    <w:rsid w:val="00EE392A"/>
    <w:rsid w:val="00EE3F23"/>
    <w:rsid w:val="00EE5921"/>
    <w:rsid w:val="00EE59ED"/>
    <w:rsid w:val="00EE6168"/>
    <w:rsid w:val="00EE664E"/>
    <w:rsid w:val="00EE6853"/>
    <w:rsid w:val="00EE6B3C"/>
    <w:rsid w:val="00EE6BD8"/>
    <w:rsid w:val="00EE6C9F"/>
    <w:rsid w:val="00EE7E5F"/>
    <w:rsid w:val="00EF00D9"/>
    <w:rsid w:val="00EF02B0"/>
    <w:rsid w:val="00EF04B9"/>
    <w:rsid w:val="00EF067D"/>
    <w:rsid w:val="00EF0F24"/>
    <w:rsid w:val="00EF105D"/>
    <w:rsid w:val="00EF16C3"/>
    <w:rsid w:val="00EF1824"/>
    <w:rsid w:val="00EF201C"/>
    <w:rsid w:val="00EF2474"/>
    <w:rsid w:val="00EF24F5"/>
    <w:rsid w:val="00EF251D"/>
    <w:rsid w:val="00EF2565"/>
    <w:rsid w:val="00EF27D0"/>
    <w:rsid w:val="00EF28B1"/>
    <w:rsid w:val="00EF2DE8"/>
    <w:rsid w:val="00EF32F6"/>
    <w:rsid w:val="00EF4580"/>
    <w:rsid w:val="00EF4674"/>
    <w:rsid w:val="00EF49D6"/>
    <w:rsid w:val="00EF4D4E"/>
    <w:rsid w:val="00EF539F"/>
    <w:rsid w:val="00EF587B"/>
    <w:rsid w:val="00EF5C32"/>
    <w:rsid w:val="00EF6280"/>
    <w:rsid w:val="00EF629C"/>
    <w:rsid w:val="00EF6600"/>
    <w:rsid w:val="00EF662C"/>
    <w:rsid w:val="00EF6928"/>
    <w:rsid w:val="00EF7AE2"/>
    <w:rsid w:val="00EF7C29"/>
    <w:rsid w:val="00F016E4"/>
    <w:rsid w:val="00F01B75"/>
    <w:rsid w:val="00F0245D"/>
    <w:rsid w:val="00F02475"/>
    <w:rsid w:val="00F0268A"/>
    <w:rsid w:val="00F02E29"/>
    <w:rsid w:val="00F03170"/>
    <w:rsid w:val="00F03B3C"/>
    <w:rsid w:val="00F03C06"/>
    <w:rsid w:val="00F04097"/>
    <w:rsid w:val="00F045E2"/>
    <w:rsid w:val="00F04BCE"/>
    <w:rsid w:val="00F04F4F"/>
    <w:rsid w:val="00F05409"/>
    <w:rsid w:val="00F059B9"/>
    <w:rsid w:val="00F06448"/>
    <w:rsid w:val="00F064BD"/>
    <w:rsid w:val="00F0689B"/>
    <w:rsid w:val="00F06C5A"/>
    <w:rsid w:val="00F06E52"/>
    <w:rsid w:val="00F06F62"/>
    <w:rsid w:val="00F07EC3"/>
    <w:rsid w:val="00F100E0"/>
    <w:rsid w:val="00F10625"/>
    <w:rsid w:val="00F1079D"/>
    <w:rsid w:val="00F10BE4"/>
    <w:rsid w:val="00F11209"/>
    <w:rsid w:val="00F11C39"/>
    <w:rsid w:val="00F11CEB"/>
    <w:rsid w:val="00F1248F"/>
    <w:rsid w:val="00F1264C"/>
    <w:rsid w:val="00F1327D"/>
    <w:rsid w:val="00F13573"/>
    <w:rsid w:val="00F13B7A"/>
    <w:rsid w:val="00F14060"/>
    <w:rsid w:val="00F14621"/>
    <w:rsid w:val="00F14673"/>
    <w:rsid w:val="00F1469A"/>
    <w:rsid w:val="00F1480E"/>
    <w:rsid w:val="00F149A3"/>
    <w:rsid w:val="00F14D6A"/>
    <w:rsid w:val="00F15443"/>
    <w:rsid w:val="00F155D2"/>
    <w:rsid w:val="00F1575F"/>
    <w:rsid w:val="00F15BD1"/>
    <w:rsid w:val="00F161F9"/>
    <w:rsid w:val="00F16772"/>
    <w:rsid w:val="00F1677E"/>
    <w:rsid w:val="00F16E3E"/>
    <w:rsid w:val="00F16E82"/>
    <w:rsid w:val="00F1767B"/>
    <w:rsid w:val="00F1784C"/>
    <w:rsid w:val="00F1788E"/>
    <w:rsid w:val="00F17CF5"/>
    <w:rsid w:val="00F200EA"/>
    <w:rsid w:val="00F20E6E"/>
    <w:rsid w:val="00F211C1"/>
    <w:rsid w:val="00F21C7E"/>
    <w:rsid w:val="00F21EEB"/>
    <w:rsid w:val="00F21F25"/>
    <w:rsid w:val="00F2227D"/>
    <w:rsid w:val="00F22A44"/>
    <w:rsid w:val="00F23077"/>
    <w:rsid w:val="00F234F2"/>
    <w:rsid w:val="00F23C99"/>
    <w:rsid w:val="00F25592"/>
    <w:rsid w:val="00F255A4"/>
    <w:rsid w:val="00F25F15"/>
    <w:rsid w:val="00F26877"/>
    <w:rsid w:val="00F2738D"/>
    <w:rsid w:val="00F27A88"/>
    <w:rsid w:val="00F27BD9"/>
    <w:rsid w:val="00F30013"/>
    <w:rsid w:val="00F30562"/>
    <w:rsid w:val="00F30CB3"/>
    <w:rsid w:val="00F30E40"/>
    <w:rsid w:val="00F31254"/>
    <w:rsid w:val="00F3163A"/>
    <w:rsid w:val="00F31A97"/>
    <w:rsid w:val="00F320EB"/>
    <w:rsid w:val="00F3231E"/>
    <w:rsid w:val="00F32530"/>
    <w:rsid w:val="00F32876"/>
    <w:rsid w:val="00F32E30"/>
    <w:rsid w:val="00F3312F"/>
    <w:rsid w:val="00F333D1"/>
    <w:rsid w:val="00F33438"/>
    <w:rsid w:val="00F3344A"/>
    <w:rsid w:val="00F335B5"/>
    <w:rsid w:val="00F3372C"/>
    <w:rsid w:val="00F33B1F"/>
    <w:rsid w:val="00F33FEC"/>
    <w:rsid w:val="00F345BB"/>
    <w:rsid w:val="00F35842"/>
    <w:rsid w:val="00F36501"/>
    <w:rsid w:val="00F3664B"/>
    <w:rsid w:val="00F36694"/>
    <w:rsid w:val="00F36B00"/>
    <w:rsid w:val="00F36CD4"/>
    <w:rsid w:val="00F3767D"/>
    <w:rsid w:val="00F40360"/>
    <w:rsid w:val="00F4093E"/>
    <w:rsid w:val="00F40C63"/>
    <w:rsid w:val="00F40C8A"/>
    <w:rsid w:val="00F4170C"/>
    <w:rsid w:val="00F41879"/>
    <w:rsid w:val="00F419B1"/>
    <w:rsid w:val="00F41CFF"/>
    <w:rsid w:val="00F41DCB"/>
    <w:rsid w:val="00F42010"/>
    <w:rsid w:val="00F42116"/>
    <w:rsid w:val="00F4243B"/>
    <w:rsid w:val="00F42646"/>
    <w:rsid w:val="00F42A87"/>
    <w:rsid w:val="00F42EA6"/>
    <w:rsid w:val="00F43598"/>
    <w:rsid w:val="00F43A0D"/>
    <w:rsid w:val="00F43F68"/>
    <w:rsid w:val="00F44038"/>
    <w:rsid w:val="00F45A58"/>
    <w:rsid w:val="00F45BBF"/>
    <w:rsid w:val="00F46342"/>
    <w:rsid w:val="00F4667C"/>
    <w:rsid w:val="00F46963"/>
    <w:rsid w:val="00F46F74"/>
    <w:rsid w:val="00F47047"/>
    <w:rsid w:val="00F471C5"/>
    <w:rsid w:val="00F47DE3"/>
    <w:rsid w:val="00F50392"/>
    <w:rsid w:val="00F50828"/>
    <w:rsid w:val="00F50906"/>
    <w:rsid w:val="00F50AA7"/>
    <w:rsid w:val="00F50C91"/>
    <w:rsid w:val="00F522A2"/>
    <w:rsid w:val="00F53002"/>
    <w:rsid w:val="00F53B92"/>
    <w:rsid w:val="00F53C02"/>
    <w:rsid w:val="00F54646"/>
    <w:rsid w:val="00F54714"/>
    <w:rsid w:val="00F54B54"/>
    <w:rsid w:val="00F54B91"/>
    <w:rsid w:val="00F54BA2"/>
    <w:rsid w:val="00F55175"/>
    <w:rsid w:val="00F55659"/>
    <w:rsid w:val="00F558D4"/>
    <w:rsid w:val="00F55AEA"/>
    <w:rsid w:val="00F55FFC"/>
    <w:rsid w:val="00F562F1"/>
    <w:rsid w:val="00F563E4"/>
    <w:rsid w:val="00F56730"/>
    <w:rsid w:val="00F56F60"/>
    <w:rsid w:val="00F571B8"/>
    <w:rsid w:val="00F5722C"/>
    <w:rsid w:val="00F577C6"/>
    <w:rsid w:val="00F57800"/>
    <w:rsid w:val="00F603F5"/>
    <w:rsid w:val="00F60F76"/>
    <w:rsid w:val="00F6185D"/>
    <w:rsid w:val="00F61E12"/>
    <w:rsid w:val="00F620E4"/>
    <w:rsid w:val="00F62238"/>
    <w:rsid w:val="00F622E7"/>
    <w:rsid w:val="00F62391"/>
    <w:rsid w:val="00F629C3"/>
    <w:rsid w:val="00F62A2D"/>
    <w:rsid w:val="00F6313E"/>
    <w:rsid w:val="00F63A0E"/>
    <w:rsid w:val="00F642E8"/>
    <w:rsid w:val="00F6463A"/>
    <w:rsid w:val="00F64883"/>
    <w:rsid w:val="00F64954"/>
    <w:rsid w:val="00F64B72"/>
    <w:rsid w:val="00F64FC3"/>
    <w:rsid w:val="00F65A96"/>
    <w:rsid w:val="00F65B4B"/>
    <w:rsid w:val="00F66F43"/>
    <w:rsid w:val="00F66F81"/>
    <w:rsid w:val="00F67608"/>
    <w:rsid w:val="00F67700"/>
    <w:rsid w:val="00F705E9"/>
    <w:rsid w:val="00F709A0"/>
    <w:rsid w:val="00F70C84"/>
    <w:rsid w:val="00F7113A"/>
    <w:rsid w:val="00F7132A"/>
    <w:rsid w:val="00F71F37"/>
    <w:rsid w:val="00F721EA"/>
    <w:rsid w:val="00F72B0E"/>
    <w:rsid w:val="00F72BEC"/>
    <w:rsid w:val="00F72BF8"/>
    <w:rsid w:val="00F72D40"/>
    <w:rsid w:val="00F72F42"/>
    <w:rsid w:val="00F731D2"/>
    <w:rsid w:val="00F736AF"/>
    <w:rsid w:val="00F736F8"/>
    <w:rsid w:val="00F73A5D"/>
    <w:rsid w:val="00F73C9D"/>
    <w:rsid w:val="00F73E80"/>
    <w:rsid w:val="00F73E94"/>
    <w:rsid w:val="00F742A7"/>
    <w:rsid w:val="00F74D09"/>
    <w:rsid w:val="00F74F88"/>
    <w:rsid w:val="00F74FA0"/>
    <w:rsid w:val="00F75320"/>
    <w:rsid w:val="00F756F1"/>
    <w:rsid w:val="00F757DF"/>
    <w:rsid w:val="00F75913"/>
    <w:rsid w:val="00F75BD3"/>
    <w:rsid w:val="00F75E22"/>
    <w:rsid w:val="00F76030"/>
    <w:rsid w:val="00F76222"/>
    <w:rsid w:val="00F763FB"/>
    <w:rsid w:val="00F7696B"/>
    <w:rsid w:val="00F76D63"/>
    <w:rsid w:val="00F77748"/>
    <w:rsid w:val="00F77E2A"/>
    <w:rsid w:val="00F8050A"/>
    <w:rsid w:val="00F80C8A"/>
    <w:rsid w:val="00F81169"/>
    <w:rsid w:val="00F814B5"/>
    <w:rsid w:val="00F81852"/>
    <w:rsid w:val="00F819D7"/>
    <w:rsid w:val="00F81FBA"/>
    <w:rsid w:val="00F82251"/>
    <w:rsid w:val="00F82257"/>
    <w:rsid w:val="00F82588"/>
    <w:rsid w:val="00F83339"/>
    <w:rsid w:val="00F83651"/>
    <w:rsid w:val="00F83660"/>
    <w:rsid w:val="00F84128"/>
    <w:rsid w:val="00F847D1"/>
    <w:rsid w:val="00F84CA9"/>
    <w:rsid w:val="00F853B0"/>
    <w:rsid w:val="00F85A8A"/>
    <w:rsid w:val="00F85E5F"/>
    <w:rsid w:val="00F8681C"/>
    <w:rsid w:val="00F8690B"/>
    <w:rsid w:val="00F86C07"/>
    <w:rsid w:val="00F8714E"/>
    <w:rsid w:val="00F87671"/>
    <w:rsid w:val="00F87A7C"/>
    <w:rsid w:val="00F90A06"/>
    <w:rsid w:val="00F912FF"/>
    <w:rsid w:val="00F92589"/>
    <w:rsid w:val="00F929DD"/>
    <w:rsid w:val="00F92A39"/>
    <w:rsid w:val="00F92E4A"/>
    <w:rsid w:val="00F937BF"/>
    <w:rsid w:val="00F93C2D"/>
    <w:rsid w:val="00F9431A"/>
    <w:rsid w:val="00F94CF3"/>
    <w:rsid w:val="00F957C9"/>
    <w:rsid w:val="00F95A74"/>
    <w:rsid w:val="00F96182"/>
    <w:rsid w:val="00F963DA"/>
    <w:rsid w:val="00F9643D"/>
    <w:rsid w:val="00F9658B"/>
    <w:rsid w:val="00F967F7"/>
    <w:rsid w:val="00F97418"/>
    <w:rsid w:val="00FA0D6C"/>
    <w:rsid w:val="00FA106A"/>
    <w:rsid w:val="00FA1B45"/>
    <w:rsid w:val="00FA1BA9"/>
    <w:rsid w:val="00FA1F78"/>
    <w:rsid w:val="00FA2038"/>
    <w:rsid w:val="00FA205F"/>
    <w:rsid w:val="00FA20B1"/>
    <w:rsid w:val="00FA2240"/>
    <w:rsid w:val="00FA2668"/>
    <w:rsid w:val="00FA27B3"/>
    <w:rsid w:val="00FA27E5"/>
    <w:rsid w:val="00FA2C2B"/>
    <w:rsid w:val="00FA2E11"/>
    <w:rsid w:val="00FA2EA4"/>
    <w:rsid w:val="00FA3243"/>
    <w:rsid w:val="00FA343C"/>
    <w:rsid w:val="00FA4434"/>
    <w:rsid w:val="00FA5186"/>
    <w:rsid w:val="00FA5B44"/>
    <w:rsid w:val="00FA6220"/>
    <w:rsid w:val="00FA64DB"/>
    <w:rsid w:val="00FA68B5"/>
    <w:rsid w:val="00FA6E3B"/>
    <w:rsid w:val="00FA7753"/>
    <w:rsid w:val="00FA77BD"/>
    <w:rsid w:val="00FA78FC"/>
    <w:rsid w:val="00FA7D8F"/>
    <w:rsid w:val="00FB06B8"/>
    <w:rsid w:val="00FB0D75"/>
    <w:rsid w:val="00FB13CA"/>
    <w:rsid w:val="00FB188E"/>
    <w:rsid w:val="00FB20FB"/>
    <w:rsid w:val="00FB21C9"/>
    <w:rsid w:val="00FB240E"/>
    <w:rsid w:val="00FB280F"/>
    <w:rsid w:val="00FB3415"/>
    <w:rsid w:val="00FB34EE"/>
    <w:rsid w:val="00FB35FD"/>
    <w:rsid w:val="00FB44B4"/>
    <w:rsid w:val="00FB574C"/>
    <w:rsid w:val="00FB5AF6"/>
    <w:rsid w:val="00FB5C73"/>
    <w:rsid w:val="00FB5D49"/>
    <w:rsid w:val="00FB5E5B"/>
    <w:rsid w:val="00FB5F69"/>
    <w:rsid w:val="00FB6060"/>
    <w:rsid w:val="00FB6359"/>
    <w:rsid w:val="00FB674F"/>
    <w:rsid w:val="00FB6D59"/>
    <w:rsid w:val="00FB7435"/>
    <w:rsid w:val="00FB791F"/>
    <w:rsid w:val="00FB7943"/>
    <w:rsid w:val="00FB7C6D"/>
    <w:rsid w:val="00FB7F47"/>
    <w:rsid w:val="00FC0B55"/>
    <w:rsid w:val="00FC0EC5"/>
    <w:rsid w:val="00FC197D"/>
    <w:rsid w:val="00FC1A59"/>
    <w:rsid w:val="00FC1B2C"/>
    <w:rsid w:val="00FC2034"/>
    <w:rsid w:val="00FC2186"/>
    <w:rsid w:val="00FC247E"/>
    <w:rsid w:val="00FC2DF9"/>
    <w:rsid w:val="00FC2FD2"/>
    <w:rsid w:val="00FC317E"/>
    <w:rsid w:val="00FC3EEA"/>
    <w:rsid w:val="00FC3FA0"/>
    <w:rsid w:val="00FC43EC"/>
    <w:rsid w:val="00FC49E2"/>
    <w:rsid w:val="00FC503A"/>
    <w:rsid w:val="00FC54F5"/>
    <w:rsid w:val="00FC58F4"/>
    <w:rsid w:val="00FC630C"/>
    <w:rsid w:val="00FC6452"/>
    <w:rsid w:val="00FC6D9B"/>
    <w:rsid w:val="00FC6FB3"/>
    <w:rsid w:val="00FC7517"/>
    <w:rsid w:val="00FC7661"/>
    <w:rsid w:val="00FC77EA"/>
    <w:rsid w:val="00FC799F"/>
    <w:rsid w:val="00FC7C04"/>
    <w:rsid w:val="00FC7CA3"/>
    <w:rsid w:val="00FC7DED"/>
    <w:rsid w:val="00FD0020"/>
    <w:rsid w:val="00FD11D9"/>
    <w:rsid w:val="00FD11F8"/>
    <w:rsid w:val="00FD121A"/>
    <w:rsid w:val="00FD1225"/>
    <w:rsid w:val="00FD1613"/>
    <w:rsid w:val="00FD16AB"/>
    <w:rsid w:val="00FD221F"/>
    <w:rsid w:val="00FD2229"/>
    <w:rsid w:val="00FD2812"/>
    <w:rsid w:val="00FD2D27"/>
    <w:rsid w:val="00FD36F8"/>
    <w:rsid w:val="00FD4326"/>
    <w:rsid w:val="00FD4BC6"/>
    <w:rsid w:val="00FD4CBE"/>
    <w:rsid w:val="00FD5C7D"/>
    <w:rsid w:val="00FD6A99"/>
    <w:rsid w:val="00FD71D4"/>
    <w:rsid w:val="00FD733E"/>
    <w:rsid w:val="00FD741B"/>
    <w:rsid w:val="00FD76FD"/>
    <w:rsid w:val="00FD798A"/>
    <w:rsid w:val="00FE098C"/>
    <w:rsid w:val="00FE0AF5"/>
    <w:rsid w:val="00FE0D21"/>
    <w:rsid w:val="00FE162B"/>
    <w:rsid w:val="00FE2194"/>
    <w:rsid w:val="00FE21E9"/>
    <w:rsid w:val="00FE25D9"/>
    <w:rsid w:val="00FE2952"/>
    <w:rsid w:val="00FE2D16"/>
    <w:rsid w:val="00FE2F77"/>
    <w:rsid w:val="00FE31B2"/>
    <w:rsid w:val="00FE3480"/>
    <w:rsid w:val="00FE3716"/>
    <w:rsid w:val="00FE3ABE"/>
    <w:rsid w:val="00FE3BFE"/>
    <w:rsid w:val="00FE3E4F"/>
    <w:rsid w:val="00FE4384"/>
    <w:rsid w:val="00FE43E1"/>
    <w:rsid w:val="00FE47E6"/>
    <w:rsid w:val="00FE4D74"/>
    <w:rsid w:val="00FE4D95"/>
    <w:rsid w:val="00FE559F"/>
    <w:rsid w:val="00FE5CD6"/>
    <w:rsid w:val="00FE706C"/>
    <w:rsid w:val="00FE7446"/>
    <w:rsid w:val="00FE7473"/>
    <w:rsid w:val="00FE76A6"/>
    <w:rsid w:val="00FE779B"/>
    <w:rsid w:val="00FE7C2E"/>
    <w:rsid w:val="00FF0CD1"/>
    <w:rsid w:val="00FF14A6"/>
    <w:rsid w:val="00FF33A9"/>
    <w:rsid w:val="00FF3582"/>
    <w:rsid w:val="00FF380B"/>
    <w:rsid w:val="00FF3907"/>
    <w:rsid w:val="00FF3B92"/>
    <w:rsid w:val="00FF3BC9"/>
    <w:rsid w:val="00FF4385"/>
    <w:rsid w:val="00FF4A61"/>
    <w:rsid w:val="00FF4F68"/>
    <w:rsid w:val="00FF5044"/>
    <w:rsid w:val="00FF52A9"/>
    <w:rsid w:val="00FF52DE"/>
    <w:rsid w:val="00FF565C"/>
    <w:rsid w:val="00FF58A0"/>
    <w:rsid w:val="00FF5CB1"/>
    <w:rsid w:val="00FF5F0C"/>
    <w:rsid w:val="00FF601C"/>
    <w:rsid w:val="00FF646D"/>
    <w:rsid w:val="00FF64BE"/>
    <w:rsid w:val="00FF6E2B"/>
    <w:rsid w:val="00FF70B5"/>
    <w:rsid w:val="00FF7189"/>
    <w:rsid w:val="00FF7721"/>
    <w:rsid w:val="00FF7F30"/>
    <w:rsid w:val="011A11A4"/>
    <w:rsid w:val="014B5B44"/>
    <w:rsid w:val="018C5F7F"/>
    <w:rsid w:val="01BE4069"/>
    <w:rsid w:val="01BE5800"/>
    <w:rsid w:val="01E46F65"/>
    <w:rsid w:val="02E536DD"/>
    <w:rsid w:val="0386778E"/>
    <w:rsid w:val="03F06C42"/>
    <w:rsid w:val="041B3357"/>
    <w:rsid w:val="04846E0C"/>
    <w:rsid w:val="04C34346"/>
    <w:rsid w:val="04E30437"/>
    <w:rsid w:val="05F41FAA"/>
    <w:rsid w:val="061F47BA"/>
    <w:rsid w:val="063B78DC"/>
    <w:rsid w:val="076E0F6D"/>
    <w:rsid w:val="07E84F31"/>
    <w:rsid w:val="0839529D"/>
    <w:rsid w:val="089E4FFE"/>
    <w:rsid w:val="09974C33"/>
    <w:rsid w:val="09B82947"/>
    <w:rsid w:val="0B727C78"/>
    <w:rsid w:val="0BDD2C71"/>
    <w:rsid w:val="0BF958C7"/>
    <w:rsid w:val="0C3F3332"/>
    <w:rsid w:val="0C5A09A9"/>
    <w:rsid w:val="0CDB719E"/>
    <w:rsid w:val="0E0812B7"/>
    <w:rsid w:val="0EAB6A73"/>
    <w:rsid w:val="0F4D0707"/>
    <w:rsid w:val="0FBA2A45"/>
    <w:rsid w:val="0FC41654"/>
    <w:rsid w:val="0FDE7285"/>
    <w:rsid w:val="11001AA9"/>
    <w:rsid w:val="118C2ED5"/>
    <w:rsid w:val="11B83D31"/>
    <w:rsid w:val="12243AF9"/>
    <w:rsid w:val="12795B29"/>
    <w:rsid w:val="12F62B63"/>
    <w:rsid w:val="13394155"/>
    <w:rsid w:val="13696837"/>
    <w:rsid w:val="13B31AEC"/>
    <w:rsid w:val="13FE3FBA"/>
    <w:rsid w:val="140E1568"/>
    <w:rsid w:val="14404369"/>
    <w:rsid w:val="158847C9"/>
    <w:rsid w:val="16AB43FB"/>
    <w:rsid w:val="175D674F"/>
    <w:rsid w:val="17CD2550"/>
    <w:rsid w:val="17D848E1"/>
    <w:rsid w:val="18114189"/>
    <w:rsid w:val="18784728"/>
    <w:rsid w:val="18F06F2D"/>
    <w:rsid w:val="19AD7F51"/>
    <w:rsid w:val="1BA50D14"/>
    <w:rsid w:val="1BA677E7"/>
    <w:rsid w:val="1C0748A3"/>
    <w:rsid w:val="1C0F5E7D"/>
    <w:rsid w:val="1C625D30"/>
    <w:rsid w:val="1C7671E3"/>
    <w:rsid w:val="1C777601"/>
    <w:rsid w:val="1C8A493E"/>
    <w:rsid w:val="1CCB6998"/>
    <w:rsid w:val="1CD6623F"/>
    <w:rsid w:val="1CDD4BE7"/>
    <w:rsid w:val="1CF90898"/>
    <w:rsid w:val="1CFA0FE7"/>
    <w:rsid w:val="1D8C69C4"/>
    <w:rsid w:val="1E1C7C6C"/>
    <w:rsid w:val="1E786F00"/>
    <w:rsid w:val="1EBB34DD"/>
    <w:rsid w:val="1F1F65F5"/>
    <w:rsid w:val="1F343C02"/>
    <w:rsid w:val="1FAC7E53"/>
    <w:rsid w:val="20517FE3"/>
    <w:rsid w:val="20CE2C18"/>
    <w:rsid w:val="217C1DAF"/>
    <w:rsid w:val="218220DE"/>
    <w:rsid w:val="222C76C6"/>
    <w:rsid w:val="22466CF3"/>
    <w:rsid w:val="22A344E7"/>
    <w:rsid w:val="22DE3197"/>
    <w:rsid w:val="230E0741"/>
    <w:rsid w:val="23F63E16"/>
    <w:rsid w:val="24016243"/>
    <w:rsid w:val="243A32C2"/>
    <w:rsid w:val="25093A3B"/>
    <w:rsid w:val="25236D0D"/>
    <w:rsid w:val="252F645D"/>
    <w:rsid w:val="258858A9"/>
    <w:rsid w:val="259C1C77"/>
    <w:rsid w:val="26757E2C"/>
    <w:rsid w:val="26790701"/>
    <w:rsid w:val="26FD567B"/>
    <w:rsid w:val="273508EE"/>
    <w:rsid w:val="27483692"/>
    <w:rsid w:val="276F6E45"/>
    <w:rsid w:val="278066D7"/>
    <w:rsid w:val="27827B0F"/>
    <w:rsid w:val="27886287"/>
    <w:rsid w:val="27B528F8"/>
    <w:rsid w:val="27F53526"/>
    <w:rsid w:val="27FA5E76"/>
    <w:rsid w:val="28690FE5"/>
    <w:rsid w:val="288E2BD2"/>
    <w:rsid w:val="28911B25"/>
    <w:rsid w:val="28CF2F29"/>
    <w:rsid w:val="28DC50AB"/>
    <w:rsid w:val="28E55271"/>
    <w:rsid w:val="2923374B"/>
    <w:rsid w:val="296C2B2B"/>
    <w:rsid w:val="299B7266"/>
    <w:rsid w:val="29BD796F"/>
    <w:rsid w:val="2A2D69E0"/>
    <w:rsid w:val="2A3568E1"/>
    <w:rsid w:val="2AAC3644"/>
    <w:rsid w:val="2B2646C8"/>
    <w:rsid w:val="2B2C134E"/>
    <w:rsid w:val="2B8946FF"/>
    <w:rsid w:val="2C0A4741"/>
    <w:rsid w:val="2CE77A69"/>
    <w:rsid w:val="2CF86E08"/>
    <w:rsid w:val="2D9B15EF"/>
    <w:rsid w:val="2E304308"/>
    <w:rsid w:val="2EB26D79"/>
    <w:rsid w:val="2F576681"/>
    <w:rsid w:val="2F7145F4"/>
    <w:rsid w:val="30580298"/>
    <w:rsid w:val="30646F90"/>
    <w:rsid w:val="30CB0402"/>
    <w:rsid w:val="324D2681"/>
    <w:rsid w:val="32E367A8"/>
    <w:rsid w:val="34457450"/>
    <w:rsid w:val="35373F98"/>
    <w:rsid w:val="363B7932"/>
    <w:rsid w:val="36D15C2A"/>
    <w:rsid w:val="36FA4BBC"/>
    <w:rsid w:val="371D61FE"/>
    <w:rsid w:val="374B5AC3"/>
    <w:rsid w:val="377F7586"/>
    <w:rsid w:val="37EB4622"/>
    <w:rsid w:val="38187E4F"/>
    <w:rsid w:val="3820445B"/>
    <w:rsid w:val="38210467"/>
    <w:rsid w:val="38401B73"/>
    <w:rsid w:val="384B1D2A"/>
    <w:rsid w:val="395100E0"/>
    <w:rsid w:val="39780BBB"/>
    <w:rsid w:val="39D617F2"/>
    <w:rsid w:val="3B731AB5"/>
    <w:rsid w:val="3B833738"/>
    <w:rsid w:val="3B874762"/>
    <w:rsid w:val="3C2527C5"/>
    <w:rsid w:val="3D421B01"/>
    <w:rsid w:val="3D6F75C9"/>
    <w:rsid w:val="3DE90F01"/>
    <w:rsid w:val="3E266E35"/>
    <w:rsid w:val="3E9426DD"/>
    <w:rsid w:val="3F7F04D5"/>
    <w:rsid w:val="40A005F0"/>
    <w:rsid w:val="417E1386"/>
    <w:rsid w:val="422B6BF4"/>
    <w:rsid w:val="42347713"/>
    <w:rsid w:val="43B00A8F"/>
    <w:rsid w:val="442619BB"/>
    <w:rsid w:val="45511B47"/>
    <w:rsid w:val="45A15DDB"/>
    <w:rsid w:val="45B22926"/>
    <w:rsid w:val="4681712C"/>
    <w:rsid w:val="468B6718"/>
    <w:rsid w:val="473B23EB"/>
    <w:rsid w:val="476C53A1"/>
    <w:rsid w:val="47B32EAB"/>
    <w:rsid w:val="47C40E8C"/>
    <w:rsid w:val="48B1218F"/>
    <w:rsid w:val="48B14AB0"/>
    <w:rsid w:val="48D6123C"/>
    <w:rsid w:val="49150F51"/>
    <w:rsid w:val="49480BD4"/>
    <w:rsid w:val="499F04DF"/>
    <w:rsid w:val="49CB3BFF"/>
    <w:rsid w:val="4A56432B"/>
    <w:rsid w:val="4AA4619B"/>
    <w:rsid w:val="4B240160"/>
    <w:rsid w:val="4B284D77"/>
    <w:rsid w:val="4BEC1507"/>
    <w:rsid w:val="4C7E06ED"/>
    <w:rsid w:val="4CD363C9"/>
    <w:rsid w:val="4D7F6702"/>
    <w:rsid w:val="4DFD06E6"/>
    <w:rsid w:val="4F123950"/>
    <w:rsid w:val="4F134C73"/>
    <w:rsid w:val="4FBA1A62"/>
    <w:rsid w:val="500D7D9D"/>
    <w:rsid w:val="507519D9"/>
    <w:rsid w:val="50DA7C50"/>
    <w:rsid w:val="50EC442B"/>
    <w:rsid w:val="52127D7D"/>
    <w:rsid w:val="52412A63"/>
    <w:rsid w:val="52A24E2C"/>
    <w:rsid w:val="53763D4D"/>
    <w:rsid w:val="54135280"/>
    <w:rsid w:val="5526139C"/>
    <w:rsid w:val="552B2D26"/>
    <w:rsid w:val="554E1470"/>
    <w:rsid w:val="55986D51"/>
    <w:rsid w:val="55D42624"/>
    <w:rsid w:val="56133CA0"/>
    <w:rsid w:val="56DD4ABD"/>
    <w:rsid w:val="5703231E"/>
    <w:rsid w:val="57116442"/>
    <w:rsid w:val="578D3493"/>
    <w:rsid w:val="586A7A45"/>
    <w:rsid w:val="58914C8B"/>
    <w:rsid w:val="58E3423E"/>
    <w:rsid w:val="58F23ED5"/>
    <w:rsid w:val="5956205C"/>
    <w:rsid w:val="599E6CB8"/>
    <w:rsid w:val="59E031E2"/>
    <w:rsid w:val="5AA974E8"/>
    <w:rsid w:val="5B703490"/>
    <w:rsid w:val="5B8340E7"/>
    <w:rsid w:val="5B8D0599"/>
    <w:rsid w:val="5B937814"/>
    <w:rsid w:val="5BA627EA"/>
    <w:rsid w:val="5BAA125C"/>
    <w:rsid w:val="5C6E79F1"/>
    <w:rsid w:val="5C8657B1"/>
    <w:rsid w:val="5CA73484"/>
    <w:rsid w:val="5CE5499C"/>
    <w:rsid w:val="5D77243C"/>
    <w:rsid w:val="5DA6474A"/>
    <w:rsid w:val="5E2F13E4"/>
    <w:rsid w:val="5EC546B7"/>
    <w:rsid w:val="5EE01513"/>
    <w:rsid w:val="5F61759D"/>
    <w:rsid w:val="5FA9036D"/>
    <w:rsid w:val="5FE20A6A"/>
    <w:rsid w:val="5FE80DF1"/>
    <w:rsid w:val="60394F33"/>
    <w:rsid w:val="607A028C"/>
    <w:rsid w:val="60A9073B"/>
    <w:rsid w:val="61904268"/>
    <w:rsid w:val="61922827"/>
    <w:rsid w:val="61985AAE"/>
    <w:rsid w:val="619B21A0"/>
    <w:rsid w:val="61A6252D"/>
    <w:rsid w:val="61C95215"/>
    <w:rsid w:val="620863D2"/>
    <w:rsid w:val="626058BD"/>
    <w:rsid w:val="6283443A"/>
    <w:rsid w:val="62D638A3"/>
    <w:rsid w:val="62D70238"/>
    <w:rsid w:val="634E5810"/>
    <w:rsid w:val="639A2C3A"/>
    <w:rsid w:val="63A81226"/>
    <w:rsid w:val="650A079C"/>
    <w:rsid w:val="65E5355A"/>
    <w:rsid w:val="66CD3247"/>
    <w:rsid w:val="674A3D4F"/>
    <w:rsid w:val="679006E0"/>
    <w:rsid w:val="6864772D"/>
    <w:rsid w:val="68A779A6"/>
    <w:rsid w:val="68BC6A3B"/>
    <w:rsid w:val="68D76DD6"/>
    <w:rsid w:val="68DD7469"/>
    <w:rsid w:val="6A121AD7"/>
    <w:rsid w:val="6A3C248C"/>
    <w:rsid w:val="6A7E5E1C"/>
    <w:rsid w:val="6AD23B35"/>
    <w:rsid w:val="6B125161"/>
    <w:rsid w:val="6C3226C6"/>
    <w:rsid w:val="6C545FF5"/>
    <w:rsid w:val="6C591BE2"/>
    <w:rsid w:val="6D765805"/>
    <w:rsid w:val="6E0A4A26"/>
    <w:rsid w:val="6E5E1B6C"/>
    <w:rsid w:val="6EEF71D1"/>
    <w:rsid w:val="6F021A16"/>
    <w:rsid w:val="6F1D40CE"/>
    <w:rsid w:val="7051517A"/>
    <w:rsid w:val="70D37220"/>
    <w:rsid w:val="70D85BD1"/>
    <w:rsid w:val="715B338A"/>
    <w:rsid w:val="716A7ADC"/>
    <w:rsid w:val="71DE2E53"/>
    <w:rsid w:val="721F39FF"/>
    <w:rsid w:val="7283785C"/>
    <w:rsid w:val="729E121E"/>
    <w:rsid w:val="72B069AF"/>
    <w:rsid w:val="72E23A7A"/>
    <w:rsid w:val="72F6179B"/>
    <w:rsid w:val="736355BB"/>
    <w:rsid w:val="738003CA"/>
    <w:rsid w:val="73C56EED"/>
    <w:rsid w:val="758D4AB4"/>
    <w:rsid w:val="75D12961"/>
    <w:rsid w:val="765941C5"/>
    <w:rsid w:val="773B6CD4"/>
    <w:rsid w:val="77D61CCD"/>
    <w:rsid w:val="77E30949"/>
    <w:rsid w:val="77F16A53"/>
    <w:rsid w:val="783525A0"/>
    <w:rsid w:val="786F12BD"/>
    <w:rsid w:val="786F1AA9"/>
    <w:rsid w:val="7872551D"/>
    <w:rsid w:val="78E958A0"/>
    <w:rsid w:val="7920071D"/>
    <w:rsid w:val="79C52BC7"/>
    <w:rsid w:val="79C747F6"/>
    <w:rsid w:val="7A36659D"/>
    <w:rsid w:val="7A6027C1"/>
    <w:rsid w:val="7A854A12"/>
    <w:rsid w:val="7B237820"/>
    <w:rsid w:val="7B974622"/>
    <w:rsid w:val="7D4E72F0"/>
    <w:rsid w:val="7D6B63CB"/>
    <w:rsid w:val="7E86156C"/>
    <w:rsid w:val="7E9219F9"/>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2"/>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afterLines="0" w:line="240" w:lineRule="auto"/>
      <w:ind w:firstLine="420" w:firstLineChars="100"/>
    </w:pPr>
    <w:rPr>
      <w:sz w:val="21"/>
    </w:rPr>
  </w:style>
  <w:style w:type="paragraph" w:styleId="50">
    <w:name w:val="Body Text First Indent 2"/>
    <w:basedOn w:val="20"/>
    <w:link w:val="85"/>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2"/>
    <w:qFormat/>
    <w:uiPriority w:val="9"/>
    <w:rPr>
      <w:rFonts w:eastAsia="宋体"/>
      <w:b/>
      <w:bCs/>
      <w:kern w:val="44"/>
      <w:sz w:val="44"/>
      <w:szCs w:val="44"/>
      <w:lang w:val="en-US" w:eastAsia="zh-CN" w:bidi="ar-SA"/>
    </w:rPr>
  </w:style>
  <w:style w:type="character" w:customStyle="1" w:styleId="60">
    <w:name w:val="标题 2 字符"/>
    <w:link w:val="3"/>
    <w:qFormat/>
    <w:uiPriority w:val="0"/>
    <w:rPr>
      <w:rFonts w:ascii="Arial" w:hAnsi="Arial" w:eastAsia="黑体"/>
      <w:b/>
      <w:bCs/>
      <w:kern w:val="2"/>
      <w:sz w:val="32"/>
      <w:szCs w:val="32"/>
    </w:rPr>
  </w:style>
  <w:style w:type="character" w:customStyle="1" w:styleId="61">
    <w:name w:val="标题 3 字符"/>
    <w:link w:val="4"/>
    <w:qFormat/>
    <w:uiPriority w:val="0"/>
    <w:rPr>
      <w:b/>
      <w:bCs/>
      <w:kern w:val="2"/>
      <w:sz w:val="32"/>
      <w:szCs w:val="32"/>
    </w:rPr>
  </w:style>
  <w:style w:type="character" w:customStyle="1" w:styleId="62">
    <w:name w:val="标题 4 字符"/>
    <w:link w:val="5"/>
    <w:qFormat/>
    <w:uiPriority w:val="0"/>
    <w:rPr>
      <w:rFonts w:ascii="Arial" w:hAnsi="Arial" w:eastAsia="黑体"/>
      <w:sz w:val="28"/>
    </w:rPr>
  </w:style>
  <w:style w:type="character" w:customStyle="1" w:styleId="63">
    <w:name w:val="标题 5 字符"/>
    <w:link w:val="6"/>
    <w:qFormat/>
    <w:uiPriority w:val="0"/>
    <w:rPr>
      <w:b/>
      <w:kern w:val="2"/>
      <w:sz w:val="28"/>
      <w:szCs w:val="24"/>
    </w:rPr>
  </w:style>
  <w:style w:type="character" w:customStyle="1" w:styleId="64">
    <w:name w:val="标题 6 字符"/>
    <w:link w:val="8"/>
    <w:qFormat/>
    <w:uiPriority w:val="0"/>
    <w:rPr>
      <w:rFonts w:ascii="Arial" w:hAnsi="Arial" w:eastAsia="黑体"/>
      <w:b/>
      <w:kern w:val="2"/>
      <w:sz w:val="24"/>
      <w:szCs w:val="24"/>
    </w:rPr>
  </w:style>
  <w:style w:type="character" w:customStyle="1" w:styleId="65">
    <w:name w:val="标题 7 字符"/>
    <w:link w:val="9"/>
    <w:qFormat/>
    <w:uiPriority w:val="0"/>
    <w:rPr>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6"/>
    <w:qFormat/>
    <w:uiPriority w:val="0"/>
    <w:rPr>
      <w:sz w:val="21"/>
      <w:shd w:val="clear" w:color="auto" w:fill="000080"/>
    </w:rPr>
  </w:style>
  <w:style w:type="character" w:customStyle="1" w:styleId="69">
    <w:name w:val="批注文字 字符2"/>
    <w:link w:val="17"/>
    <w:qFormat/>
    <w:uiPriority w:val="0"/>
    <w:rPr>
      <w:kern w:val="2"/>
      <w:sz w:val="21"/>
      <w:szCs w:val="24"/>
    </w:rPr>
  </w:style>
  <w:style w:type="character" w:customStyle="1" w:styleId="70">
    <w:name w:val="正文文本 3 字符"/>
    <w:link w:val="18"/>
    <w:qFormat/>
    <w:uiPriority w:val="0"/>
    <w:rPr>
      <w:b/>
      <w:bCs/>
      <w:kern w:val="2"/>
      <w:sz w:val="24"/>
      <w:szCs w:val="24"/>
    </w:rPr>
  </w:style>
  <w:style w:type="character" w:customStyle="1" w:styleId="71">
    <w:name w:val="正文文本 字符"/>
    <w:link w:val="19"/>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2"/>
    <w:link w:val="26"/>
    <w:qFormat/>
    <w:uiPriority w:val="0"/>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mall"/>
    <w:qFormat/>
    <w:uiPriority w:val="0"/>
  </w:style>
  <w:style w:type="character" w:customStyle="1" w:styleId="87">
    <w:name w:val="white"/>
    <w:qFormat/>
    <w:uiPriority w:val="0"/>
  </w:style>
  <w:style w:type="character" w:customStyle="1" w:styleId="88">
    <w:name w:val="z-窗体顶端 字符"/>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apple-converted-space"/>
    <w:qFormat/>
    <w:uiPriority w:val="0"/>
  </w:style>
  <w:style w:type="character" w:customStyle="1" w:styleId="92">
    <w:name w:val="gray12"/>
    <w:qFormat/>
    <w:uiPriority w:val="0"/>
  </w:style>
  <w:style w:type="character" w:customStyle="1" w:styleId="93">
    <w:name w:val="style21"/>
    <w:qFormat/>
    <w:uiPriority w:val="0"/>
    <w:rPr>
      <w:sz w:val="17"/>
      <w:szCs w:val="17"/>
    </w:rPr>
  </w:style>
  <w:style w:type="character" w:customStyle="1" w:styleId="94">
    <w:name w:val="mark8"/>
    <w:qFormat/>
    <w:uiPriority w:val="0"/>
    <w:rPr>
      <w:b/>
      <w:bCs/>
      <w:sz w:val="21"/>
      <w:szCs w:val="21"/>
    </w:rPr>
  </w:style>
  <w:style w:type="character" w:customStyle="1" w:styleId="95">
    <w:name w:val="content2"/>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case31"/>
    <w:qFormat/>
    <w:uiPriority w:val="0"/>
    <w:rPr>
      <w:rFonts w:hint="default" w:ascii="_x000B__x000C_" w:hAnsi="_x000B__x000C_"/>
      <w:sz w:val="21"/>
      <w:szCs w:val="21"/>
    </w:rPr>
  </w:style>
  <w:style w:type="character" w:customStyle="1" w:styleId="99">
    <w:name w:val="批注文字 Char2"/>
    <w:qFormat/>
    <w:uiPriority w:val="0"/>
    <w:rPr>
      <w:kern w:val="2"/>
      <w:sz w:val="21"/>
      <w:szCs w:val="24"/>
      <w:lang w:bidi="ar-SA"/>
    </w:rPr>
  </w:style>
  <w:style w:type="character" w:customStyle="1" w:styleId="100">
    <w:name w:val="标题3 Char"/>
    <w:link w:val="101"/>
    <w:qFormat/>
    <w:uiPriority w:val="0"/>
    <w:rPr>
      <w:rFonts w:ascii="宋体" w:hAnsi="宋体"/>
      <w:b/>
      <w:bCs/>
      <w:kern w:val="44"/>
      <w:sz w:val="24"/>
      <w:szCs w:val="24"/>
    </w:rPr>
  </w:style>
  <w:style w:type="paragraph" w:customStyle="1" w:styleId="101">
    <w:name w:val="标题3"/>
    <w:basedOn w:val="2"/>
    <w:link w:val="100"/>
    <w:qFormat/>
    <w:uiPriority w:val="0"/>
    <w:pPr>
      <w:spacing w:before="0" w:beforeLines="50" w:after="0" w:afterLines="50" w:line="400" w:lineRule="exact"/>
    </w:pPr>
    <w:rPr>
      <w:rFonts w:ascii="宋体" w:hAnsi="宋体"/>
      <w:sz w:val="24"/>
      <w:szCs w:val="24"/>
    </w:rPr>
  </w:style>
  <w:style w:type="character" w:customStyle="1" w:styleId="102">
    <w:name w:val="graytext1"/>
    <w:qFormat/>
    <w:uiPriority w:val="0"/>
    <w:rPr>
      <w:color w:val="666666"/>
    </w:rPr>
  </w:style>
  <w:style w:type="character" w:customStyle="1" w:styleId="103">
    <w:name w:val="font01"/>
    <w:qFormat/>
    <w:uiPriority w:val="0"/>
    <w:rPr>
      <w:rFonts w:hint="eastAsia" w:ascii="宋体" w:hAnsi="宋体" w:eastAsia="宋体"/>
      <w:color w:val="000000"/>
      <w:sz w:val="22"/>
      <w:szCs w:val="22"/>
      <w:u w:val="none"/>
    </w:rPr>
  </w:style>
  <w:style w:type="character" w:customStyle="1" w:styleId="104">
    <w:name w:val="short_text1"/>
    <w:qFormat/>
    <w:uiPriority w:val="0"/>
    <w:rPr>
      <w:sz w:val="26"/>
    </w:rPr>
  </w:style>
  <w:style w:type="character" w:customStyle="1" w:styleId="105">
    <w:name w:val="unnamed3"/>
    <w:qFormat/>
    <w:uiPriority w:val="0"/>
  </w:style>
  <w:style w:type="character" w:customStyle="1" w:styleId="106">
    <w:name w:val="062"/>
    <w:qFormat/>
    <w:uiPriority w:val="0"/>
    <w:rPr>
      <w:rFonts w:ascii="宋体" w:hAnsi="宋体"/>
      <w:b/>
      <w:bCs/>
      <w:sz w:val="32"/>
    </w:rPr>
  </w:style>
  <w:style w:type="character" w:customStyle="1" w:styleId="107">
    <w:name w:val="style11"/>
    <w:qFormat/>
    <w:uiPriority w:val="0"/>
    <w:rPr>
      <w:rFonts w:hint="default" w:ascii="Arial" w:hAnsi="Arial" w:cs="Arial"/>
    </w:rPr>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text11"/>
    <w:qFormat/>
    <w:uiPriority w:val="0"/>
    <w:rPr>
      <w:rFonts w:hint="default" w:ascii="Verdana" w:hAnsi="Verdana"/>
      <w:color w:val="4E4E4E"/>
      <w:sz w:val="18"/>
      <w:szCs w:val="18"/>
    </w:rPr>
  </w:style>
  <w:style w:type="character" w:customStyle="1" w:styleId="110">
    <w:name w:val="1051"/>
    <w:qFormat/>
    <w:uiPriority w:val="0"/>
    <w:rPr>
      <w:sz w:val="21"/>
      <w:szCs w:val="21"/>
    </w:rPr>
  </w:style>
  <w:style w:type="paragraph" w:customStyle="1" w:styleId="111">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List Paragraph1"/>
    <w:basedOn w:val="1"/>
    <w:qFormat/>
    <w:uiPriority w:val="0"/>
    <w:pPr>
      <w:ind w:firstLine="420" w:firstLineChars="200"/>
    </w:pPr>
    <w:rPr>
      <w:rFonts w:ascii="Calibri" w:hAnsi="Calibri"/>
      <w:szCs w:val="22"/>
    </w:rPr>
  </w:style>
  <w:style w:type="paragraph" w:customStyle="1" w:styleId="113">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14">
    <w:name w:val="_Style 11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17">
    <w:name w:val="默认段落字体 Para Char"/>
    <w:basedOn w:val="1"/>
    <w:qFormat/>
    <w:uiPriority w:val="0"/>
    <w:pPr>
      <w:adjustRightInd w:val="0"/>
      <w:spacing w:line="360" w:lineRule="auto"/>
    </w:pPr>
    <w:rPr>
      <w:kern w:val="0"/>
      <w:sz w:val="24"/>
      <w:szCs w:val="20"/>
    </w:rPr>
  </w:style>
  <w:style w:type="paragraph" w:customStyle="1" w:styleId="118">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3">
    <w:name w:val="Char1"/>
    <w:basedOn w:val="1"/>
    <w:qFormat/>
    <w:uiPriority w:val="0"/>
    <w:rPr>
      <w:szCs w:val="21"/>
    </w:rPr>
  </w:style>
  <w:style w:type="paragraph" w:customStyle="1" w:styleId="124">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5">
    <w:name w:val="次小点说明 Char"/>
    <w:basedOn w:val="7"/>
    <w:qFormat/>
    <w:uiPriority w:val="0"/>
    <w:pPr>
      <w:ind w:firstLine="0"/>
    </w:pPr>
    <w:rPr>
      <w:sz w:val="24"/>
      <w:szCs w:val="24"/>
    </w:rPr>
  </w:style>
  <w:style w:type="paragraph" w:customStyle="1" w:styleId="12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27">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28">
    <w:name w:val="正文段"/>
    <w:basedOn w:val="1"/>
    <w:qFormat/>
    <w:uiPriority w:val="0"/>
    <w:pPr>
      <w:widowControl/>
      <w:snapToGrid w:val="0"/>
      <w:spacing w:after="156" w:afterLines="50"/>
      <w:ind w:firstLine="200" w:firstLineChars="200"/>
    </w:pPr>
    <w:rPr>
      <w:kern w:val="0"/>
      <w:sz w:val="24"/>
      <w:szCs w:val="20"/>
    </w:rPr>
  </w:style>
  <w:style w:type="paragraph" w:customStyle="1" w:styleId="129">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styleId="130">
    <w:name w:val="List Paragraph"/>
    <w:basedOn w:val="1"/>
    <w:qFormat/>
    <w:uiPriority w:val="34"/>
    <w:pPr>
      <w:ind w:firstLine="420" w:firstLineChars="200"/>
    </w:pPr>
    <w:rPr>
      <w:rFonts w:ascii="Calibri" w:hAnsi="Calibri"/>
      <w:szCs w:val="22"/>
    </w:rPr>
  </w:style>
  <w:style w:type="paragraph" w:customStyle="1" w:styleId="131">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 Char Char Char Char Char Char Char"/>
    <w:basedOn w:val="1"/>
    <w:qFormat/>
    <w:uiPriority w:val="0"/>
  </w:style>
  <w:style w:type="paragraph" w:customStyle="1" w:styleId="13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5">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36">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7">
    <w:name w:val="样式1"/>
    <w:basedOn w:val="1"/>
    <w:qFormat/>
    <w:uiPriority w:val="0"/>
    <w:pPr>
      <w:spacing w:before="120" w:beforeLines="0" w:after="120" w:afterLines="0" w:line="300" w:lineRule="auto"/>
    </w:pPr>
    <w:rPr>
      <w:rFonts w:ascii="宋体" w:hAnsi="宋体"/>
      <w:b/>
      <w:sz w:val="24"/>
      <w:szCs w:val="20"/>
    </w:rPr>
  </w:style>
  <w:style w:type="paragraph" w:customStyle="1" w:styleId="13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3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1">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42">
    <w:name w:val="样式 首行缩进:  2 字符"/>
    <w:basedOn w:val="1"/>
    <w:qFormat/>
    <w:uiPriority w:val="0"/>
    <w:pPr>
      <w:spacing w:line="400" w:lineRule="exact"/>
      <w:ind w:firstLine="200" w:firstLineChars="200"/>
    </w:pPr>
    <w:rPr>
      <w:rFonts w:cs="宋体"/>
      <w:sz w:val="24"/>
    </w:rPr>
  </w:style>
  <w:style w:type="paragraph" w:customStyle="1" w:styleId="143">
    <w:name w:val="正文首行缩进两字符"/>
    <w:basedOn w:val="1"/>
    <w:qFormat/>
    <w:uiPriority w:val="0"/>
    <w:pPr>
      <w:spacing w:line="360" w:lineRule="auto"/>
      <w:ind w:firstLine="200" w:firstLineChars="200"/>
    </w:pPr>
  </w:style>
  <w:style w:type="paragraph" w:customStyle="1" w:styleId="144">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45">
    <w:name w:val="444"/>
    <w:basedOn w:val="1"/>
    <w:qFormat/>
    <w:uiPriority w:val="0"/>
    <w:pPr>
      <w:adjustRightInd w:val="0"/>
      <w:spacing w:line="312" w:lineRule="atLeast"/>
      <w:jc w:val="center"/>
      <w:textAlignment w:val="baseline"/>
    </w:pPr>
    <w:rPr>
      <w:b/>
      <w:kern w:val="0"/>
      <w:sz w:val="36"/>
      <w:szCs w:val="36"/>
    </w:rPr>
  </w:style>
  <w:style w:type="paragraph" w:customStyle="1" w:styleId="146">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9">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50">
    <w:name w:val=" Char"/>
    <w:basedOn w:val="1"/>
    <w:qFormat/>
    <w:uiPriority w:val="0"/>
    <w:pPr>
      <w:tabs>
        <w:tab w:val="left" w:pos="360"/>
      </w:tabs>
      <w:ind w:left="252" w:hanging="252" w:hangingChars="140"/>
    </w:pPr>
    <w:rPr>
      <w:rFonts w:ascii="宋体"/>
      <w:sz w:val="18"/>
      <w:szCs w:val="18"/>
    </w:rPr>
  </w:style>
  <w:style w:type="paragraph" w:customStyle="1" w:styleId="151">
    <w:name w:val="Char Char Char"/>
    <w:basedOn w:val="1"/>
    <w:qFormat/>
    <w:uiPriority w:val="0"/>
    <w:rPr>
      <w:rFonts w:ascii="Tahoma" w:hAnsi="Tahoma"/>
      <w:sz w:val="24"/>
      <w:szCs w:val="20"/>
    </w:rPr>
  </w:style>
  <w:style w:type="paragraph" w:customStyle="1" w:styleId="152">
    <w:name w:val="表格"/>
    <w:basedOn w:val="1"/>
    <w:qFormat/>
    <w:uiPriority w:val="0"/>
    <w:pPr>
      <w:spacing w:line="400" w:lineRule="exact"/>
    </w:pPr>
    <w:rPr>
      <w:sz w:val="24"/>
    </w:rPr>
  </w:style>
  <w:style w:type="paragraph" w:customStyle="1" w:styleId="153">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54">
    <w:name w:val="tgt1"/>
    <w:basedOn w:val="1"/>
    <w:qFormat/>
    <w:uiPriority w:val="0"/>
    <w:pPr>
      <w:widowControl/>
      <w:spacing w:after="150" w:afterLines="0"/>
      <w:jc w:val="left"/>
    </w:pPr>
    <w:rPr>
      <w:rFonts w:ascii="宋体" w:hAnsi="宋体" w:cs="宋体"/>
      <w:kern w:val="0"/>
      <w:sz w:val="24"/>
    </w:rPr>
  </w:style>
  <w:style w:type="paragraph" w:customStyle="1" w:styleId="155">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5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59">
    <w:name w:val="1"/>
    <w:basedOn w:val="1"/>
    <w:next w:val="26"/>
    <w:qFormat/>
    <w:uiPriority w:val="0"/>
    <w:rPr>
      <w:rFonts w:ascii="宋体" w:hAnsi="Courier New"/>
      <w:szCs w:val="20"/>
    </w:rPr>
  </w:style>
  <w:style w:type="paragraph" w:customStyle="1" w:styleId="160">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61">
    <w:name w:val="Char Char Char Char Char Char Char"/>
    <w:basedOn w:val="1"/>
    <w:qFormat/>
    <w:uiPriority w:val="0"/>
  </w:style>
  <w:style w:type="paragraph" w:customStyle="1" w:styleId="162">
    <w:name w:val="五号正文（标准）"/>
    <w:basedOn w:val="1"/>
    <w:qFormat/>
    <w:uiPriority w:val="0"/>
    <w:pPr>
      <w:spacing w:line="360" w:lineRule="auto"/>
      <w:ind w:right="55" w:firstLine="560" w:firstLineChars="200"/>
    </w:pPr>
    <w:rPr>
      <w:rFonts w:eastAsia="仿宋_GB2312"/>
      <w:sz w:val="28"/>
      <w:szCs w:val="20"/>
    </w:rPr>
  </w:style>
  <w:style w:type="paragraph" w:customStyle="1" w:styleId="16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4">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5">
    <w:name w:val="F2"/>
    <w:basedOn w:val="1"/>
    <w:qFormat/>
    <w:uiPriority w:val="0"/>
    <w:pPr>
      <w:autoSpaceDE w:val="0"/>
      <w:autoSpaceDN w:val="0"/>
      <w:adjustRightInd w:val="0"/>
      <w:ind w:firstLine="601"/>
      <w:textAlignment w:val="baseline"/>
    </w:pPr>
    <w:rPr>
      <w:kern w:val="0"/>
      <w:sz w:val="24"/>
      <w:szCs w:val="20"/>
    </w:rPr>
  </w:style>
  <w:style w:type="paragraph" w:customStyle="1" w:styleId="16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167">
    <w:name w:val="批注文字 字符1"/>
    <w:qFormat/>
    <w:uiPriority w:val="0"/>
    <w:rPr>
      <w:kern w:val="2"/>
      <w:sz w:val="21"/>
      <w:szCs w:val="24"/>
    </w:rPr>
  </w:style>
  <w:style w:type="character" w:customStyle="1" w:styleId="168">
    <w:name w:val="_Style 167"/>
    <w:unhideWhenUsed/>
    <w:qFormat/>
    <w:uiPriority w:val="99"/>
    <w:rPr>
      <w:color w:val="605E5C"/>
      <w:shd w:val="clear" w:color="auto" w:fill="E1DFDD"/>
    </w:rPr>
  </w:style>
  <w:style w:type="character" w:customStyle="1" w:styleId="169">
    <w:name w:val="纯文本 字符1"/>
    <w:qFormat/>
    <w:uiPriority w:val="99"/>
    <w:rPr>
      <w:rFonts w:ascii="宋体" w:hAnsi="Courier New" w:eastAsia="宋体" w:cs="Courier New"/>
      <w:kern w:val="2"/>
      <w:sz w:val="21"/>
      <w:szCs w:val="21"/>
      <w:lang w:val="en-US" w:eastAsia="zh-CN" w:bidi="ar-SA"/>
    </w:rPr>
  </w:style>
  <w:style w:type="character" w:customStyle="1" w:styleId="170">
    <w:name w:val="正文文本 字符1"/>
    <w:qFormat/>
    <w:uiPriority w:val="99"/>
    <w:rPr>
      <w:kern w:val="2"/>
      <w:sz w:val="24"/>
      <w:szCs w:val="24"/>
    </w:rPr>
  </w:style>
  <w:style w:type="paragraph" w:customStyle="1" w:styleId="171">
    <w:name w:val="正文-2字符首行缩进"/>
    <w:basedOn w:val="1"/>
    <w:link w:val="17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2">
    <w:name w:val="正文-2字符首行缩进 Char"/>
    <w:link w:val="171"/>
    <w:qFormat/>
    <w:uiPriority w:val="0"/>
    <w:rPr>
      <w:rFonts w:ascii="仿宋_GB2312" w:hAnsi="Calibri" w:eastAsia="仿宋_GB2312"/>
      <w:sz w:val="28"/>
      <w:szCs w:val="22"/>
    </w:rPr>
  </w:style>
  <w:style w:type="character" w:customStyle="1" w:styleId="173">
    <w:name w:val="批注文字 字符"/>
    <w:semiHidden/>
    <w:qFormat/>
    <w:uiPriority w:val="99"/>
  </w:style>
  <w:style w:type="character" w:customStyle="1" w:styleId="174">
    <w:name w:val="纯文本 字符"/>
    <w:qFormat/>
    <w:uiPriority w:val="0"/>
    <w:rPr>
      <w:rFonts w:ascii="宋体" w:hAnsi="Courier New" w:eastAsia="宋体" w:cs="Courier New"/>
      <w:kern w:val="2"/>
      <w:sz w:val="21"/>
      <w:szCs w:val="21"/>
      <w:lang w:val="en-US" w:eastAsia="zh-CN" w:bidi="ar-SA"/>
    </w:rPr>
  </w:style>
  <w:style w:type="paragraph" w:customStyle="1" w:styleId="175">
    <w:name w:val="正文文本缩进1"/>
    <w:basedOn w:val="1"/>
    <w:qFormat/>
    <w:uiPriority w:val="0"/>
    <w:pPr>
      <w:ind w:firstLine="645"/>
    </w:pPr>
    <w:rPr>
      <w:rFonts w:ascii="楷体_GB2312" w:eastAsia="楷体_GB2312"/>
      <w:sz w:val="32"/>
    </w:rPr>
  </w:style>
  <w:style w:type="character" w:customStyle="1" w:styleId="176">
    <w:name w:val="标题 3 Char"/>
    <w:qFormat/>
    <w:uiPriority w:val="0"/>
    <w:rPr>
      <w:b/>
      <w:bCs/>
      <w:kern w:val="2"/>
      <w:sz w:val="32"/>
      <w:szCs w:val="32"/>
    </w:rPr>
  </w:style>
  <w:style w:type="character" w:customStyle="1" w:styleId="177">
    <w:name w:val="标题 1 Char"/>
    <w:qFormat/>
    <w:uiPriority w:val="9"/>
    <w:rPr>
      <w:rFonts w:eastAsia="宋体"/>
      <w:b/>
      <w:bCs/>
      <w:kern w:val="44"/>
      <w:sz w:val="44"/>
      <w:szCs w:val="44"/>
      <w:lang w:val="en-US" w:eastAsia="zh-CN" w:bidi="ar-SA"/>
    </w:rPr>
  </w:style>
  <w:style w:type="character" w:customStyle="1" w:styleId="178">
    <w:name w:val="标题 2 Char"/>
    <w:qFormat/>
    <w:uiPriority w:val="0"/>
    <w:rPr>
      <w:rFonts w:ascii="Arial" w:hAnsi="Arial" w:eastAsia="黑体"/>
      <w:b/>
      <w:bCs/>
      <w:kern w:val="2"/>
      <w:sz w:val="32"/>
      <w:szCs w:val="32"/>
    </w:rPr>
  </w:style>
  <w:style w:type="character" w:customStyle="1" w:styleId="179">
    <w:name w:val="页眉 Char"/>
    <w:qFormat/>
    <w:uiPriority w:val="99"/>
    <w:rPr>
      <w:kern w:val="2"/>
      <w:sz w:val="18"/>
      <w:szCs w:val="18"/>
    </w:rPr>
  </w:style>
  <w:style w:type="character" w:customStyle="1" w:styleId="180">
    <w:name w:val="页脚 Char"/>
    <w:qFormat/>
    <w:uiPriority w:val="0"/>
    <w:rPr>
      <w:kern w:val="2"/>
      <w:sz w:val="18"/>
      <w:szCs w:val="18"/>
    </w:rPr>
  </w:style>
  <w:style w:type="character" w:customStyle="1" w:styleId="181">
    <w:name w:val="标题 Char"/>
    <w:qFormat/>
    <w:uiPriority w:val="0"/>
    <w:rPr>
      <w:kern w:val="2"/>
      <w:sz w:val="30"/>
      <w:szCs w:val="24"/>
    </w:rPr>
  </w:style>
  <w:style w:type="character" w:customStyle="1" w:styleId="182">
    <w:name w:val="日期 Char"/>
    <w:qFormat/>
    <w:uiPriority w:val="0"/>
    <w:rPr>
      <w:rFonts w:ascii="宋体" w:hAnsi="Courier New" w:cs="Courier New"/>
      <w:kern w:val="2"/>
      <w:sz w:val="21"/>
      <w:szCs w:val="21"/>
    </w:rPr>
  </w:style>
  <w:style w:type="character" w:customStyle="1" w:styleId="183">
    <w:name w:val="标题 7 Char"/>
    <w:qFormat/>
    <w:uiPriority w:val="0"/>
    <w:rPr>
      <w:b/>
      <w:kern w:val="2"/>
      <w:sz w:val="24"/>
      <w:szCs w:val="24"/>
    </w:rPr>
  </w:style>
  <w:style w:type="character" w:customStyle="1" w:styleId="184">
    <w:name w:val="标题 6 Char"/>
    <w:qFormat/>
    <w:uiPriority w:val="0"/>
    <w:rPr>
      <w:rFonts w:ascii="Arial" w:hAnsi="Arial" w:eastAsia="黑体"/>
      <w:b/>
      <w:kern w:val="2"/>
      <w:sz w:val="24"/>
      <w:szCs w:val="24"/>
    </w:rPr>
  </w:style>
  <w:style w:type="character" w:customStyle="1" w:styleId="185">
    <w:name w:val="批注主题 Char"/>
    <w:qFormat/>
    <w:uiPriority w:val="0"/>
    <w:rPr>
      <w:b/>
      <w:bCs/>
      <w:kern w:val="2"/>
      <w:sz w:val="21"/>
      <w:szCs w:val="24"/>
    </w:rPr>
  </w:style>
  <w:style w:type="character" w:customStyle="1" w:styleId="186">
    <w:name w:val="正文文本缩进 Char"/>
    <w:qFormat/>
    <w:uiPriority w:val="99"/>
    <w:rPr>
      <w:rFonts w:ascii="仿宋_GB2312" w:eastAsia="仿宋_GB2312"/>
      <w:kern w:val="2"/>
      <w:sz w:val="32"/>
    </w:rPr>
  </w:style>
  <w:style w:type="character" w:customStyle="1" w:styleId="187">
    <w:name w:val="正文文本 3 Char"/>
    <w:qFormat/>
    <w:uiPriority w:val="0"/>
    <w:rPr>
      <w:b/>
      <w:bCs/>
      <w:kern w:val="2"/>
      <w:sz w:val="24"/>
      <w:szCs w:val="24"/>
    </w:rPr>
  </w:style>
  <w:style w:type="character" w:customStyle="1" w:styleId="188">
    <w:name w:val="标题 8 Char"/>
    <w:qFormat/>
    <w:uiPriority w:val="0"/>
    <w:rPr>
      <w:rFonts w:ascii="Arial" w:hAnsi="Arial" w:eastAsia="黑体"/>
      <w:kern w:val="2"/>
      <w:sz w:val="24"/>
      <w:szCs w:val="24"/>
    </w:rPr>
  </w:style>
  <w:style w:type="character" w:customStyle="1" w:styleId="189">
    <w:name w:val="标题 9 Char"/>
    <w:qFormat/>
    <w:uiPriority w:val="0"/>
    <w:rPr>
      <w:rFonts w:ascii="Arial" w:hAnsi="Arial" w:eastAsia="黑体"/>
      <w:kern w:val="2"/>
      <w:sz w:val="21"/>
      <w:szCs w:val="24"/>
    </w:rPr>
  </w:style>
  <w:style w:type="character" w:customStyle="1" w:styleId="190">
    <w:name w:val="正文文本 2 Char"/>
    <w:qFormat/>
    <w:uiPriority w:val="0"/>
    <w:rPr>
      <w:kern w:val="2"/>
      <w:sz w:val="21"/>
      <w:szCs w:val="24"/>
    </w:rPr>
  </w:style>
  <w:style w:type="character" w:customStyle="1" w:styleId="191">
    <w:name w:val="正文文本缩进 3 Char"/>
    <w:qFormat/>
    <w:uiPriority w:val="0"/>
    <w:rPr>
      <w:kern w:val="2"/>
      <w:sz w:val="16"/>
      <w:szCs w:val="16"/>
    </w:rPr>
  </w:style>
  <w:style w:type="character" w:customStyle="1" w:styleId="192">
    <w:name w:val="HTML 预设格式 Char"/>
    <w:qFormat/>
    <w:uiPriority w:val="0"/>
    <w:rPr>
      <w:rFonts w:ascii="黑体" w:hAnsi="Courier New" w:eastAsia="黑体" w:cs="Courier New"/>
    </w:rPr>
  </w:style>
  <w:style w:type="character" w:customStyle="1" w:styleId="193">
    <w:name w:val="标题 5 Char"/>
    <w:qFormat/>
    <w:uiPriority w:val="0"/>
    <w:rPr>
      <w:b/>
      <w:kern w:val="2"/>
      <w:sz w:val="28"/>
      <w:szCs w:val="24"/>
    </w:rPr>
  </w:style>
  <w:style w:type="character" w:customStyle="1" w:styleId="194">
    <w:name w:val="标题 4 Char"/>
    <w:qFormat/>
    <w:uiPriority w:val="0"/>
    <w:rPr>
      <w:rFonts w:ascii="Arial" w:hAnsi="Arial" w:eastAsia="黑体"/>
      <w:sz w:val="28"/>
    </w:rPr>
  </w:style>
  <w:style w:type="character" w:customStyle="1" w:styleId="195">
    <w:name w:val="批注框文本 Char"/>
    <w:qFormat/>
    <w:uiPriority w:val="0"/>
    <w:rPr>
      <w:kern w:val="2"/>
      <w:sz w:val="18"/>
      <w:szCs w:val="18"/>
    </w:rPr>
  </w:style>
  <w:style w:type="character" w:customStyle="1" w:styleId="196">
    <w:name w:val="文档结构图 Char"/>
    <w:qFormat/>
    <w:uiPriority w:val="0"/>
    <w:rPr>
      <w:sz w:val="21"/>
      <w:shd w:val="clear" w:color="auto" w:fill="000080"/>
    </w:rPr>
  </w:style>
  <w:style w:type="character" w:customStyle="1" w:styleId="197">
    <w:name w:val="正文首行缩进 2 Char"/>
    <w:qFormat/>
    <w:uiPriority w:val="0"/>
    <w:rPr>
      <w:kern w:val="2"/>
      <w:sz w:val="21"/>
      <w:szCs w:val="24"/>
    </w:rPr>
  </w:style>
  <w:style w:type="character" w:customStyle="1" w:styleId="198">
    <w:name w:val="正文文本缩进 2 Char"/>
    <w:qFormat/>
    <w:uiPriority w:val="0"/>
    <w:rPr>
      <w:kern w:val="2"/>
      <w:sz w:val="32"/>
    </w:rPr>
  </w:style>
  <w:style w:type="character" w:customStyle="1" w:styleId="199">
    <w:name w:val="批注文字 Char"/>
    <w:qFormat/>
    <w:uiPriority w:val="0"/>
    <w:rPr>
      <w:kern w:val="2"/>
      <w:sz w:val="21"/>
      <w:szCs w:val="24"/>
    </w:rPr>
  </w:style>
  <w:style w:type="character" w:customStyle="1" w:styleId="200">
    <w:name w:val="纯文本 Char"/>
    <w:qFormat/>
    <w:uiPriority w:val="99"/>
    <w:rPr>
      <w:rFonts w:ascii="宋体" w:hAnsi="Courier New" w:eastAsia="宋体" w:cs="Courier New"/>
      <w:kern w:val="2"/>
      <w:sz w:val="21"/>
      <w:szCs w:val="21"/>
      <w:lang w:val="en-US" w:eastAsia="zh-CN" w:bidi="ar-SA"/>
    </w:rPr>
  </w:style>
  <w:style w:type="character" w:customStyle="1" w:styleId="201">
    <w:name w:val="z-窗体顶端 Char"/>
    <w:qFormat/>
    <w:uiPriority w:val="0"/>
    <w:rPr>
      <w:rFonts w:ascii="Arial"/>
      <w:vanish/>
      <w:kern w:val="2"/>
      <w:sz w:val="16"/>
      <w:szCs w:val="24"/>
    </w:rPr>
  </w:style>
  <w:style w:type="character" w:customStyle="1" w:styleId="202">
    <w:name w:val="正文文本 Char"/>
    <w:qFormat/>
    <w:uiPriority w:val="99"/>
    <w:rPr>
      <w:kern w:val="2"/>
      <w:sz w:val="24"/>
      <w:szCs w:val="24"/>
    </w:rPr>
  </w:style>
  <w:style w:type="character" w:customStyle="1" w:styleId="203">
    <w:name w:val="正文首行缩进 Char"/>
    <w:qFormat/>
    <w:uiPriority w:val="0"/>
    <w:rPr>
      <w:kern w:val="2"/>
      <w:sz w:val="21"/>
      <w:szCs w:val="24"/>
    </w:rPr>
  </w:style>
  <w:style w:type="paragraph" w:customStyle="1" w:styleId="204">
    <w:name w:val="Table Paragraph"/>
    <w:basedOn w:val="1"/>
    <w:qFormat/>
    <w:uiPriority w:val="1"/>
    <w:pPr>
      <w:autoSpaceDE w:val="0"/>
      <w:autoSpaceDN w:val="0"/>
      <w:adjustRightInd w:val="0"/>
      <w:jc w:val="left"/>
    </w:pPr>
    <w:rPr>
      <w:kern w:val="0"/>
      <w:sz w:val="24"/>
    </w:rPr>
  </w:style>
  <w:style w:type="character" w:customStyle="1" w:styleId="205">
    <w:name w:val="fd"/>
    <w:qFormat/>
    <w:uiPriority w:val="0"/>
  </w:style>
  <w:style w:type="paragraph" w:customStyle="1" w:styleId="206">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7">
    <w:name w:val="表格文字"/>
    <w:qFormat/>
    <w:uiPriority w:val="0"/>
    <w:pPr>
      <w:widowControl w:val="0"/>
      <w:spacing w:before="25" w:after="25" w:line="300" w:lineRule="auto"/>
      <w:ind w:firstLine="200" w:firstLineChars="200"/>
      <w:jc w:val="both"/>
    </w:pPr>
    <w:rPr>
      <w:rFonts w:ascii="Times New Roman" w:hAnsi="Times New Roman" w:eastAsia="宋体" w:cs="Times New Roman"/>
      <w:spacing w:val="1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67</Pages>
  <Words>23358</Words>
  <Characters>24901</Characters>
  <Lines>336</Lines>
  <Paragraphs>94</Paragraphs>
  <TotalTime>775</TotalTime>
  <ScaleCrop>false</ScaleCrop>
  <LinksUpToDate>false</LinksUpToDate>
  <CharactersWithSpaces>25099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2022-07-21T08:34:00Z</dcterms:created>
  <dc:creator>微软用户</dc:creator>
  <cp:lastModifiedBy>CGZXB</cp:lastModifiedBy>
  <cp:lastPrinted>2016-03-22T07:52:00Z</cp:lastPrinted>
  <dcterms:modified xsi:type="dcterms:W3CDTF">2026-05-18T07:35:25Z</dcterms:modified>
  <dc:title>桂财采〔2009〕 号</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40826BF4D1EC48558373C032BCE71E65</vt:lpwstr>
  </property>
  <property fmtid="{D5CDD505-2E9C-101B-9397-08002B2CF9AE}" pid="14" name="KSOTemplateDocerSaveRecord">
    <vt:lpwstr>eyJoZGlkIjoiOTcwMzA4MWNkZGIzNWUxYWUyNjIwZTRmNTNmMGY5NGQiLCJ1c2VySWQiOiI0NTM0Njc2NjUifQ==</vt:lpwstr>
  </property>
</Properties>
</file>